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95C6A" w14:textId="7A2EE7BA" w:rsidR="008477D9" w:rsidRDefault="008477D9" w:rsidP="00C226C4">
      <w:pPr>
        <w:jc w:val="center"/>
        <w:rPr>
          <w:rFonts w:ascii="Arial" w:hAnsi="Arial" w:cs="Arial"/>
          <w:b/>
          <w:lang w:val="nl-NL"/>
        </w:rPr>
      </w:pPr>
      <w:r w:rsidRPr="00B94DC1">
        <w:rPr>
          <w:rFonts w:ascii="Arial" w:hAnsi="Arial" w:cs="Arial"/>
          <w:b/>
          <w:lang w:val="nl-NL"/>
        </w:rPr>
        <w:t>BÁO CÁO CỦA CÔNG TY QUẢN LÝ QUỸ</w:t>
      </w:r>
    </w:p>
    <w:p w14:paraId="747CBABC" w14:textId="6868A912" w:rsidR="00C226C4" w:rsidRPr="00B94DC1" w:rsidRDefault="00C226C4" w:rsidP="00C226C4">
      <w:pPr>
        <w:jc w:val="center"/>
        <w:rPr>
          <w:rFonts w:ascii="Arial" w:hAnsi="Arial" w:cs="Arial"/>
          <w:b/>
          <w:lang w:val="nl-NL"/>
        </w:rPr>
      </w:pPr>
      <w:r>
        <w:rPr>
          <w:rFonts w:ascii="Arial" w:hAnsi="Arial" w:cs="Arial"/>
          <w:b/>
          <w:lang w:val="nl-NL"/>
        </w:rPr>
        <w:t>Quý III.2020</w:t>
      </w:r>
    </w:p>
    <w:p w14:paraId="64AB24D3" w14:textId="77777777" w:rsidR="008477D9" w:rsidRPr="00B94DC1" w:rsidRDefault="008477D9" w:rsidP="008477D9">
      <w:pPr>
        <w:jc w:val="left"/>
        <w:rPr>
          <w:rFonts w:ascii="Arial" w:hAnsi="Arial" w:cs="Arial"/>
          <w:b/>
          <w:lang w:val="nl-NL"/>
        </w:rPr>
      </w:pPr>
    </w:p>
    <w:p w14:paraId="14B09616" w14:textId="77777777" w:rsidR="008477D9" w:rsidRPr="00B94DC1" w:rsidRDefault="008477D9" w:rsidP="008477D9">
      <w:pPr>
        <w:widowControl w:val="0"/>
        <w:numPr>
          <w:ilvl w:val="0"/>
          <w:numId w:val="1"/>
        </w:numPr>
        <w:tabs>
          <w:tab w:val="left" w:pos="720"/>
        </w:tabs>
        <w:ind w:left="709" w:right="33" w:hanging="709"/>
        <w:outlineLvl w:val="0"/>
        <w:rPr>
          <w:rFonts w:ascii="Arial" w:hAnsi="Arial" w:cs="Arial"/>
          <w:b/>
          <w:bCs/>
        </w:rPr>
      </w:pPr>
      <w:r w:rsidRPr="00B94DC1">
        <w:rPr>
          <w:rFonts w:ascii="Arial" w:hAnsi="Arial" w:cs="Arial"/>
          <w:b/>
          <w:bCs/>
        </w:rPr>
        <w:t>THÔNG TIN CHUNG VỀ QUỸ ĐẦU TƯ CHỨNG KHOÁN VIỆT NAM (“QUỸ”)</w:t>
      </w:r>
    </w:p>
    <w:p w14:paraId="557A7EE4" w14:textId="77777777" w:rsidR="008477D9" w:rsidRPr="00B94DC1" w:rsidRDefault="008477D9" w:rsidP="008477D9">
      <w:pPr>
        <w:widowControl w:val="0"/>
        <w:tabs>
          <w:tab w:val="left" w:pos="720"/>
        </w:tabs>
        <w:ind w:left="720" w:right="33"/>
        <w:outlineLvl w:val="0"/>
        <w:rPr>
          <w:rFonts w:ascii="Arial" w:hAnsi="Arial" w:cs="Arial"/>
          <w:b/>
          <w:bCs/>
        </w:rPr>
      </w:pPr>
    </w:p>
    <w:p w14:paraId="5762D3CF" w14:textId="77777777" w:rsidR="008477D9" w:rsidRPr="00B94DC1" w:rsidRDefault="008477D9" w:rsidP="008477D9">
      <w:pPr>
        <w:widowControl w:val="0"/>
        <w:tabs>
          <w:tab w:val="left" w:pos="720"/>
        </w:tabs>
        <w:ind w:left="720" w:right="33" w:hanging="711"/>
        <w:outlineLvl w:val="0"/>
        <w:rPr>
          <w:rFonts w:ascii="Arial" w:hAnsi="Arial" w:cs="Arial"/>
          <w:b/>
          <w:bCs/>
        </w:rPr>
      </w:pPr>
      <w:r w:rsidRPr="00B94DC1">
        <w:rPr>
          <w:rFonts w:ascii="Arial" w:hAnsi="Arial" w:cs="Arial"/>
          <w:b/>
          <w:bCs/>
        </w:rPr>
        <w:t>1.1</w:t>
      </w:r>
      <w:r w:rsidRPr="00B94DC1">
        <w:rPr>
          <w:rFonts w:ascii="Arial" w:hAnsi="Arial" w:cs="Arial"/>
          <w:b/>
          <w:bCs/>
        </w:rPr>
        <w:tab/>
        <w:t>Mục tiêu của Quỹ</w:t>
      </w:r>
    </w:p>
    <w:p w14:paraId="05648405" w14:textId="77777777" w:rsidR="008477D9" w:rsidRPr="00B94DC1" w:rsidRDefault="008477D9" w:rsidP="008477D9">
      <w:pPr>
        <w:widowControl w:val="0"/>
        <w:tabs>
          <w:tab w:val="left" w:pos="720"/>
        </w:tabs>
        <w:ind w:left="720" w:right="33" w:hanging="711"/>
        <w:outlineLvl w:val="0"/>
        <w:rPr>
          <w:rFonts w:ascii="Arial" w:hAnsi="Arial" w:cs="Arial"/>
          <w:b/>
          <w:bCs/>
        </w:rPr>
      </w:pPr>
    </w:p>
    <w:p w14:paraId="7C2962CB" w14:textId="77777777" w:rsidR="008477D9" w:rsidRPr="00B94DC1" w:rsidRDefault="008477D9" w:rsidP="008477D9">
      <w:pPr>
        <w:widowControl w:val="0"/>
        <w:tabs>
          <w:tab w:val="left" w:pos="720"/>
        </w:tabs>
        <w:ind w:left="720" w:right="33" w:hanging="711"/>
        <w:outlineLvl w:val="0"/>
        <w:rPr>
          <w:rFonts w:ascii="Arial" w:hAnsi="Arial" w:cs="Arial"/>
          <w:bCs/>
        </w:rPr>
      </w:pPr>
      <w:r w:rsidRPr="00B94DC1">
        <w:rPr>
          <w:rFonts w:ascii="Arial" w:hAnsi="Arial" w:cs="Arial"/>
          <w:b/>
          <w:bCs/>
        </w:rPr>
        <w:tab/>
      </w:r>
      <w:r w:rsidRPr="00B94DC1">
        <w:rPr>
          <w:rFonts w:ascii="Arial" w:hAnsi="Arial" w:cs="Arial"/>
          <w:bCs/>
        </w:rPr>
        <w:t xml:space="preserve">Mục tiêu của Quỹ được đặt ra phù hợp với Giấy chứng nhận đăng ký thành lập Quỹ do Ủy Ban Chứng Khoán Nhà Nước cấp, Điều lệ và Bản cáo bạch của Quỹ. </w:t>
      </w:r>
    </w:p>
    <w:p w14:paraId="5AC001AD" w14:textId="77777777" w:rsidR="008477D9" w:rsidRPr="00B94DC1" w:rsidRDefault="008477D9" w:rsidP="008477D9">
      <w:pPr>
        <w:widowControl w:val="0"/>
        <w:tabs>
          <w:tab w:val="left" w:pos="720"/>
        </w:tabs>
        <w:ind w:left="720" w:right="33" w:hanging="711"/>
        <w:outlineLvl w:val="0"/>
        <w:rPr>
          <w:rFonts w:ascii="Arial" w:hAnsi="Arial" w:cs="Arial"/>
          <w:b/>
          <w:bCs/>
        </w:rPr>
      </w:pPr>
    </w:p>
    <w:p w14:paraId="130D3479" w14:textId="77777777" w:rsidR="008477D9" w:rsidRPr="00B94DC1" w:rsidRDefault="008477D9" w:rsidP="008477D9">
      <w:pPr>
        <w:widowControl w:val="0"/>
        <w:tabs>
          <w:tab w:val="left" w:pos="720"/>
        </w:tabs>
        <w:ind w:left="720" w:right="33" w:hanging="711"/>
        <w:outlineLvl w:val="0"/>
        <w:rPr>
          <w:rFonts w:ascii="Arial" w:hAnsi="Arial" w:cs="Arial"/>
          <w:b/>
          <w:bCs/>
        </w:rPr>
      </w:pPr>
      <w:r w:rsidRPr="00B94DC1">
        <w:rPr>
          <w:rFonts w:ascii="Arial" w:hAnsi="Arial" w:cs="Arial"/>
          <w:b/>
          <w:bCs/>
        </w:rPr>
        <w:t>1.2</w:t>
      </w:r>
      <w:r w:rsidRPr="00B94DC1">
        <w:rPr>
          <w:rFonts w:ascii="Arial" w:hAnsi="Arial" w:cs="Arial"/>
          <w:b/>
          <w:bCs/>
        </w:rPr>
        <w:tab/>
        <w:t>Hiệu quả hoạt động của Quỹ</w:t>
      </w:r>
    </w:p>
    <w:p w14:paraId="7CA2CBA3" w14:textId="77777777" w:rsidR="008477D9" w:rsidRPr="00B94DC1" w:rsidRDefault="008477D9" w:rsidP="008477D9">
      <w:pPr>
        <w:widowControl w:val="0"/>
        <w:tabs>
          <w:tab w:val="left" w:pos="720"/>
        </w:tabs>
        <w:ind w:left="720" w:right="33" w:hanging="711"/>
        <w:outlineLvl w:val="0"/>
        <w:rPr>
          <w:rFonts w:ascii="Arial" w:hAnsi="Arial" w:cs="Arial"/>
          <w:b/>
          <w:bCs/>
        </w:rPr>
      </w:pPr>
    </w:p>
    <w:p w14:paraId="0C6B2993" w14:textId="0D341343" w:rsidR="008477D9" w:rsidRPr="00B94DC1" w:rsidRDefault="008477D9" w:rsidP="004F0DB9">
      <w:pPr>
        <w:widowControl w:val="0"/>
        <w:tabs>
          <w:tab w:val="left" w:pos="720"/>
        </w:tabs>
        <w:ind w:left="720" w:right="29" w:hanging="706"/>
        <w:outlineLvl w:val="0"/>
        <w:rPr>
          <w:rFonts w:ascii="Arial" w:hAnsi="Arial" w:cs="Arial"/>
          <w:b/>
          <w:lang w:val="nl-NL"/>
        </w:rPr>
      </w:pPr>
      <w:r w:rsidRPr="00B94DC1">
        <w:rPr>
          <w:rFonts w:ascii="Arial" w:hAnsi="Arial" w:cs="Arial"/>
          <w:b/>
          <w:bCs/>
        </w:rPr>
        <w:tab/>
      </w:r>
      <w:r w:rsidR="00FD4009" w:rsidRPr="00B94DC1">
        <w:rPr>
          <w:rFonts w:ascii="Arial" w:hAnsi="Arial" w:cs="Arial"/>
          <w:szCs w:val="26"/>
          <w:lang w:val="nl-NL"/>
        </w:rPr>
        <w:t xml:space="preserve">Theo Báo cáo tài chính của Quỹ đã được soát xét hoặc đã được kiểm toán, tính đến kỳ báo cáo, </w:t>
      </w:r>
      <w:r w:rsidR="00AB725F" w:rsidRPr="00B94DC1">
        <w:rPr>
          <w:rFonts w:ascii="Arial" w:hAnsi="Arial" w:cs="Arial"/>
          <w:szCs w:val="26"/>
          <w:lang w:val="nl-NL"/>
        </w:rPr>
        <w:t xml:space="preserve">tổng </w:t>
      </w:r>
      <w:r w:rsidR="00FD4009" w:rsidRPr="00B94DC1">
        <w:rPr>
          <w:rFonts w:ascii="Arial" w:hAnsi="Arial" w:cs="Arial"/>
          <w:szCs w:val="26"/>
          <w:lang w:val="nl-NL"/>
        </w:rPr>
        <w:t xml:space="preserve">giá trị tài sản ròng (NAV) của Quỹ </w:t>
      </w:r>
      <w:r w:rsidR="00000BCF" w:rsidRPr="00B94DC1">
        <w:rPr>
          <w:rFonts w:ascii="Arial" w:hAnsi="Arial" w:cs="Arial"/>
          <w:szCs w:val="26"/>
          <w:lang w:val="nl-NL"/>
        </w:rPr>
        <w:t>giảm</w:t>
      </w:r>
      <w:r w:rsidR="00AB725F" w:rsidRPr="00B94DC1">
        <w:rPr>
          <w:rFonts w:ascii="Arial" w:hAnsi="Arial" w:cs="Arial"/>
          <w:szCs w:val="26"/>
          <w:lang w:val="nl-NL"/>
        </w:rPr>
        <w:t xml:space="preserve"> </w:t>
      </w:r>
      <w:r w:rsidR="006A6DF5" w:rsidRPr="00B94DC1">
        <w:rPr>
          <w:rFonts w:ascii="Arial" w:hAnsi="Arial" w:cs="Arial"/>
          <w:b/>
          <w:szCs w:val="26"/>
          <w:lang w:val="nl-NL"/>
        </w:rPr>
        <w:t>51.5</w:t>
      </w:r>
      <w:r w:rsidR="00FD4009" w:rsidRPr="00B94DC1">
        <w:rPr>
          <w:rFonts w:ascii="Arial" w:hAnsi="Arial" w:cs="Arial"/>
          <w:b/>
          <w:szCs w:val="26"/>
          <w:lang w:val="nl-NL"/>
        </w:rPr>
        <w:t xml:space="preserve"> </w:t>
      </w:r>
      <w:r w:rsidR="00FD4009" w:rsidRPr="00B94DC1">
        <w:rPr>
          <w:rFonts w:ascii="Arial" w:hAnsi="Arial" w:cs="Arial"/>
          <w:szCs w:val="26"/>
          <w:lang w:val="nl-NL"/>
        </w:rPr>
        <w:t>(%) so với kỳ báo cáo (</w:t>
      </w:r>
      <w:r w:rsidR="00BC0D80" w:rsidRPr="00B94DC1">
        <w:rPr>
          <w:rFonts w:ascii="Arial" w:hAnsi="Arial" w:cs="Arial"/>
          <w:szCs w:val="26"/>
          <w:lang w:val="en-US"/>
        </w:rPr>
        <w:t>3</w:t>
      </w:r>
      <w:r w:rsidR="007D2B12" w:rsidRPr="00B94DC1">
        <w:rPr>
          <w:rFonts w:ascii="Arial" w:hAnsi="Arial" w:cs="Arial"/>
          <w:szCs w:val="26"/>
          <w:lang w:val="en-US"/>
        </w:rPr>
        <w:t>0</w:t>
      </w:r>
      <w:r w:rsidR="00F43F9A" w:rsidRPr="00B94DC1">
        <w:rPr>
          <w:rFonts w:ascii="Arial" w:hAnsi="Arial" w:cs="Arial"/>
          <w:szCs w:val="26"/>
          <w:lang w:val="en-US"/>
        </w:rPr>
        <w:t>/</w:t>
      </w:r>
      <w:r w:rsidR="00BC0D80" w:rsidRPr="00B94DC1">
        <w:rPr>
          <w:rFonts w:ascii="Arial" w:hAnsi="Arial" w:cs="Arial"/>
          <w:szCs w:val="26"/>
          <w:lang w:val="en-US"/>
        </w:rPr>
        <w:t>0</w:t>
      </w:r>
      <w:r w:rsidR="006A6DF5" w:rsidRPr="00B94DC1">
        <w:rPr>
          <w:rFonts w:ascii="Arial" w:hAnsi="Arial" w:cs="Arial"/>
          <w:szCs w:val="26"/>
          <w:lang w:val="en-US"/>
        </w:rPr>
        <w:t>9</w:t>
      </w:r>
      <w:r w:rsidR="00F43F9A" w:rsidRPr="00B94DC1">
        <w:rPr>
          <w:rFonts w:ascii="Arial" w:hAnsi="Arial" w:cs="Arial"/>
          <w:szCs w:val="26"/>
          <w:lang w:val="en-US"/>
        </w:rPr>
        <w:t>/20</w:t>
      </w:r>
      <w:r w:rsidR="006A6DF5" w:rsidRPr="00B94DC1">
        <w:rPr>
          <w:rFonts w:ascii="Arial" w:hAnsi="Arial" w:cs="Arial"/>
          <w:szCs w:val="26"/>
          <w:lang w:val="en-US"/>
        </w:rPr>
        <w:t>19</w:t>
      </w:r>
      <w:r w:rsidR="00FD4009" w:rsidRPr="00B94DC1">
        <w:rPr>
          <w:rFonts w:ascii="Arial" w:hAnsi="Arial" w:cs="Arial"/>
          <w:szCs w:val="26"/>
          <w:lang w:val="nl-NL"/>
        </w:rPr>
        <w:t xml:space="preserve">); thay đổi NAV/ccq cùng kỳ là </w:t>
      </w:r>
      <w:r w:rsidR="006A6DF5" w:rsidRPr="00B94DC1">
        <w:rPr>
          <w:rFonts w:ascii="Arial" w:hAnsi="Arial" w:cs="Arial"/>
          <w:b/>
          <w:bCs/>
          <w:szCs w:val="26"/>
          <w:lang w:val="nl-NL"/>
        </w:rPr>
        <w:t>-1.32</w:t>
      </w:r>
      <w:r w:rsidR="00FD4009" w:rsidRPr="00B94DC1">
        <w:rPr>
          <w:rFonts w:ascii="Arial" w:hAnsi="Arial" w:cs="Arial"/>
          <w:b/>
          <w:bCs/>
          <w:szCs w:val="26"/>
          <w:lang w:val="nl-NL"/>
        </w:rPr>
        <w:t xml:space="preserve"> (%).</w:t>
      </w:r>
    </w:p>
    <w:p w14:paraId="06269B89" w14:textId="77777777" w:rsidR="008477D9" w:rsidRPr="00B94DC1" w:rsidRDefault="007C63D1" w:rsidP="008477D9">
      <w:pPr>
        <w:widowControl w:val="0"/>
        <w:tabs>
          <w:tab w:val="left" w:pos="720"/>
        </w:tabs>
        <w:ind w:left="720" w:right="33" w:hanging="711"/>
        <w:outlineLvl w:val="0"/>
        <w:rPr>
          <w:rFonts w:ascii="Arial" w:hAnsi="Arial" w:cs="Arial"/>
          <w:b/>
          <w:lang w:val="nl-NL"/>
        </w:rPr>
      </w:pPr>
      <w:r w:rsidRPr="00B94DC1">
        <w:rPr>
          <w:rFonts w:ascii="Arial" w:hAnsi="Arial" w:cs="Arial"/>
          <w:b/>
          <w:lang w:val="nl-NL"/>
        </w:rPr>
        <w:t>1.3</w:t>
      </w:r>
      <w:r w:rsidRPr="00B94DC1">
        <w:rPr>
          <w:rFonts w:ascii="Arial" w:hAnsi="Arial" w:cs="Arial"/>
          <w:b/>
          <w:lang w:val="nl-NL"/>
        </w:rPr>
        <w:tab/>
      </w:r>
      <w:r w:rsidR="008477D9" w:rsidRPr="00B94DC1">
        <w:rPr>
          <w:rFonts w:ascii="Arial" w:hAnsi="Arial" w:cs="Arial"/>
          <w:b/>
          <w:lang w:val="nl-NL"/>
        </w:rPr>
        <w:t>Chính sách và chiến lược đầu tư của Quỹ</w:t>
      </w:r>
    </w:p>
    <w:p w14:paraId="122993EA" w14:textId="77777777" w:rsidR="008477D9" w:rsidRPr="00B94DC1" w:rsidRDefault="008477D9" w:rsidP="008477D9">
      <w:pPr>
        <w:ind w:right="33"/>
        <w:jc w:val="left"/>
        <w:rPr>
          <w:rFonts w:ascii="Arial" w:hAnsi="Arial" w:cs="Arial"/>
          <w:b/>
          <w:lang w:val="nl-NL"/>
        </w:rPr>
      </w:pPr>
    </w:p>
    <w:p w14:paraId="601C33E0" w14:textId="77777777" w:rsidR="008477D9" w:rsidRPr="00B94DC1" w:rsidRDefault="008477D9" w:rsidP="008477D9">
      <w:pPr>
        <w:widowControl w:val="0"/>
        <w:tabs>
          <w:tab w:val="left" w:pos="720"/>
        </w:tabs>
        <w:ind w:left="720" w:right="33" w:hanging="711"/>
        <w:outlineLvl w:val="0"/>
        <w:rPr>
          <w:rFonts w:ascii="Arial" w:hAnsi="Arial" w:cs="Arial"/>
          <w:bCs/>
        </w:rPr>
      </w:pPr>
      <w:r w:rsidRPr="00B94DC1">
        <w:rPr>
          <w:rFonts w:ascii="Arial" w:hAnsi="Arial" w:cs="Arial"/>
          <w:bCs/>
        </w:rPr>
        <w:tab/>
        <w:t>Chiến lược đầu tư của Quỹ là đầu tư năng động vào các loại chứng khoán vốn của các công ty hoạt động trên thị trường chứng khoán Việt Nam, trái phiếu chuyển đổi cùng với các loại chứng khoán nợ (bao gồm, nhưng không giới hạn, trái phiếu Chính phủ, trái phiếu được Chính phủ bảo lãnh, trái phiếu chính quyền địa phương, trái phiếu của các tổ chức phát hành hoạt động theo pháp luật Việt Nam…), giấy tờ có giá và các công cụ thị trường tiền tệ. Theo phân loại trong danh mục này, trái phiếu chuyển đổi sẽ là một phần trong danh mục chứng khoán nợ. Trong điều kiện bình thường, Quỹ sẽ duy trì mục tiêu phân bổ đầu tư bao gồm khoảng 20% giá trị tài sản ròng của quỹ vào chứng khoán nợ và tiền, và khoảng 80% vào chứng khoán vốn, ưu tiên đầu tư vào cổ phiếu các công ty có vốn hoá lớn và vừa có tiềm năng tăng trưởng cao. Trong một số trường hợp, khi điều kiện vĩ mô và tình hình thị trường thay đổi, Quỹ có thể thay đổi tỷ lệ phân bổ tài sản giữa cổ phiếu và trái phiếu ở mức +/-10% giá trị tài sản ròng so với tỷ trọng mục tiêu nhằm nắm bắt tốt nhất cơ hội tăng trưởng hoặc giảm thiểu rủi ro cho danh mục đầu tư.</w:t>
      </w:r>
    </w:p>
    <w:p w14:paraId="34FEF73C" w14:textId="77777777" w:rsidR="008477D9" w:rsidRPr="00B94DC1" w:rsidRDefault="008477D9" w:rsidP="008477D9">
      <w:pPr>
        <w:widowControl w:val="0"/>
        <w:tabs>
          <w:tab w:val="left" w:pos="720"/>
        </w:tabs>
        <w:ind w:left="720" w:right="33" w:hanging="711"/>
        <w:outlineLvl w:val="0"/>
        <w:rPr>
          <w:rFonts w:ascii="Arial" w:hAnsi="Arial" w:cs="Arial"/>
          <w:b/>
          <w:lang w:val="nl-NL"/>
        </w:rPr>
      </w:pPr>
    </w:p>
    <w:p w14:paraId="345F90FD" w14:textId="77777777" w:rsidR="008477D9" w:rsidRPr="00B94DC1" w:rsidRDefault="008477D9" w:rsidP="008477D9">
      <w:pPr>
        <w:widowControl w:val="0"/>
        <w:tabs>
          <w:tab w:val="left" w:pos="720"/>
        </w:tabs>
        <w:ind w:left="720" w:right="33" w:hanging="711"/>
        <w:outlineLvl w:val="0"/>
        <w:rPr>
          <w:rFonts w:ascii="Arial" w:hAnsi="Arial" w:cs="Arial"/>
          <w:b/>
          <w:lang w:val="nl-NL"/>
        </w:rPr>
      </w:pPr>
      <w:r w:rsidRPr="00B94DC1">
        <w:rPr>
          <w:rFonts w:ascii="Arial" w:hAnsi="Arial" w:cs="Arial"/>
          <w:b/>
          <w:lang w:val="nl-NL"/>
        </w:rPr>
        <w:t>1.4</w:t>
      </w:r>
      <w:r w:rsidRPr="00B94DC1">
        <w:rPr>
          <w:rFonts w:ascii="Arial" w:hAnsi="Arial" w:cs="Arial"/>
          <w:b/>
          <w:lang w:val="nl-NL"/>
        </w:rPr>
        <w:tab/>
        <w:t>Phân loại Quỹ</w:t>
      </w:r>
    </w:p>
    <w:p w14:paraId="514A0BBB" w14:textId="77777777" w:rsidR="008477D9" w:rsidRPr="00B94DC1" w:rsidRDefault="008477D9" w:rsidP="008477D9">
      <w:pPr>
        <w:widowControl w:val="0"/>
        <w:tabs>
          <w:tab w:val="left" w:pos="720"/>
        </w:tabs>
        <w:ind w:left="720" w:right="33" w:hanging="711"/>
        <w:outlineLvl w:val="0"/>
        <w:rPr>
          <w:rFonts w:ascii="Arial" w:hAnsi="Arial" w:cs="Arial"/>
          <w:b/>
          <w:lang w:val="nl-NL"/>
        </w:rPr>
      </w:pPr>
    </w:p>
    <w:p w14:paraId="20B0EC43" w14:textId="77777777" w:rsidR="008477D9" w:rsidRPr="00B94DC1" w:rsidRDefault="008477D9" w:rsidP="008477D9">
      <w:pPr>
        <w:widowControl w:val="0"/>
        <w:tabs>
          <w:tab w:val="left" w:pos="720"/>
        </w:tabs>
        <w:ind w:left="720" w:right="33" w:hanging="711"/>
        <w:outlineLvl w:val="0"/>
        <w:rPr>
          <w:rFonts w:ascii="Arial" w:hAnsi="Arial" w:cs="Arial"/>
          <w:lang w:val="nl-NL"/>
        </w:rPr>
      </w:pPr>
      <w:r w:rsidRPr="00B94DC1">
        <w:rPr>
          <w:rFonts w:ascii="Arial" w:hAnsi="Arial" w:cs="Arial"/>
          <w:b/>
          <w:lang w:val="nl-NL"/>
        </w:rPr>
        <w:tab/>
      </w:r>
      <w:r w:rsidRPr="00B94DC1">
        <w:rPr>
          <w:rFonts w:ascii="Arial" w:hAnsi="Arial" w:cs="Arial"/>
          <w:lang w:val="nl-NL"/>
        </w:rPr>
        <w:t>Quỹ là quỹ công chúng dạng mở.</w:t>
      </w:r>
    </w:p>
    <w:p w14:paraId="3E648C53" w14:textId="77777777" w:rsidR="008477D9" w:rsidRPr="00B94DC1" w:rsidRDefault="008477D9" w:rsidP="008477D9">
      <w:pPr>
        <w:widowControl w:val="0"/>
        <w:tabs>
          <w:tab w:val="left" w:pos="720"/>
        </w:tabs>
        <w:ind w:left="720" w:right="33" w:hanging="711"/>
        <w:outlineLvl w:val="0"/>
        <w:rPr>
          <w:rFonts w:ascii="Arial" w:hAnsi="Arial" w:cs="Arial"/>
          <w:lang w:val="nl-NL"/>
        </w:rPr>
      </w:pPr>
    </w:p>
    <w:p w14:paraId="326818A8" w14:textId="77777777" w:rsidR="008477D9" w:rsidRPr="00B94DC1" w:rsidRDefault="008477D9" w:rsidP="008477D9">
      <w:pPr>
        <w:widowControl w:val="0"/>
        <w:tabs>
          <w:tab w:val="left" w:pos="720"/>
        </w:tabs>
        <w:ind w:left="720" w:right="33" w:hanging="711"/>
        <w:outlineLvl w:val="0"/>
        <w:rPr>
          <w:rFonts w:ascii="Arial" w:hAnsi="Arial" w:cs="Arial"/>
          <w:b/>
          <w:lang w:val="nl-NL"/>
        </w:rPr>
      </w:pPr>
      <w:r w:rsidRPr="00B94DC1">
        <w:rPr>
          <w:rFonts w:ascii="Arial" w:hAnsi="Arial" w:cs="Arial"/>
          <w:b/>
          <w:lang w:val="nl-NL"/>
        </w:rPr>
        <w:t>1.5</w:t>
      </w:r>
      <w:r w:rsidRPr="00B94DC1">
        <w:rPr>
          <w:rFonts w:ascii="Arial" w:hAnsi="Arial" w:cs="Arial"/>
          <w:b/>
          <w:lang w:val="nl-NL"/>
        </w:rPr>
        <w:tab/>
        <w:t>Thời gian khuyến cáo đầu tư của Quỹ</w:t>
      </w:r>
    </w:p>
    <w:p w14:paraId="5E86A9F7" w14:textId="77777777" w:rsidR="008477D9" w:rsidRPr="00B94DC1" w:rsidRDefault="008477D9" w:rsidP="008477D9">
      <w:pPr>
        <w:widowControl w:val="0"/>
        <w:tabs>
          <w:tab w:val="left" w:pos="720"/>
        </w:tabs>
        <w:ind w:left="720" w:right="33" w:hanging="711"/>
        <w:outlineLvl w:val="0"/>
        <w:rPr>
          <w:rFonts w:ascii="Arial" w:hAnsi="Arial" w:cs="Arial"/>
          <w:b/>
          <w:lang w:val="nl-NL"/>
        </w:rPr>
      </w:pPr>
    </w:p>
    <w:p w14:paraId="6F3346C3" w14:textId="77777777" w:rsidR="008477D9" w:rsidRPr="00B94DC1" w:rsidRDefault="008477D9" w:rsidP="008477D9">
      <w:pPr>
        <w:widowControl w:val="0"/>
        <w:tabs>
          <w:tab w:val="left" w:pos="720"/>
        </w:tabs>
        <w:ind w:left="720" w:right="33" w:hanging="711"/>
        <w:outlineLvl w:val="0"/>
        <w:rPr>
          <w:rFonts w:ascii="Arial" w:hAnsi="Arial" w:cs="Arial"/>
          <w:lang w:val="nl-NL"/>
        </w:rPr>
      </w:pPr>
      <w:r w:rsidRPr="00B94DC1">
        <w:rPr>
          <w:rFonts w:ascii="Arial" w:hAnsi="Arial" w:cs="Arial"/>
          <w:b/>
          <w:lang w:val="nl-NL"/>
        </w:rPr>
        <w:tab/>
      </w:r>
      <w:r w:rsidRPr="00B94DC1">
        <w:rPr>
          <w:rFonts w:ascii="Arial" w:hAnsi="Arial" w:cs="Arial"/>
          <w:lang w:val="nl-NL"/>
        </w:rPr>
        <w:t xml:space="preserve">Quỹ không bị giới hạn về thời hạn hoạt động. </w:t>
      </w:r>
    </w:p>
    <w:p w14:paraId="1D2EA579" w14:textId="77777777" w:rsidR="008477D9" w:rsidRPr="00B94DC1" w:rsidRDefault="008477D9" w:rsidP="008477D9">
      <w:pPr>
        <w:widowControl w:val="0"/>
        <w:tabs>
          <w:tab w:val="left" w:pos="720"/>
        </w:tabs>
        <w:ind w:left="720" w:right="33" w:hanging="711"/>
        <w:outlineLvl w:val="0"/>
        <w:rPr>
          <w:rFonts w:ascii="Arial" w:hAnsi="Arial" w:cs="Arial"/>
          <w:b/>
          <w:lang w:val="nl-NL"/>
        </w:rPr>
      </w:pPr>
    </w:p>
    <w:p w14:paraId="218EC589" w14:textId="77777777" w:rsidR="008477D9" w:rsidRPr="00B94DC1" w:rsidRDefault="008477D9" w:rsidP="008477D9">
      <w:pPr>
        <w:widowControl w:val="0"/>
        <w:tabs>
          <w:tab w:val="left" w:pos="720"/>
        </w:tabs>
        <w:ind w:left="720" w:right="33" w:hanging="711"/>
        <w:outlineLvl w:val="0"/>
        <w:rPr>
          <w:rFonts w:ascii="Arial" w:hAnsi="Arial" w:cs="Arial"/>
          <w:b/>
          <w:lang w:val="nl-NL"/>
        </w:rPr>
      </w:pPr>
      <w:r w:rsidRPr="00B94DC1">
        <w:rPr>
          <w:rFonts w:ascii="Arial" w:hAnsi="Arial" w:cs="Arial"/>
          <w:b/>
          <w:lang w:val="nl-NL"/>
        </w:rPr>
        <w:t>1.6</w:t>
      </w:r>
      <w:r w:rsidRPr="00B94DC1">
        <w:rPr>
          <w:rFonts w:ascii="Arial" w:hAnsi="Arial" w:cs="Arial"/>
          <w:b/>
          <w:lang w:val="nl-NL"/>
        </w:rPr>
        <w:tab/>
        <w:t>Mức độ rủi ro ngắn hạn</w:t>
      </w:r>
    </w:p>
    <w:p w14:paraId="7D3CE38B" w14:textId="77777777" w:rsidR="008477D9" w:rsidRPr="00B94DC1" w:rsidRDefault="008477D9" w:rsidP="008477D9">
      <w:pPr>
        <w:widowControl w:val="0"/>
        <w:tabs>
          <w:tab w:val="left" w:pos="720"/>
        </w:tabs>
        <w:ind w:left="720" w:right="33" w:hanging="711"/>
        <w:outlineLvl w:val="0"/>
        <w:rPr>
          <w:rFonts w:ascii="Arial" w:hAnsi="Arial" w:cs="Arial"/>
          <w:b/>
          <w:lang w:val="nl-NL"/>
        </w:rPr>
      </w:pPr>
    </w:p>
    <w:p w14:paraId="23F25657" w14:textId="77777777" w:rsidR="008477D9" w:rsidRPr="00B94DC1" w:rsidRDefault="008477D9" w:rsidP="008477D9">
      <w:pPr>
        <w:widowControl w:val="0"/>
        <w:tabs>
          <w:tab w:val="left" w:pos="720"/>
        </w:tabs>
        <w:ind w:left="720" w:right="33" w:hanging="711"/>
        <w:outlineLvl w:val="0"/>
        <w:rPr>
          <w:rFonts w:ascii="Arial" w:hAnsi="Arial" w:cs="Arial"/>
          <w:lang w:val="nl-NL"/>
        </w:rPr>
      </w:pPr>
      <w:r w:rsidRPr="00B94DC1">
        <w:rPr>
          <w:rFonts w:ascii="Arial" w:hAnsi="Arial" w:cs="Arial"/>
          <w:b/>
          <w:lang w:val="nl-NL"/>
        </w:rPr>
        <w:tab/>
      </w:r>
      <w:r w:rsidRPr="00B94DC1">
        <w:rPr>
          <w:rFonts w:ascii="Arial" w:hAnsi="Arial" w:cs="Arial"/>
          <w:lang w:val="nl-NL"/>
        </w:rPr>
        <w:t xml:space="preserve">Quỹ có mức độ rủi ro ngắn hạn trung bình – cao. </w:t>
      </w:r>
    </w:p>
    <w:p w14:paraId="22E71169" w14:textId="77777777" w:rsidR="008477D9" w:rsidRPr="00B94DC1" w:rsidRDefault="008477D9" w:rsidP="008477D9">
      <w:pPr>
        <w:widowControl w:val="0"/>
        <w:tabs>
          <w:tab w:val="left" w:pos="624"/>
          <w:tab w:val="left" w:pos="720"/>
        </w:tabs>
        <w:ind w:left="720" w:right="33" w:hanging="711"/>
        <w:outlineLvl w:val="0"/>
        <w:rPr>
          <w:rFonts w:ascii="Arial" w:hAnsi="Arial" w:cs="Arial"/>
          <w:lang w:val="nl-NL"/>
        </w:rPr>
      </w:pPr>
    </w:p>
    <w:p w14:paraId="1593BFC4" w14:textId="77777777" w:rsidR="008477D9" w:rsidRPr="00B94DC1" w:rsidRDefault="008477D9" w:rsidP="008477D9">
      <w:pPr>
        <w:widowControl w:val="0"/>
        <w:tabs>
          <w:tab w:val="left" w:pos="720"/>
        </w:tabs>
        <w:ind w:left="720" w:right="33" w:hanging="711"/>
        <w:outlineLvl w:val="0"/>
        <w:rPr>
          <w:rFonts w:ascii="Arial" w:hAnsi="Arial" w:cs="Arial"/>
          <w:b/>
          <w:lang w:val="nl-NL"/>
        </w:rPr>
      </w:pPr>
      <w:r w:rsidRPr="00B94DC1">
        <w:rPr>
          <w:rFonts w:ascii="Arial" w:hAnsi="Arial" w:cs="Arial"/>
          <w:b/>
          <w:lang w:val="nl-NL"/>
        </w:rPr>
        <w:t>1.7</w:t>
      </w:r>
      <w:r w:rsidRPr="00B94DC1">
        <w:rPr>
          <w:rFonts w:ascii="Arial" w:hAnsi="Arial" w:cs="Arial"/>
          <w:b/>
          <w:lang w:val="nl-NL"/>
        </w:rPr>
        <w:tab/>
        <w:t>Thời điểm bắt đầu hoạt động của Quỹ</w:t>
      </w:r>
    </w:p>
    <w:p w14:paraId="603074C7" w14:textId="77777777" w:rsidR="008477D9" w:rsidRPr="00B94DC1" w:rsidRDefault="008477D9" w:rsidP="008477D9">
      <w:pPr>
        <w:widowControl w:val="0"/>
        <w:tabs>
          <w:tab w:val="left" w:pos="624"/>
          <w:tab w:val="left" w:pos="720"/>
        </w:tabs>
        <w:ind w:left="720" w:right="33" w:hanging="711"/>
        <w:outlineLvl w:val="0"/>
        <w:rPr>
          <w:rFonts w:ascii="Arial" w:hAnsi="Arial" w:cs="Arial"/>
          <w:lang w:val="nl-NL"/>
        </w:rPr>
      </w:pPr>
    </w:p>
    <w:p w14:paraId="3DFCE76F" w14:textId="77777777" w:rsidR="008477D9" w:rsidRPr="00B94DC1" w:rsidRDefault="008477D9" w:rsidP="008477D9">
      <w:pPr>
        <w:widowControl w:val="0"/>
        <w:tabs>
          <w:tab w:val="left" w:pos="720"/>
        </w:tabs>
        <w:ind w:left="720" w:right="33" w:hanging="711"/>
        <w:outlineLvl w:val="0"/>
        <w:rPr>
          <w:rFonts w:ascii="Arial" w:hAnsi="Arial" w:cs="Arial"/>
          <w:lang w:val="nl-NL"/>
        </w:rPr>
      </w:pPr>
      <w:r w:rsidRPr="00B94DC1">
        <w:rPr>
          <w:rFonts w:ascii="Arial" w:hAnsi="Arial" w:cs="Arial"/>
          <w:lang w:val="nl-NL"/>
        </w:rPr>
        <w:tab/>
        <w:t>Quỹ bắt đầu hoạt động từ ngày 20 tháng 5 năm 2004.</w:t>
      </w:r>
    </w:p>
    <w:p w14:paraId="2A4771CE" w14:textId="77777777" w:rsidR="008477D9" w:rsidRPr="00B94DC1" w:rsidRDefault="008477D9" w:rsidP="008477D9">
      <w:pPr>
        <w:widowControl w:val="0"/>
        <w:tabs>
          <w:tab w:val="left" w:pos="624"/>
          <w:tab w:val="left" w:pos="720"/>
        </w:tabs>
        <w:ind w:left="720" w:right="33" w:hanging="711"/>
        <w:outlineLvl w:val="0"/>
        <w:rPr>
          <w:rFonts w:ascii="Arial" w:hAnsi="Arial" w:cs="Arial"/>
          <w:lang w:val="nl-NL"/>
        </w:rPr>
      </w:pPr>
    </w:p>
    <w:p w14:paraId="11E5B592" w14:textId="77777777" w:rsidR="008477D9" w:rsidRPr="00B94DC1" w:rsidRDefault="008477D9" w:rsidP="008477D9">
      <w:pPr>
        <w:widowControl w:val="0"/>
        <w:tabs>
          <w:tab w:val="left" w:pos="720"/>
        </w:tabs>
        <w:ind w:left="720" w:right="33" w:hanging="711"/>
        <w:outlineLvl w:val="0"/>
        <w:rPr>
          <w:rFonts w:ascii="Arial" w:hAnsi="Arial" w:cs="Arial"/>
          <w:b/>
          <w:lang w:val="nl-NL"/>
        </w:rPr>
      </w:pPr>
      <w:r w:rsidRPr="00B94DC1">
        <w:rPr>
          <w:rFonts w:ascii="Arial" w:hAnsi="Arial" w:cs="Arial"/>
          <w:b/>
          <w:lang w:val="nl-NL"/>
        </w:rPr>
        <w:t>1.8</w:t>
      </w:r>
      <w:r w:rsidRPr="00B94DC1">
        <w:rPr>
          <w:rFonts w:ascii="Arial" w:hAnsi="Arial" w:cs="Arial"/>
          <w:b/>
          <w:lang w:val="nl-NL"/>
        </w:rPr>
        <w:tab/>
        <w:t>Quy mô Quỹ tại thời điểm báo cáo</w:t>
      </w:r>
    </w:p>
    <w:p w14:paraId="34734B53" w14:textId="77777777" w:rsidR="008477D9" w:rsidRPr="00B94DC1" w:rsidRDefault="008477D9" w:rsidP="008477D9">
      <w:pPr>
        <w:widowControl w:val="0"/>
        <w:tabs>
          <w:tab w:val="left" w:pos="624"/>
          <w:tab w:val="left" w:pos="720"/>
        </w:tabs>
        <w:ind w:left="720" w:right="33" w:hanging="711"/>
        <w:outlineLvl w:val="0"/>
        <w:rPr>
          <w:rFonts w:ascii="Arial" w:hAnsi="Arial" w:cs="Arial"/>
          <w:bCs/>
        </w:rPr>
      </w:pPr>
    </w:p>
    <w:p w14:paraId="461D8C37" w14:textId="550DF63F" w:rsidR="008477D9" w:rsidRPr="00B94DC1" w:rsidRDefault="00E42142" w:rsidP="00590C89">
      <w:pPr>
        <w:overflowPunct/>
        <w:autoSpaceDE/>
        <w:autoSpaceDN/>
        <w:adjustRightInd/>
        <w:textAlignment w:val="auto"/>
        <w:rPr>
          <w:rFonts w:ascii="Arial" w:hAnsi="Arial" w:cs="Arial"/>
          <w:lang w:val="en-US"/>
        </w:rPr>
      </w:pPr>
      <w:r w:rsidRPr="00B94DC1">
        <w:rPr>
          <w:rFonts w:ascii="Arial" w:hAnsi="Arial" w:cs="Arial"/>
          <w:bCs/>
        </w:rPr>
        <w:tab/>
      </w:r>
      <w:r w:rsidR="003C4141" w:rsidRPr="00B94DC1">
        <w:rPr>
          <w:rFonts w:ascii="Arial" w:hAnsi="Arial" w:cs="Arial"/>
          <w:bCs/>
        </w:rPr>
        <w:t xml:space="preserve">Tại ngày </w:t>
      </w:r>
      <w:r w:rsidR="00590C89" w:rsidRPr="00B94DC1">
        <w:rPr>
          <w:rFonts w:ascii="Arial" w:hAnsi="Arial" w:cs="Arial"/>
          <w:bCs/>
        </w:rPr>
        <w:t>3</w:t>
      </w:r>
      <w:r w:rsidR="00585FEF" w:rsidRPr="00B94DC1">
        <w:rPr>
          <w:rFonts w:ascii="Arial" w:hAnsi="Arial" w:cs="Arial"/>
          <w:bCs/>
        </w:rPr>
        <w:t>0</w:t>
      </w:r>
      <w:r w:rsidR="00A55884" w:rsidRPr="00B94DC1">
        <w:rPr>
          <w:rFonts w:ascii="Arial" w:hAnsi="Arial" w:cs="Arial"/>
          <w:bCs/>
        </w:rPr>
        <w:t xml:space="preserve"> tháng</w:t>
      </w:r>
      <w:r w:rsidR="00C60E6F" w:rsidRPr="00B94DC1">
        <w:rPr>
          <w:rFonts w:ascii="Arial" w:hAnsi="Arial" w:cs="Arial"/>
          <w:bCs/>
        </w:rPr>
        <w:t xml:space="preserve"> </w:t>
      </w:r>
      <w:r w:rsidR="005D645E" w:rsidRPr="00B94DC1">
        <w:rPr>
          <w:rFonts w:ascii="Arial" w:hAnsi="Arial" w:cs="Arial"/>
          <w:bCs/>
        </w:rPr>
        <w:t>0</w:t>
      </w:r>
      <w:r w:rsidR="006D3FC5" w:rsidRPr="00B94DC1">
        <w:rPr>
          <w:rFonts w:ascii="Arial" w:hAnsi="Arial" w:cs="Arial"/>
          <w:bCs/>
        </w:rPr>
        <w:t>9</w:t>
      </w:r>
      <w:r w:rsidR="009601CE" w:rsidRPr="00B94DC1">
        <w:rPr>
          <w:rFonts w:ascii="Arial" w:hAnsi="Arial" w:cs="Arial"/>
          <w:bCs/>
        </w:rPr>
        <w:t xml:space="preserve"> năm 20</w:t>
      </w:r>
      <w:r w:rsidR="005D645E" w:rsidRPr="00B94DC1">
        <w:rPr>
          <w:rFonts w:ascii="Arial" w:hAnsi="Arial" w:cs="Arial"/>
          <w:bCs/>
        </w:rPr>
        <w:t>20</w:t>
      </w:r>
      <w:r w:rsidR="008477D9" w:rsidRPr="00B94DC1">
        <w:rPr>
          <w:rFonts w:ascii="Arial" w:hAnsi="Arial" w:cs="Arial"/>
          <w:bCs/>
        </w:rPr>
        <w:t xml:space="preserve">, giá trị tài sản ròng của Quỹ là </w:t>
      </w:r>
      <w:r w:rsidR="00A23685" w:rsidRPr="00B94DC1">
        <w:rPr>
          <w:rFonts w:ascii="Arial" w:hAnsi="Arial" w:cs="Arial"/>
          <w:lang w:val="en-US"/>
        </w:rPr>
        <w:t>421,754,040,290</w:t>
      </w:r>
      <w:r w:rsidR="00585FEF" w:rsidRPr="00B94DC1">
        <w:rPr>
          <w:rFonts w:ascii="Arial" w:hAnsi="Arial" w:cs="Arial"/>
          <w:lang w:val="en-US"/>
        </w:rPr>
        <w:t xml:space="preserve"> </w:t>
      </w:r>
      <w:r w:rsidR="008477D9" w:rsidRPr="00B94DC1">
        <w:rPr>
          <w:rFonts w:ascii="Arial" w:hAnsi="Arial" w:cs="Arial"/>
          <w:bCs/>
        </w:rPr>
        <w:t>Đồng Việt Nam, tương ứng với</w:t>
      </w:r>
      <w:r w:rsidR="00590C89" w:rsidRPr="00B94DC1">
        <w:rPr>
          <w:rFonts w:ascii="Arial" w:hAnsi="Arial" w:cs="Arial"/>
          <w:bCs/>
        </w:rPr>
        <w:t xml:space="preserve"> </w:t>
      </w:r>
      <w:r w:rsidR="00A23685" w:rsidRPr="00B94DC1">
        <w:rPr>
          <w:rFonts w:ascii="Arial" w:hAnsi="Arial" w:cs="Arial"/>
          <w:lang w:val="en-US"/>
        </w:rPr>
        <w:t xml:space="preserve">10,311,701.04 </w:t>
      </w:r>
      <w:r w:rsidR="008477D9" w:rsidRPr="00B94DC1">
        <w:rPr>
          <w:rFonts w:ascii="Arial" w:hAnsi="Arial" w:cs="Arial"/>
          <w:bCs/>
        </w:rPr>
        <w:t xml:space="preserve">Chứng chỉ Quỹ. </w:t>
      </w:r>
    </w:p>
    <w:p w14:paraId="7698E462" w14:textId="77777777" w:rsidR="008477D9" w:rsidRPr="00B94DC1" w:rsidRDefault="008477D9" w:rsidP="008477D9">
      <w:pPr>
        <w:widowControl w:val="0"/>
        <w:tabs>
          <w:tab w:val="left" w:pos="720"/>
        </w:tabs>
        <w:ind w:left="720" w:right="33" w:hanging="711"/>
        <w:outlineLvl w:val="0"/>
        <w:rPr>
          <w:rFonts w:ascii="Arial" w:hAnsi="Arial" w:cs="Arial"/>
          <w:b/>
          <w:lang w:val="nl-NL"/>
        </w:rPr>
      </w:pPr>
    </w:p>
    <w:p w14:paraId="627E6B9A" w14:textId="77777777" w:rsidR="008477D9" w:rsidRPr="00B94DC1" w:rsidRDefault="008477D9" w:rsidP="008477D9">
      <w:pPr>
        <w:widowControl w:val="0"/>
        <w:tabs>
          <w:tab w:val="left" w:pos="720"/>
        </w:tabs>
        <w:ind w:left="720" w:right="33" w:hanging="711"/>
        <w:outlineLvl w:val="0"/>
        <w:rPr>
          <w:rFonts w:ascii="Arial" w:hAnsi="Arial" w:cs="Arial"/>
          <w:b/>
          <w:lang w:val="nl-NL"/>
        </w:rPr>
      </w:pPr>
      <w:r w:rsidRPr="00B94DC1">
        <w:rPr>
          <w:rFonts w:ascii="Arial" w:hAnsi="Arial" w:cs="Arial"/>
          <w:b/>
          <w:lang w:val="nl-NL"/>
        </w:rPr>
        <w:t>1.8</w:t>
      </w:r>
      <w:r w:rsidRPr="00B94DC1">
        <w:rPr>
          <w:rFonts w:ascii="Arial" w:hAnsi="Arial" w:cs="Arial"/>
          <w:b/>
          <w:lang w:val="nl-NL"/>
        </w:rPr>
        <w:tab/>
        <w:t>Chỉ số tham chiếu của Quỹ</w:t>
      </w:r>
    </w:p>
    <w:p w14:paraId="26F2D148" w14:textId="77777777" w:rsidR="008477D9" w:rsidRPr="00B94DC1" w:rsidRDefault="008477D9" w:rsidP="008477D9">
      <w:pPr>
        <w:widowControl w:val="0"/>
        <w:tabs>
          <w:tab w:val="left" w:pos="720"/>
        </w:tabs>
        <w:ind w:left="720" w:right="33" w:hanging="711"/>
        <w:outlineLvl w:val="0"/>
        <w:rPr>
          <w:rFonts w:ascii="Arial" w:hAnsi="Arial" w:cs="Arial"/>
          <w:b/>
          <w:lang w:val="nl-NL"/>
        </w:rPr>
      </w:pPr>
    </w:p>
    <w:p w14:paraId="4C5384EE" w14:textId="77777777" w:rsidR="008477D9" w:rsidRPr="00B94DC1" w:rsidRDefault="008477D9" w:rsidP="008477D9">
      <w:pPr>
        <w:widowControl w:val="0"/>
        <w:tabs>
          <w:tab w:val="left" w:pos="720"/>
        </w:tabs>
        <w:ind w:left="720" w:right="33" w:hanging="711"/>
        <w:outlineLvl w:val="0"/>
        <w:rPr>
          <w:rFonts w:ascii="Arial" w:hAnsi="Arial" w:cs="Arial"/>
          <w:lang w:val="nl-NL"/>
        </w:rPr>
      </w:pPr>
      <w:r w:rsidRPr="00B94DC1">
        <w:rPr>
          <w:rFonts w:ascii="Arial" w:hAnsi="Arial" w:cs="Arial"/>
          <w:b/>
          <w:lang w:val="nl-NL"/>
        </w:rPr>
        <w:tab/>
      </w:r>
      <w:r w:rsidRPr="00B94DC1">
        <w:rPr>
          <w:rFonts w:ascii="Arial" w:hAnsi="Arial" w:cs="Arial"/>
          <w:lang w:val="nl-NL"/>
        </w:rPr>
        <w:t xml:space="preserve">Quỹ không có chỉ số tham chiếu. </w:t>
      </w:r>
    </w:p>
    <w:p w14:paraId="3B1F8D21" w14:textId="77777777" w:rsidR="008477D9" w:rsidRPr="00B94DC1" w:rsidRDefault="008477D9" w:rsidP="008477D9">
      <w:pPr>
        <w:overflowPunct/>
        <w:autoSpaceDE/>
        <w:autoSpaceDN/>
        <w:adjustRightInd/>
        <w:jc w:val="left"/>
        <w:textAlignment w:val="auto"/>
        <w:rPr>
          <w:rFonts w:ascii="Arial" w:hAnsi="Arial" w:cs="Arial"/>
          <w:lang w:val="nl-NL"/>
        </w:rPr>
      </w:pPr>
      <w:r w:rsidRPr="00B94DC1">
        <w:rPr>
          <w:rFonts w:ascii="Arial" w:hAnsi="Arial" w:cs="Arial"/>
          <w:lang w:val="nl-NL"/>
        </w:rPr>
        <w:br w:type="page"/>
      </w:r>
    </w:p>
    <w:p w14:paraId="44760FB1" w14:textId="77777777" w:rsidR="008477D9" w:rsidRPr="00B94DC1" w:rsidRDefault="008477D9" w:rsidP="008477D9">
      <w:pPr>
        <w:shd w:val="clear" w:color="auto" w:fill="FFFFFF"/>
        <w:tabs>
          <w:tab w:val="left" w:pos="709"/>
        </w:tabs>
        <w:spacing w:before="120"/>
        <w:rPr>
          <w:rFonts w:ascii="Arial" w:hAnsi="Arial" w:cs="Arial"/>
          <w:b/>
          <w:lang w:val="nl-NL"/>
        </w:rPr>
      </w:pPr>
      <w:r w:rsidRPr="00B94DC1">
        <w:rPr>
          <w:rFonts w:ascii="Arial" w:hAnsi="Arial" w:cs="Arial"/>
          <w:b/>
          <w:lang w:val="nl-NL"/>
        </w:rPr>
        <w:lastRenderedPageBreak/>
        <w:t>1.10</w:t>
      </w:r>
      <w:r w:rsidRPr="00B94DC1">
        <w:rPr>
          <w:rFonts w:ascii="Arial" w:hAnsi="Arial" w:cs="Arial"/>
          <w:b/>
          <w:lang w:val="nl-NL"/>
        </w:rPr>
        <w:tab/>
        <w:t>Chính sách phân phối lợi nhuận của Quỹ</w:t>
      </w:r>
    </w:p>
    <w:p w14:paraId="0044D7F0" w14:textId="77777777" w:rsidR="008477D9" w:rsidRPr="00B94DC1" w:rsidRDefault="008477D9" w:rsidP="008477D9">
      <w:pPr>
        <w:shd w:val="clear" w:color="auto" w:fill="FFFFFF"/>
        <w:tabs>
          <w:tab w:val="left" w:pos="709"/>
        </w:tabs>
        <w:spacing w:before="120"/>
        <w:ind w:left="709"/>
        <w:rPr>
          <w:rFonts w:ascii="Arial" w:hAnsi="Arial" w:cs="Arial"/>
          <w:lang w:val="nl-NL"/>
        </w:rPr>
      </w:pPr>
      <w:r w:rsidRPr="00B94DC1">
        <w:rPr>
          <w:rFonts w:ascii="Arial" w:hAnsi="Arial" w:cs="Arial"/>
          <w:b/>
          <w:lang w:val="nl-NL"/>
        </w:rPr>
        <w:tab/>
      </w:r>
      <w:r w:rsidRPr="00B94DC1">
        <w:rPr>
          <w:rFonts w:ascii="Arial" w:hAnsi="Arial" w:cs="Arial"/>
          <w:lang w:val="nl-NL"/>
        </w:rPr>
        <w:t>Quỹ phân phối lợi nhuận cho nhà đầu tư dựa trên Nghị quyết của Đại hội Nhà đầu tư, phù hợp với Điều lệ của Quỹ và quy định của pháp luật chứng khoán hiện hành.</w:t>
      </w:r>
    </w:p>
    <w:p w14:paraId="6C1CD579" w14:textId="77777777" w:rsidR="008477D9" w:rsidRPr="00B94DC1" w:rsidRDefault="008477D9" w:rsidP="008477D9">
      <w:pPr>
        <w:shd w:val="clear" w:color="auto" w:fill="FFFFFF"/>
        <w:tabs>
          <w:tab w:val="left" w:pos="709"/>
        </w:tabs>
        <w:spacing w:before="120"/>
        <w:ind w:left="709" w:hanging="709"/>
        <w:rPr>
          <w:rFonts w:ascii="Arial" w:hAnsi="Arial" w:cs="Arial"/>
          <w:b/>
          <w:lang w:val="nl-NL"/>
        </w:rPr>
      </w:pPr>
      <w:r w:rsidRPr="00B94DC1">
        <w:rPr>
          <w:rFonts w:ascii="Arial" w:hAnsi="Arial" w:cs="Arial"/>
          <w:b/>
          <w:lang w:val="nl-NL"/>
        </w:rPr>
        <w:t>1.11</w:t>
      </w:r>
      <w:r w:rsidRPr="00B94DC1">
        <w:rPr>
          <w:rFonts w:ascii="Arial" w:hAnsi="Arial" w:cs="Arial"/>
          <w:b/>
          <w:lang w:val="nl-NL"/>
        </w:rPr>
        <w:tab/>
        <w:t xml:space="preserve">Lợi nhuận thuần thực tế phân phối trên một đơn vị Chứng chỉ quỹ Quỹ ở thời điểm báo cáo </w:t>
      </w:r>
    </w:p>
    <w:p w14:paraId="29366125" w14:textId="4D908EEA" w:rsidR="008477D9" w:rsidRPr="00B94DC1" w:rsidRDefault="008477D9" w:rsidP="008477D9">
      <w:pPr>
        <w:shd w:val="clear" w:color="auto" w:fill="FFFFFF"/>
        <w:tabs>
          <w:tab w:val="left" w:pos="709"/>
        </w:tabs>
        <w:spacing w:before="120"/>
        <w:ind w:left="709"/>
        <w:rPr>
          <w:rFonts w:ascii="Arial" w:hAnsi="Arial" w:cs="Arial"/>
          <w:lang w:val="nl-NL"/>
        </w:rPr>
      </w:pPr>
      <w:r w:rsidRPr="00B94DC1">
        <w:rPr>
          <w:rFonts w:ascii="Arial" w:hAnsi="Arial" w:cs="Arial"/>
          <w:b/>
          <w:lang w:val="nl-NL"/>
        </w:rPr>
        <w:tab/>
      </w:r>
      <w:r w:rsidRPr="00B94DC1">
        <w:rPr>
          <w:rFonts w:ascii="Arial" w:hAnsi="Arial" w:cs="Arial"/>
          <w:lang w:val="nl-NL"/>
        </w:rPr>
        <w:t>Quỹ không có phân phối lợi nhuận cho nhà đầu tư từ khi chuyển đổ</w:t>
      </w:r>
      <w:r w:rsidR="003C4141" w:rsidRPr="00B94DC1">
        <w:rPr>
          <w:rFonts w:ascii="Arial" w:hAnsi="Arial" w:cs="Arial"/>
          <w:lang w:val="nl-NL"/>
        </w:rPr>
        <w:t xml:space="preserve">i cho đến ngày </w:t>
      </w:r>
      <w:r w:rsidR="00590C89" w:rsidRPr="00B94DC1">
        <w:rPr>
          <w:rFonts w:ascii="Arial" w:hAnsi="Arial" w:cs="Arial"/>
          <w:lang w:val="nl-NL"/>
        </w:rPr>
        <w:t>3</w:t>
      </w:r>
      <w:r w:rsidR="00585FEF" w:rsidRPr="00B94DC1">
        <w:rPr>
          <w:rFonts w:ascii="Arial" w:hAnsi="Arial" w:cs="Arial"/>
          <w:lang w:val="nl-NL"/>
        </w:rPr>
        <w:t>0</w:t>
      </w:r>
      <w:r w:rsidR="00A55884" w:rsidRPr="00B94DC1">
        <w:rPr>
          <w:rFonts w:ascii="Arial" w:hAnsi="Arial" w:cs="Arial"/>
          <w:lang w:val="nl-NL"/>
        </w:rPr>
        <w:t xml:space="preserve"> tháng</w:t>
      </w:r>
      <w:r w:rsidR="00B75A75" w:rsidRPr="00B94DC1">
        <w:rPr>
          <w:rFonts w:ascii="Arial" w:hAnsi="Arial" w:cs="Arial"/>
          <w:lang w:val="nl-NL"/>
        </w:rPr>
        <w:t xml:space="preserve"> </w:t>
      </w:r>
      <w:r w:rsidR="00F21603" w:rsidRPr="00B94DC1">
        <w:rPr>
          <w:rFonts w:ascii="Arial" w:hAnsi="Arial" w:cs="Arial"/>
          <w:lang w:val="nl-NL"/>
        </w:rPr>
        <w:t>0</w:t>
      </w:r>
      <w:r w:rsidR="00D36DF9" w:rsidRPr="00B94DC1">
        <w:rPr>
          <w:rFonts w:ascii="Arial" w:hAnsi="Arial" w:cs="Arial"/>
          <w:lang w:val="nl-NL"/>
        </w:rPr>
        <w:t>9</w:t>
      </w:r>
      <w:r w:rsidRPr="00B94DC1">
        <w:rPr>
          <w:rFonts w:ascii="Arial" w:hAnsi="Arial" w:cs="Arial"/>
          <w:lang w:val="nl-NL"/>
        </w:rPr>
        <w:t xml:space="preserve"> năm 20</w:t>
      </w:r>
      <w:r w:rsidR="00F21603" w:rsidRPr="00B94DC1">
        <w:rPr>
          <w:rFonts w:ascii="Arial" w:hAnsi="Arial" w:cs="Arial"/>
          <w:lang w:val="nl-NL"/>
        </w:rPr>
        <w:t>20</w:t>
      </w:r>
      <w:r w:rsidRPr="00B94DC1">
        <w:rPr>
          <w:rFonts w:ascii="Arial" w:hAnsi="Arial" w:cs="Arial"/>
          <w:lang w:val="nl-NL"/>
        </w:rPr>
        <w:t>.</w:t>
      </w:r>
    </w:p>
    <w:p w14:paraId="263996BE" w14:textId="77777777" w:rsidR="00E42142" w:rsidRPr="00B94DC1" w:rsidRDefault="00E42142" w:rsidP="008477D9">
      <w:pPr>
        <w:shd w:val="clear" w:color="auto" w:fill="FFFFFF"/>
        <w:tabs>
          <w:tab w:val="left" w:pos="720"/>
        </w:tabs>
        <w:spacing w:before="120"/>
        <w:rPr>
          <w:rFonts w:ascii="Arial" w:hAnsi="Arial" w:cs="Arial"/>
          <w:b/>
          <w:lang w:val="nl-NL"/>
        </w:rPr>
      </w:pPr>
    </w:p>
    <w:p w14:paraId="0A58C9BF" w14:textId="77777777" w:rsidR="008477D9" w:rsidRPr="00B94DC1" w:rsidRDefault="008477D9" w:rsidP="00E42142">
      <w:pPr>
        <w:pStyle w:val="ListParagraph"/>
        <w:numPr>
          <w:ilvl w:val="0"/>
          <w:numId w:val="1"/>
        </w:numPr>
        <w:shd w:val="clear" w:color="auto" w:fill="FFFFFF"/>
        <w:tabs>
          <w:tab w:val="left" w:pos="720"/>
        </w:tabs>
        <w:spacing w:before="120"/>
        <w:rPr>
          <w:rFonts w:ascii="Arial" w:hAnsi="Arial" w:cs="Arial"/>
          <w:b/>
          <w:sz w:val="20"/>
          <w:szCs w:val="20"/>
          <w:lang w:val="nl-NL"/>
        </w:rPr>
      </w:pPr>
      <w:r w:rsidRPr="00B94DC1">
        <w:rPr>
          <w:rFonts w:ascii="Arial" w:hAnsi="Arial" w:cs="Arial"/>
          <w:b/>
          <w:sz w:val="20"/>
          <w:szCs w:val="20"/>
          <w:lang w:val="nl-NL"/>
        </w:rPr>
        <w:t>SỐ LIỆU HOẠT ĐỘNG</w:t>
      </w:r>
    </w:p>
    <w:p w14:paraId="0B406C3F" w14:textId="77777777" w:rsidR="00E42142" w:rsidRPr="00B94DC1" w:rsidRDefault="00E42142" w:rsidP="00E42142">
      <w:pPr>
        <w:pStyle w:val="ListParagraph"/>
        <w:shd w:val="clear" w:color="auto" w:fill="FFFFFF"/>
        <w:tabs>
          <w:tab w:val="left" w:pos="720"/>
        </w:tabs>
        <w:spacing w:before="120"/>
        <w:ind w:left="369"/>
        <w:rPr>
          <w:rFonts w:ascii="Arial" w:hAnsi="Arial" w:cs="Arial"/>
          <w:b/>
          <w:sz w:val="20"/>
          <w:szCs w:val="20"/>
          <w:lang w:val="nl-NL"/>
        </w:rPr>
      </w:pPr>
    </w:p>
    <w:p w14:paraId="418567C8" w14:textId="488B789F" w:rsidR="008477D9" w:rsidRPr="00B94DC1" w:rsidRDefault="008477D9" w:rsidP="008477D9">
      <w:pPr>
        <w:shd w:val="clear" w:color="auto" w:fill="FFFFFF"/>
        <w:tabs>
          <w:tab w:val="left" w:pos="709"/>
        </w:tabs>
        <w:spacing w:before="120"/>
        <w:rPr>
          <w:rFonts w:ascii="Arial" w:hAnsi="Arial" w:cs="Arial"/>
          <w:b/>
          <w:lang w:val="nl-NL"/>
        </w:rPr>
      </w:pPr>
      <w:r w:rsidRPr="00B94DC1">
        <w:rPr>
          <w:rFonts w:ascii="Arial" w:hAnsi="Arial" w:cs="Arial"/>
          <w:b/>
          <w:lang w:val="nl-NL"/>
        </w:rPr>
        <w:t xml:space="preserve">2.1. </w:t>
      </w:r>
      <w:r w:rsidRPr="00B94DC1">
        <w:rPr>
          <w:rFonts w:ascii="Arial" w:hAnsi="Arial" w:cs="Arial"/>
          <w:b/>
          <w:lang w:val="nl-NL"/>
        </w:rPr>
        <w:tab/>
        <w:t>Cơ cấu tài sản của Quỹ</w:t>
      </w:r>
    </w:p>
    <w:p w14:paraId="299F3FFC" w14:textId="5D666051" w:rsidR="00590C89" w:rsidRPr="00B94DC1" w:rsidRDefault="00590C89" w:rsidP="008477D9">
      <w:pPr>
        <w:shd w:val="clear" w:color="auto" w:fill="FFFFFF"/>
        <w:tabs>
          <w:tab w:val="left" w:pos="709"/>
        </w:tabs>
        <w:spacing w:before="120"/>
        <w:rPr>
          <w:rFonts w:ascii="Arial" w:hAnsi="Arial" w:cs="Arial"/>
          <w:b/>
          <w:lang w:val="nl-NL"/>
        </w:rPr>
      </w:pPr>
    </w:p>
    <w:tbl>
      <w:tblPr>
        <w:tblW w:w="10340" w:type="dxa"/>
        <w:tblLook w:val="04A0" w:firstRow="1" w:lastRow="0" w:firstColumn="1" w:lastColumn="0" w:noHBand="0" w:noVBand="1"/>
      </w:tblPr>
      <w:tblGrid>
        <w:gridCol w:w="2500"/>
        <w:gridCol w:w="2840"/>
        <w:gridCol w:w="2500"/>
        <w:gridCol w:w="2500"/>
      </w:tblGrid>
      <w:tr w:rsidR="00B94DC1" w:rsidRPr="00B94DC1" w14:paraId="75B11313" w14:textId="77777777" w:rsidTr="00590C89">
        <w:trPr>
          <w:trHeight w:val="270"/>
        </w:trPr>
        <w:tc>
          <w:tcPr>
            <w:tcW w:w="2500" w:type="dxa"/>
            <w:tcBorders>
              <w:top w:val="nil"/>
              <w:left w:val="nil"/>
              <w:bottom w:val="nil"/>
              <w:right w:val="nil"/>
            </w:tcBorders>
            <w:shd w:val="clear" w:color="auto" w:fill="auto"/>
            <w:vAlign w:val="center"/>
            <w:hideMark/>
          </w:tcPr>
          <w:p w14:paraId="169821EC" w14:textId="77777777" w:rsidR="0061407E" w:rsidRPr="00B94DC1" w:rsidRDefault="0061407E" w:rsidP="0061407E">
            <w:pPr>
              <w:overflowPunct/>
              <w:autoSpaceDE/>
              <w:autoSpaceDN/>
              <w:adjustRightInd/>
              <w:jc w:val="center"/>
              <w:textAlignment w:val="auto"/>
              <w:rPr>
                <w:rFonts w:ascii="Arial" w:hAnsi="Arial" w:cs="Arial"/>
                <w:b/>
                <w:bCs/>
                <w:lang w:val="en-US"/>
              </w:rPr>
            </w:pPr>
            <w:r w:rsidRPr="00B94DC1">
              <w:rPr>
                <w:rFonts w:ascii="Arial" w:hAnsi="Arial" w:cs="Arial"/>
                <w:b/>
                <w:bCs/>
                <w:lang w:val="en-US"/>
              </w:rPr>
              <w:t>Cơ cấu tài sản quỹ</w:t>
            </w:r>
          </w:p>
        </w:tc>
        <w:tc>
          <w:tcPr>
            <w:tcW w:w="2840" w:type="dxa"/>
            <w:tcBorders>
              <w:left w:val="nil"/>
            </w:tcBorders>
            <w:shd w:val="clear" w:color="auto" w:fill="auto"/>
            <w:vAlign w:val="center"/>
            <w:hideMark/>
          </w:tcPr>
          <w:p w14:paraId="655A1447" w14:textId="0AF2CD3F" w:rsidR="0061407E" w:rsidRPr="00B94DC1" w:rsidRDefault="0061407E" w:rsidP="0061407E">
            <w:pPr>
              <w:overflowPunct/>
              <w:autoSpaceDE/>
              <w:autoSpaceDN/>
              <w:adjustRightInd/>
              <w:jc w:val="center"/>
              <w:textAlignment w:val="auto"/>
              <w:rPr>
                <w:rFonts w:ascii="Arial" w:hAnsi="Arial" w:cs="Arial"/>
                <w:b/>
                <w:bCs/>
                <w:lang w:val="en-US"/>
              </w:rPr>
            </w:pPr>
            <w:r w:rsidRPr="00B94DC1">
              <w:rPr>
                <w:rFonts w:ascii="Arial" w:hAnsi="Arial" w:cs="Arial"/>
              </w:rPr>
              <w:t>30/09/2020</w:t>
            </w:r>
          </w:p>
        </w:tc>
        <w:tc>
          <w:tcPr>
            <w:tcW w:w="2500" w:type="dxa"/>
            <w:shd w:val="clear" w:color="auto" w:fill="auto"/>
            <w:vAlign w:val="center"/>
            <w:hideMark/>
          </w:tcPr>
          <w:p w14:paraId="4BC8D4D0" w14:textId="06D05D9A" w:rsidR="0061407E" w:rsidRPr="00B94DC1" w:rsidRDefault="0061407E" w:rsidP="0061407E">
            <w:pPr>
              <w:overflowPunct/>
              <w:autoSpaceDE/>
              <w:autoSpaceDN/>
              <w:adjustRightInd/>
              <w:jc w:val="center"/>
              <w:textAlignment w:val="auto"/>
              <w:rPr>
                <w:rFonts w:ascii="Arial" w:hAnsi="Arial" w:cs="Arial"/>
                <w:b/>
                <w:bCs/>
                <w:lang w:val="en-US"/>
              </w:rPr>
            </w:pPr>
            <w:r w:rsidRPr="00B94DC1">
              <w:rPr>
                <w:rFonts w:ascii="Arial" w:hAnsi="Arial" w:cs="Arial"/>
              </w:rPr>
              <w:t>30/09/2019</w:t>
            </w:r>
          </w:p>
        </w:tc>
        <w:tc>
          <w:tcPr>
            <w:tcW w:w="2500" w:type="dxa"/>
            <w:shd w:val="clear" w:color="auto" w:fill="auto"/>
            <w:vAlign w:val="center"/>
            <w:hideMark/>
          </w:tcPr>
          <w:p w14:paraId="7299146A" w14:textId="57419868" w:rsidR="0061407E" w:rsidRPr="00B94DC1" w:rsidRDefault="0061407E" w:rsidP="0061407E">
            <w:pPr>
              <w:overflowPunct/>
              <w:autoSpaceDE/>
              <w:autoSpaceDN/>
              <w:adjustRightInd/>
              <w:jc w:val="center"/>
              <w:textAlignment w:val="auto"/>
              <w:rPr>
                <w:rFonts w:ascii="Arial" w:hAnsi="Arial" w:cs="Arial"/>
                <w:b/>
                <w:bCs/>
                <w:lang w:val="en-US"/>
              </w:rPr>
            </w:pPr>
            <w:r w:rsidRPr="00B94DC1">
              <w:rPr>
                <w:rFonts w:ascii="Arial" w:hAnsi="Arial" w:cs="Arial"/>
              </w:rPr>
              <w:t>30/09/2018</w:t>
            </w:r>
          </w:p>
        </w:tc>
      </w:tr>
      <w:tr w:rsidR="00B94DC1" w:rsidRPr="00B94DC1" w14:paraId="4FE0DD96" w14:textId="77777777" w:rsidTr="00590C89">
        <w:trPr>
          <w:trHeight w:val="255"/>
        </w:trPr>
        <w:tc>
          <w:tcPr>
            <w:tcW w:w="2500" w:type="dxa"/>
            <w:tcBorders>
              <w:top w:val="nil"/>
              <w:left w:val="nil"/>
              <w:bottom w:val="nil"/>
              <w:right w:val="nil"/>
            </w:tcBorders>
            <w:shd w:val="clear" w:color="auto" w:fill="auto"/>
            <w:vAlign w:val="center"/>
            <w:hideMark/>
          </w:tcPr>
          <w:p w14:paraId="02BCAE4E" w14:textId="77777777" w:rsidR="0061407E" w:rsidRPr="00B94DC1" w:rsidRDefault="0061407E" w:rsidP="0061407E">
            <w:pPr>
              <w:overflowPunct/>
              <w:autoSpaceDE/>
              <w:autoSpaceDN/>
              <w:adjustRightInd/>
              <w:textAlignment w:val="auto"/>
              <w:rPr>
                <w:rFonts w:ascii="Arial" w:hAnsi="Arial" w:cs="Arial"/>
                <w:lang w:val="en-US"/>
              </w:rPr>
            </w:pPr>
          </w:p>
          <w:p w14:paraId="4461FA03" w14:textId="04C1328B" w:rsidR="0061407E" w:rsidRPr="00B94DC1" w:rsidRDefault="0061407E" w:rsidP="0061407E">
            <w:pPr>
              <w:overflowPunct/>
              <w:autoSpaceDE/>
              <w:autoSpaceDN/>
              <w:adjustRightInd/>
              <w:textAlignment w:val="auto"/>
              <w:rPr>
                <w:rFonts w:ascii="Arial" w:hAnsi="Arial" w:cs="Arial"/>
                <w:lang w:val="en-US"/>
              </w:rPr>
            </w:pPr>
            <w:r w:rsidRPr="00B94DC1">
              <w:rPr>
                <w:rFonts w:ascii="Arial" w:hAnsi="Arial" w:cs="Arial"/>
                <w:lang w:val="en-US"/>
              </w:rPr>
              <w:t xml:space="preserve">Danh mục chứng khoán </w:t>
            </w:r>
          </w:p>
        </w:tc>
        <w:tc>
          <w:tcPr>
            <w:tcW w:w="2840" w:type="dxa"/>
            <w:tcBorders>
              <w:left w:val="nil"/>
              <w:bottom w:val="nil"/>
              <w:right w:val="nil"/>
            </w:tcBorders>
            <w:shd w:val="clear" w:color="auto" w:fill="auto"/>
            <w:vAlign w:val="center"/>
            <w:hideMark/>
          </w:tcPr>
          <w:p w14:paraId="7DC1279E" w14:textId="05ED58F5" w:rsidR="0061407E" w:rsidRPr="00B94DC1" w:rsidRDefault="0061407E" w:rsidP="0061407E">
            <w:pPr>
              <w:overflowPunct/>
              <w:autoSpaceDE/>
              <w:autoSpaceDN/>
              <w:adjustRightInd/>
              <w:jc w:val="center"/>
              <w:textAlignment w:val="auto"/>
              <w:rPr>
                <w:rFonts w:ascii="Arial" w:hAnsi="Arial" w:cs="Arial"/>
                <w:lang w:val="en-US"/>
              </w:rPr>
            </w:pPr>
            <w:r w:rsidRPr="00B94DC1">
              <w:rPr>
                <w:rFonts w:ascii="Arial" w:hAnsi="Arial" w:cs="Arial"/>
              </w:rPr>
              <w:t>87.18%</w:t>
            </w:r>
          </w:p>
        </w:tc>
        <w:tc>
          <w:tcPr>
            <w:tcW w:w="2500" w:type="dxa"/>
            <w:tcBorders>
              <w:left w:val="nil"/>
              <w:bottom w:val="nil"/>
              <w:right w:val="nil"/>
            </w:tcBorders>
            <w:shd w:val="clear" w:color="auto" w:fill="auto"/>
            <w:vAlign w:val="center"/>
            <w:hideMark/>
          </w:tcPr>
          <w:p w14:paraId="7619D321" w14:textId="5985CCD9" w:rsidR="0061407E" w:rsidRPr="00B94DC1" w:rsidRDefault="0061407E" w:rsidP="0061407E">
            <w:pPr>
              <w:overflowPunct/>
              <w:autoSpaceDE/>
              <w:autoSpaceDN/>
              <w:adjustRightInd/>
              <w:jc w:val="center"/>
              <w:textAlignment w:val="auto"/>
              <w:rPr>
                <w:rFonts w:ascii="Arial" w:hAnsi="Arial" w:cs="Arial"/>
                <w:lang w:val="en-US"/>
              </w:rPr>
            </w:pPr>
            <w:r w:rsidRPr="00B94DC1">
              <w:rPr>
                <w:rFonts w:ascii="Arial" w:hAnsi="Arial" w:cs="Arial"/>
              </w:rPr>
              <w:t>95.03%</w:t>
            </w:r>
          </w:p>
        </w:tc>
        <w:tc>
          <w:tcPr>
            <w:tcW w:w="2500" w:type="dxa"/>
            <w:tcBorders>
              <w:left w:val="nil"/>
              <w:bottom w:val="nil"/>
              <w:right w:val="nil"/>
            </w:tcBorders>
            <w:shd w:val="clear" w:color="auto" w:fill="auto"/>
            <w:vAlign w:val="center"/>
            <w:hideMark/>
          </w:tcPr>
          <w:p w14:paraId="57C58735" w14:textId="7E4452E0" w:rsidR="0061407E" w:rsidRPr="00B94DC1" w:rsidRDefault="0061407E" w:rsidP="0061407E">
            <w:pPr>
              <w:overflowPunct/>
              <w:autoSpaceDE/>
              <w:autoSpaceDN/>
              <w:adjustRightInd/>
              <w:jc w:val="center"/>
              <w:textAlignment w:val="auto"/>
              <w:rPr>
                <w:rFonts w:ascii="Arial" w:hAnsi="Arial" w:cs="Arial"/>
                <w:lang w:val="en-US"/>
              </w:rPr>
            </w:pPr>
            <w:r w:rsidRPr="00B94DC1">
              <w:rPr>
                <w:rFonts w:ascii="Arial" w:hAnsi="Arial" w:cs="Arial"/>
              </w:rPr>
              <w:t>79.15%</w:t>
            </w:r>
          </w:p>
        </w:tc>
      </w:tr>
      <w:tr w:rsidR="00B94DC1" w:rsidRPr="00B94DC1" w14:paraId="53B5B814" w14:textId="77777777" w:rsidTr="00590C89">
        <w:trPr>
          <w:trHeight w:val="255"/>
        </w:trPr>
        <w:tc>
          <w:tcPr>
            <w:tcW w:w="2500" w:type="dxa"/>
            <w:tcBorders>
              <w:top w:val="nil"/>
              <w:left w:val="nil"/>
              <w:bottom w:val="nil"/>
              <w:right w:val="nil"/>
            </w:tcBorders>
            <w:shd w:val="clear" w:color="auto" w:fill="auto"/>
            <w:vAlign w:val="center"/>
            <w:hideMark/>
          </w:tcPr>
          <w:p w14:paraId="00A19B76" w14:textId="77777777" w:rsidR="0061407E" w:rsidRPr="00B94DC1" w:rsidRDefault="0061407E" w:rsidP="0061407E">
            <w:pPr>
              <w:overflowPunct/>
              <w:autoSpaceDE/>
              <w:autoSpaceDN/>
              <w:adjustRightInd/>
              <w:textAlignment w:val="auto"/>
              <w:rPr>
                <w:rFonts w:ascii="Arial" w:hAnsi="Arial" w:cs="Arial"/>
                <w:lang w:val="en-US"/>
              </w:rPr>
            </w:pPr>
            <w:r w:rsidRPr="00B94DC1">
              <w:rPr>
                <w:rFonts w:ascii="Arial" w:hAnsi="Arial" w:cs="Arial"/>
                <w:lang w:val="en-US"/>
              </w:rPr>
              <w:t>Tài sản khác</w:t>
            </w:r>
          </w:p>
        </w:tc>
        <w:tc>
          <w:tcPr>
            <w:tcW w:w="2840" w:type="dxa"/>
            <w:tcBorders>
              <w:top w:val="nil"/>
              <w:left w:val="nil"/>
              <w:bottom w:val="nil"/>
              <w:right w:val="nil"/>
            </w:tcBorders>
            <w:shd w:val="clear" w:color="auto" w:fill="auto"/>
            <w:vAlign w:val="center"/>
            <w:hideMark/>
          </w:tcPr>
          <w:p w14:paraId="52D5BAC8" w14:textId="24C82547" w:rsidR="0061407E" w:rsidRPr="00B94DC1" w:rsidRDefault="0061407E" w:rsidP="0061407E">
            <w:pPr>
              <w:overflowPunct/>
              <w:autoSpaceDE/>
              <w:autoSpaceDN/>
              <w:adjustRightInd/>
              <w:jc w:val="center"/>
              <w:textAlignment w:val="auto"/>
              <w:rPr>
                <w:rFonts w:ascii="Arial" w:hAnsi="Arial" w:cs="Arial"/>
                <w:lang w:val="en-US"/>
              </w:rPr>
            </w:pPr>
            <w:r w:rsidRPr="00B94DC1">
              <w:rPr>
                <w:rFonts w:ascii="Arial" w:hAnsi="Arial" w:cs="Arial"/>
              </w:rPr>
              <w:t>12.82%</w:t>
            </w:r>
          </w:p>
        </w:tc>
        <w:tc>
          <w:tcPr>
            <w:tcW w:w="2500" w:type="dxa"/>
            <w:tcBorders>
              <w:top w:val="nil"/>
              <w:left w:val="nil"/>
              <w:bottom w:val="nil"/>
              <w:right w:val="nil"/>
            </w:tcBorders>
            <w:shd w:val="clear" w:color="auto" w:fill="auto"/>
            <w:vAlign w:val="center"/>
            <w:hideMark/>
          </w:tcPr>
          <w:p w14:paraId="6C6B7E58" w14:textId="2961EBB2" w:rsidR="0061407E" w:rsidRPr="00B94DC1" w:rsidRDefault="0061407E" w:rsidP="0061407E">
            <w:pPr>
              <w:overflowPunct/>
              <w:autoSpaceDE/>
              <w:autoSpaceDN/>
              <w:adjustRightInd/>
              <w:jc w:val="center"/>
              <w:textAlignment w:val="auto"/>
              <w:rPr>
                <w:rFonts w:ascii="Arial" w:hAnsi="Arial" w:cs="Arial"/>
                <w:lang w:val="en-US"/>
              </w:rPr>
            </w:pPr>
            <w:r w:rsidRPr="00B94DC1">
              <w:rPr>
                <w:rFonts w:ascii="Arial" w:hAnsi="Arial" w:cs="Arial"/>
              </w:rPr>
              <w:t>4.97%</w:t>
            </w:r>
          </w:p>
        </w:tc>
        <w:tc>
          <w:tcPr>
            <w:tcW w:w="2500" w:type="dxa"/>
            <w:tcBorders>
              <w:top w:val="nil"/>
              <w:left w:val="nil"/>
              <w:bottom w:val="nil"/>
              <w:right w:val="nil"/>
            </w:tcBorders>
            <w:shd w:val="clear" w:color="auto" w:fill="auto"/>
            <w:vAlign w:val="center"/>
            <w:hideMark/>
          </w:tcPr>
          <w:p w14:paraId="72DAECA7" w14:textId="729844DA" w:rsidR="0061407E" w:rsidRPr="00B94DC1" w:rsidRDefault="0061407E" w:rsidP="0061407E">
            <w:pPr>
              <w:overflowPunct/>
              <w:autoSpaceDE/>
              <w:autoSpaceDN/>
              <w:adjustRightInd/>
              <w:jc w:val="center"/>
              <w:textAlignment w:val="auto"/>
              <w:rPr>
                <w:rFonts w:ascii="Arial" w:hAnsi="Arial" w:cs="Arial"/>
                <w:lang w:val="en-US"/>
              </w:rPr>
            </w:pPr>
            <w:r w:rsidRPr="00B94DC1">
              <w:rPr>
                <w:rFonts w:ascii="Arial" w:hAnsi="Arial" w:cs="Arial"/>
              </w:rPr>
              <w:t>20.85%</w:t>
            </w:r>
          </w:p>
        </w:tc>
      </w:tr>
      <w:tr w:rsidR="00B94DC1" w:rsidRPr="00B94DC1" w14:paraId="13FA09F3" w14:textId="77777777" w:rsidTr="00590C89">
        <w:trPr>
          <w:trHeight w:val="270"/>
        </w:trPr>
        <w:tc>
          <w:tcPr>
            <w:tcW w:w="2500" w:type="dxa"/>
            <w:tcBorders>
              <w:top w:val="nil"/>
              <w:left w:val="nil"/>
              <w:bottom w:val="nil"/>
              <w:right w:val="nil"/>
            </w:tcBorders>
            <w:shd w:val="clear" w:color="auto" w:fill="auto"/>
            <w:vAlign w:val="center"/>
            <w:hideMark/>
          </w:tcPr>
          <w:p w14:paraId="7D63C961" w14:textId="77777777" w:rsidR="00590C89" w:rsidRPr="00B94DC1" w:rsidRDefault="00590C89" w:rsidP="00590C89">
            <w:pPr>
              <w:overflowPunct/>
              <w:autoSpaceDE/>
              <w:autoSpaceDN/>
              <w:adjustRightInd/>
              <w:jc w:val="right"/>
              <w:textAlignment w:val="auto"/>
              <w:rPr>
                <w:rFonts w:ascii="Arial" w:hAnsi="Arial" w:cs="Arial"/>
                <w:lang w:val="en-US"/>
              </w:rPr>
            </w:pPr>
          </w:p>
        </w:tc>
        <w:tc>
          <w:tcPr>
            <w:tcW w:w="2840" w:type="dxa"/>
            <w:tcBorders>
              <w:top w:val="nil"/>
              <w:left w:val="nil"/>
              <w:bottom w:val="single" w:sz="8" w:space="0" w:color="auto"/>
              <w:right w:val="nil"/>
            </w:tcBorders>
            <w:shd w:val="clear" w:color="auto" w:fill="auto"/>
            <w:vAlign w:val="center"/>
            <w:hideMark/>
          </w:tcPr>
          <w:p w14:paraId="78318093" w14:textId="77777777" w:rsidR="00590C89" w:rsidRPr="00B94DC1" w:rsidRDefault="00590C89" w:rsidP="00590C89">
            <w:pPr>
              <w:overflowPunct/>
              <w:autoSpaceDE/>
              <w:autoSpaceDN/>
              <w:adjustRightInd/>
              <w:jc w:val="right"/>
              <w:textAlignment w:val="auto"/>
              <w:rPr>
                <w:rFonts w:ascii="Arial" w:hAnsi="Arial" w:cs="Arial"/>
                <w:lang w:val="en-US"/>
              </w:rPr>
            </w:pPr>
            <w:r w:rsidRPr="00B94DC1">
              <w:rPr>
                <w:rFonts w:ascii="Arial" w:hAnsi="Arial" w:cs="Arial"/>
                <w:lang w:val="en-US"/>
              </w:rPr>
              <w:t> </w:t>
            </w:r>
          </w:p>
        </w:tc>
        <w:tc>
          <w:tcPr>
            <w:tcW w:w="2500" w:type="dxa"/>
            <w:tcBorders>
              <w:top w:val="nil"/>
              <w:left w:val="nil"/>
              <w:bottom w:val="single" w:sz="8" w:space="0" w:color="auto"/>
              <w:right w:val="nil"/>
            </w:tcBorders>
            <w:shd w:val="clear" w:color="auto" w:fill="auto"/>
            <w:vAlign w:val="center"/>
            <w:hideMark/>
          </w:tcPr>
          <w:p w14:paraId="1E1E8ECD" w14:textId="77777777" w:rsidR="00590C89" w:rsidRPr="00B94DC1" w:rsidRDefault="00590C89" w:rsidP="00590C89">
            <w:pPr>
              <w:overflowPunct/>
              <w:autoSpaceDE/>
              <w:autoSpaceDN/>
              <w:adjustRightInd/>
              <w:jc w:val="right"/>
              <w:textAlignment w:val="auto"/>
              <w:rPr>
                <w:rFonts w:ascii="Arial" w:hAnsi="Arial" w:cs="Arial"/>
                <w:lang w:val="en-US"/>
              </w:rPr>
            </w:pPr>
            <w:r w:rsidRPr="00B94DC1">
              <w:rPr>
                <w:rFonts w:ascii="Arial" w:hAnsi="Arial" w:cs="Arial"/>
                <w:lang w:val="en-US"/>
              </w:rPr>
              <w:t> </w:t>
            </w:r>
          </w:p>
        </w:tc>
        <w:tc>
          <w:tcPr>
            <w:tcW w:w="2500" w:type="dxa"/>
            <w:tcBorders>
              <w:top w:val="nil"/>
              <w:left w:val="nil"/>
              <w:bottom w:val="single" w:sz="8" w:space="0" w:color="auto"/>
              <w:right w:val="nil"/>
            </w:tcBorders>
            <w:shd w:val="clear" w:color="auto" w:fill="auto"/>
            <w:vAlign w:val="center"/>
            <w:hideMark/>
          </w:tcPr>
          <w:p w14:paraId="15590AA5" w14:textId="77777777" w:rsidR="00590C89" w:rsidRPr="00B94DC1" w:rsidRDefault="00590C89" w:rsidP="00590C89">
            <w:pPr>
              <w:overflowPunct/>
              <w:autoSpaceDE/>
              <w:autoSpaceDN/>
              <w:adjustRightInd/>
              <w:jc w:val="right"/>
              <w:textAlignment w:val="auto"/>
              <w:rPr>
                <w:rFonts w:ascii="Arial" w:hAnsi="Arial" w:cs="Arial"/>
                <w:lang w:val="en-US"/>
              </w:rPr>
            </w:pPr>
            <w:r w:rsidRPr="00B94DC1">
              <w:rPr>
                <w:rFonts w:ascii="Arial" w:hAnsi="Arial" w:cs="Arial"/>
                <w:lang w:val="en-US"/>
              </w:rPr>
              <w:t> </w:t>
            </w:r>
          </w:p>
        </w:tc>
      </w:tr>
      <w:tr w:rsidR="00C700F7" w:rsidRPr="00B94DC1" w14:paraId="7FBFBAE4" w14:textId="77777777" w:rsidTr="00590C89">
        <w:trPr>
          <w:trHeight w:val="270"/>
        </w:trPr>
        <w:tc>
          <w:tcPr>
            <w:tcW w:w="2500" w:type="dxa"/>
            <w:tcBorders>
              <w:top w:val="nil"/>
              <w:left w:val="nil"/>
              <w:bottom w:val="nil"/>
              <w:right w:val="nil"/>
            </w:tcBorders>
            <w:shd w:val="clear" w:color="auto" w:fill="auto"/>
            <w:vAlign w:val="center"/>
            <w:hideMark/>
          </w:tcPr>
          <w:p w14:paraId="7A5C76FB" w14:textId="77777777" w:rsidR="00590C89" w:rsidRPr="00B94DC1" w:rsidRDefault="00590C89" w:rsidP="00590C89">
            <w:pPr>
              <w:overflowPunct/>
              <w:autoSpaceDE/>
              <w:autoSpaceDN/>
              <w:adjustRightInd/>
              <w:textAlignment w:val="auto"/>
              <w:rPr>
                <w:rFonts w:ascii="Arial" w:hAnsi="Arial" w:cs="Arial"/>
                <w:b/>
                <w:bCs/>
                <w:lang w:val="en-US"/>
              </w:rPr>
            </w:pPr>
            <w:r w:rsidRPr="00B94DC1">
              <w:rPr>
                <w:rFonts w:ascii="Arial" w:hAnsi="Arial" w:cs="Arial"/>
                <w:b/>
                <w:bCs/>
                <w:lang w:val="en-US"/>
              </w:rPr>
              <w:t>Cộng</w:t>
            </w:r>
          </w:p>
        </w:tc>
        <w:tc>
          <w:tcPr>
            <w:tcW w:w="2840" w:type="dxa"/>
            <w:tcBorders>
              <w:top w:val="nil"/>
              <w:left w:val="nil"/>
              <w:bottom w:val="double" w:sz="6" w:space="0" w:color="auto"/>
              <w:right w:val="nil"/>
            </w:tcBorders>
            <w:shd w:val="clear" w:color="auto" w:fill="auto"/>
            <w:vAlign w:val="center"/>
            <w:hideMark/>
          </w:tcPr>
          <w:p w14:paraId="484D74DE" w14:textId="77777777" w:rsidR="00590C89" w:rsidRPr="00B94DC1" w:rsidRDefault="00590C89" w:rsidP="00590C89">
            <w:pPr>
              <w:overflowPunct/>
              <w:autoSpaceDE/>
              <w:autoSpaceDN/>
              <w:adjustRightInd/>
              <w:jc w:val="center"/>
              <w:textAlignment w:val="auto"/>
              <w:rPr>
                <w:rFonts w:ascii="Arial" w:hAnsi="Arial" w:cs="Arial"/>
                <w:b/>
                <w:bCs/>
                <w:lang w:val="en-US"/>
              </w:rPr>
            </w:pPr>
            <w:r w:rsidRPr="00B94DC1">
              <w:rPr>
                <w:rFonts w:ascii="Arial" w:hAnsi="Arial" w:cs="Arial"/>
                <w:b/>
                <w:bCs/>
                <w:lang w:val="en-US"/>
              </w:rPr>
              <w:t>100.00%</w:t>
            </w:r>
          </w:p>
        </w:tc>
        <w:tc>
          <w:tcPr>
            <w:tcW w:w="2500" w:type="dxa"/>
            <w:tcBorders>
              <w:top w:val="nil"/>
              <w:left w:val="nil"/>
              <w:bottom w:val="double" w:sz="6" w:space="0" w:color="auto"/>
              <w:right w:val="nil"/>
            </w:tcBorders>
            <w:shd w:val="clear" w:color="auto" w:fill="auto"/>
            <w:vAlign w:val="center"/>
            <w:hideMark/>
          </w:tcPr>
          <w:p w14:paraId="5E8941E3" w14:textId="77777777" w:rsidR="00590C89" w:rsidRPr="00B94DC1" w:rsidRDefault="00590C89" w:rsidP="00590C89">
            <w:pPr>
              <w:overflowPunct/>
              <w:autoSpaceDE/>
              <w:autoSpaceDN/>
              <w:adjustRightInd/>
              <w:jc w:val="center"/>
              <w:textAlignment w:val="auto"/>
              <w:rPr>
                <w:rFonts w:ascii="Arial" w:hAnsi="Arial" w:cs="Arial"/>
                <w:b/>
                <w:bCs/>
                <w:lang w:val="en-US"/>
              </w:rPr>
            </w:pPr>
            <w:r w:rsidRPr="00B94DC1">
              <w:rPr>
                <w:rFonts w:ascii="Arial" w:hAnsi="Arial" w:cs="Arial"/>
                <w:b/>
                <w:bCs/>
                <w:lang w:val="en-US"/>
              </w:rPr>
              <w:t>100.00%</w:t>
            </w:r>
          </w:p>
        </w:tc>
        <w:tc>
          <w:tcPr>
            <w:tcW w:w="2500" w:type="dxa"/>
            <w:tcBorders>
              <w:top w:val="nil"/>
              <w:left w:val="nil"/>
              <w:bottom w:val="double" w:sz="6" w:space="0" w:color="auto"/>
              <w:right w:val="nil"/>
            </w:tcBorders>
            <w:shd w:val="clear" w:color="auto" w:fill="auto"/>
            <w:vAlign w:val="center"/>
            <w:hideMark/>
          </w:tcPr>
          <w:p w14:paraId="52B1881E" w14:textId="77777777" w:rsidR="00590C89" w:rsidRPr="00B94DC1" w:rsidRDefault="00590C89" w:rsidP="00590C89">
            <w:pPr>
              <w:overflowPunct/>
              <w:autoSpaceDE/>
              <w:autoSpaceDN/>
              <w:adjustRightInd/>
              <w:jc w:val="center"/>
              <w:textAlignment w:val="auto"/>
              <w:rPr>
                <w:rFonts w:ascii="Arial" w:hAnsi="Arial" w:cs="Arial"/>
                <w:b/>
                <w:bCs/>
                <w:lang w:val="en-US"/>
              </w:rPr>
            </w:pPr>
            <w:r w:rsidRPr="00B94DC1">
              <w:rPr>
                <w:rFonts w:ascii="Arial" w:hAnsi="Arial" w:cs="Arial"/>
                <w:b/>
                <w:bCs/>
                <w:lang w:val="en-US"/>
              </w:rPr>
              <w:t>100.00%</w:t>
            </w:r>
          </w:p>
        </w:tc>
      </w:tr>
    </w:tbl>
    <w:p w14:paraId="3B89DEFD" w14:textId="333C6867" w:rsidR="00590C89" w:rsidRPr="00B94DC1" w:rsidRDefault="00590C89" w:rsidP="008477D9">
      <w:pPr>
        <w:shd w:val="clear" w:color="auto" w:fill="FFFFFF"/>
        <w:tabs>
          <w:tab w:val="left" w:pos="709"/>
        </w:tabs>
        <w:spacing w:before="120"/>
        <w:rPr>
          <w:rFonts w:ascii="Arial" w:hAnsi="Arial" w:cs="Arial"/>
          <w:b/>
          <w:lang w:val="nl-NL"/>
        </w:rPr>
      </w:pPr>
    </w:p>
    <w:p w14:paraId="50BBF229" w14:textId="77777777" w:rsidR="008477D9" w:rsidRPr="00B94DC1" w:rsidRDefault="008477D9" w:rsidP="008477D9">
      <w:pPr>
        <w:shd w:val="clear" w:color="auto" w:fill="FFFFFF"/>
        <w:tabs>
          <w:tab w:val="left" w:pos="540"/>
        </w:tabs>
        <w:spacing w:before="120"/>
        <w:rPr>
          <w:rFonts w:ascii="Arial" w:hAnsi="Arial" w:cs="Arial"/>
          <w:b/>
          <w:lang w:val="nl-NL"/>
        </w:rPr>
      </w:pPr>
      <w:r w:rsidRPr="00B94DC1">
        <w:rPr>
          <w:rFonts w:ascii="Arial" w:hAnsi="Arial" w:cs="Arial"/>
          <w:b/>
          <w:lang w:val="nl-NL"/>
        </w:rPr>
        <w:t>2.2</w:t>
      </w:r>
      <w:r w:rsidRPr="00B94DC1">
        <w:rPr>
          <w:rFonts w:ascii="Arial" w:hAnsi="Arial" w:cs="Arial"/>
          <w:b/>
          <w:lang w:val="nl-NL"/>
        </w:rPr>
        <w:tab/>
        <w:t>Chi tiết chỉ tiêu hoạt động</w:t>
      </w:r>
    </w:p>
    <w:tbl>
      <w:tblPr>
        <w:tblW w:w="10000" w:type="dxa"/>
        <w:tblLook w:val="04A0" w:firstRow="1" w:lastRow="0" w:firstColumn="1" w:lastColumn="0" w:noHBand="0" w:noVBand="1"/>
      </w:tblPr>
      <w:tblGrid>
        <w:gridCol w:w="2500"/>
        <w:gridCol w:w="2500"/>
        <w:gridCol w:w="2500"/>
        <w:gridCol w:w="2500"/>
      </w:tblGrid>
      <w:tr w:rsidR="00B94DC1" w:rsidRPr="00B94DC1" w14:paraId="40B86628" w14:textId="77777777" w:rsidTr="005254BB">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45DE05" w14:textId="77777777" w:rsidR="00E0204F" w:rsidRPr="00B94DC1" w:rsidRDefault="00E0204F" w:rsidP="00E0204F">
            <w:pPr>
              <w:overflowPunct/>
              <w:autoSpaceDE/>
              <w:autoSpaceDN/>
              <w:adjustRightInd/>
              <w:jc w:val="center"/>
              <w:textAlignment w:val="auto"/>
              <w:rPr>
                <w:rFonts w:ascii="Arial" w:hAnsi="Arial" w:cs="Arial"/>
                <w:b/>
                <w:bCs/>
                <w:lang w:val="en-US"/>
              </w:rPr>
            </w:pPr>
            <w:r w:rsidRPr="00B94DC1">
              <w:rPr>
                <w:rFonts w:ascii="Arial" w:hAnsi="Arial" w:cs="Arial"/>
                <w:b/>
                <w:bCs/>
                <w:lang w:val="en-US"/>
              </w:rPr>
              <w:t>Chi tiêu</w:t>
            </w:r>
          </w:p>
        </w:tc>
        <w:tc>
          <w:tcPr>
            <w:tcW w:w="2500" w:type="dxa"/>
            <w:tcBorders>
              <w:top w:val="single" w:sz="8" w:space="0" w:color="auto"/>
              <w:left w:val="nil"/>
              <w:bottom w:val="single" w:sz="8" w:space="0" w:color="auto"/>
              <w:right w:val="single" w:sz="8" w:space="0" w:color="auto"/>
            </w:tcBorders>
            <w:shd w:val="clear" w:color="auto" w:fill="auto"/>
            <w:vAlign w:val="center"/>
            <w:hideMark/>
          </w:tcPr>
          <w:p w14:paraId="74633876" w14:textId="64C2FE3B" w:rsidR="00E0204F" w:rsidRPr="00B94DC1" w:rsidRDefault="00E0204F" w:rsidP="00E0204F">
            <w:pPr>
              <w:overflowPunct/>
              <w:autoSpaceDE/>
              <w:autoSpaceDN/>
              <w:adjustRightInd/>
              <w:jc w:val="center"/>
              <w:textAlignment w:val="auto"/>
              <w:rPr>
                <w:rFonts w:ascii="Arial" w:hAnsi="Arial" w:cs="Arial"/>
                <w:b/>
                <w:bCs/>
                <w:lang w:val="en-US"/>
              </w:rPr>
            </w:pPr>
            <w:r w:rsidRPr="00B94DC1">
              <w:rPr>
                <w:rFonts w:ascii="Arial" w:hAnsi="Arial" w:cs="Arial"/>
              </w:rPr>
              <w:t>30/09/2020</w:t>
            </w:r>
          </w:p>
        </w:tc>
        <w:tc>
          <w:tcPr>
            <w:tcW w:w="2500" w:type="dxa"/>
            <w:tcBorders>
              <w:top w:val="single" w:sz="8" w:space="0" w:color="auto"/>
              <w:left w:val="nil"/>
              <w:bottom w:val="single" w:sz="8" w:space="0" w:color="auto"/>
              <w:right w:val="single" w:sz="8" w:space="0" w:color="auto"/>
            </w:tcBorders>
            <w:shd w:val="clear" w:color="auto" w:fill="auto"/>
            <w:vAlign w:val="center"/>
            <w:hideMark/>
          </w:tcPr>
          <w:p w14:paraId="1D79EE1F" w14:textId="41760C3A" w:rsidR="00E0204F" w:rsidRPr="00B94DC1" w:rsidRDefault="00E0204F" w:rsidP="00E0204F">
            <w:pPr>
              <w:overflowPunct/>
              <w:autoSpaceDE/>
              <w:autoSpaceDN/>
              <w:adjustRightInd/>
              <w:jc w:val="center"/>
              <w:textAlignment w:val="auto"/>
              <w:rPr>
                <w:rFonts w:ascii="Arial" w:hAnsi="Arial" w:cs="Arial"/>
                <w:b/>
                <w:bCs/>
                <w:lang w:val="en-US"/>
              </w:rPr>
            </w:pPr>
            <w:r w:rsidRPr="00B94DC1">
              <w:rPr>
                <w:rFonts w:ascii="Arial" w:hAnsi="Arial" w:cs="Arial"/>
              </w:rPr>
              <w:t>30/09/2019</w:t>
            </w:r>
          </w:p>
        </w:tc>
        <w:tc>
          <w:tcPr>
            <w:tcW w:w="2500" w:type="dxa"/>
            <w:tcBorders>
              <w:top w:val="single" w:sz="8" w:space="0" w:color="auto"/>
              <w:left w:val="nil"/>
              <w:bottom w:val="single" w:sz="8" w:space="0" w:color="auto"/>
              <w:right w:val="single" w:sz="8" w:space="0" w:color="auto"/>
            </w:tcBorders>
            <w:shd w:val="clear" w:color="auto" w:fill="auto"/>
            <w:vAlign w:val="center"/>
            <w:hideMark/>
          </w:tcPr>
          <w:p w14:paraId="69B0DA6D" w14:textId="260A1ECF" w:rsidR="00E0204F" w:rsidRPr="00B94DC1" w:rsidRDefault="00E0204F" w:rsidP="00E0204F">
            <w:pPr>
              <w:overflowPunct/>
              <w:autoSpaceDE/>
              <w:autoSpaceDN/>
              <w:adjustRightInd/>
              <w:jc w:val="center"/>
              <w:textAlignment w:val="auto"/>
              <w:rPr>
                <w:rFonts w:ascii="Arial" w:hAnsi="Arial" w:cs="Arial"/>
                <w:b/>
                <w:bCs/>
                <w:lang w:val="en-US"/>
              </w:rPr>
            </w:pPr>
            <w:r w:rsidRPr="00B94DC1">
              <w:rPr>
                <w:rFonts w:ascii="Arial" w:hAnsi="Arial" w:cs="Arial"/>
              </w:rPr>
              <w:t>30/09/2018</w:t>
            </w:r>
          </w:p>
        </w:tc>
      </w:tr>
      <w:tr w:rsidR="00B94DC1" w:rsidRPr="00B94DC1" w14:paraId="5D310BBC" w14:textId="77777777" w:rsidTr="005254BB">
        <w:trPr>
          <w:trHeight w:val="780"/>
        </w:trPr>
        <w:tc>
          <w:tcPr>
            <w:tcW w:w="2500" w:type="dxa"/>
            <w:tcBorders>
              <w:top w:val="nil"/>
              <w:left w:val="single" w:sz="8" w:space="0" w:color="auto"/>
              <w:bottom w:val="single" w:sz="8" w:space="0" w:color="auto"/>
              <w:right w:val="single" w:sz="8" w:space="0" w:color="auto"/>
            </w:tcBorders>
            <w:shd w:val="clear" w:color="auto" w:fill="auto"/>
            <w:vAlign w:val="center"/>
          </w:tcPr>
          <w:p w14:paraId="43ED60FF" w14:textId="49236846"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rPr>
              <w:t>2.1.Giá trị tài sản ròng của Quỹ (VND)</w:t>
            </w:r>
          </w:p>
        </w:tc>
        <w:tc>
          <w:tcPr>
            <w:tcW w:w="2500" w:type="dxa"/>
            <w:tcBorders>
              <w:top w:val="nil"/>
              <w:left w:val="nil"/>
              <w:bottom w:val="single" w:sz="8" w:space="0" w:color="auto"/>
              <w:right w:val="single" w:sz="8" w:space="0" w:color="auto"/>
            </w:tcBorders>
            <w:shd w:val="clear" w:color="auto" w:fill="auto"/>
            <w:vAlign w:val="center"/>
          </w:tcPr>
          <w:p w14:paraId="04AEE9BC" w14:textId="31E5A833"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421,754,040,290</w:t>
            </w:r>
          </w:p>
        </w:tc>
        <w:tc>
          <w:tcPr>
            <w:tcW w:w="2500" w:type="dxa"/>
            <w:tcBorders>
              <w:top w:val="nil"/>
              <w:left w:val="nil"/>
              <w:bottom w:val="single" w:sz="8" w:space="0" w:color="auto"/>
              <w:right w:val="single" w:sz="8" w:space="0" w:color="auto"/>
            </w:tcBorders>
            <w:shd w:val="clear" w:color="auto" w:fill="auto"/>
            <w:vAlign w:val="center"/>
          </w:tcPr>
          <w:p w14:paraId="454995A2" w14:textId="0B85F942"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870,482,187,950</w:t>
            </w:r>
          </w:p>
        </w:tc>
        <w:tc>
          <w:tcPr>
            <w:tcW w:w="2500" w:type="dxa"/>
            <w:tcBorders>
              <w:top w:val="nil"/>
              <w:left w:val="nil"/>
              <w:bottom w:val="single" w:sz="8" w:space="0" w:color="auto"/>
              <w:right w:val="single" w:sz="8" w:space="0" w:color="auto"/>
            </w:tcBorders>
            <w:shd w:val="clear" w:color="auto" w:fill="auto"/>
            <w:vAlign w:val="center"/>
          </w:tcPr>
          <w:p w14:paraId="32FE3481" w14:textId="0B2F73E2"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1,275,103,947,993</w:t>
            </w:r>
          </w:p>
        </w:tc>
      </w:tr>
      <w:tr w:rsidR="00B94DC1" w:rsidRPr="00B94DC1" w14:paraId="4AB82759" w14:textId="77777777" w:rsidTr="005254BB">
        <w:trPr>
          <w:trHeight w:val="780"/>
        </w:trPr>
        <w:tc>
          <w:tcPr>
            <w:tcW w:w="2500" w:type="dxa"/>
            <w:tcBorders>
              <w:top w:val="nil"/>
              <w:left w:val="single" w:sz="8" w:space="0" w:color="auto"/>
              <w:bottom w:val="single" w:sz="8" w:space="0" w:color="auto"/>
              <w:right w:val="single" w:sz="8" w:space="0" w:color="auto"/>
            </w:tcBorders>
            <w:shd w:val="clear" w:color="auto" w:fill="auto"/>
            <w:vAlign w:val="center"/>
          </w:tcPr>
          <w:p w14:paraId="3D9C0117" w14:textId="4C1D9001"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rPr>
              <w:t>2.2.Tổng số chứng chỉ quỹ đang lưu hành (VND)</w:t>
            </w:r>
          </w:p>
        </w:tc>
        <w:tc>
          <w:tcPr>
            <w:tcW w:w="2500" w:type="dxa"/>
            <w:tcBorders>
              <w:top w:val="nil"/>
              <w:left w:val="nil"/>
              <w:bottom w:val="single" w:sz="8" w:space="0" w:color="auto"/>
              <w:right w:val="single" w:sz="8" w:space="0" w:color="auto"/>
            </w:tcBorders>
            <w:shd w:val="clear" w:color="auto" w:fill="auto"/>
            <w:vAlign w:val="center"/>
          </w:tcPr>
          <w:p w14:paraId="24E2A85F" w14:textId="007FC5AB"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 xml:space="preserve">                        10,311,701.04 </w:t>
            </w:r>
          </w:p>
        </w:tc>
        <w:tc>
          <w:tcPr>
            <w:tcW w:w="2500" w:type="dxa"/>
            <w:tcBorders>
              <w:top w:val="nil"/>
              <w:left w:val="nil"/>
              <w:bottom w:val="single" w:sz="8" w:space="0" w:color="auto"/>
              <w:right w:val="single" w:sz="8" w:space="0" w:color="auto"/>
            </w:tcBorders>
            <w:shd w:val="clear" w:color="auto" w:fill="auto"/>
            <w:vAlign w:val="center"/>
          </w:tcPr>
          <w:p w14:paraId="26621643" w14:textId="5B052030"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 xml:space="preserve">                  21,001,833.98 </w:t>
            </w:r>
          </w:p>
        </w:tc>
        <w:tc>
          <w:tcPr>
            <w:tcW w:w="2500" w:type="dxa"/>
            <w:tcBorders>
              <w:top w:val="nil"/>
              <w:left w:val="nil"/>
              <w:bottom w:val="single" w:sz="8" w:space="0" w:color="auto"/>
              <w:right w:val="single" w:sz="8" w:space="0" w:color="auto"/>
            </w:tcBorders>
            <w:shd w:val="clear" w:color="auto" w:fill="auto"/>
            <w:vAlign w:val="center"/>
          </w:tcPr>
          <w:p w14:paraId="1BFCC256" w14:textId="0AD2B287"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 xml:space="preserve">                  30,682,334.21 </w:t>
            </w:r>
          </w:p>
        </w:tc>
      </w:tr>
      <w:tr w:rsidR="00B94DC1" w:rsidRPr="00B94DC1" w14:paraId="33BD7D18" w14:textId="77777777" w:rsidTr="005254BB">
        <w:trPr>
          <w:trHeight w:val="780"/>
        </w:trPr>
        <w:tc>
          <w:tcPr>
            <w:tcW w:w="2500" w:type="dxa"/>
            <w:tcBorders>
              <w:top w:val="nil"/>
              <w:left w:val="single" w:sz="8" w:space="0" w:color="auto"/>
              <w:bottom w:val="single" w:sz="8" w:space="0" w:color="auto"/>
              <w:right w:val="single" w:sz="8" w:space="0" w:color="auto"/>
            </w:tcBorders>
            <w:shd w:val="clear" w:color="auto" w:fill="auto"/>
            <w:vAlign w:val="center"/>
          </w:tcPr>
          <w:p w14:paraId="15CA4D76" w14:textId="50EDF663"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rPr>
              <w:t>2.3.Giá trị tài sản ròng của một đơn vị Chứng chỉ quỹ (CCQ) (VND)</w:t>
            </w:r>
          </w:p>
        </w:tc>
        <w:tc>
          <w:tcPr>
            <w:tcW w:w="2500" w:type="dxa"/>
            <w:tcBorders>
              <w:top w:val="nil"/>
              <w:left w:val="nil"/>
              <w:bottom w:val="single" w:sz="8" w:space="0" w:color="auto"/>
              <w:right w:val="single" w:sz="8" w:space="0" w:color="auto"/>
            </w:tcBorders>
            <w:shd w:val="clear" w:color="auto" w:fill="auto"/>
            <w:vAlign w:val="center"/>
          </w:tcPr>
          <w:p w14:paraId="0D0A7054" w14:textId="36709EE6"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40,900.53</w:t>
            </w:r>
          </w:p>
        </w:tc>
        <w:tc>
          <w:tcPr>
            <w:tcW w:w="2500" w:type="dxa"/>
            <w:tcBorders>
              <w:top w:val="nil"/>
              <w:left w:val="nil"/>
              <w:bottom w:val="single" w:sz="8" w:space="0" w:color="auto"/>
              <w:right w:val="single" w:sz="8" w:space="0" w:color="auto"/>
            </w:tcBorders>
            <w:shd w:val="clear" w:color="auto" w:fill="auto"/>
            <w:vAlign w:val="center"/>
          </w:tcPr>
          <w:p w14:paraId="6483EC6D" w14:textId="473EE589"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41,447.91</w:t>
            </w:r>
          </w:p>
        </w:tc>
        <w:tc>
          <w:tcPr>
            <w:tcW w:w="2500" w:type="dxa"/>
            <w:tcBorders>
              <w:top w:val="nil"/>
              <w:left w:val="nil"/>
              <w:bottom w:val="single" w:sz="8" w:space="0" w:color="auto"/>
              <w:right w:val="single" w:sz="8" w:space="0" w:color="auto"/>
            </w:tcBorders>
            <w:shd w:val="clear" w:color="auto" w:fill="auto"/>
            <w:vAlign w:val="center"/>
          </w:tcPr>
          <w:p w14:paraId="34120E5B" w14:textId="241A87FC"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41,558.24</w:t>
            </w:r>
          </w:p>
        </w:tc>
      </w:tr>
      <w:tr w:rsidR="00B94DC1" w:rsidRPr="00B94DC1" w14:paraId="6DD3CE28" w14:textId="77777777" w:rsidTr="005254BB">
        <w:trPr>
          <w:trHeight w:val="780"/>
        </w:trPr>
        <w:tc>
          <w:tcPr>
            <w:tcW w:w="2500" w:type="dxa"/>
            <w:tcBorders>
              <w:top w:val="nil"/>
              <w:left w:val="single" w:sz="8" w:space="0" w:color="auto"/>
              <w:bottom w:val="single" w:sz="8" w:space="0" w:color="auto"/>
              <w:right w:val="single" w:sz="8" w:space="0" w:color="auto"/>
            </w:tcBorders>
            <w:shd w:val="clear" w:color="auto" w:fill="auto"/>
            <w:vAlign w:val="center"/>
          </w:tcPr>
          <w:p w14:paraId="0774D8DD" w14:textId="49C5F3D5"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rPr>
              <w:t>2.4.Giá trị tài sản ròng cao nhất của 1 đơn vị CCQ trong kỳ báo cáo (VND)</w:t>
            </w:r>
          </w:p>
        </w:tc>
        <w:tc>
          <w:tcPr>
            <w:tcW w:w="2500" w:type="dxa"/>
            <w:tcBorders>
              <w:top w:val="nil"/>
              <w:left w:val="nil"/>
              <w:bottom w:val="single" w:sz="8" w:space="0" w:color="auto"/>
              <w:right w:val="single" w:sz="8" w:space="0" w:color="auto"/>
            </w:tcBorders>
            <w:shd w:val="clear" w:color="auto" w:fill="auto"/>
            <w:vAlign w:val="center"/>
          </w:tcPr>
          <w:p w14:paraId="28B05347" w14:textId="2551C666"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41,567.98</w:t>
            </w:r>
          </w:p>
        </w:tc>
        <w:tc>
          <w:tcPr>
            <w:tcW w:w="2500" w:type="dxa"/>
            <w:tcBorders>
              <w:top w:val="nil"/>
              <w:left w:val="nil"/>
              <w:bottom w:val="single" w:sz="8" w:space="0" w:color="auto"/>
              <w:right w:val="single" w:sz="8" w:space="0" w:color="auto"/>
            </w:tcBorders>
            <w:shd w:val="clear" w:color="auto" w:fill="auto"/>
            <w:vAlign w:val="center"/>
          </w:tcPr>
          <w:p w14:paraId="0F779F17" w14:textId="073AB9DA"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41,758.80</w:t>
            </w:r>
          </w:p>
        </w:tc>
        <w:tc>
          <w:tcPr>
            <w:tcW w:w="2500" w:type="dxa"/>
            <w:tcBorders>
              <w:top w:val="nil"/>
              <w:left w:val="nil"/>
              <w:bottom w:val="single" w:sz="8" w:space="0" w:color="auto"/>
              <w:right w:val="single" w:sz="8" w:space="0" w:color="auto"/>
            </w:tcBorders>
            <w:shd w:val="clear" w:color="auto" w:fill="auto"/>
            <w:vAlign w:val="center"/>
          </w:tcPr>
          <w:p w14:paraId="7B1EF617" w14:textId="440F8D20"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49,328.49</w:t>
            </w:r>
          </w:p>
        </w:tc>
      </w:tr>
      <w:tr w:rsidR="00B94DC1" w:rsidRPr="00B94DC1" w14:paraId="133A41DA" w14:textId="77777777" w:rsidTr="005254BB">
        <w:trPr>
          <w:trHeight w:val="780"/>
        </w:trPr>
        <w:tc>
          <w:tcPr>
            <w:tcW w:w="2500" w:type="dxa"/>
            <w:tcBorders>
              <w:top w:val="nil"/>
              <w:left w:val="single" w:sz="8" w:space="0" w:color="auto"/>
              <w:bottom w:val="single" w:sz="8" w:space="0" w:color="auto"/>
              <w:right w:val="single" w:sz="8" w:space="0" w:color="auto"/>
            </w:tcBorders>
            <w:shd w:val="clear" w:color="auto" w:fill="auto"/>
            <w:vAlign w:val="center"/>
          </w:tcPr>
          <w:p w14:paraId="7198D3D5" w14:textId="13FBF64D"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rPr>
              <w:t>2.5.Giá trị tài sản ròng thấp nhất của 1 đơn vị CCQ trong kỳ báo cáo (VND)</w:t>
            </w:r>
          </w:p>
        </w:tc>
        <w:tc>
          <w:tcPr>
            <w:tcW w:w="2500" w:type="dxa"/>
            <w:tcBorders>
              <w:top w:val="nil"/>
              <w:left w:val="nil"/>
              <w:bottom w:val="single" w:sz="8" w:space="0" w:color="auto"/>
              <w:right w:val="single" w:sz="8" w:space="0" w:color="auto"/>
            </w:tcBorders>
            <w:shd w:val="clear" w:color="auto" w:fill="auto"/>
            <w:vAlign w:val="center"/>
          </w:tcPr>
          <w:p w14:paraId="0F038399" w14:textId="2AFE67CE"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35,084.76</w:t>
            </w:r>
          </w:p>
        </w:tc>
        <w:tc>
          <w:tcPr>
            <w:tcW w:w="2500" w:type="dxa"/>
            <w:tcBorders>
              <w:top w:val="nil"/>
              <w:left w:val="nil"/>
              <w:bottom w:val="single" w:sz="8" w:space="0" w:color="auto"/>
              <w:right w:val="single" w:sz="8" w:space="0" w:color="auto"/>
            </w:tcBorders>
            <w:shd w:val="clear" w:color="auto" w:fill="auto"/>
            <w:vAlign w:val="center"/>
          </w:tcPr>
          <w:p w14:paraId="14DC49BE" w14:textId="604B61BF"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35,866.30</w:t>
            </w:r>
          </w:p>
        </w:tc>
        <w:tc>
          <w:tcPr>
            <w:tcW w:w="2500" w:type="dxa"/>
            <w:tcBorders>
              <w:top w:val="nil"/>
              <w:left w:val="nil"/>
              <w:bottom w:val="single" w:sz="8" w:space="0" w:color="auto"/>
              <w:right w:val="single" w:sz="8" w:space="0" w:color="auto"/>
            </w:tcBorders>
            <w:shd w:val="clear" w:color="auto" w:fill="auto"/>
            <w:vAlign w:val="center"/>
          </w:tcPr>
          <w:p w14:paraId="6205CA99" w14:textId="4615F0A2"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34,042.30</w:t>
            </w:r>
          </w:p>
        </w:tc>
      </w:tr>
      <w:tr w:rsidR="00B94DC1" w:rsidRPr="00B94DC1" w14:paraId="2640D17E" w14:textId="77777777" w:rsidTr="005254BB">
        <w:trPr>
          <w:trHeight w:val="780"/>
        </w:trPr>
        <w:tc>
          <w:tcPr>
            <w:tcW w:w="2500" w:type="dxa"/>
            <w:tcBorders>
              <w:top w:val="nil"/>
              <w:left w:val="single" w:sz="8" w:space="0" w:color="auto"/>
              <w:bottom w:val="single" w:sz="8" w:space="0" w:color="auto"/>
              <w:right w:val="single" w:sz="8" w:space="0" w:color="auto"/>
            </w:tcBorders>
            <w:shd w:val="clear" w:color="auto" w:fill="auto"/>
            <w:vAlign w:val="center"/>
          </w:tcPr>
          <w:p w14:paraId="3CFCFBBF" w14:textId="656D1544"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rPr>
              <w:t>2.6.Giá cuối ngày của 1 đơn vị CCQ tại ngày báo cáo (VND)</w:t>
            </w:r>
          </w:p>
        </w:tc>
        <w:tc>
          <w:tcPr>
            <w:tcW w:w="2500" w:type="dxa"/>
            <w:tcBorders>
              <w:top w:val="nil"/>
              <w:left w:val="nil"/>
              <w:bottom w:val="single" w:sz="8" w:space="0" w:color="auto"/>
              <w:right w:val="single" w:sz="8" w:space="0" w:color="auto"/>
            </w:tcBorders>
            <w:shd w:val="clear" w:color="auto" w:fill="auto"/>
            <w:vAlign w:val="center"/>
          </w:tcPr>
          <w:p w14:paraId="5052A707" w14:textId="43F5A62A"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N/A</w:t>
            </w:r>
          </w:p>
        </w:tc>
        <w:tc>
          <w:tcPr>
            <w:tcW w:w="2500" w:type="dxa"/>
            <w:tcBorders>
              <w:top w:val="nil"/>
              <w:left w:val="nil"/>
              <w:bottom w:val="single" w:sz="8" w:space="0" w:color="auto"/>
              <w:right w:val="single" w:sz="8" w:space="0" w:color="auto"/>
            </w:tcBorders>
            <w:shd w:val="clear" w:color="auto" w:fill="auto"/>
            <w:vAlign w:val="center"/>
          </w:tcPr>
          <w:p w14:paraId="0DDE8CD1" w14:textId="56F979E5"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N/A</w:t>
            </w:r>
          </w:p>
        </w:tc>
        <w:tc>
          <w:tcPr>
            <w:tcW w:w="2500" w:type="dxa"/>
            <w:tcBorders>
              <w:top w:val="nil"/>
              <w:left w:val="nil"/>
              <w:bottom w:val="single" w:sz="8" w:space="0" w:color="auto"/>
              <w:right w:val="single" w:sz="8" w:space="0" w:color="auto"/>
            </w:tcBorders>
            <w:shd w:val="clear" w:color="auto" w:fill="auto"/>
            <w:vAlign w:val="center"/>
          </w:tcPr>
          <w:p w14:paraId="2DCCD62A" w14:textId="3CC74D8F"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N/A</w:t>
            </w:r>
          </w:p>
        </w:tc>
      </w:tr>
      <w:tr w:rsidR="00B94DC1" w:rsidRPr="00B94DC1" w14:paraId="2AE6E0CD" w14:textId="77777777" w:rsidTr="00F6501C">
        <w:trPr>
          <w:trHeight w:val="780"/>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7D33EF35" w14:textId="77777777"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lang w:val="en-US"/>
              </w:rPr>
              <w:t>2.7.Giá cuối ngày cao nhất của 1 đơn vị CCQ trong kỳ báo cáo</w:t>
            </w:r>
          </w:p>
        </w:tc>
        <w:tc>
          <w:tcPr>
            <w:tcW w:w="2500" w:type="dxa"/>
            <w:tcBorders>
              <w:top w:val="nil"/>
              <w:left w:val="nil"/>
              <w:bottom w:val="single" w:sz="8" w:space="0" w:color="auto"/>
              <w:right w:val="single" w:sz="8" w:space="0" w:color="auto"/>
            </w:tcBorders>
            <w:shd w:val="clear" w:color="auto" w:fill="auto"/>
            <w:vAlign w:val="center"/>
          </w:tcPr>
          <w:p w14:paraId="4C6CCCEC" w14:textId="5BB9DFD9"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N/A</w:t>
            </w:r>
          </w:p>
        </w:tc>
        <w:tc>
          <w:tcPr>
            <w:tcW w:w="2500" w:type="dxa"/>
            <w:tcBorders>
              <w:top w:val="nil"/>
              <w:left w:val="nil"/>
              <w:bottom w:val="single" w:sz="8" w:space="0" w:color="auto"/>
              <w:right w:val="single" w:sz="8" w:space="0" w:color="auto"/>
            </w:tcBorders>
            <w:shd w:val="clear" w:color="auto" w:fill="auto"/>
            <w:vAlign w:val="center"/>
          </w:tcPr>
          <w:p w14:paraId="04FE5F91" w14:textId="57D801C2"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N/A</w:t>
            </w:r>
          </w:p>
        </w:tc>
        <w:tc>
          <w:tcPr>
            <w:tcW w:w="2500" w:type="dxa"/>
            <w:tcBorders>
              <w:top w:val="nil"/>
              <w:left w:val="nil"/>
              <w:bottom w:val="single" w:sz="8" w:space="0" w:color="auto"/>
              <w:right w:val="single" w:sz="8" w:space="0" w:color="auto"/>
            </w:tcBorders>
            <w:shd w:val="clear" w:color="auto" w:fill="auto"/>
            <w:vAlign w:val="center"/>
          </w:tcPr>
          <w:p w14:paraId="2DA4EB62" w14:textId="61F9825F"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N/A</w:t>
            </w:r>
          </w:p>
        </w:tc>
      </w:tr>
      <w:tr w:rsidR="00B94DC1" w:rsidRPr="00B94DC1" w14:paraId="6B29E30D" w14:textId="77777777" w:rsidTr="00F6501C">
        <w:trPr>
          <w:trHeight w:val="780"/>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764AD5E9" w14:textId="77777777"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lang w:val="en-US"/>
              </w:rPr>
              <w:t>2.8.Giá cuối ngày thấp nhất của 1 đơn vị CCQ trong kỳ báo cáo</w:t>
            </w:r>
          </w:p>
        </w:tc>
        <w:tc>
          <w:tcPr>
            <w:tcW w:w="2500" w:type="dxa"/>
            <w:tcBorders>
              <w:top w:val="nil"/>
              <w:left w:val="nil"/>
              <w:bottom w:val="single" w:sz="8" w:space="0" w:color="auto"/>
              <w:right w:val="single" w:sz="8" w:space="0" w:color="auto"/>
            </w:tcBorders>
            <w:shd w:val="clear" w:color="auto" w:fill="auto"/>
            <w:vAlign w:val="center"/>
          </w:tcPr>
          <w:p w14:paraId="2FFD49C0" w14:textId="1E0CE535" w:rsidR="00E0204F" w:rsidRPr="00B94DC1" w:rsidRDefault="00E0204F" w:rsidP="00E0204F">
            <w:pPr>
              <w:overflowPunct/>
              <w:autoSpaceDE/>
              <w:autoSpaceDN/>
              <w:adjustRightInd/>
              <w:ind w:right="135"/>
              <w:jc w:val="right"/>
              <w:textAlignment w:val="auto"/>
              <w:rPr>
                <w:rFonts w:ascii="Arial" w:hAnsi="Arial" w:cs="Arial"/>
              </w:rPr>
            </w:pPr>
            <w:r w:rsidRPr="00B94DC1">
              <w:rPr>
                <w:rFonts w:ascii="Arial" w:hAnsi="Arial" w:cs="Arial"/>
              </w:rPr>
              <w:t>N/A</w:t>
            </w:r>
          </w:p>
        </w:tc>
        <w:tc>
          <w:tcPr>
            <w:tcW w:w="2500" w:type="dxa"/>
            <w:tcBorders>
              <w:top w:val="nil"/>
              <w:left w:val="nil"/>
              <w:bottom w:val="single" w:sz="8" w:space="0" w:color="auto"/>
              <w:right w:val="single" w:sz="8" w:space="0" w:color="auto"/>
            </w:tcBorders>
            <w:shd w:val="clear" w:color="auto" w:fill="auto"/>
            <w:vAlign w:val="center"/>
          </w:tcPr>
          <w:p w14:paraId="23031934" w14:textId="7D1C96FA"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N/A</w:t>
            </w:r>
          </w:p>
        </w:tc>
        <w:tc>
          <w:tcPr>
            <w:tcW w:w="2500" w:type="dxa"/>
            <w:tcBorders>
              <w:top w:val="nil"/>
              <w:left w:val="nil"/>
              <w:bottom w:val="single" w:sz="8" w:space="0" w:color="auto"/>
              <w:right w:val="single" w:sz="8" w:space="0" w:color="auto"/>
            </w:tcBorders>
            <w:shd w:val="clear" w:color="auto" w:fill="auto"/>
            <w:vAlign w:val="center"/>
          </w:tcPr>
          <w:p w14:paraId="48EA9A2F" w14:textId="3A98B4CA"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N/A</w:t>
            </w:r>
          </w:p>
        </w:tc>
      </w:tr>
      <w:tr w:rsidR="00B94DC1" w:rsidRPr="00B94DC1" w14:paraId="1AAE1A7C" w14:textId="77777777" w:rsidTr="003B6370">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40F84BBB" w14:textId="77777777"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lang w:val="en-US"/>
              </w:rPr>
              <w:t>2.9.Tổng tăng trưởng (%)/1 đơn vị CCQ</w:t>
            </w:r>
          </w:p>
        </w:tc>
        <w:tc>
          <w:tcPr>
            <w:tcW w:w="2500" w:type="dxa"/>
            <w:tcBorders>
              <w:top w:val="nil"/>
              <w:left w:val="nil"/>
              <w:bottom w:val="single" w:sz="8" w:space="0" w:color="auto"/>
              <w:right w:val="single" w:sz="8" w:space="0" w:color="auto"/>
            </w:tcBorders>
            <w:shd w:val="clear" w:color="auto" w:fill="auto"/>
            <w:vAlign w:val="center"/>
          </w:tcPr>
          <w:p w14:paraId="107E0EE4" w14:textId="69992518"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75.47%</w:t>
            </w:r>
          </w:p>
        </w:tc>
        <w:tc>
          <w:tcPr>
            <w:tcW w:w="2500" w:type="dxa"/>
            <w:tcBorders>
              <w:top w:val="nil"/>
              <w:left w:val="nil"/>
              <w:bottom w:val="single" w:sz="8" w:space="0" w:color="auto"/>
              <w:right w:val="single" w:sz="8" w:space="0" w:color="auto"/>
            </w:tcBorders>
            <w:shd w:val="clear" w:color="auto" w:fill="auto"/>
            <w:vAlign w:val="center"/>
          </w:tcPr>
          <w:p w14:paraId="4F0DFF05" w14:textId="79A467EE"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203.74%</w:t>
            </w:r>
          </w:p>
        </w:tc>
        <w:tc>
          <w:tcPr>
            <w:tcW w:w="2500" w:type="dxa"/>
            <w:tcBorders>
              <w:top w:val="nil"/>
              <w:left w:val="nil"/>
              <w:bottom w:val="single" w:sz="8" w:space="0" w:color="auto"/>
              <w:right w:val="single" w:sz="8" w:space="0" w:color="auto"/>
            </w:tcBorders>
            <w:shd w:val="clear" w:color="auto" w:fill="auto"/>
            <w:vAlign w:val="center"/>
          </w:tcPr>
          <w:p w14:paraId="66FD3383" w14:textId="71637EBD" w:rsidR="00E0204F" w:rsidRPr="00B94DC1" w:rsidRDefault="00E0204F" w:rsidP="00E0204F">
            <w:pPr>
              <w:ind w:right="135"/>
              <w:jc w:val="right"/>
              <w:rPr>
                <w:rFonts w:ascii="Arial" w:hAnsi="Arial" w:cs="Arial"/>
              </w:rPr>
            </w:pPr>
            <w:r w:rsidRPr="00B94DC1">
              <w:rPr>
                <w:rFonts w:ascii="Arial" w:hAnsi="Arial" w:cs="Arial"/>
              </w:rPr>
              <w:t>783.12%</w:t>
            </w:r>
          </w:p>
        </w:tc>
      </w:tr>
      <w:tr w:rsidR="00B94DC1" w:rsidRPr="00B94DC1" w14:paraId="373DC1AE" w14:textId="77777777" w:rsidTr="003B6370">
        <w:trPr>
          <w:trHeight w:val="780"/>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243ABE1F" w14:textId="77777777"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lang w:val="en-US"/>
              </w:rPr>
              <w:lastRenderedPageBreak/>
              <w:t>2.9.1.Tăng trưởng vốn (%)/1 đơn vị CCQ (Thay đổi do biến động giá)</w:t>
            </w:r>
          </w:p>
        </w:tc>
        <w:tc>
          <w:tcPr>
            <w:tcW w:w="2500" w:type="dxa"/>
            <w:tcBorders>
              <w:top w:val="nil"/>
              <w:left w:val="nil"/>
              <w:bottom w:val="single" w:sz="8" w:space="0" w:color="auto"/>
              <w:right w:val="single" w:sz="8" w:space="0" w:color="auto"/>
            </w:tcBorders>
            <w:shd w:val="clear" w:color="auto" w:fill="auto"/>
            <w:vAlign w:val="center"/>
          </w:tcPr>
          <w:p w14:paraId="7C9C7224" w14:textId="17AED18D"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50.57%</w:t>
            </w:r>
          </w:p>
        </w:tc>
        <w:tc>
          <w:tcPr>
            <w:tcW w:w="2500" w:type="dxa"/>
            <w:tcBorders>
              <w:top w:val="nil"/>
              <w:left w:val="nil"/>
              <w:bottom w:val="single" w:sz="8" w:space="0" w:color="auto"/>
              <w:right w:val="single" w:sz="8" w:space="0" w:color="auto"/>
            </w:tcBorders>
            <w:shd w:val="clear" w:color="auto" w:fill="auto"/>
            <w:vAlign w:val="center"/>
          </w:tcPr>
          <w:p w14:paraId="18D3C8D7" w14:textId="149554E6" w:rsidR="00E0204F" w:rsidRPr="00B94DC1" w:rsidRDefault="00E0204F" w:rsidP="00E0204F">
            <w:pPr>
              <w:ind w:right="135"/>
              <w:jc w:val="right"/>
              <w:rPr>
                <w:rFonts w:ascii="Arial" w:hAnsi="Arial" w:cs="Arial"/>
              </w:rPr>
            </w:pPr>
            <w:r w:rsidRPr="00B94DC1">
              <w:rPr>
                <w:rFonts w:ascii="Arial" w:hAnsi="Arial" w:cs="Arial"/>
              </w:rPr>
              <w:t>151.32%</w:t>
            </w:r>
          </w:p>
        </w:tc>
        <w:tc>
          <w:tcPr>
            <w:tcW w:w="2500" w:type="dxa"/>
            <w:tcBorders>
              <w:top w:val="nil"/>
              <w:left w:val="nil"/>
              <w:bottom w:val="single" w:sz="8" w:space="0" w:color="auto"/>
              <w:right w:val="single" w:sz="8" w:space="0" w:color="auto"/>
            </w:tcBorders>
            <w:shd w:val="clear" w:color="auto" w:fill="auto"/>
            <w:vAlign w:val="center"/>
          </w:tcPr>
          <w:p w14:paraId="0FCC9A07" w14:textId="11DDE02C" w:rsidR="00E0204F" w:rsidRPr="00B94DC1" w:rsidRDefault="00E0204F" w:rsidP="00E0204F">
            <w:pPr>
              <w:ind w:right="135"/>
              <w:jc w:val="right"/>
              <w:rPr>
                <w:rFonts w:ascii="Arial" w:hAnsi="Arial" w:cs="Arial"/>
              </w:rPr>
            </w:pPr>
            <w:r w:rsidRPr="00B94DC1">
              <w:rPr>
                <w:rFonts w:ascii="Arial" w:hAnsi="Arial" w:cs="Arial"/>
              </w:rPr>
              <w:t>858.60%</w:t>
            </w:r>
          </w:p>
        </w:tc>
      </w:tr>
      <w:tr w:rsidR="00B94DC1" w:rsidRPr="00B94DC1" w14:paraId="30180F15" w14:textId="77777777" w:rsidTr="003B6370">
        <w:trPr>
          <w:trHeight w:val="103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573C0075" w14:textId="77777777"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lang w:val="en-US"/>
              </w:rPr>
              <w:t>2.9.2. Tăng trưởng thu nhập (%)/1 đơn vị CCQ (Tính trên thu nhập đã thực hiện)</w:t>
            </w:r>
          </w:p>
        </w:tc>
        <w:tc>
          <w:tcPr>
            <w:tcW w:w="2500" w:type="dxa"/>
            <w:tcBorders>
              <w:top w:val="nil"/>
              <w:left w:val="nil"/>
              <w:bottom w:val="single" w:sz="8" w:space="0" w:color="auto"/>
              <w:right w:val="single" w:sz="8" w:space="0" w:color="auto"/>
            </w:tcBorders>
            <w:shd w:val="clear" w:color="auto" w:fill="auto"/>
            <w:vAlign w:val="center"/>
          </w:tcPr>
          <w:p w14:paraId="33EA76F3" w14:textId="46F99B75"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24.90%</w:t>
            </w:r>
          </w:p>
        </w:tc>
        <w:tc>
          <w:tcPr>
            <w:tcW w:w="2500" w:type="dxa"/>
            <w:tcBorders>
              <w:top w:val="nil"/>
              <w:left w:val="nil"/>
              <w:bottom w:val="single" w:sz="8" w:space="0" w:color="auto"/>
              <w:right w:val="single" w:sz="8" w:space="0" w:color="auto"/>
            </w:tcBorders>
            <w:shd w:val="clear" w:color="auto" w:fill="auto"/>
            <w:vAlign w:val="center"/>
          </w:tcPr>
          <w:p w14:paraId="44E21813" w14:textId="1E332D7B" w:rsidR="00E0204F" w:rsidRPr="00B94DC1" w:rsidRDefault="00E0204F" w:rsidP="00E0204F">
            <w:pPr>
              <w:ind w:right="135"/>
              <w:jc w:val="right"/>
              <w:rPr>
                <w:rFonts w:ascii="Arial" w:hAnsi="Arial" w:cs="Arial"/>
              </w:rPr>
            </w:pPr>
            <w:r w:rsidRPr="00B94DC1">
              <w:rPr>
                <w:rFonts w:ascii="Arial" w:hAnsi="Arial" w:cs="Arial"/>
              </w:rPr>
              <w:t>52.42%</w:t>
            </w:r>
          </w:p>
        </w:tc>
        <w:tc>
          <w:tcPr>
            <w:tcW w:w="2500" w:type="dxa"/>
            <w:tcBorders>
              <w:top w:val="nil"/>
              <w:left w:val="nil"/>
              <w:bottom w:val="single" w:sz="8" w:space="0" w:color="auto"/>
              <w:right w:val="single" w:sz="8" w:space="0" w:color="auto"/>
            </w:tcBorders>
            <w:shd w:val="clear" w:color="auto" w:fill="auto"/>
            <w:vAlign w:val="center"/>
          </w:tcPr>
          <w:p w14:paraId="30C27BE7" w14:textId="25F82404" w:rsidR="00E0204F" w:rsidRPr="00B94DC1" w:rsidRDefault="00E0204F" w:rsidP="00E0204F">
            <w:pPr>
              <w:ind w:right="135"/>
              <w:jc w:val="right"/>
              <w:rPr>
                <w:rFonts w:ascii="Arial" w:hAnsi="Arial" w:cs="Arial"/>
              </w:rPr>
            </w:pPr>
            <w:r w:rsidRPr="00B94DC1">
              <w:rPr>
                <w:rFonts w:ascii="Arial" w:hAnsi="Arial" w:cs="Arial"/>
              </w:rPr>
              <w:t>-75.48%</w:t>
            </w:r>
          </w:p>
        </w:tc>
      </w:tr>
      <w:tr w:rsidR="00B94DC1" w:rsidRPr="00B94DC1" w14:paraId="5BCFCF2C" w14:textId="77777777" w:rsidTr="005254BB">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26075B04" w14:textId="77777777"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lang w:val="en-US"/>
              </w:rPr>
              <w:t>2.10.Phân phối gộp trên 1 đơn vị CCQ</w:t>
            </w:r>
          </w:p>
        </w:tc>
        <w:tc>
          <w:tcPr>
            <w:tcW w:w="2500" w:type="dxa"/>
            <w:tcBorders>
              <w:top w:val="nil"/>
              <w:left w:val="nil"/>
              <w:bottom w:val="single" w:sz="8" w:space="0" w:color="auto"/>
              <w:right w:val="single" w:sz="8" w:space="0" w:color="auto"/>
            </w:tcBorders>
            <w:shd w:val="clear" w:color="auto" w:fill="auto"/>
            <w:vAlign w:val="center"/>
            <w:hideMark/>
          </w:tcPr>
          <w:p w14:paraId="033B7FC0" w14:textId="4ABA6DD5"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 xml:space="preserve">         Không có</w:t>
            </w:r>
          </w:p>
        </w:tc>
        <w:tc>
          <w:tcPr>
            <w:tcW w:w="2500" w:type="dxa"/>
            <w:tcBorders>
              <w:top w:val="nil"/>
              <w:left w:val="nil"/>
              <w:bottom w:val="single" w:sz="8" w:space="0" w:color="auto"/>
              <w:right w:val="single" w:sz="8" w:space="0" w:color="auto"/>
            </w:tcBorders>
            <w:shd w:val="clear" w:color="auto" w:fill="auto"/>
            <w:vAlign w:val="center"/>
            <w:hideMark/>
          </w:tcPr>
          <w:p w14:paraId="1CA08D51" w14:textId="447D38D7"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 xml:space="preserve">          Không có</w:t>
            </w:r>
          </w:p>
        </w:tc>
        <w:tc>
          <w:tcPr>
            <w:tcW w:w="2500" w:type="dxa"/>
            <w:tcBorders>
              <w:top w:val="nil"/>
              <w:left w:val="nil"/>
              <w:bottom w:val="single" w:sz="8" w:space="0" w:color="auto"/>
              <w:right w:val="single" w:sz="8" w:space="0" w:color="auto"/>
            </w:tcBorders>
            <w:shd w:val="clear" w:color="auto" w:fill="auto"/>
            <w:vAlign w:val="center"/>
            <w:hideMark/>
          </w:tcPr>
          <w:p w14:paraId="565A287B" w14:textId="2A71C997"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 xml:space="preserve">               Không có</w:t>
            </w:r>
          </w:p>
        </w:tc>
      </w:tr>
      <w:tr w:rsidR="00B94DC1" w:rsidRPr="00B94DC1" w14:paraId="23C5B4BF" w14:textId="77777777" w:rsidTr="005254BB">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4E4BB8AE" w14:textId="77777777"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lang w:val="en-US"/>
              </w:rPr>
              <w:t>2.11.Phân phối ròng trên 1 đơn vị CCQ</w:t>
            </w:r>
          </w:p>
        </w:tc>
        <w:tc>
          <w:tcPr>
            <w:tcW w:w="2500" w:type="dxa"/>
            <w:tcBorders>
              <w:top w:val="nil"/>
              <w:left w:val="nil"/>
              <w:bottom w:val="single" w:sz="8" w:space="0" w:color="auto"/>
              <w:right w:val="single" w:sz="8" w:space="0" w:color="auto"/>
            </w:tcBorders>
            <w:shd w:val="clear" w:color="auto" w:fill="auto"/>
            <w:vAlign w:val="center"/>
            <w:hideMark/>
          </w:tcPr>
          <w:p w14:paraId="49F8C20D" w14:textId="03B805CF"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 xml:space="preserve">          Không có</w:t>
            </w:r>
          </w:p>
        </w:tc>
        <w:tc>
          <w:tcPr>
            <w:tcW w:w="2500" w:type="dxa"/>
            <w:tcBorders>
              <w:top w:val="nil"/>
              <w:left w:val="nil"/>
              <w:bottom w:val="single" w:sz="8" w:space="0" w:color="auto"/>
              <w:right w:val="single" w:sz="8" w:space="0" w:color="auto"/>
            </w:tcBorders>
            <w:shd w:val="clear" w:color="auto" w:fill="auto"/>
            <w:vAlign w:val="center"/>
            <w:hideMark/>
          </w:tcPr>
          <w:p w14:paraId="67395A91" w14:textId="7B2370E5"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 xml:space="preserve">          Không có</w:t>
            </w:r>
          </w:p>
        </w:tc>
        <w:tc>
          <w:tcPr>
            <w:tcW w:w="2500" w:type="dxa"/>
            <w:tcBorders>
              <w:top w:val="nil"/>
              <w:left w:val="nil"/>
              <w:bottom w:val="single" w:sz="8" w:space="0" w:color="auto"/>
              <w:right w:val="single" w:sz="8" w:space="0" w:color="auto"/>
            </w:tcBorders>
            <w:shd w:val="clear" w:color="auto" w:fill="auto"/>
            <w:vAlign w:val="center"/>
            <w:hideMark/>
          </w:tcPr>
          <w:p w14:paraId="1E545175" w14:textId="67123140"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 xml:space="preserve">               Không có</w:t>
            </w:r>
          </w:p>
        </w:tc>
      </w:tr>
      <w:tr w:rsidR="00B94DC1" w:rsidRPr="00B94DC1" w14:paraId="7C527556" w14:textId="77777777" w:rsidTr="005254BB">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72B3C28C" w14:textId="77777777"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lang w:val="en-US"/>
              </w:rPr>
              <w:t>2.12.Ngày chốt quyền (Ex-date of distribution)</w:t>
            </w:r>
          </w:p>
        </w:tc>
        <w:tc>
          <w:tcPr>
            <w:tcW w:w="2500" w:type="dxa"/>
            <w:tcBorders>
              <w:top w:val="nil"/>
              <w:left w:val="nil"/>
              <w:bottom w:val="single" w:sz="8" w:space="0" w:color="auto"/>
              <w:right w:val="single" w:sz="8" w:space="0" w:color="auto"/>
            </w:tcBorders>
            <w:shd w:val="clear" w:color="auto" w:fill="auto"/>
            <w:vAlign w:val="center"/>
            <w:hideMark/>
          </w:tcPr>
          <w:p w14:paraId="753B79C7" w14:textId="34DF8295"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 xml:space="preserve">         Không có</w:t>
            </w:r>
          </w:p>
        </w:tc>
        <w:tc>
          <w:tcPr>
            <w:tcW w:w="2500" w:type="dxa"/>
            <w:tcBorders>
              <w:top w:val="nil"/>
              <w:left w:val="nil"/>
              <w:bottom w:val="single" w:sz="8" w:space="0" w:color="auto"/>
              <w:right w:val="single" w:sz="8" w:space="0" w:color="auto"/>
            </w:tcBorders>
            <w:shd w:val="clear" w:color="auto" w:fill="auto"/>
            <w:vAlign w:val="center"/>
            <w:hideMark/>
          </w:tcPr>
          <w:p w14:paraId="05BBD07E" w14:textId="3568F7E5"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 xml:space="preserve">         Không có</w:t>
            </w:r>
          </w:p>
        </w:tc>
        <w:tc>
          <w:tcPr>
            <w:tcW w:w="2500" w:type="dxa"/>
            <w:tcBorders>
              <w:top w:val="nil"/>
              <w:left w:val="nil"/>
              <w:bottom w:val="single" w:sz="8" w:space="0" w:color="auto"/>
              <w:right w:val="single" w:sz="8" w:space="0" w:color="auto"/>
            </w:tcBorders>
            <w:shd w:val="clear" w:color="auto" w:fill="auto"/>
            <w:vAlign w:val="center"/>
            <w:hideMark/>
          </w:tcPr>
          <w:p w14:paraId="113A155E" w14:textId="3040EAA2"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 xml:space="preserve">               Không có</w:t>
            </w:r>
          </w:p>
        </w:tc>
      </w:tr>
      <w:tr w:rsidR="00B94DC1" w:rsidRPr="00B94DC1" w14:paraId="0C945341" w14:textId="77777777" w:rsidTr="00755D13">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026C5B4F" w14:textId="77777777"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lang w:val="en-US"/>
              </w:rPr>
              <w:t>2.13.Tỷ lệ chi phí hoạt động của quỹ (%)</w:t>
            </w:r>
          </w:p>
        </w:tc>
        <w:tc>
          <w:tcPr>
            <w:tcW w:w="2500" w:type="dxa"/>
            <w:tcBorders>
              <w:top w:val="nil"/>
              <w:left w:val="nil"/>
              <w:bottom w:val="single" w:sz="8" w:space="0" w:color="auto"/>
              <w:right w:val="single" w:sz="8" w:space="0" w:color="auto"/>
            </w:tcBorders>
            <w:shd w:val="clear" w:color="auto" w:fill="auto"/>
            <w:vAlign w:val="center"/>
          </w:tcPr>
          <w:p w14:paraId="11F78AF1" w14:textId="5FEFB40A"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2.44%</w:t>
            </w:r>
          </w:p>
        </w:tc>
        <w:tc>
          <w:tcPr>
            <w:tcW w:w="2500" w:type="dxa"/>
            <w:tcBorders>
              <w:top w:val="nil"/>
              <w:left w:val="nil"/>
              <w:bottom w:val="single" w:sz="8" w:space="0" w:color="auto"/>
              <w:right w:val="single" w:sz="8" w:space="0" w:color="auto"/>
            </w:tcBorders>
            <w:shd w:val="clear" w:color="auto" w:fill="auto"/>
            <w:vAlign w:val="center"/>
            <w:hideMark/>
          </w:tcPr>
          <w:p w14:paraId="6099FD98" w14:textId="2BB42DD1"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2.11%</w:t>
            </w:r>
          </w:p>
        </w:tc>
        <w:tc>
          <w:tcPr>
            <w:tcW w:w="2500" w:type="dxa"/>
            <w:tcBorders>
              <w:top w:val="nil"/>
              <w:left w:val="nil"/>
              <w:bottom w:val="single" w:sz="8" w:space="0" w:color="auto"/>
              <w:right w:val="single" w:sz="8" w:space="0" w:color="auto"/>
            </w:tcBorders>
            <w:shd w:val="clear" w:color="auto" w:fill="auto"/>
            <w:vAlign w:val="center"/>
            <w:hideMark/>
          </w:tcPr>
          <w:p w14:paraId="0EA289FC" w14:textId="6C1DE05D" w:rsidR="00E0204F" w:rsidRPr="00B94DC1" w:rsidRDefault="00E0204F" w:rsidP="00E0204F">
            <w:pPr>
              <w:ind w:right="135"/>
              <w:jc w:val="right"/>
              <w:rPr>
                <w:rFonts w:ascii="Arial" w:hAnsi="Arial" w:cs="Arial"/>
              </w:rPr>
            </w:pPr>
            <w:r w:rsidRPr="00B94DC1">
              <w:rPr>
                <w:rFonts w:ascii="Arial" w:hAnsi="Arial" w:cs="Arial"/>
              </w:rPr>
              <w:t>2.12%</w:t>
            </w:r>
          </w:p>
        </w:tc>
      </w:tr>
      <w:tr w:rsidR="00E0204F" w:rsidRPr="00B94DC1" w14:paraId="5C94F38E" w14:textId="77777777" w:rsidTr="00755D13">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314A9BC3" w14:textId="77777777"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lang w:val="en-US"/>
              </w:rPr>
              <w:t>2.14.Tốc độ vòng quay danh mục (lần)</w:t>
            </w:r>
          </w:p>
        </w:tc>
        <w:tc>
          <w:tcPr>
            <w:tcW w:w="2500" w:type="dxa"/>
            <w:tcBorders>
              <w:top w:val="nil"/>
              <w:left w:val="nil"/>
              <w:bottom w:val="single" w:sz="8" w:space="0" w:color="auto"/>
              <w:right w:val="single" w:sz="8" w:space="0" w:color="auto"/>
            </w:tcBorders>
            <w:shd w:val="clear" w:color="auto" w:fill="auto"/>
            <w:vAlign w:val="center"/>
          </w:tcPr>
          <w:p w14:paraId="164655B1" w14:textId="01DAD63C" w:rsidR="00E0204F" w:rsidRPr="00B94DC1" w:rsidRDefault="00E0204F" w:rsidP="00E0204F">
            <w:pPr>
              <w:overflowPunct/>
              <w:autoSpaceDE/>
              <w:autoSpaceDN/>
              <w:adjustRightInd/>
              <w:ind w:right="135"/>
              <w:jc w:val="right"/>
              <w:textAlignment w:val="auto"/>
              <w:rPr>
                <w:rFonts w:ascii="Arial" w:hAnsi="Arial" w:cs="Arial"/>
                <w:lang w:val="en-US"/>
              </w:rPr>
            </w:pPr>
            <w:r w:rsidRPr="00B94DC1">
              <w:rPr>
                <w:rFonts w:ascii="Arial" w:hAnsi="Arial" w:cs="Arial"/>
              </w:rPr>
              <w:t>57.82%</w:t>
            </w:r>
          </w:p>
        </w:tc>
        <w:tc>
          <w:tcPr>
            <w:tcW w:w="2500" w:type="dxa"/>
            <w:tcBorders>
              <w:top w:val="nil"/>
              <w:left w:val="nil"/>
              <w:bottom w:val="single" w:sz="8" w:space="0" w:color="auto"/>
              <w:right w:val="single" w:sz="8" w:space="0" w:color="auto"/>
            </w:tcBorders>
            <w:shd w:val="clear" w:color="auto" w:fill="auto"/>
            <w:vAlign w:val="center"/>
            <w:hideMark/>
          </w:tcPr>
          <w:p w14:paraId="23523694" w14:textId="594AFF63" w:rsidR="00E0204F" w:rsidRPr="00B94DC1" w:rsidRDefault="00E0204F" w:rsidP="00E0204F">
            <w:pPr>
              <w:ind w:right="135"/>
              <w:jc w:val="right"/>
              <w:rPr>
                <w:rFonts w:ascii="Arial" w:hAnsi="Arial" w:cs="Arial"/>
              </w:rPr>
            </w:pPr>
            <w:r w:rsidRPr="00B94DC1">
              <w:rPr>
                <w:rFonts w:ascii="Arial" w:hAnsi="Arial" w:cs="Arial"/>
              </w:rPr>
              <w:t>55.65%</w:t>
            </w:r>
          </w:p>
        </w:tc>
        <w:tc>
          <w:tcPr>
            <w:tcW w:w="2500" w:type="dxa"/>
            <w:tcBorders>
              <w:top w:val="nil"/>
              <w:left w:val="nil"/>
              <w:bottom w:val="single" w:sz="8" w:space="0" w:color="auto"/>
              <w:right w:val="single" w:sz="8" w:space="0" w:color="auto"/>
            </w:tcBorders>
            <w:shd w:val="clear" w:color="auto" w:fill="auto"/>
            <w:vAlign w:val="center"/>
            <w:hideMark/>
          </w:tcPr>
          <w:p w14:paraId="240485FD" w14:textId="4D422486" w:rsidR="00E0204F" w:rsidRPr="00B94DC1" w:rsidRDefault="00E0204F" w:rsidP="00E0204F">
            <w:pPr>
              <w:ind w:right="135"/>
              <w:jc w:val="right"/>
              <w:rPr>
                <w:rFonts w:ascii="Arial" w:hAnsi="Arial" w:cs="Arial"/>
              </w:rPr>
            </w:pPr>
            <w:r w:rsidRPr="00B94DC1">
              <w:rPr>
                <w:rFonts w:ascii="Arial" w:hAnsi="Arial" w:cs="Arial"/>
              </w:rPr>
              <w:t>111.09%</w:t>
            </w:r>
          </w:p>
        </w:tc>
      </w:tr>
    </w:tbl>
    <w:p w14:paraId="526B0649" w14:textId="77777777" w:rsidR="004E6AE4" w:rsidRPr="00B94DC1" w:rsidRDefault="004E6AE4" w:rsidP="008477D9">
      <w:pPr>
        <w:jc w:val="left"/>
        <w:rPr>
          <w:rFonts w:ascii="Arial" w:hAnsi="Arial" w:cs="Arial"/>
          <w:b/>
          <w:lang w:val="nl-NL"/>
        </w:rPr>
      </w:pPr>
    </w:p>
    <w:p w14:paraId="027DD987" w14:textId="77777777" w:rsidR="008477D9" w:rsidRPr="00B94DC1" w:rsidRDefault="008477D9" w:rsidP="008477D9">
      <w:pPr>
        <w:shd w:val="clear" w:color="auto" w:fill="FFFFFF"/>
        <w:tabs>
          <w:tab w:val="left" w:pos="709"/>
        </w:tabs>
        <w:spacing w:before="120"/>
        <w:rPr>
          <w:rFonts w:ascii="Arial" w:hAnsi="Arial" w:cs="Arial"/>
          <w:b/>
          <w:lang w:val="nl-NL"/>
        </w:rPr>
      </w:pPr>
      <w:r w:rsidRPr="00B94DC1">
        <w:rPr>
          <w:rFonts w:ascii="Arial" w:hAnsi="Arial" w:cs="Arial"/>
          <w:b/>
          <w:lang w:val="nl-NL"/>
        </w:rPr>
        <w:t>2.3</w:t>
      </w:r>
      <w:r w:rsidRPr="00B94DC1">
        <w:rPr>
          <w:rFonts w:ascii="Arial" w:hAnsi="Arial" w:cs="Arial"/>
          <w:b/>
          <w:lang w:val="nl-NL"/>
        </w:rPr>
        <w:tab/>
        <w:t>Tăng trưởng qua các thời kỳ</w:t>
      </w:r>
    </w:p>
    <w:tbl>
      <w:tblPr>
        <w:tblW w:w="9354" w:type="dxa"/>
        <w:tblCellMar>
          <w:left w:w="0" w:type="dxa"/>
          <w:right w:w="0" w:type="dxa"/>
        </w:tblCellMar>
        <w:tblLook w:val="04A0" w:firstRow="1" w:lastRow="0" w:firstColumn="1" w:lastColumn="0" w:noHBand="0" w:noVBand="1"/>
      </w:tblPr>
      <w:tblGrid>
        <w:gridCol w:w="2756"/>
        <w:gridCol w:w="2731"/>
        <w:gridCol w:w="3867"/>
      </w:tblGrid>
      <w:tr w:rsidR="00B94DC1" w:rsidRPr="00B94DC1" w14:paraId="3630ACB9" w14:textId="77777777" w:rsidTr="002E6045">
        <w:tc>
          <w:tcPr>
            <w:tcW w:w="1473" w:type="pct"/>
            <w:shd w:val="clear" w:color="auto" w:fill="auto"/>
            <w:vAlign w:val="bottom"/>
          </w:tcPr>
          <w:p w14:paraId="310ECF0F" w14:textId="77777777" w:rsidR="008477D9" w:rsidRPr="00B94DC1" w:rsidRDefault="008477D9" w:rsidP="002E6045">
            <w:pPr>
              <w:tabs>
                <w:tab w:val="left" w:pos="540"/>
              </w:tabs>
              <w:spacing w:before="120"/>
              <w:ind w:left="709"/>
              <w:jc w:val="left"/>
              <w:rPr>
                <w:rFonts w:ascii="Arial" w:hAnsi="Arial" w:cs="Arial"/>
                <w:b/>
                <w:lang w:val="nl-NL"/>
              </w:rPr>
            </w:pPr>
            <w:r w:rsidRPr="00B94DC1">
              <w:rPr>
                <w:rFonts w:ascii="Arial" w:hAnsi="Arial" w:cs="Arial"/>
                <w:b/>
                <w:lang w:val="nl-NL"/>
              </w:rPr>
              <w:t>Giai đoạn</w:t>
            </w:r>
          </w:p>
        </w:tc>
        <w:tc>
          <w:tcPr>
            <w:tcW w:w="1460" w:type="pct"/>
            <w:shd w:val="clear" w:color="auto" w:fill="auto"/>
            <w:vAlign w:val="bottom"/>
          </w:tcPr>
          <w:p w14:paraId="202A4314" w14:textId="77777777" w:rsidR="008477D9" w:rsidRPr="00B94DC1" w:rsidRDefault="008477D9" w:rsidP="002E6045">
            <w:pPr>
              <w:tabs>
                <w:tab w:val="left" w:pos="540"/>
              </w:tabs>
              <w:spacing w:before="120"/>
              <w:ind w:right="242"/>
              <w:jc w:val="right"/>
              <w:rPr>
                <w:rFonts w:ascii="Arial" w:hAnsi="Arial" w:cs="Arial"/>
                <w:b/>
                <w:lang w:val="nl-NL"/>
              </w:rPr>
            </w:pPr>
            <w:r w:rsidRPr="00B94DC1">
              <w:rPr>
                <w:rFonts w:ascii="Arial" w:hAnsi="Arial" w:cs="Arial"/>
                <w:b/>
                <w:lang w:val="nl-NL"/>
              </w:rPr>
              <w:t>Tổng tăng trưởng của NAV/CCQ (%)</w:t>
            </w:r>
          </w:p>
        </w:tc>
        <w:tc>
          <w:tcPr>
            <w:tcW w:w="2067" w:type="pct"/>
            <w:shd w:val="clear" w:color="auto" w:fill="auto"/>
            <w:vAlign w:val="bottom"/>
          </w:tcPr>
          <w:p w14:paraId="105C0B78" w14:textId="77777777" w:rsidR="008477D9" w:rsidRPr="00B94DC1" w:rsidRDefault="008477D9" w:rsidP="002E6045">
            <w:pPr>
              <w:tabs>
                <w:tab w:val="left" w:pos="540"/>
              </w:tabs>
              <w:spacing w:before="120"/>
              <w:ind w:right="282"/>
              <w:jc w:val="right"/>
              <w:rPr>
                <w:rFonts w:ascii="Arial" w:hAnsi="Arial" w:cs="Arial"/>
                <w:b/>
                <w:lang w:val="nl-NL"/>
              </w:rPr>
            </w:pPr>
            <w:r w:rsidRPr="00B94DC1">
              <w:rPr>
                <w:rFonts w:ascii="Arial" w:hAnsi="Arial" w:cs="Arial"/>
                <w:b/>
                <w:lang w:val="nl-NL"/>
              </w:rPr>
              <w:t>Tăng trưởng NAV/CCQ</w:t>
            </w:r>
            <w:r w:rsidRPr="00B94DC1">
              <w:rPr>
                <w:rFonts w:ascii="Arial" w:hAnsi="Arial" w:cs="Arial"/>
                <w:b/>
                <w:lang w:val="nl-NL"/>
              </w:rPr>
              <w:br/>
              <w:t>hàng năm (%)</w:t>
            </w:r>
          </w:p>
        </w:tc>
      </w:tr>
      <w:tr w:rsidR="00B94DC1" w:rsidRPr="00B94DC1" w14:paraId="780C84C0" w14:textId="77777777" w:rsidTr="002E6045">
        <w:tc>
          <w:tcPr>
            <w:tcW w:w="1473" w:type="pct"/>
            <w:shd w:val="clear" w:color="auto" w:fill="auto"/>
            <w:vAlign w:val="center"/>
          </w:tcPr>
          <w:p w14:paraId="045EFC8B" w14:textId="77777777" w:rsidR="00000BCF" w:rsidRPr="00B94DC1" w:rsidRDefault="00000BCF" w:rsidP="00000BCF">
            <w:pPr>
              <w:tabs>
                <w:tab w:val="left" w:pos="540"/>
              </w:tabs>
              <w:spacing w:before="120"/>
              <w:ind w:left="709"/>
              <w:rPr>
                <w:rFonts w:ascii="Arial" w:hAnsi="Arial" w:cs="Arial"/>
                <w:lang w:val="nl-NL"/>
              </w:rPr>
            </w:pPr>
            <w:r w:rsidRPr="00B94DC1">
              <w:rPr>
                <w:rFonts w:ascii="Arial" w:hAnsi="Arial" w:cs="Arial"/>
                <w:lang w:val="nl-NL"/>
              </w:rPr>
              <w:t>1 năm</w:t>
            </w:r>
          </w:p>
        </w:tc>
        <w:tc>
          <w:tcPr>
            <w:tcW w:w="1460" w:type="pct"/>
            <w:shd w:val="clear" w:color="auto" w:fill="auto"/>
            <w:vAlign w:val="bottom"/>
          </w:tcPr>
          <w:p w14:paraId="4B0B10F9" w14:textId="5D4A86E5" w:rsidR="00000BCF" w:rsidRPr="00B94DC1" w:rsidRDefault="00F43F9A" w:rsidP="00000BCF">
            <w:pPr>
              <w:tabs>
                <w:tab w:val="left" w:pos="540"/>
              </w:tabs>
              <w:spacing w:before="120"/>
              <w:ind w:right="242"/>
              <w:jc w:val="right"/>
              <w:rPr>
                <w:rFonts w:ascii="Arial" w:hAnsi="Arial" w:cs="Arial"/>
                <w:lang w:val="nl-NL"/>
              </w:rPr>
            </w:pPr>
            <w:r w:rsidRPr="00B94DC1">
              <w:rPr>
                <w:rFonts w:ascii="Arial" w:hAnsi="Arial" w:cs="Arial"/>
              </w:rPr>
              <w:t>-</w:t>
            </w:r>
            <w:r w:rsidR="006A6DF5" w:rsidRPr="00B94DC1">
              <w:rPr>
                <w:rFonts w:ascii="Arial" w:hAnsi="Arial" w:cs="Arial"/>
              </w:rPr>
              <w:t>1.32</w:t>
            </w:r>
          </w:p>
        </w:tc>
        <w:tc>
          <w:tcPr>
            <w:tcW w:w="2067" w:type="pct"/>
            <w:shd w:val="clear" w:color="auto" w:fill="auto"/>
            <w:vAlign w:val="bottom"/>
          </w:tcPr>
          <w:p w14:paraId="02970E4E" w14:textId="6B702FDF" w:rsidR="00000BCF" w:rsidRPr="00B94DC1" w:rsidRDefault="006A6DF5" w:rsidP="00000BCF">
            <w:pPr>
              <w:tabs>
                <w:tab w:val="left" w:pos="540"/>
              </w:tabs>
              <w:spacing w:before="120"/>
              <w:ind w:right="282"/>
              <w:jc w:val="right"/>
              <w:rPr>
                <w:rFonts w:ascii="Arial" w:hAnsi="Arial" w:cs="Arial"/>
                <w:lang w:val="nl-NL"/>
              </w:rPr>
            </w:pPr>
            <w:r w:rsidRPr="00B94DC1">
              <w:rPr>
                <w:rFonts w:ascii="Arial" w:hAnsi="Arial" w:cs="Arial"/>
              </w:rPr>
              <w:t>-1.32</w:t>
            </w:r>
          </w:p>
        </w:tc>
      </w:tr>
      <w:tr w:rsidR="00B94DC1" w:rsidRPr="00B94DC1" w14:paraId="3DF8ABB5" w14:textId="77777777" w:rsidTr="002E6045">
        <w:tc>
          <w:tcPr>
            <w:tcW w:w="1473" w:type="pct"/>
            <w:shd w:val="clear" w:color="auto" w:fill="auto"/>
            <w:vAlign w:val="center"/>
          </w:tcPr>
          <w:p w14:paraId="134D9F5C" w14:textId="77777777" w:rsidR="00000BCF" w:rsidRPr="00B94DC1" w:rsidRDefault="00000BCF" w:rsidP="00000BCF">
            <w:pPr>
              <w:tabs>
                <w:tab w:val="left" w:pos="540"/>
              </w:tabs>
              <w:spacing w:before="120"/>
              <w:ind w:left="709"/>
              <w:rPr>
                <w:rFonts w:ascii="Arial" w:hAnsi="Arial" w:cs="Arial"/>
                <w:lang w:val="nl-NL"/>
              </w:rPr>
            </w:pPr>
            <w:r w:rsidRPr="00B94DC1">
              <w:rPr>
                <w:rFonts w:ascii="Arial" w:hAnsi="Arial" w:cs="Arial"/>
                <w:lang w:val="nl-NL"/>
              </w:rPr>
              <w:t>3 năm</w:t>
            </w:r>
          </w:p>
        </w:tc>
        <w:tc>
          <w:tcPr>
            <w:tcW w:w="1460" w:type="pct"/>
            <w:shd w:val="clear" w:color="auto" w:fill="auto"/>
            <w:vAlign w:val="bottom"/>
          </w:tcPr>
          <w:p w14:paraId="23E73C4E" w14:textId="60082767" w:rsidR="00000BCF" w:rsidRPr="00B94DC1" w:rsidRDefault="006A6DF5" w:rsidP="00000BCF">
            <w:pPr>
              <w:tabs>
                <w:tab w:val="left" w:pos="540"/>
              </w:tabs>
              <w:spacing w:before="120"/>
              <w:ind w:right="242"/>
              <w:jc w:val="right"/>
              <w:rPr>
                <w:rFonts w:ascii="Arial" w:hAnsi="Arial" w:cs="Arial"/>
                <w:lang w:val="nl-NL"/>
              </w:rPr>
            </w:pPr>
            <w:r w:rsidRPr="00B94DC1">
              <w:rPr>
                <w:rFonts w:ascii="Arial" w:hAnsi="Arial" w:cs="Arial"/>
              </w:rPr>
              <w:t>19.53</w:t>
            </w:r>
          </w:p>
        </w:tc>
        <w:tc>
          <w:tcPr>
            <w:tcW w:w="2067" w:type="pct"/>
            <w:shd w:val="clear" w:color="auto" w:fill="auto"/>
            <w:vAlign w:val="bottom"/>
          </w:tcPr>
          <w:p w14:paraId="7901326E" w14:textId="20EEB405" w:rsidR="00000BCF" w:rsidRPr="00B94DC1" w:rsidRDefault="006A6DF5" w:rsidP="00000BCF">
            <w:pPr>
              <w:tabs>
                <w:tab w:val="left" w:pos="540"/>
              </w:tabs>
              <w:spacing w:before="120"/>
              <w:ind w:right="282"/>
              <w:jc w:val="right"/>
              <w:rPr>
                <w:rFonts w:ascii="Arial" w:hAnsi="Arial" w:cs="Arial"/>
                <w:lang w:val="nl-NL"/>
              </w:rPr>
            </w:pPr>
            <w:r w:rsidRPr="00B94DC1">
              <w:rPr>
                <w:rFonts w:ascii="Arial" w:hAnsi="Arial" w:cs="Arial"/>
              </w:rPr>
              <w:t>6.13</w:t>
            </w:r>
          </w:p>
        </w:tc>
      </w:tr>
      <w:tr w:rsidR="00B94DC1" w:rsidRPr="00B94DC1" w14:paraId="7B396E7E" w14:textId="77777777" w:rsidTr="002E6045">
        <w:tc>
          <w:tcPr>
            <w:tcW w:w="1473" w:type="pct"/>
            <w:shd w:val="clear" w:color="auto" w:fill="auto"/>
            <w:vAlign w:val="center"/>
          </w:tcPr>
          <w:p w14:paraId="07E02170" w14:textId="77777777" w:rsidR="00000BCF" w:rsidRPr="00B94DC1" w:rsidRDefault="00000BCF" w:rsidP="00000BCF">
            <w:pPr>
              <w:tabs>
                <w:tab w:val="left" w:pos="540"/>
              </w:tabs>
              <w:spacing w:before="120"/>
              <w:ind w:left="709"/>
              <w:rPr>
                <w:rFonts w:ascii="Arial" w:hAnsi="Arial" w:cs="Arial"/>
                <w:lang w:val="nl-NL"/>
              </w:rPr>
            </w:pPr>
            <w:r w:rsidRPr="00B94DC1">
              <w:rPr>
                <w:rFonts w:ascii="Arial" w:hAnsi="Arial" w:cs="Arial"/>
                <w:lang w:val="nl-NL"/>
              </w:rPr>
              <w:t>Từ khi thành lập</w:t>
            </w:r>
          </w:p>
        </w:tc>
        <w:tc>
          <w:tcPr>
            <w:tcW w:w="1460" w:type="pct"/>
            <w:shd w:val="clear" w:color="auto" w:fill="auto"/>
            <w:vAlign w:val="bottom"/>
          </w:tcPr>
          <w:p w14:paraId="3C6F81A1" w14:textId="7F2E6BD6" w:rsidR="00000BCF" w:rsidRPr="00B94DC1" w:rsidRDefault="006A6DF5" w:rsidP="00000BCF">
            <w:pPr>
              <w:tabs>
                <w:tab w:val="left" w:pos="540"/>
              </w:tabs>
              <w:spacing w:before="120"/>
              <w:ind w:right="242"/>
              <w:jc w:val="right"/>
              <w:rPr>
                <w:rFonts w:ascii="Arial" w:hAnsi="Arial" w:cs="Arial"/>
                <w:lang w:val="nl-NL"/>
              </w:rPr>
            </w:pPr>
            <w:r w:rsidRPr="00B94DC1">
              <w:rPr>
                <w:rFonts w:ascii="Arial" w:hAnsi="Arial" w:cs="Arial"/>
              </w:rPr>
              <w:t>309.01</w:t>
            </w:r>
          </w:p>
        </w:tc>
        <w:tc>
          <w:tcPr>
            <w:tcW w:w="2067" w:type="pct"/>
            <w:shd w:val="clear" w:color="auto" w:fill="auto"/>
            <w:vAlign w:val="bottom"/>
          </w:tcPr>
          <w:p w14:paraId="1CCCE351" w14:textId="5C82EC31" w:rsidR="00000BCF" w:rsidRPr="00B94DC1" w:rsidRDefault="006A6DF5" w:rsidP="00000BCF">
            <w:pPr>
              <w:tabs>
                <w:tab w:val="left" w:pos="540"/>
              </w:tabs>
              <w:spacing w:before="120"/>
              <w:ind w:right="282"/>
              <w:jc w:val="right"/>
              <w:rPr>
                <w:rFonts w:ascii="Arial" w:hAnsi="Arial" w:cs="Arial"/>
                <w:lang w:val="nl-NL"/>
              </w:rPr>
            </w:pPr>
            <w:r w:rsidRPr="00B94DC1">
              <w:rPr>
                <w:rFonts w:ascii="Arial" w:hAnsi="Arial" w:cs="Arial"/>
              </w:rPr>
              <w:t>8.99</w:t>
            </w:r>
          </w:p>
        </w:tc>
      </w:tr>
    </w:tbl>
    <w:p w14:paraId="6550D055" w14:textId="77777777" w:rsidR="008477D9" w:rsidRPr="00B94DC1" w:rsidRDefault="008477D9" w:rsidP="008477D9">
      <w:pPr>
        <w:shd w:val="clear" w:color="auto" w:fill="FFFFFF"/>
        <w:tabs>
          <w:tab w:val="left" w:pos="709"/>
        </w:tabs>
        <w:spacing w:before="120"/>
        <w:rPr>
          <w:rFonts w:ascii="Arial" w:hAnsi="Arial" w:cs="Arial"/>
          <w:b/>
          <w:lang w:val="nl-NL"/>
        </w:rPr>
      </w:pPr>
      <w:r w:rsidRPr="00B94DC1">
        <w:rPr>
          <w:rFonts w:ascii="Arial" w:hAnsi="Arial" w:cs="Arial"/>
          <w:b/>
          <w:lang w:val="nl-NL"/>
        </w:rPr>
        <w:t>2.4.</w:t>
      </w:r>
      <w:r w:rsidRPr="00B94DC1">
        <w:rPr>
          <w:rFonts w:ascii="Arial" w:hAnsi="Arial" w:cs="Arial"/>
          <w:b/>
          <w:lang w:val="nl-NL"/>
        </w:rPr>
        <w:tab/>
        <w:t>Tăng trưởng hàng năm</w:t>
      </w:r>
    </w:p>
    <w:p w14:paraId="685530C2" w14:textId="77777777" w:rsidR="008477D9" w:rsidRPr="00B94DC1" w:rsidRDefault="008477D9" w:rsidP="008477D9">
      <w:pPr>
        <w:shd w:val="clear" w:color="auto" w:fill="FFFFFF"/>
        <w:tabs>
          <w:tab w:val="left" w:pos="709"/>
        </w:tabs>
        <w:spacing w:before="120"/>
        <w:rPr>
          <w:rFonts w:ascii="Arial" w:hAnsi="Arial" w:cs="Arial"/>
          <w:b/>
          <w:lang w:val="nl-NL"/>
        </w:rPr>
      </w:pPr>
    </w:p>
    <w:tbl>
      <w:tblPr>
        <w:tblW w:w="7549" w:type="dxa"/>
        <w:tblCellMar>
          <w:left w:w="0" w:type="dxa"/>
          <w:right w:w="0" w:type="dxa"/>
        </w:tblCellMar>
        <w:tblLook w:val="04A0" w:firstRow="1" w:lastRow="0" w:firstColumn="1" w:lastColumn="0" w:noHBand="0" w:noVBand="1"/>
      </w:tblPr>
      <w:tblGrid>
        <w:gridCol w:w="3046"/>
        <w:gridCol w:w="1435"/>
        <w:gridCol w:w="1534"/>
        <w:gridCol w:w="1534"/>
      </w:tblGrid>
      <w:tr w:rsidR="00B94DC1" w:rsidRPr="00B94DC1" w14:paraId="360DE4EA" w14:textId="77777777" w:rsidTr="00F43F9A">
        <w:tc>
          <w:tcPr>
            <w:tcW w:w="2017" w:type="pct"/>
            <w:shd w:val="clear" w:color="auto" w:fill="auto"/>
          </w:tcPr>
          <w:p w14:paraId="273C6130" w14:textId="77777777" w:rsidR="00F43F9A" w:rsidRPr="00B94DC1" w:rsidRDefault="00F43F9A" w:rsidP="009550E9">
            <w:pPr>
              <w:tabs>
                <w:tab w:val="left" w:pos="540"/>
              </w:tabs>
              <w:spacing w:before="120"/>
              <w:ind w:left="709"/>
              <w:jc w:val="left"/>
              <w:rPr>
                <w:rFonts w:ascii="Arial" w:hAnsi="Arial" w:cs="Arial"/>
                <w:lang w:val="nl-NL"/>
              </w:rPr>
            </w:pPr>
            <w:r w:rsidRPr="00B94DC1">
              <w:rPr>
                <w:rFonts w:ascii="Arial" w:hAnsi="Arial" w:cs="Arial"/>
                <w:lang w:val="nl-NL"/>
              </w:rPr>
              <w:t>Thời kỳ</w:t>
            </w:r>
          </w:p>
        </w:tc>
        <w:tc>
          <w:tcPr>
            <w:tcW w:w="950" w:type="pct"/>
            <w:shd w:val="clear" w:color="auto" w:fill="auto"/>
            <w:vAlign w:val="center"/>
          </w:tcPr>
          <w:p w14:paraId="526938B1" w14:textId="21076D27" w:rsidR="00F43F9A" w:rsidRPr="00B94DC1" w:rsidRDefault="00F43F9A" w:rsidP="009550E9">
            <w:pPr>
              <w:tabs>
                <w:tab w:val="left" w:pos="540"/>
              </w:tabs>
              <w:spacing w:before="120"/>
              <w:ind w:right="225"/>
              <w:jc w:val="right"/>
              <w:rPr>
                <w:rFonts w:ascii="Arial" w:hAnsi="Arial" w:cs="Arial"/>
                <w:b/>
                <w:bCs/>
                <w:lang w:val="nl-NL"/>
              </w:rPr>
            </w:pPr>
            <w:r w:rsidRPr="00B94DC1">
              <w:rPr>
                <w:rFonts w:ascii="Arial" w:hAnsi="Arial" w:cs="Arial"/>
                <w:b/>
                <w:bCs/>
                <w:lang w:val="nl-NL"/>
              </w:rPr>
              <w:t>0</w:t>
            </w:r>
            <w:r w:rsidR="006A6DF5" w:rsidRPr="00B94DC1">
              <w:rPr>
                <w:rFonts w:ascii="Arial" w:hAnsi="Arial" w:cs="Arial"/>
                <w:b/>
                <w:bCs/>
                <w:lang w:val="nl-NL"/>
              </w:rPr>
              <w:t>9</w:t>
            </w:r>
            <w:r w:rsidRPr="00B94DC1">
              <w:rPr>
                <w:rFonts w:ascii="Arial" w:hAnsi="Arial" w:cs="Arial"/>
                <w:b/>
                <w:bCs/>
                <w:lang w:val="nl-NL"/>
              </w:rPr>
              <w:t>/30/2020</w:t>
            </w:r>
          </w:p>
        </w:tc>
        <w:tc>
          <w:tcPr>
            <w:tcW w:w="1016" w:type="pct"/>
            <w:shd w:val="clear" w:color="auto" w:fill="auto"/>
            <w:vAlign w:val="center"/>
          </w:tcPr>
          <w:p w14:paraId="29B0B85E" w14:textId="71F67B66" w:rsidR="00F43F9A" w:rsidRPr="00B94DC1" w:rsidRDefault="00F43F9A" w:rsidP="009550E9">
            <w:pPr>
              <w:tabs>
                <w:tab w:val="left" w:pos="540"/>
              </w:tabs>
              <w:spacing w:before="120"/>
              <w:ind w:right="200"/>
              <w:jc w:val="right"/>
              <w:rPr>
                <w:rFonts w:ascii="Arial" w:hAnsi="Arial" w:cs="Arial"/>
                <w:b/>
                <w:bCs/>
                <w:lang w:val="nl-NL"/>
              </w:rPr>
            </w:pPr>
            <w:r w:rsidRPr="00B94DC1">
              <w:rPr>
                <w:rFonts w:ascii="Arial" w:hAnsi="Arial" w:cs="Arial"/>
                <w:b/>
                <w:bCs/>
                <w:lang w:val="nl-NL"/>
              </w:rPr>
              <w:t>0</w:t>
            </w:r>
            <w:r w:rsidR="006A6DF5" w:rsidRPr="00B94DC1">
              <w:rPr>
                <w:rFonts w:ascii="Arial" w:hAnsi="Arial" w:cs="Arial"/>
                <w:b/>
                <w:bCs/>
                <w:lang w:val="nl-NL"/>
              </w:rPr>
              <w:t>9</w:t>
            </w:r>
            <w:r w:rsidRPr="00B94DC1">
              <w:rPr>
                <w:rFonts w:ascii="Arial" w:hAnsi="Arial" w:cs="Arial"/>
                <w:b/>
                <w:bCs/>
                <w:lang w:val="nl-NL"/>
              </w:rPr>
              <w:t>/30/2019</w:t>
            </w:r>
          </w:p>
        </w:tc>
        <w:tc>
          <w:tcPr>
            <w:tcW w:w="1016" w:type="pct"/>
            <w:shd w:val="clear" w:color="auto" w:fill="auto"/>
            <w:vAlign w:val="center"/>
          </w:tcPr>
          <w:p w14:paraId="7B9DAE5C" w14:textId="5F0493AC" w:rsidR="00F43F9A" w:rsidRPr="00B94DC1" w:rsidRDefault="00F43F9A" w:rsidP="009550E9">
            <w:pPr>
              <w:tabs>
                <w:tab w:val="left" w:pos="540"/>
              </w:tabs>
              <w:spacing w:before="120"/>
              <w:ind w:right="175"/>
              <w:jc w:val="right"/>
              <w:rPr>
                <w:rFonts w:ascii="Arial" w:hAnsi="Arial" w:cs="Arial"/>
                <w:b/>
                <w:bCs/>
                <w:lang w:val="nl-NL"/>
              </w:rPr>
            </w:pPr>
            <w:r w:rsidRPr="00B94DC1">
              <w:rPr>
                <w:rFonts w:ascii="Arial" w:hAnsi="Arial" w:cs="Arial"/>
                <w:b/>
                <w:bCs/>
                <w:lang w:val="nl-NL"/>
              </w:rPr>
              <w:t>0</w:t>
            </w:r>
            <w:r w:rsidR="006A6DF5" w:rsidRPr="00B94DC1">
              <w:rPr>
                <w:rFonts w:ascii="Arial" w:hAnsi="Arial" w:cs="Arial"/>
                <w:b/>
                <w:bCs/>
                <w:lang w:val="nl-NL"/>
              </w:rPr>
              <w:t>9</w:t>
            </w:r>
            <w:r w:rsidRPr="00B94DC1">
              <w:rPr>
                <w:rFonts w:ascii="Arial" w:hAnsi="Arial" w:cs="Arial"/>
                <w:b/>
                <w:bCs/>
                <w:lang w:val="nl-NL"/>
              </w:rPr>
              <w:t>/30/2018</w:t>
            </w:r>
          </w:p>
        </w:tc>
      </w:tr>
      <w:tr w:rsidR="00E0204F" w:rsidRPr="00B94DC1" w14:paraId="33434696" w14:textId="77777777" w:rsidTr="00F43F9A">
        <w:tc>
          <w:tcPr>
            <w:tcW w:w="2017" w:type="pct"/>
            <w:shd w:val="clear" w:color="auto" w:fill="auto"/>
          </w:tcPr>
          <w:p w14:paraId="4E13A645" w14:textId="77777777" w:rsidR="00F43F9A" w:rsidRPr="00B94DC1" w:rsidRDefault="00F43F9A" w:rsidP="009550E9">
            <w:pPr>
              <w:tabs>
                <w:tab w:val="left" w:pos="540"/>
              </w:tabs>
              <w:spacing w:before="120"/>
              <w:ind w:left="709"/>
              <w:jc w:val="left"/>
              <w:rPr>
                <w:rFonts w:ascii="Arial" w:hAnsi="Arial" w:cs="Arial"/>
                <w:lang w:val="nl-NL"/>
              </w:rPr>
            </w:pPr>
            <w:r w:rsidRPr="00B94DC1">
              <w:rPr>
                <w:rFonts w:ascii="Arial" w:hAnsi="Arial" w:cs="Arial"/>
                <w:lang w:val="nl-NL"/>
              </w:rPr>
              <w:t>Tỷ lệ tăng trưởng (%)/</w:t>
            </w:r>
            <w:r w:rsidRPr="00B94DC1">
              <w:rPr>
                <w:rFonts w:ascii="Arial" w:hAnsi="Arial" w:cs="Arial"/>
                <w:lang w:val="nl-NL"/>
              </w:rPr>
              <w:br/>
              <w:t>1 đơn vị CCQ</w:t>
            </w:r>
          </w:p>
        </w:tc>
        <w:tc>
          <w:tcPr>
            <w:tcW w:w="950" w:type="pct"/>
            <w:shd w:val="clear" w:color="auto" w:fill="auto"/>
            <w:vAlign w:val="bottom"/>
          </w:tcPr>
          <w:p w14:paraId="62DE86EC" w14:textId="65EC9682" w:rsidR="00F43F9A" w:rsidRPr="00B94DC1" w:rsidRDefault="006A6DF5" w:rsidP="009550E9">
            <w:pPr>
              <w:overflowPunct/>
              <w:autoSpaceDE/>
              <w:autoSpaceDN/>
              <w:adjustRightInd/>
              <w:jc w:val="right"/>
              <w:textAlignment w:val="auto"/>
              <w:rPr>
                <w:rFonts w:ascii="Arial" w:hAnsi="Arial" w:cs="Arial"/>
                <w:lang w:val="nl-NL"/>
              </w:rPr>
            </w:pPr>
            <w:r w:rsidRPr="00B94DC1">
              <w:rPr>
                <w:rFonts w:ascii="Arial" w:hAnsi="Arial" w:cs="Arial"/>
              </w:rPr>
              <w:t>-1.32</w:t>
            </w:r>
            <w:r w:rsidR="00F43F9A" w:rsidRPr="00B94DC1">
              <w:rPr>
                <w:rFonts w:ascii="Arial" w:hAnsi="Arial" w:cs="Arial"/>
              </w:rPr>
              <w:t>%</w:t>
            </w:r>
          </w:p>
        </w:tc>
        <w:tc>
          <w:tcPr>
            <w:tcW w:w="1016" w:type="pct"/>
            <w:shd w:val="clear" w:color="auto" w:fill="auto"/>
            <w:vAlign w:val="bottom"/>
          </w:tcPr>
          <w:p w14:paraId="0DEAEE1E" w14:textId="69C2E64D" w:rsidR="00F43F9A" w:rsidRPr="00B94DC1" w:rsidRDefault="00F43F9A" w:rsidP="009550E9">
            <w:pPr>
              <w:tabs>
                <w:tab w:val="left" w:pos="540"/>
              </w:tabs>
              <w:spacing w:before="120"/>
              <w:ind w:right="225"/>
              <w:jc w:val="right"/>
              <w:rPr>
                <w:rFonts w:ascii="Arial" w:hAnsi="Arial" w:cs="Arial"/>
                <w:lang w:val="nl-NL"/>
              </w:rPr>
            </w:pPr>
            <w:r w:rsidRPr="00B94DC1">
              <w:rPr>
                <w:rFonts w:ascii="Arial" w:hAnsi="Arial" w:cs="Arial"/>
              </w:rPr>
              <w:t>-</w:t>
            </w:r>
            <w:r w:rsidR="006A6DF5" w:rsidRPr="00B94DC1">
              <w:rPr>
                <w:rFonts w:ascii="Arial" w:hAnsi="Arial" w:cs="Arial"/>
              </w:rPr>
              <w:t>0.27</w:t>
            </w:r>
            <w:r w:rsidRPr="00B94DC1">
              <w:rPr>
                <w:rFonts w:ascii="Arial" w:hAnsi="Arial" w:cs="Arial"/>
              </w:rPr>
              <w:t>%</w:t>
            </w:r>
          </w:p>
        </w:tc>
        <w:tc>
          <w:tcPr>
            <w:tcW w:w="1016" w:type="pct"/>
            <w:shd w:val="clear" w:color="auto" w:fill="auto"/>
            <w:vAlign w:val="bottom"/>
          </w:tcPr>
          <w:p w14:paraId="08BDBB56" w14:textId="544D6A03" w:rsidR="00F43F9A" w:rsidRPr="00B94DC1" w:rsidRDefault="00F43F9A" w:rsidP="009550E9">
            <w:pPr>
              <w:tabs>
                <w:tab w:val="left" w:pos="540"/>
              </w:tabs>
              <w:spacing w:before="120"/>
              <w:ind w:right="200"/>
              <w:jc w:val="right"/>
              <w:rPr>
                <w:rFonts w:ascii="Arial" w:hAnsi="Arial" w:cs="Arial"/>
                <w:lang w:val="nl-NL"/>
              </w:rPr>
            </w:pPr>
            <w:r w:rsidRPr="00B94DC1">
              <w:rPr>
                <w:rFonts w:ascii="Arial" w:hAnsi="Arial" w:cs="Arial"/>
                <w:lang w:val="nl-NL"/>
              </w:rPr>
              <w:t>21.</w:t>
            </w:r>
            <w:r w:rsidR="006A6DF5" w:rsidRPr="00B94DC1">
              <w:rPr>
                <w:rFonts w:ascii="Arial" w:hAnsi="Arial" w:cs="Arial"/>
                <w:lang w:val="nl-NL"/>
              </w:rPr>
              <w:t>46</w:t>
            </w:r>
            <w:r w:rsidRPr="00B94DC1">
              <w:rPr>
                <w:rFonts w:ascii="Arial" w:hAnsi="Arial" w:cs="Arial"/>
                <w:lang w:val="nl-NL"/>
              </w:rPr>
              <w:t>%</w:t>
            </w:r>
          </w:p>
        </w:tc>
      </w:tr>
    </w:tbl>
    <w:p w14:paraId="36F7C8ED" w14:textId="77777777" w:rsidR="00E42142" w:rsidRPr="00B94DC1" w:rsidRDefault="00E42142" w:rsidP="008477D9">
      <w:pPr>
        <w:shd w:val="clear" w:color="auto" w:fill="FFFFFF"/>
        <w:tabs>
          <w:tab w:val="left" w:pos="540"/>
        </w:tabs>
        <w:spacing w:before="120"/>
        <w:rPr>
          <w:rFonts w:ascii="Arial" w:hAnsi="Arial" w:cs="Arial"/>
          <w:b/>
          <w:lang w:val="nl-NL"/>
        </w:rPr>
      </w:pPr>
    </w:p>
    <w:p w14:paraId="5AE3FD2B" w14:textId="77777777" w:rsidR="008477D9" w:rsidRPr="00B94DC1" w:rsidRDefault="008477D9" w:rsidP="00E42142">
      <w:pPr>
        <w:pStyle w:val="ListParagraph"/>
        <w:numPr>
          <w:ilvl w:val="0"/>
          <w:numId w:val="1"/>
        </w:numPr>
        <w:shd w:val="clear" w:color="auto" w:fill="FFFFFF"/>
        <w:tabs>
          <w:tab w:val="left" w:pos="540"/>
        </w:tabs>
        <w:spacing w:before="120"/>
        <w:rPr>
          <w:rFonts w:ascii="Arial" w:hAnsi="Arial" w:cs="Arial"/>
          <w:b/>
          <w:sz w:val="20"/>
          <w:szCs w:val="20"/>
          <w:lang w:val="nl-NL"/>
        </w:rPr>
      </w:pPr>
      <w:r w:rsidRPr="00B94DC1">
        <w:rPr>
          <w:rFonts w:ascii="Arial" w:hAnsi="Arial" w:cs="Arial"/>
          <w:b/>
          <w:sz w:val="20"/>
          <w:szCs w:val="20"/>
          <w:lang w:val="nl-NL"/>
        </w:rPr>
        <w:t>MÔ TẢ THỊ TRƯỜNG TRONG KỲ</w:t>
      </w:r>
    </w:p>
    <w:p w14:paraId="7D2F0298" w14:textId="77777777" w:rsidR="00823AD2" w:rsidRPr="00B94DC1" w:rsidRDefault="00823AD2" w:rsidP="00823AD2">
      <w:pPr>
        <w:spacing w:before="120" w:after="120" w:line="276" w:lineRule="auto"/>
        <w:rPr>
          <w:rFonts w:ascii="Arial" w:hAnsi="Arial" w:cs="Arial"/>
          <w:lang w:val="nl-NL"/>
        </w:rPr>
      </w:pPr>
      <w:r w:rsidRPr="00B94DC1">
        <w:rPr>
          <w:rFonts w:ascii="Arial" w:hAnsi="Arial" w:cs="Arial"/>
          <w:lang w:val="nl-NL"/>
        </w:rPr>
        <w:t xml:space="preserve">Thị trường chứng khoán Việt Nam vùa kết thúc Qúy 3, ghi nhận một quý phục hồi tốt với múc tăng 9,71% so với ngày 30/06/2020. Sau giai đoạn hồi phục mạnh của thị trường trong Quý 2, VNIndex trải qua tháng 7 giao dịch theo xu hướng tích lũy và điều chỉnh về vùng 800 điểm do tâm lý thận trọng của Nhà đầu tư. Nhưng giai đoạn sau của Quý, Thị trường chứng kiến sự hồi phục mạnh mẽ của VNIndex suốt trong tháng 8 và tháng 9 nguyên nhân chính của sự hồi phục đền từ Việt Nam đã kiểm soát tốt dịch bệnh tạo tâm lý an tâm cho Nhà đầu tư quay trở lại thị trường, dòng tiền vào thị trường sôi động đã giúp chỉ số tăng trở lại vùng 900 điểm. Đóng vai trò hỗ trợ chính trong đà tăng điểm của các chỉ số là sự gia nhập của dòng tiền mới. Cũng nhờ dòng tiền bắt đáy này mà giá cổ phiếu nhóm ngân hàng tăng đều đặn, cổ phiếu chứng khoán “dậy sóng”, nhóm khu công nghiệp chủ yếu giao dịch với đà tăng... </w:t>
      </w:r>
    </w:p>
    <w:p w14:paraId="0F8381B9" w14:textId="77777777" w:rsidR="00823AD2" w:rsidRPr="00B94DC1" w:rsidRDefault="00823AD2" w:rsidP="00823AD2">
      <w:pPr>
        <w:spacing w:before="120" w:after="120" w:line="276" w:lineRule="auto"/>
        <w:rPr>
          <w:rFonts w:ascii="Arial" w:hAnsi="Arial" w:cs="Arial"/>
          <w:lang w:val="nl-NL"/>
        </w:rPr>
      </w:pPr>
      <w:r w:rsidRPr="00B94DC1">
        <w:rPr>
          <w:rFonts w:ascii="Arial" w:hAnsi="Arial" w:cs="Arial"/>
          <w:lang w:val="nl-NL"/>
        </w:rPr>
        <w:t>Kết thúc tháng 9, Vnindex đóng cửa tại 905,21 điểm, tăng 80,1 điếm tương đương tăng 9,71% so với ngày 30/06/2020. Thanh khoản của thị trường cổ phiếu, chứng chỉ quỹ bình quân trong quý 3 đạt gần 5.400 tỷ đồng/phiên, tương đương với bình quân quý trước đó.</w:t>
      </w:r>
    </w:p>
    <w:p w14:paraId="43145D77" w14:textId="77777777" w:rsidR="00823AD2" w:rsidRPr="00B94DC1" w:rsidRDefault="00823AD2" w:rsidP="00823AD2">
      <w:pPr>
        <w:spacing w:before="120" w:after="120" w:line="276" w:lineRule="auto"/>
        <w:rPr>
          <w:rFonts w:ascii="Arial" w:hAnsi="Arial" w:cs="Arial"/>
          <w:lang w:val="nl-NL"/>
        </w:rPr>
      </w:pPr>
      <w:r w:rsidRPr="00B94DC1">
        <w:rPr>
          <w:rFonts w:ascii="Arial" w:hAnsi="Arial" w:cs="Arial"/>
          <w:lang w:val="nl-NL"/>
        </w:rPr>
        <w:t>Những điểm chinh của thị trường trong quý 3:</w:t>
      </w:r>
    </w:p>
    <w:p w14:paraId="7F526E1A" w14:textId="77777777" w:rsidR="00823AD2" w:rsidRPr="00B94DC1" w:rsidRDefault="00823AD2" w:rsidP="00823AD2">
      <w:pPr>
        <w:spacing w:before="120" w:after="120" w:line="276" w:lineRule="auto"/>
        <w:ind w:left="900" w:hanging="720"/>
        <w:rPr>
          <w:rFonts w:ascii="Arial" w:hAnsi="Arial" w:cs="Arial"/>
          <w:lang w:val="nl-NL"/>
        </w:rPr>
      </w:pPr>
      <w:r w:rsidRPr="00B94DC1">
        <w:rPr>
          <w:rFonts w:ascii="Arial" w:hAnsi="Arial" w:cs="Arial"/>
          <w:lang w:val="nl-NL"/>
        </w:rPr>
        <w:t>i)          Thanh khoản thị trường tăng cao, đến từ dòng tiền dồi dào từ các nhà đầu tư cá nhân trong nước, trong đó có sự tham gia cùa dòng tiền Nhà đầu tư mới.</w:t>
      </w:r>
    </w:p>
    <w:p w14:paraId="1856CD6A" w14:textId="77777777" w:rsidR="00823AD2" w:rsidRPr="00B94DC1" w:rsidRDefault="00823AD2" w:rsidP="00823AD2">
      <w:pPr>
        <w:spacing w:before="120" w:after="120" w:line="276" w:lineRule="auto"/>
        <w:ind w:left="900" w:hanging="720"/>
        <w:rPr>
          <w:rFonts w:ascii="Arial" w:hAnsi="Arial" w:cs="Arial"/>
          <w:lang w:val="nl-NL"/>
        </w:rPr>
      </w:pPr>
      <w:r w:rsidRPr="00B94DC1">
        <w:rPr>
          <w:rFonts w:ascii="Arial" w:hAnsi="Arial" w:cs="Arial"/>
          <w:lang w:val="nl-NL"/>
        </w:rPr>
        <w:lastRenderedPageBreak/>
        <w:t>ii)         Với giao dịch Nhà đầu tư Nước ngoài: Nhà đầu tư tiếp tục có quý 3 bán ròng gần 2.900 tỷ đồng.</w:t>
      </w:r>
    </w:p>
    <w:p w14:paraId="43E6009D" w14:textId="5513199F" w:rsidR="00EB095D" w:rsidRPr="00B94DC1" w:rsidRDefault="00823AD2" w:rsidP="00823AD2">
      <w:pPr>
        <w:spacing w:before="120" w:after="120" w:line="276" w:lineRule="auto"/>
        <w:ind w:left="900" w:hanging="720"/>
        <w:rPr>
          <w:rFonts w:ascii="Arial" w:hAnsi="Arial" w:cs="Arial"/>
        </w:rPr>
      </w:pPr>
      <w:r w:rsidRPr="00B94DC1">
        <w:rPr>
          <w:rFonts w:ascii="Arial" w:hAnsi="Arial" w:cs="Arial"/>
          <w:lang w:val="nl-NL"/>
        </w:rPr>
        <w:t>iii)        Thị trường có tháng đầu của quý giao dịch tích lũy sau giai đoạn tăng ấn tượng cùa tháng 5 và 6, sau đó tiếp tục đà hồi phục đi từ vùng điểm 800 lên vùng điểm 900. Đây là giai đoạn tăng cần thiết để thị trường có động lực hướng đến vúng điểm cao hơn trong 3 tháng còn lại của năm.</w:t>
      </w:r>
    </w:p>
    <w:p w14:paraId="59352023" w14:textId="683A3AD4" w:rsidR="008477D9" w:rsidRPr="00B94DC1" w:rsidRDefault="008477D9" w:rsidP="00E42142">
      <w:pPr>
        <w:pStyle w:val="ListParagraph"/>
        <w:numPr>
          <w:ilvl w:val="0"/>
          <w:numId w:val="1"/>
        </w:numPr>
        <w:shd w:val="clear" w:color="auto" w:fill="FFFFFF"/>
        <w:tabs>
          <w:tab w:val="left" w:pos="540"/>
        </w:tabs>
        <w:spacing w:before="120"/>
        <w:rPr>
          <w:rFonts w:ascii="Arial" w:hAnsi="Arial" w:cs="Arial"/>
          <w:sz w:val="20"/>
          <w:szCs w:val="20"/>
          <w:lang w:val="nl-NL"/>
        </w:rPr>
      </w:pPr>
      <w:r w:rsidRPr="00B94DC1">
        <w:rPr>
          <w:rFonts w:ascii="Arial" w:hAnsi="Arial" w:cs="Arial"/>
          <w:b/>
          <w:sz w:val="20"/>
          <w:szCs w:val="20"/>
          <w:lang w:val="nl-NL"/>
        </w:rPr>
        <w:t>CHI TIẾT CÁC CHỈ TIÊU HOẠT ĐỘNG CỦA QUỸ</w:t>
      </w:r>
      <w:r w:rsidRPr="00B94DC1">
        <w:rPr>
          <w:rFonts w:ascii="Arial" w:hAnsi="Arial" w:cs="Arial"/>
          <w:sz w:val="20"/>
          <w:szCs w:val="20"/>
          <w:lang w:val="nl-NL"/>
        </w:rPr>
        <w:t>:</w:t>
      </w:r>
    </w:p>
    <w:p w14:paraId="661ECA9C" w14:textId="77777777" w:rsidR="00E42142" w:rsidRPr="00B94DC1" w:rsidRDefault="00E42142" w:rsidP="00E42142">
      <w:pPr>
        <w:pStyle w:val="ListParagraph"/>
        <w:shd w:val="clear" w:color="auto" w:fill="FFFFFF"/>
        <w:tabs>
          <w:tab w:val="left" w:pos="540"/>
        </w:tabs>
        <w:spacing w:before="120"/>
        <w:ind w:left="369"/>
        <w:rPr>
          <w:rFonts w:ascii="Arial" w:hAnsi="Arial" w:cs="Arial"/>
          <w:sz w:val="20"/>
          <w:szCs w:val="20"/>
          <w:lang w:val="nl-NL"/>
        </w:rPr>
      </w:pPr>
    </w:p>
    <w:p w14:paraId="464FB217" w14:textId="77777777" w:rsidR="008477D9" w:rsidRPr="00B94DC1" w:rsidRDefault="008477D9" w:rsidP="008477D9">
      <w:pPr>
        <w:shd w:val="clear" w:color="auto" w:fill="FFFFFF"/>
        <w:tabs>
          <w:tab w:val="left" w:pos="540"/>
        </w:tabs>
        <w:spacing w:before="120"/>
        <w:rPr>
          <w:rFonts w:ascii="Arial" w:hAnsi="Arial" w:cs="Arial"/>
          <w:b/>
          <w:lang w:val="nl-NL"/>
        </w:rPr>
      </w:pPr>
      <w:r w:rsidRPr="00B94DC1">
        <w:rPr>
          <w:rFonts w:ascii="Arial" w:hAnsi="Arial" w:cs="Arial"/>
          <w:b/>
          <w:lang w:val="nl-NL"/>
        </w:rPr>
        <w:t>4.1.</w:t>
      </w:r>
      <w:r w:rsidRPr="00B94DC1">
        <w:rPr>
          <w:rFonts w:ascii="Arial" w:hAnsi="Arial" w:cs="Arial"/>
          <w:b/>
          <w:lang w:val="nl-NL"/>
        </w:rPr>
        <w:tab/>
        <w:t>Số liệu chi tiết hoạt động của Quỹ</w:t>
      </w:r>
    </w:p>
    <w:tbl>
      <w:tblPr>
        <w:tblW w:w="10000" w:type="dxa"/>
        <w:tblLook w:val="04A0" w:firstRow="1" w:lastRow="0" w:firstColumn="1" w:lastColumn="0" w:noHBand="0" w:noVBand="1"/>
      </w:tblPr>
      <w:tblGrid>
        <w:gridCol w:w="1959"/>
        <w:gridCol w:w="3272"/>
        <w:gridCol w:w="2932"/>
        <w:gridCol w:w="1837"/>
      </w:tblGrid>
      <w:tr w:rsidR="00B94DC1" w:rsidRPr="00B94DC1" w14:paraId="715BBD3A" w14:textId="77777777" w:rsidTr="00CE41BB">
        <w:trPr>
          <w:trHeight w:val="855"/>
        </w:trPr>
        <w:tc>
          <w:tcPr>
            <w:tcW w:w="1959" w:type="dxa"/>
            <w:tcBorders>
              <w:top w:val="nil"/>
              <w:left w:val="nil"/>
              <w:bottom w:val="nil"/>
              <w:right w:val="nil"/>
            </w:tcBorders>
            <w:shd w:val="clear" w:color="auto" w:fill="auto"/>
            <w:vAlign w:val="center"/>
            <w:hideMark/>
          </w:tcPr>
          <w:p w14:paraId="7A6FFA03" w14:textId="77777777" w:rsidR="00434086" w:rsidRPr="00B94DC1" w:rsidRDefault="00434086" w:rsidP="00434086">
            <w:pPr>
              <w:overflowPunct/>
              <w:autoSpaceDE/>
              <w:autoSpaceDN/>
              <w:adjustRightInd/>
              <w:jc w:val="center"/>
              <w:textAlignment w:val="auto"/>
              <w:rPr>
                <w:rFonts w:ascii="Arial" w:hAnsi="Arial" w:cs="Arial"/>
                <w:b/>
                <w:bCs/>
                <w:lang w:val="en-US"/>
              </w:rPr>
            </w:pPr>
            <w:r w:rsidRPr="00B94DC1">
              <w:rPr>
                <w:rFonts w:ascii="Arial" w:hAnsi="Arial" w:cs="Arial"/>
                <w:b/>
                <w:bCs/>
                <w:lang w:val="en-US"/>
              </w:rPr>
              <w:t>Chỉ tiêu</w:t>
            </w:r>
          </w:p>
        </w:tc>
        <w:tc>
          <w:tcPr>
            <w:tcW w:w="3272" w:type="dxa"/>
            <w:tcBorders>
              <w:top w:val="nil"/>
              <w:left w:val="nil"/>
              <w:bottom w:val="nil"/>
              <w:right w:val="nil"/>
            </w:tcBorders>
            <w:shd w:val="clear" w:color="auto" w:fill="auto"/>
            <w:vAlign w:val="center"/>
            <w:hideMark/>
          </w:tcPr>
          <w:p w14:paraId="34D7473E" w14:textId="77777777" w:rsidR="00434086" w:rsidRPr="00B94DC1" w:rsidRDefault="00434086" w:rsidP="00434086">
            <w:pPr>
              <w:overflowPunct/>
              <w:autoSpaceDE/>
              <w:autoSpaceDN/>
              <w:adjustRightInd/>
              <w:jc w:val="center"/>
              <w:textAlignment w:val="auto"/>
              <w:rPr>
                <w:rFonts w:ascii="Arial" w:hAnsi="Arial" w:cs="Arial"/>
                <w:b/>
                <w:bCs/>
                <w:lang w:val="en-US"/>
              </w:rPr>
            </w:pPr>
            <w:r w:rsidRPr="00B94DC1">
              <w:rPr>
                <w:rFonts w:ascii="Arial" w:hAnsi="Arial" w:cs="Arial"/>
                <w:b/>
                <w:bCs/>
                <w:lang w:val="en-US"/>
              </w:rPr>
              <w:t>1 năm đến thời điểm báo cáo (%)</w:t>
            </w:r>
          </w:p>
        </w:tc>
        <w:tc>
          <w:tcPr>
            <w:tcW w:w="2932" w:type="dxa"/>
            <w:tcBorders>
              <w:top w:val="nil"/>
              <w:left w:val="nil"/>
              <w:bottom w:val="nil"/>
              <w:right w:val="nil"/>
            </w:tcBorders>
            <w:shd w:val="clear" w:color="auto" w:fill="auto"/>
            <w:vAlign w:val="center"/>
            <w:hideMark/>
          </w:tcPr>
          <w:p w14:paraId="41D4DCA1" w14:textId="77777777" w:rsidR="00434086" w:rsidRPr="00B94DC1" w:rsidRDefault="00434086" w:rsidP="00434086">
            <w:pPr>
              <w:overflowPunct/>
              <w:autoSpaceDE/>
              <w:autoSpaceDN/>
              <w:adjustRightInd/>
              <w:jc w:val="center"/>
              <w:textAlignment w:val="auto"/>
              <w:rPr>
                <w:rFonts w:ascii="Arial" w:hAnsi="Arial" w:cs="Arial"/>
                <w:b/>
                <w:bCs/>
                <w:lang w:val="en-US"/>
              </w:rPr>
            </w:pPr>
            <w:r w:rsidRPr="00B94DC1">
              <w:rPr>
                <w:rFonts w:ascii="Arial" w:hAnsi="Arial" w:cs="Arial"/>
                <w:b/>
                <w:bCs/>
                <w:lang w:val="en-US"/>
              </w:rPr>
              <w:t>3 năm gần nhất tính đến thời điểm báo cáo (%)</w:t>
            </w:r>
          </w:p>
        </w:tc>
        <w:tc>
          <w:tcPr>
            <w:tcW w:w="1837" w:type="dxa"/>
            <w:tcBorders>
              <w:top w:val="nil"/>
              <w:left w:val="nil"/>
              <w:bottom w:val="nil"/>
              <w:right w:val="nil"/>
            </w:tcBorders>
            <w:shd w:val="clear" w:color="auto" w:fill="auto"/>
            <w:vAlign w:val="center"/>
            <w:hideMark/>
          </w:tcPr>
          <w:p w14:paraId="1E20F4CA" w14:textId="77777777" w:rsidR="00434086" w:rsidRPr="00B94DC1" w:rsidRDefault="00434086" w:rsidP="00434086">
            <w:pPr>
              <w:overflowPunct/>
              <w:autoSpaceDE/>
              <w:autoSpaceDN/>
              <w:adjustRightInd/>
              <w:jc w:val="center"/>
              <w:textAlignment w:val="auto"/>
              <w:rPr>
                <w:rFonts w:ascii="Arial" w:hAnsi="Arial" w:cs="Arial"/>
                <w:b/>
                <w:bCs/>
                <w:lang w:val="en-US"/>
              </w:rPr>
            </w:pPr>
            <w:r w:rsidRPr="00B94DC1">
              <w:rPr>
                <w:rFonts w:ascii="Arial" w:hAnsi="Arial" w:cs="Arial"/>
                <w:b/>
                <w:bCs/>
                <w:lang w:val="en-US"/>
              </w:rPr>
              <w:t>Từ khi thành lập đến thời điểm báo cáo (%)</w:t>
            </w:r>
          </w:p>
        </w:tc>
      </w:tr>
      <w:tr w:rsidR="00B94DC1" w:rsidRPr="00B94DC1" w14:paraId="430F44AA" w14:textId="77777777" w:rsidTr="00CE41BB">
        <w:trPr>
          <w:trHeight w:val="300"/>
        </w:trPr>
        <w:tc>
          <w:tcPr>
            <w:tcW w:w="1959" w:type="dxa"/>
            <w:tcBorders>
              <w:top w:val="nil"/>
              <w:left w:val="nil"/>
              <w:bottom w:val="nil"/>
              <w:right w:val="nil"/>
            </w:tcBorders>
            <w:shd w:val="clear" w:color="auto" w:fill="auto"/>
            <w:vAlign w:val="center"/>
            <w:hideMark/>
          </w:tcPr>
          <w:p w14:paraId="67773DB9" w14:textId="77777777" w:rsidR="00434086" w:rsidRPr="00B94DC1" w:rsidRDefault="00434086" w:rsidP="00434086">
            <w:pPr>
              <w:overflowPunct/>
              <w:autoSpaceDE/>
              <w:autoSpaceDN/>
              <w:adjustRightInd/>
              <w:jc w:val="center"/>
              <w:textAlignment w:val="auto"/>
              <w:rPr>
                <w:rFonts w:ascii="Arial" w:hAnsi="Arial" w:cs="Arial"/>
                <w:b/>
                <w:bCs/>
                <w:lang w:val="en-US"/>
              </w:rPr>
            </w:pPr>
          </w:p>
        </w:tc>
        <w:tc>
          <w:tcPr>
            <w:tcW w:w="3272" w:type="dxa"/>
            <w:tcBorders>
              <w:top w:val="nil"/>
              <w:left w:val="nil"/>
              <w:bottom w:val="nil"/>
              <w:right w:val="nil"/>
            </w:tcBorders>
            <w:shd w:val="clear" w:color="auto" w:fill="auto"/>
            <w:vAlign w:val="center"/>
            <w:hideMark/>
          </w:tcPr>
          <w:p w14:paraId="6487D286" w14:textId="77777777" w:rsidR="00434086" w:rsidRPr="00B94DC1" w:rsidRDefault="00434086" w:rsidP="00434086">
            <w:pPr>
              <w:overflowPunct/>
              <w:autoSpaceDE/>
              <w:autoSpaceDN/>
              <w:adjustRightInd/>
              <w:jc w:val="center"/>
              <w:textAlignment w:val="auto"/>
              <w:rPr>
                <w:rFonts w:ascii="Arial" w:hAnsi="Arial" w:cs="Arial"/>
                <w:lang w:val="en-US"/>
              </w:rPr>
            </w:pPr>
          </w:p>
        </w:tc>
        <w:tc>
          <w:tcPr>
            <w:tcW w:w="2932" w:type="dxa"/>
            <w:tcBorders>
              <w:top w:val="nil"/>
              <w:left w:val="nil"/>
              <w:bottom w:val="nil"/>
              <w:right w:val="nil"/>
            </w:tcBorders>
            <w:shd w:val="clear" w:color="auto" w:fill="auto"/>
            <w:vAlign w:val="center"/>
            <w:hideMark/>
          </w:tcPr>
          <w:p w14:paraId="49A4433C" w14:textId="77777777" w:rsidR="00434086" w:rsidRPr="00B94DC1" w:rsidRDefault="00434086" w:rsidP="00434086">
            <w:pPr>
              <w:overflowPunct/>
              <w:autoSpaceDE/>
              <w:autoSpaceDN/>
              <w:adjustRightInd/>
              <w:jc w:val="center"/>
              <w:textAlignment w:val="auto"/>
              <w:rPr>
                <w:rFonts w:ascii="Arial" w:hAnsi="Arial" w:cs="Arial"/>
                <w:lang w:val="en-US"/>
              </w:rPr>
            </w:pPr>
          </w:p>
        </w:tc>
        <w:tc>
          <w:tcPr>
            <w:tcW w:w="1837" w:type="dxa"/>
            <w:tcBorders>
              <w:top w:val="nil"/>
              <w:left w:val="nil"/>
              <w:bottom w:val="nil"/>
              <w:right w:val="nil"/>
            </w:tcBorders>
            <w:shd w:val="clear" w:color="auto" w:fill="auto"/>
            <w:vAlign w:val="center"/>
            <w:hideMark/>
          </w:tcPr>
          <w:p w14:paraId="3DB4257F" w14:textId="77777777" w:rsidR="00434086" w:rsidRPr="00B94DC1" w:rsidRDefault="00434086" w:rsidP="00434086">
            <w:pPr>
              <w:overflowPunct/>
              <w:autoSpaceDE/>
              <w:autoSpaceDN/>
              <w:adjustRightInd/>
              <w:jc w:val="center"/>
              <w:textAlignment w:val="auto"/>
              <w:rPr>
                <w:rFonts w:ascii="Arial" w:hAnsi="Arial" w:cs="Arial"/>
                <w:lang w:val="en-US"/>
              </w:rPr>
            </w:pPr>
          </w:p>
        </w:tc>
      </w:tr>
      <w:tr w:rsidR="00B94DC1" w:rsidRPr="00B94DC1" w14:paraId="0F1B7353" w14:textId="77777777" w:rsidTr="00CE41BB">
        <w:trPr>
          <w:trHeight w:val="600"/>
        </w:trPr>
        <w:tc>
          <w:tcPr>
            <w:tcW w:w="1959" w:type="dxa"/>
            <w:tcBorders>
              <w:top w:val="nil"/>
              <w:left w:val="nil"/>
              <w:bottom w:val="nil"/>
              <w:right w:val="nil"/>
            </w:tcBorders>
            <w:shd w:val="clear" w:color="auto" w:fill="auto"/>
            <w:vAlign w:val="center"/>
            <w:hideMark/>
          </w:tcPr>
          <w:p w14:paraId="3BCA0B32" w14:textId="77777777" w:rsidR="00585FEF" w:rsidRPr="00B94DC1" w:rsidRDefault="00585FEF" w:rsidP="00585FEF">
            <w:pPr>
              <w:overflowPunct/>
              <w:autoSpaceDE/>
              <w:autoSpaceDN/>
              <w:adjustRightInd/>
              <w:jc w:val="left"/>
              <w:textAlignment w:val="auto"/>
              <w:rPr>
                <w:rFonts w:ascii="Arial" w:hAnsi="Arial" w:cs="Arial"/>
                <w:lang w:val="en-US"/>
              </w:rPr>
            </w:pPr>
            <w:r w:rsidRPr="00B94DC1">
              <w:rPr>
                <w:rFonts w:ascii="Arial" w:hAnsi="Arial" w:cs="Arial"/>
                <w:lang w:val="en-US"/>
              </w:rPr>
              <w:t>Tăng trưởng thu nhập/1 đơn vị CCQ</w:t>
            </w:r>
          </w:p>
        </w:tc>
        <w:tc>
          <w:tcPr>
            <w:tcW w:w="3272" w:type="dxa"/>
            <w:tcBorders>
              <w:top w:val="nil"/>
              <w:left w:val="nil"/>
              <w:bottom w:val="nil"/>
              <w:right w:val="nil"/>
            </w:tcBorders>
            <w:shd w:val="clear" w:color="auto" w:fill="auto"/>
            <w:vAlign w:val="center"/>
          </w:tcPr>
          <w:p w14:paraId="511C440C" w14:textId="20C1D6A6" w:rsidR="00585FEF" w:rsidRPr="00B94DC1" w:rsidRDefault="00585FEF" w:rsidP="00585FEF">
            <w:pPr>
              <w:overflowPunct/>
              <w:autoSpaceDE/>
              <w:autoSpaceDN/>
              <w:adjustRightInd/>
              <w:ind w:right="180"/>
              <w:jc w:val="right"/>
              <w:textAlignment w:val="auto"/>
              <w:rPr>
                <w:rFonts w:ascii="Arial" w:hAnsi="Arial" w:cs="Arial"/>
                <w:lang w:val="en-US"/>
              </w:rPr>
            </w:pPr>
            <w:r w:rsidRPr="00B94DC1">
              <w:rPr>
                <w:rFonts w:ascii="Arial" w:hAnsi="Arial" w:cs="Arial"/>
              </w:rPr>
              <w:t>840.10%</w:t>
            </w:r>
          </w:p>
        </w:tc>
        <w:tc>
          <w:tcPr>
            <w:tcW w:w="2932" w:type="dxa"/>
            <w:tcBorders>
              <w:top w:val="nil"/>
              <w:left w:val="nil"/>
              <w:bottom w:val="nil"/>
              <w:right w:val="nil"/>
            </w:tcBorders>
            <w:shd w:val="clear" w:color="auto" w:fill="auto"/>
            <w:vAlign w:val="center"/>
          </w:tcPr>
          <w:p w14:paraId="446B53C1" w14:textId="0B86F82A" w:rsidR="00585FEF" w:rsidRPr="00B94DC1" w:rsidRDefault="00585FEF" w:rsidP="00585FEF">
            <w:pPr>
              <w:overflowPunct/>
              <w:autoSpaceDE/>
              <w:autoSpaceDN/>
              <w:adjustRightInd/>
              <w:ind w:right="180"/>
              <w:jc w:val="right"/>
              <w:textAlignment w:val="auto"/>
              <w:rPr>
                <w:rFonts w:ascii="Arial" w:hAnsi="Arial" w:cs="Arial"/>
                <w:lang w:val="en-US"/>
              </w:rPr>
            </w:pPr>
            <w:r w:rsidRPr="00B94DC1">
              <w:rPr>
                <w:rFonts w:ascii="Arial" w:hAnsi="Arial" w:cs="Arial"/>
              </w:rPr>
              <w:t>-165.71%</w:t>
            </w:r>
          </w:p>
        </w:tc>
        <w:tc>
          <w:tcPr>
            <w:tcW w:w="1837" w:type="dxa"/>
            <w:tcBorders>
              <w:top w:val="nil"/>
              <w:left w:val="nil"/>
              <w:bottom w:val="nil"/>
              <w:right w:val="nil"/>
            </w:tcBorders>
            <w:shd w:val="clear" w:color="auto" w:fill="auto"/>
            <w:vAlign w:val="center"/>
            <w:hideMark/>
          </w:tcPr>
          <w:p w14:paraId="6478F352" w14:textId="7D66955F" w:rsidR="00585FEF" w:rsidRPr="00B94DC1" w:rsidRDefault="00585FEF" w:rsidP="00585FEF">
            <w:pPr>
              <w:overflowPunct/>
              <w:autoSpaceDE/>
              <w:autoSpaceDN/>
              <w:adjustRightInd/>
              <w:ind w:right="180"/>
              <w:jc w:val="right"/>
              <w:textAlignment w:val="auto"/>
              <w:rPr>
                <w:rFonts w:ascii="Arial" w:hAnsi="Arial" w:cs="Arial"/>
                <w:lang w:val="en-US"/>
              </w:rPr>
            </w:pPr>
            <w:r w:rsidRPr="00B94DC1">
              <w:rPr>
                <w:rFonts w:ascii="Arial" w:hAnsi="Arial" w:cs="Arial"/>
              </w:rPr>
              <w:t>NA</w:t>
            </w:r>
          </w:p>
        </w:tc>
      </w:tr>
      <w:tr w:rsidR="00B94DC1" w:rsidRPr="00B94DC1" w14:paraId="24D03948" w14:textId="77777777" w:rsidTr="00CE41BB">
        <w:trPr>
          <w:trHeight w:val="600"/>
        </w:trPr>
        <w:tc>
          <w:tcPr>
            <w:tcW w:w="1959" w:type="dxa"/>
            <w:tcBorders>
              <w:top w:val="nil"/>
              <w:left w:val="nil"/>
              <w:bottom w:val="nil"/>
              <w:right w:val="nil"/>
            </w:tcBorders>
            <w:shd w:val="clear" w:color="auto" w:fill="auto"/>
            <w:vAlign w:val="center"/>
            <w:hideMark/>
          </w:tcPr>
          <w:p w14:paraId="2B23E529" w14:textId="77777777" w:rsidR="00585FEF" w:rsidRPr="00B94DC1" w:rsidRDefault="00585FEF" w:rsidP="00585FEF">
            <w:pPr>
              <w:overflowPunct/>
              <w:autoSpaceDE/>
              <w:autoSpaceDN/>
              <w:adjustRightInd/>
              <w:jc w:val="left"/>
              <w:textAlignment w:val="auto"/>
              <w:rPr>
                <w:rFonts w:ascii="Arial" w:hAnsi="Arial" w:cs="Arial"/>
                <w:lang w:val="en-US"/>
              </w:rPr>
            </w:pPr>
            <w:r w:rsidRPr="00B94DC1">
              <w:rPr>
                <w:rFonts w:ascii="Arial" w:hAnsi="Arial" w:cs="Arial"/>
                <w:lang w:val="en-US"/>
              </w:rPr>
              <w:t>Tăng trưởng Vốn/1 đơn vị CCQ</w:t>
            </w:r>
          </w:p>
        </w:tc>
        <w:tc>
          <w:tcPr>
            <w:tcW w:w="3272" w:type="dxa"/>
            <w:tcBorders>
              <w:top w:val="nil"/>
              <w:left w:val="nil"/>
              <w:bottom w:val="nil"/>
              <w:right w:val="nil"/>
            </w:tcBorders>
            <w:shd w:val="clear" w:color="auto" w:fill="auto"/>
            <w:vAlign w:val="center"/>
          </w:tcPr>
          <w:p w14:paraId="1B1B1D9A" w14:textId="58AF879D" w:rsidR="00585FEF" w:rsidRPr="00B94DC1" w:rsidRDefault="00585FEF" w:rsidP="00585FEF">
            <w:pPr>
              <w:ind w:right="180"/>
              <w:jc w:val="right"/>
              <w:rPr>
                <w:rFonts w:ascii="Arial" w:hAnsi="Arial" w:cs="Arial"/>
              </w:rPr>
            </w:pPr>
            <w:r w:rsidRPr="00B94DC1">
              <w:rPr>
                <w:rFonts w:ascii="Arial" w:hAnsi="Arial" w:cs="Arial"/>
              </w:rPr>
              <w:t>-2189.29%</w:t>
            </w:r>
          </w:p>
        </w:tc>
        <w:tc>
          <w:tcPr>
            <w:tcW w:w="2932" w:type="dxa"/>
            <w:tcBorders>
              <w:top w:val="nil"/>
              <w:left w:val="nil"/>
              <w:bottom w:val="nil"/>
              <w:right w:val="nil"/>
            </w:tcBorders>
            <w:shd w:val="clear" w:color="auto" w:fill="auto"/>
            <w:vAlign w:val="center"/>
          </w:tcPr>
          <w:p w14:paraId="7A4B7043" w14:textId="4ED96548" w:rsidR="00585FEF" w:rsidRPr="00B94DC1" w:rsidRDefault="00585FEF" w:rsidP="00585FEF">
            <w:pPr>
              <w:overflowPunct/>
              <w:autoSpaceDE/>
              <w:autoSpaceDN/>
              <w:adjustRightInd/>
              <w:ind w:right="180"/>
              <w:jc w:val="right"/>
              <w:textAlignment w:val="auto"/>
              <w:rPr>
                <w:rFonts w:ascii="Arial" w:hAnsi="Arial" w:cs="Arial"/>
                <w:lang w:val="en-US"/>
              </w:rPr>
            </w:pPr>
            <w:r w:rsidRPr="00B94DC1">
              <w:rPr>
                <w:rFonts w:ascii="Arial" w:hAnsi="Arial" w:cs="Arial"/>
              </w:rPr>
              <w:t>921.09%</w:t>
            </w:r>
          </w:p>
        </w:tc>
        <w:tc>
          <w:tcPr>
            <w:tcW w:w="1837" w:type="dxa"/>
            <w:tcBorders>
              <w:top w:val="nil"/>
              <w:left w:val="nil"/>
              <w:bottom w:val="nil"/>
              <w:right w:val="nil"/>
            </w:tcBorders>
            <w:shd w:val="clear" w:color="auto" w:fill="auto"/>
            <w:vAlign w:val="center"/>
            <w:hideMark/>
          </w:tcPr>
          <w:p w14:paraId="3B1EB9F1" w14:textId="365C81E8" w:rsidR="00585FEF" w:rsidRPr="00B94DC1" w:rsidRDefault="00585FEF" w:rsidP="00585FEF">
            <w:pPr>
              <w:overflowPunct/>
              <w:autoSpaceDE/>
              <w:autoSpaceDN/>
              <w:adjustRightInd/>
              <w:ind w:right="180"/>
              <w:jc w:val="right"/>
              <w:textAlignment w:val="auto"/>
              <w:rPr>
                <w:rFonts w:ascii="Arial" w:hAnsi="Arial" w:cs="Arial"/>
                <w:lang w:val="en-US"/>
              </w:rPr>
            </w:pPr>
            <w:r w:rsidRPr="00B94DC1">
              <w:rPr>
                <w:rFonts w:ascii="Arial" w:hAnsi="Arial" w:cs="Arial"/>
              </w:rPr>
              <w:t>NA</w:t>
            </w:r>
          </w:p>
        </w:tc>
      </w:tr>
      <w:tr w:rsidR="00B94DC1" w:rsidRPr="00B94DC1" w14:paraId="075B717F" w14:textId="77777777" w:rsidTr="00CE41BB">
        <w:trPr>
          <w:trHeight w:val="600"/>
        </w:trPr>
        <w:tc>
          <w:tcPr>
            <w:tcW w:w="1959" w:type="dxa"/>
            <w:tcBorders>
              <w:top w:val="nil"/>
              <w:left w:val="nil"/>
              <w:bottom w:val="nil"/>
              <w:right w:val="nil"/>
            </w:tcBorders>
            <w:shd w:val="clear" w:color="auto" w:fill="auto"/>
            <w:vAlign w:val="center"/>
            <w:hideMark/>
          </w:tcPr>
          <w:p w14:paraId="633233C1" w14:textId="77777777" w:rsidR="00585FEF" w:rsidRPr="00B94DC1" w:rsidRDefault="00585FEF" w:rsidP="00585FEF">
            <w:pPr>
              <w:overflowPunct/>
              <w:autoSpaceDE/>
              <w:autoSpaceDN/>
              <w:adjustRightInd/>
              <w:jc w:val="left"/>
              <w:textAlignment w:val="auto"/>
              <w:rPr>
                <w:rFonts w:ascii="Arial" w:hAnsi="Arial" w:cs="Arial"/>
                <w:lang w:val="en-US"/>
              </w:rPr>
            </w:pPr>
            <w:r w:rsidRPr="00B94DC1">
              <w:rPr>
                <w:rFonts w:ascii="Arial" w:hAnsi="Arial" w:cs="Arial"/>
                <w:lang w:val="en-US"/>
              </w:rPr>
              <w:t>Tổng tăng trưởng/1 đơn vị CCQ</w:t>
            </w:r>
          </w:p>
        </w:tc>
        <w:tc>
          <w:tcPr>
            <w:tcW w:w="3272" w:type="dxa"/>
            <w:tcBorders>
              <w:top w:val="nil"/>
              <w:left w:val="nil"/>
              <w:bottom w:val="nil"/>
              <w:right w:val="nil"/>
            </w:tcBorders>
            <w:shd w:val="clear" w:color="auto" w:fill="auto"/>
            <w:vAlign w:val="center"/>
          </w:tcPr>
          <w:p w14:paraId="17F86096" w14:textId="4545CAB8" w:rsidR="00585FEF" w:rsidRPr="00B94DC1" w:rsidRDefault="00585FEF" w:rsidP="00585FEF">
            <w:pPr>
              <w:ind w:right="180"/>
              <w:jc w:val="right"/>
              <w:rPr>
                <w:rFonts w:ascii="Arial" w:hAnsi="Arial" w:cs="Arial"/>
              </w:rPr>
            </w:pPr>
            <w:r w:rsidRPr="00B94DC1">
              <w:rPr>
                <w:rFonts w:ascii="Arial" w:hAnsi="Arial" w:cs="Arial"/>
              </w:rPr>
              <w:t>-1349.20%</w:t>
            </w:r>
          </w:p>
        </w:tc>
        <w:tc>
          <w:tcPr>
            <w:tcW w:w="2932" w:type="dxa"/>
            <w:tcBorders>
              <w:top w:val="nil"/>
              <w:left w:val="nil"/>
              <w:bottom w:val="nil"/>
              <w:right w:val="nil"/>
            </w:tcBorders>
            <w:shd w:val="clear" w:color="auto" w:fill="auto"/>
            <w:vAlign w:val="center"/>
          </w:tcPr>
          <w:p w14:paraId="2E9E1C6E" w14:textId="189543B5" w:rsidR="00585FEF" w:rsidRPr="00B94DC1" w:rsidRDefault="00585FEF" w:rsidP="00585FEF">
            <w:pPr>
              <w:overflowPunct/>
              <w:autoSpaceDE/>
              <w:autoSpaceDN/>
              <w:adjustRightInd/>
              <w:ind w:right="180"/>
              <w:jc w:val="right"/>
              <w:textAlignment w:val="auto"/>
              <w:rPr>
                <w:rFonts w:ascii="Arial" w:hAnsi="Arial" w:cs="Arial"/>
                <w:lang w:val="en-US"/>
              </w:rPr>
            </w:pPr>
            <w:r w:rsidRPr="00B94DC1">
              <w:rPr>
                <w:rFonts w:ascii="Arial" w:hAnsi="Arial" w:cs="Arial"/>
              </w:rPr>
              <w:t>755.37%</w:t>
            </w:r>
          </w:p>
        </w:tc>
        <w:tc>
          <w:tcPr>
            <w:tcW w:w="1837" w:type="dxa"/>
            <w:tcBorders>
              <w:top w:val="nil"/>
              <w:left w:val="nil"/>
              <w:bottom w:val="nil"/>
              <w:right w:val="nil"/>
            </w:tcBorders>
            <w:shd w:val="clear" w:color="auto" w:fill="auto"/>
            <w:vAlign w:val="center"/>
            <w:hideMark/>
          </w:tcPr>
          <w:p w14:paraId="02B57BCF" w14:textId="5EB3092A" w:rsidR="00585FEF" w:rsidRPr="00B94DC1" w:rsidRDefault="00585FEF" w:rsidP="00585FEF">
            <w:pPr>
              <w:overflowPunct/>
              <w:autoSpaceDE/>
              <w:autoSpaceDN/>
              <w:adjustRightInd/>
              <w:ind w:right="180"/>
              <w:jc w:val="right"/>
              <w:textAlignment w:val="auto"/>
              <w:rPr>
                <w:rFonts w:ascii="Arial" w:hAnsi="Arial" w:cs="Arial"/>
                <w:lang w:val="en-US"/>
              </w:rPr>
            </w:pPr>
            <w:r w:rsidRPr="00B94DC1">
              <w:rPr>
                <w:rFonts w:ascii="Arial" w:hAnsi="Arial" w:cs="Arial"/>
              </w:rPr>
              <w:t>NA</w:t>
            </w:r>
          </w:p>
        </w:tc>
      </w:tr>
      <w:tr w:rsidR="00B94DC1" w:rsidRPr="00B94DC1" w14:paraId="38C8756D" w14:textId="77777777" w:rsidTr="002E6045">
        <w:trPr>
          <w:trHeight w:val="600"/>
        </w:trPr>
        <w:tc>
          <w:tcPr>
            <w:tcW w:w="1959" w:type="dxa"/>
            <w:tcBorders>
              <w:top w:val="nil"/>
              <w:left w:val="nil"/>
              <w:bottom w:val="nil"/>
              <w:right w:val="nil"/>
            </w:tcBorders>
            <w:shd w:val="clear" w:color="auto" w:fill="auto"/>
            <w:vAlign w:val="center"/>
            <w:hideMark/>
          </w:tcPr>
          <w:p w14:paraId="5A1DB894" w14:textId="77777777" w:rsidR="00000BCF" w:rsidRPr="00B94DC1" w:rsidRDefault="00000BCF" w:rsidP="00000BCF">
            <w:pPr>
              <w:overflowPunct/>
              <w:autoSpaceDE/>
              <w:autoSpaceDN/>
              <w:adjustRightInd/>
              <w:jc w:val="left"/>
              <w:textAlignment w:val="auto"/>
              <w:rPr>
                <w:rFonts w:ascii="Arial" w:hAnsi="Arial" w:cs="Arial"/>
                <w:lang w:val="en-US"/>
              </w:rPr>
            </w:pPr>
            <w:r w:rsidRPr="00B94DC1">
              <w:rPr>
                <w:rFonts w:ascii="Arial" w:hAnsi="Arial" w:cs="Arial"/>
                <w:lang w:val="en-US"/>
              </w:rPr>
              <w:t>Tăng trưởng hàng năm(%)/1 đơn vị CCQ</w:t>
            </w:r>
          </w:p>
        </w:tc>
        <w:tc>
          <w:tcPr>
            <w:tcW w:w="3272" w:type="dxa"/>
            <w:tcBorders>
              <w:top w:val="nil"/>
              <w:left w:val="nil"/>
              <w:bottom w:val="nil"/>
              <w:right w:val="nil"/>
            </w:tcBorders>
            <w:shd w:val="clear" w:color="auto" w:fill="auto"/>
            <w:vAlign w:val="bottom"/>
            <w:hideMark/>
          </w:tcPr>
          <w:p w14:paraId="413EF360" w14:textId="72EE2A33" w:rsidR="00000BCF" w:rsidRPr="00B94DC1" w:rsidRDefault="00F43F9A" w:rsidP="00A01ADE">
            <w:pPr>
              <w:overflowPunct/>
              <w:autoSpaceDE/>
              <w:autoSpaceDN/>
              <w:adjustRightInd/>
              <w:ind w:right="180"/>
              <w:jc w:val="right"/>
              <w:textAlignment w:val="auto"/>
              <w:rPr>
                <w:rFonts w:ascii="Arial" w:hAnsi="Arial" w:cs="Arial"/>
                <w:lang w:val="en-US"/>
              </w:rPr>
            </w:pPr>
            <w:r w:rsidRPr="00B94DC1">
              <w:rPr>
                <w:rFonts w:ascii="Arial" w:hAnsi="Arial" w:cs="Arial"/>
              </w:rPr>
              <w:t>-4.21</w:t>
            </w:r>
            <w:r w:rsidR="00000BCF" w:rsidRPr="00B94DC1">
              <w:rPr>
                <w:rFonts w:ascii="Arial" w:hAnsi="Arial" w:cs="Arial"/>
              </w:rPr>
              <w:t>%</w:t>
            </w:r>
          </w:p>
        </w:tc>
        <w:tc>
          <w:tcPr>
            <w:tcW w:w="2932" w:type="dxa"/>
            <w:tcBorders>
              <w:top w:val="nil"/>
              <w:left w:val="nil"/>
              <w:bottom w:val="nil"/>
              <w:right w:val="nil"/>
            </w:tcBorders>
            <w:shd w:val="clear" w:color="auto" w:fill="auto"/>
            <w:vAlign w:val="bottom"/>
            <w:hideMark/>
          </w:tcPr>
          <w:p w14:paraId="270B90D4" w14:textId="039155C6" w:rsidR="00000BCF" w:rsidRPr="00B94DC1" w:rsidRDefault="00F43F9A" w:rsidP="00A01ADE">
            <w:pPr>
              <w:overflowPunct/>
              <w:autoSpaceDE/>
              <w:autoSpaceDN/>
              <w:adjustRightInd/>
              <w:ind w:right="180"/>
              <w:jc w:val="right"/>
              <w:textAlignment w:val="auto"/>
              <w:rPr>
                <w:rFonts w:ascii="Arial" w:hAnsi="Arial" w:cs="Arial"/>
                <w:lang w:val="en-US"/>
              </w:rPr>
            </w:pPr>
            <w:r w:rsidRPr="00B94DC1">
              <w:rPr>
                <w:rFonts w:ascii="Arial" w:hAnsi="Arial" w:cs="Arial"/>
              </w:rPr>
              <w:t>3.56%</w:t>
            </w:r>
          </w:p>
        </w:tc>
        <w:tc>
          <w:tcPr>
            <w:tcW w:w="1837" w:type="dxa"/>
            <w:tcBorders>
              <w:top w:val="nil"/>
              <w:left w:val="nil"/>
              <w:bottom w:val="nil"/>
              <w:right w:val="nil"/>
            </w:tcBorders>
            <w:shd w:val="clear" w:color="auto" w:fill="auto"/>
            <w:vAlign w:val="bottom"/>
            <w:hideMark/>
          </w:tcPr>
          <w:p w14:paraId="01BFDE86" w14:textId="7AF8600D" w:rsidR="00000BCF" w:rsidRPr="00B94DC1" w:rsidRDefault="00F43F9A" w:rsidP="00A01ADE">
            <w:pPr>
              <w:overflowPunct/>
              <w:autoSpaceDE/>
              <w:autoSpaceDN/>
              <w:adjustRightInd/>
              <w:ind w:right="180"/>
              <w:jc w:val="right"/>
              <w:textAlignment w:val="auto"/>
              <w:rPr>
                <w:rFonts w:ascii="Arial" w:hAnsi="Arial" w:cs="Arial"/>
                <w:lang w:val="en-US"/>
              </w:rPr>
            </w:pPr>
            <w:r w:rsidRPr="00B94DC1">
              <w:rPr>
                <w:rFonts w:ascii="Arial" w:hAnsi="Arial" w:cs="Arial"/>
              </w:rPr>
              <w:t>8.35%</w:t>
            </w:r>
          </w:p>
        </w:tc>
      </w:tr>
      <w:tr w:rsidR="00B94DC1" w:rsidRPr="00B94DC1" w14:paraId="78894219" w14:textId="77777777" w:rsidTr="00CE41BB">
        <w:trPr>
          <w:trHeight w:val="600"/>
        </w:trPr>
        <w:tc>
          <w:tcPr>
            <w:tcW w:w="1959" w:type="dxa"/>
            <w:tcBorders>
              <w:top w:val="nil"/>
              <w:left w:val="nil"/>
              <w:bottom w:val="nil"/>
              <w:right w:val="nil"/>
            </w:tcBorders>
            <w:shd w:val="clear" w:color="auto" w:fill="auto"/>
            <w:vAlign w:val="center"/>
            <w:hideMark/>
          </w:tcPr>
          <w:p w14:paraId="7D4D99A8" w14:textId="77777777" w:rsidR="00434086" w:rsidRPr="00B94DC1" w:rsidRDefault="00434086" w:rsidP="00434086">
            <w:pPr>
              <w:overflowPunct/>
              <w:autoSpaceDE/>
              <w:autoSpaceDN/>
              <w:adjustRightInd/>
              <w:jc w:val="left"/>
              <w:textAlignment w:val="auto"/>
              <w:rPr>
                <w:rFonts w:ascii="Arial" w:hAnsi="Arial" w:cs="Arial"/>
                <w:lang w:val="en-US"/>
              </w:rPr>
            </w:pPr>
            <w:r w:rsidRPr="00B94DC1">
              <w:rPr>
                <w:rFonts w:ascii="Arial" w:hAnsi="Arial" w:cs="Arial"/>
                <w:lang w:val="en-US"/>
              </w:rPr>
              <w:t>Tăng trưởng của danh mục cơ cấu</w:t>
            </w:r>
          </w:p>
        </w:tc>
        <w:tc>
          <w:tcPr>
            <w:tcW w:w="3272" w:type="dxa"/>
            <w:tcBorders>
              <w:top w:val="nil"/>
              <w:left w:val="nil"/>
              <w:bottom w:val="nil"/>
              <w:right w:val="nil"/>
            </w:tcBorders>
            <w:shd w:val="clear" w:color="auto" w:fill="auto"/>
            <w:vAlign w:val="center"/>
            <w:hideMark/>
          </w:tcPr>
          <w:p w14:paraId="250CC8AE" w14:textId="77777777" w:rsidR="00434086" w:rsidRPr="00B94DC1" w:rsidRDefault="00434086" w:rsidP="00A01ADE">
            <w:pPr>
              <w:overflowPunct/>
              <w:autoSpaceDE/>
              <w:autoSpaceDN/>
              <w:adjustRightInd/>
              <w:ind w:right="180"/>
              <w:jc w:val="right"/>
              <w:textAlignment w:val="auto"/>
              <w:rPr>
                <w:rFonts w:ascii="Arial" w:hAnsi="Arial" w:cs="Arial"/>
                <w:lang w:val="en-US"/>
              </w:rPr>
            </w:pPr>
            <w:r w:rsidRPr="00B94DC1">
              <w:rPr>
                <w:rFonts w:ascii="Arial" w:hAnsi="Arial" w:cs="Arial"/>
                <w:lang w:val="en-US"/>
              </w:rPr>
              <w:t>N/A</w:t>
            </w:r>
          </w:p>
        </w:tc>
        <w:tc>
          <w:tcPr>
            <w:tcW w:w="2932" w:type="dxa"/>
            <w:tcBorders>
              <w:top w:val="nil"/>
              <w:left w:val="nil"/>
              <w:bottom w:val="nil"/>
              <w:right w:val="nil"/>
            </w:tcBorders>
            <w:shd w:val="clear" w:color="auto" w:fill="auto"/>
            <w:vAlign w:val="center"/>
            <w:hideMark/>
          </w:tcPr>
          <w:p w14:paraId="767B7E6B" w14:textId="77777777" w:rsidR="00434086" w:rsidRPr="00B94DC1" w:rsidRDefault="00434086" w:rsidP="00A01ADE">
            <w:pPr>
              <w:overflowPunct/>
              <w:autoSpaceDE/>
              <w:autoSpaceDN/>
              <w:adjustRightInd/>
              <w:ind w:right="180"/>
              <w:jc w:val="right"/>
              <w:textAlignment w:val="auto"/>
              <w:rPr>
                <w:rFonts w:ascii="Arial" w:hAnsi="Arial" w:cs="Arial"/>
                <w:lang w:val="en-US"/>
              </w:rPr>
            </w:pPr>
            <w:r w:rsidRPr="00B94DC1">
              <w:rPr>
                <w:rFonts w:ascii="Arial" w:hAnsi="Arial" w:cs="Arial"/>
                <w:lang w:val="en-US"/>
              </w:rPr>
              <w:t>N/A</w:t>
            </w:r>
          </w:p>
        </w:tc>
        <w:tc>
          <w:tcPr>
            <w:tcW w:w="1837" w:type="dxa"/>
            <w:tcBorders>
              <w:top w:val="nil"/>
              <w:left w:val="nil"/>
              <w:bottom w:val="nil"/>
              <w:right w:val="nil"/>
            </w:tcBorders>
            <w:shd w:val="clear" w:color="auto" w:fill="auto"/>
            <w:vAlign w:val="center"/>
            <w:hideMark/>
          </w:tcPr>
          <w:p w14:paraId="7AADCC73" w14:textId="77777777" w:rsidR="00434086" w:rsidRPr="00B94DC1" w:rsidRDefault="00434086" w:rsidP="00A01ADE">
            <w:pPr>
              <w:overflowPunct/>
              <w:autoSpaceDE/>
              <w:autoSpaceDN/>
              <w:adjustRightInd/>
              <w:ind w:right="180"/>
              <w:jc w:val="right"/>
              <w:textAlignment w:val="auto"/>
              <w:rPr>
                <w:rFonts w:ascii="Arial" w:hAnsi="Arial" w:cs="Arial"/>
                <w:lang w:val="en-US"/>
              </w:rPr>
            </w:pPr>
            <w:r w:rsidRPr="00B94DC1">
              <w:rPr>
                <w:rFonts w:ascii="Arial" w:hAnsi="Arial" w:cs="Arial"/>
                <w:lang w:val="en-US"/>
              </w:rPr>
              <w:t>N/A</w:t>
            </w:r>
          </w:p>
        </w:tc>
      </w:tr>
      <w:tr w:rsidR="00B94DC1" w:rsidRPr="00B94DC1" w14:paraId="4E019357" w14:textId="77777777" w:rsidTr="002E6045">
        <w:trPr>
          <w:trHeight w:val="600"/>
        </w:trPr>
        <w:tc>
          <w:tcPr>
            <w:tcW w:w="1959" w:type="dxa"/>
            <w:tcBorders>
              <w:top w:val="nil"/>
              <w:left w:val="nil"/>
              <w:bottom w:val="nil"/>
              <w:right w:val="nil"/>
            </w:tcBorders>
            <w:shd w:val="clear" w:color="auto" w:fill="auto"/>
            <w:vAlign w:val="center"/>
            <w:hideMark/>
          </w:tcPr>
          <w:p w14:paraId="44B9AFB2" w14:textId="77777777" w:rsidR="00D23597" w:rsidRPr="00B94DC1" w:rsidRDefault="00D23597" w:rsidP="00D23597">
            <w:pPr>
              <w:overflowPunct/>
              <w:autoSpaceDE/>
              <w:autoSpaceDN/>
              <w:adjustRightInd/>
              <w:jc w:val="left"/>
              <w:textAlignment w:val="auto"/>
              <w:rPr>
                <w:rFonts w:ascii="Arial" w:hAnsi="Arial" w:cs="Arial"/>
                <w:lang w:val="en-US"/>
              </w:rPr>
            </w:pPr>
            <w:r w:rsidRPr="00B94DC1">
              <w:rPr>
                <w:rFonts w:ascii="Arial" w:hAnsi="Arial" w:cs="Arial"/>
                <w:lang w:val="en-US"/>
              </w:rPr>
              <w:t>Thay đổi giá trị thị trường của 1 đơn vị CCQ</w:t>
            </w:r>
          </w:p>
        </w:tc>
        <w:tc>
          <w:tcPr>
            <w:tcW w:w="3272" w:type="dxa"/>
            <w:tcBorders>
              <w:top w:val="nil"/>
              <w:left w:val="nil"/>
              <w:bottom w:val="nil"/>
              <w:right w:val="nil"/>
            </w:tcBorders>
            <w:shd w:val="clear" w:color="auto" w:fill="auto"/>
            <w:vAlign w:val="bottom"/>
            <w:hideMark/>
          </w:tcPr>
          <w:p w14:paraId="229607D2" w14:textId="2698DD14" w:rsidR="00D23597" w:rsidRPr="00B94DC1" w:rsidRDefault="00F43F9A" w:rsidP="00A01ADE">
            <w:pPr>
              <w:overflowPunct/>
              <w:autoSpaceDE/>
              <w:autoSpaceDN/>
              <w:adjustRightInd/>
              <w:ind w:right="180"/>
              <w:jc w:val="right"/>
              <w:textAlignment w:val="auto"/>
              <w:rPr>
                <w:rFonts w:ascii="Arial" w:hAnsi="Arial" w:cs="Arial"/>
                <w:lang w:val="en-US"/>
              </w:rPr>
            </w:pPr>
            <w:r w:rsidRPr="00B94DC1">
              <w:rPr>
                <w:rFonts w:ascii="Arial" w:hAnsi="Arial" w:cs="Arial"/>
              </w:rPr>
              <w:t>-1599.62</w:t>
            </w:r>
          </w:p>
        </w:tc>
        <w:tc>
          <w:tcPr>
            <w:tcW w:w="2932" w:type="dxa"/>
            <w:tcBorders>
              <w:top w:val="nil"/>
              <w:left w:val="nil"/>
              <w:bottom w:val="nil"/>
              <w:right w:val="nil"/>
            </w:tcBorders>
            <w:shd w:val="clear" w:color="auto" w:fill="auto"/>
            <w:vAlign w:val="bottom"/>
            <w:hideMark/>
          </w:tcPr>
          <w:p w14:paraId="70B6DA0E" w14:textId="7EAA4912" w:rsidR="00D23597" w:rsidRPr="00B94DC1" w:rsidRDefault="00F43F9A" w:rsidP="00A01ADE">
            <w:pPr>
              <w:overflowPunct/>
              <w:autoSpaceDE/>
              <w:autoSpaceDN/>
              <w:adjustRightInd/>
              <w:ind w:right="180"/>
              <w:jc w:val="right"/>
              <w:textAlignment w:val="auto"/>
              <w:rPr>
                <w:rFonts w:ascii="Arial" w:hAnsi="Arial" w:cs="Arial"/>
                <w:lang w:val="en-US"/>
              </w:rPr>
            </w:pPr>
            <w:r w:rsidRPr="00B94DC1">
              <w:rPr>
                <w:rFonts w:ascii="Arial" w:hAnsi="Arial" w:cs="Arial"/>
              </w:rPr>
              <w:t>3625.73</w:t>
            </w:r>
          </w:p>
        </w:tc>
        <w:tc>
          <w:tcPr>
            <w:tcW w:w="1837" w:type="dxa"/>
            <w:tcBorders>
              <w:top w:val="nil"/>
              <w:left w:val="nil"/>
              <w:bottom w:val="nil"/>
              <w:right w:val="nil"/>
            </w:tcBorders>
            <w:shd w:val="clear" w:color="auto" w:fill="auto"/>
            <w:vAlign w:val="bottom"/>
            <w:hideMark/>
          </w:tcPr>
          <w:p w14:paraId="31D831F7" w14:textId="4AF8BD54" w:rsidR="00D23597" w:rsidRPr="00B94DC1" w:rsidRDefault="00F43F9A" w:rsidP="00A01ADE">
            <w:pPr>
              <w:overflowPunct/>
              <w:autoSpaceDE/>
              <w:autoSpaceDN/>
              <w:adjustRightInd/>
              <w:ind w:right="180"/>
              <w:jc w:val="right"/>
              <w:textAlignment w:val="auto"/>
              <w:rPr>
                <w:rFonts w:ascii="Arial" w:hAnsi="Arial" w:cs="Arial"/>
                <w:lang w:val="en-US"/>
              </w:rPr>
            </w:pPr>
            <w:r w:rsidRPr="00B94DC1">
              <w:rPr>
                <w:rFonts w:ascii="Arial" w:hAnsi="Arial" w:cs="Arial"/>
              </w:rPr>
              <w:t>26401.9</w:t>
            </w:r>
          </w:p>
        </w:tc>
      </w:tr>
      <w:tr w:rsidR="00B94DC1" w:rsidRPr="00B94DC1" w14:paraId="2391112D" w14:textId="77777777" w:rsidTr="00CE41BB">
        <w:trPr>
          <w:trHeight w:val="315"/>
        </w:trPr>
        <w:tc>
          <w:tcPr>
            <w:tcW w:w="1959" w:type="dxa"/>
            <w:tcBorders>
              <w:top w:val="nil"/>
              <w:left w:val="nil"/>
              <w:bottom w:val="nil"/>
              <w:right w:val="nil"/>
            </w:tcBorders>
            <w:shd w:val="clear" w:color="auto" w:fill="auto"/>
            <w:vAlign w:val="center"/>
            <w:hideMark/>
          </w:tcPr>
          <w:p w14:paraId="2D7E5CCE" w14:textId="77777777" w:rsidR="00434086" w:rsidRPr="00B94DC1" w:rsidRDefault="00434086" w:rsidP="00434086">
            <w:pPr>
              <w:overflowPunct/>
              <w:autoSpaceDE/>
              <w:autoSpaceDN/>
              <w:adjustRightInd/>
              <w:jc w:val="center"/>
              <w:textAlignment w:val="auto"/>
              <w:rPr>
                <w:rFonts w:ascii="Arial" w:hAnsi="Arial" w:cs="Arial"/>
                <w:lang w:val="en-US"/>
              </w:rPr>
            </w:pPr>
          </w:p>
        </w:tc>
        <w:tc>
          <w:tcPr>
            <w:tcW w:w="3272" w:type="dxa"/>
            <w:tcBorders>
              <w:top w:val="nil"/>
              <w:left w:val="nil"/>
              <w:bottom w:val="double" w:sz="6" w:space="0" w:color="auto"/>
              <w:right w:val="nil"/>
            </w:tcBorders>
            <w:shd w:val="clear" w:color="auto" w:fill="auto"/>
            <w:vAlign w:val="center"/>
            <w:hideMark/>
          </w:tcPr>
          <w:p w14:paraId="63BB0966" w14:textId="77777777" w:rsidR="00434086" w:rsidRPr="00B94DC1" w:rsidRDefault="00434086" w:rsidP="00434086">
            <w:pPr>
              <w:overflowPunct/>
              <w:autoSpaceDE/>
              <w:autoSpaceDN/>
              <w:adjustRightInd/>
              <w:jc w:val="center"/>
              <w:textAlignment w:val="auto"/>
              <w:rPr>
                <w:rFonts w:ascii="Arial" w:hAnsi="Arial" w:cs="Arial"/>
                <w:lang w:val="en-US"/>
              </w:rPr>
            </w:pPr>
            <w:r w:rsidRPr="00B94DC1">
              <w:rPr>
                <w:rFonts w:ascii="Arial" w:hAnsi="Arial" w:cs="Arial"/>
                <w:lang w:val="en-US"/>
              </w:rPr>
              <w:t> </w:t>
            </w:r>
          </w:p>
        </w:tc>
        <w:tc>
          <w:tcPr>
            <w:tcW w:w="2932" w:type="dxa"/>
            <w:tcBorders>
              <w:top w:val="nil"/>
              <w:left w:val="nil"/>
              <w:bottom w:val="double" w:sz="6" w:space="0" w:color="auto"/>
              <w:right w:val="nil"/>
            </w:tcBorders>
            <w:shd w:val="clear" w:color="auto" w:fill="auto"/>
            <w:vAlign w:val="center"/>
            <w:hideMark/>
          </w:tcPr>
          <w:p w14:paraId="19648199" w14:textId="77777777" w:rsidR="00434086" w:rsidRPr="00B94DC1" w:rsidRDefault="00434086" w:rsidP="00434086">
            <w:pPr>
              <w:overflowPunct/>
              <w:autoSpaceDE/>
              <w:autoSpaceDN/>
              <w:adjustRightInd/>
              <w:jc w:val="center"/>
              <w:textAlignment w:val="auto"/>
              <w:rPr>
                <w:rFonts w:ascii="Arial" w:hAnsi="Arial" w:cs="Arial"/>
                <w:lang w:val="en-US"/>
              </w:rPr>
            </w:pPr>
            <w:r w:rsidRPr="00B94DC1">
              <w:rPr>
                <w:rFonts w:ascii="Arial" w:hAnsi="Arial" w:cs="Arial"/>
                <w:lang w:val="en-US"/>
              </w:rPr>
              <w:t> </w:t>
            </w:r>
          </w:p>
        </w:tc>
        <w:tc>
          <w:tcPr>
            <w:tcW w:w="1837" w:type="dxa"/>
            <w:tcBorders>
              <w:top w:val="nil"/>
              <w:left w:val="nil"/>
              <w:bottom w:val="double" w:sz="6" w:space="0" w:color="auto"/>
              <w:right w:val="nil"/>
            </w:tcBorders>
            <w:shd w:val="clear" w:color="auto" w:fill="auto"/>
            <w:vAlign w:val="center"/>
            <w:hideMark/>
          </w:tcPr>
          <w:p w14:paraId="3FCC8181" w14:textId="77777777" w:rsidR="00434086" w:rsidRPr="00B94DC1" w:rsidRDefault="00434086" w:rsidP="00434086">
            <w:pPr>
              <w:overflowPunct/>
              <w:autoSpaceDE/>
              <w:autoSpaceDN/>
              <w:adjustRightInd/>
              <w:jc w:val="center"/>
              <w:textAlignment w:val="auto"/>
              <w:rPr>
                <w:rFonts w:ascii="Arial" w:hAnsi="Arial" w:cs="Arial"/>
                <w:lang w:val="en-US"/>
              </w:rPr>
            </w:pPr>
            <w:r w:rsidRPr="00B94DC1">
              <w:rPr>
                <w:rFonts w:ascii="Arial" w:hAnsi="Arial" w:cs="Arial"/>
                <w:lang w:val="en-US"/>
              </w:rPr>
              <w:t> </w:t>
            </w:r>
          </w:p>
        </w:tc>
      </w:tr>
    </w:tbl>
    <w:p w14:paraId="0F4CA0A0" w14:textId="4384190E" w:rsidR="00E42142" w:rsidRPr="00B94DC1" w:rsidRDefault="008477D9" w:rsidP="008477D9">
      <w:pPr>
        <w:shd w:val="clear" w:color="auto" w:fill="FFFFFF"/>
        <w:tabs>
          <w:tab w:val="left" w:pos="540"/>
        </w:tabs>
        <w:spacing w:before="120"/>
        <w:rPr>
          <w:rFonts w:ascii="Arial" w:hAnsi="Arial" w:cs="Arial"/>
          <w:lang w:val="nl-NL"/>
        </w:rPr>
      </w:pPr>
      <w:r w:rsidRPr="00B94DC1">
        <w:rPr>
          <w:rFonts w:ascii="Arial" w:hAnsi="Arial" w:cs="Arial"/>
          <w:lang w:val="nl-NL"/>
        </w:rPr>
        <w:tab/>
      </w:r>
      <w:r w:rsidRPr="00B94DC1">
        <w:rPr>
          <w:rFonts w:ascii="Arial" w:hAnsi="Arial" w:cs="Arial"/>
          <w:lang w:val="nl-NL"/>
        </w:rPr>
        <w:tab/>
      </w:r>
    </w:p>
    <w:p w14:paraId="09BAD339" w14:textId="0685938F" w:rsidR="00355583" w:rsidRPr="00B94DC1" w:rsidRDefault="008477D9" w:rsidP="008477D9">
      <w:pPr>
        <w:shd w:val="clear" w:color="auto" w:fill="FFFFFF"/>
        <w:tabs>
          <w:tab w:val="left" w:pos="540"/>
        </w:tabs>
        <w:spacing w:before="120"/>
        <w:rPr>
          <w:rFonts w:ascii="Arial" w:hAnsi="Arial" w:cs="Arial"/>
          <w:lang w:val="nl-NL"/>
        </w:rPr>
      </w:pPr>
      <w:r w:rsidRPr="00B94DC1">
        <w:rPr>
          <w:rFonts w:ascii="Arial" w:hAnsi="Arial" w:cs="Arial"/>
          <w:lang w:val="nl-NL"/>
        </w:rPr>
        <w:tab/>
      </w:r>
    </w:p>
    <w:p w14:paraId="68AAAB0E" w14:textId="77777777" w:rsidR="002A44B7" w:rsidRPr="00B94DC1" w:rsidRDefault="006A6DF5" w:rsidP="002A44B7">
      <w:pPr>
        <w:overflowPunct/>
        <w:autoSpaceDE/>
        <w:autoSpaceDN/>
        <w:adjustRightInd/>
        <w:spacing w:before="120" w:after="160" w:line="259" w:lineRule="auto"/>
        <w:jc w:val="left"/>
        <w:textAlignment w:val="auto"/>
        <w:rPr>
          <w:rFonts w:ascii="Arial" w:hAnsi="Arial" w:cs="Arial"/>
          <w:lang w:val="nl-NL"/>
        </w:rPr>
      </w:pPr>
      <w:r w:rsidRPr="00B94DC1">
        <w:rPr>
          <w:rFonts w:ascii="Arial" w:hAnsi="Arial" w:cs="Arial"/>
          <w:noProof/>
          <w:lang w:val="nl-NL"/>
        </w:rPr>
        <w:drawing>
          <wp:inline distT="0" distB="0" distL="0" distR="0" wp14:anchorId="4C3A4D45" wp14:editId="6E30E282">
            <wp:extent cx="6130344" cy="309077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8481" cy="3120082"/>
                    </a:xfrm>
                    <a:prstGeom prst="rect">
                      <a:avLst/>
                    </a:prstGeom>
                    <a:noFill/>
                  </pic:spPr>
                </pic:pic>
              </a:graphicData>
            </a:graphic>
          </wp:inline>
        </w:drawing>
      </w:r>
    </w:p>
    <w:p w14:paraId="5F45F4EB" w14:textId="63204958" w:rsidR="008477D9" w:rsidRPr="00B94DC1" w:rsidRDefault="008477D9" w:rsidP="002A44B7">
      <w:pPr>
        <w:overflowPunct/>
        <w:autoSpaceDE/>
        <w:autoSpaceDN/>
        <w:adjustRightInd/>
        <w:spacing w:before="120" w:after="160" w:line="259" w:lineRule="auto"/>
        <w:jc w:val="left"/>
        <w:textAlignment w:val="auto"/>
        <w:rPr>
          <w:rFonts w:ascii="Arial" w:hAnsi="Arial" w:cs="Arial"/>
          <w:lang w:val="nl-NL"/>
        </w:rPr>
      </w:pPr>
      <w:r w:rsidRPr="00B94DC1">
        <w:rPr>
          <w:rFonts w:ascii="Arial" w:hAnsi="Arial" w:cs="Arial"/>
          <w:lang w:val="nl-NL"/>
        </w:rPr>
        <w:t>Thay đổi giá trị tài sản ròng:</w:t>
      </w:r>
    </w:p>
    <w:p w14:paraId="19D1B297" w14:textId="77777777" w:rsidR="00E42142" w:rsidRPr="00B94DC1" w:rsidRDefault="00E42142" w:rsidP="008477D9">
      <w:pPr>
        <w:shd w:val="clear" w:color="auto" w:fill="FFFFFF"/>
        <w:tabs>
          <w:tab w:val="left" w:pos="540"/>
        </w:tabs>
        <w:spacing w:before="120"/>
        <w:rPr>
          <w:rFonts w:ascii="Arial" w:hAnsi="Arial" w:cs="Arial"/>
          <w:lang w:val="nl-NL"/>
        </w:rPr>
      </w:pPr>
    </w:p>
    <w:tbl>
      <w:tblPr>
        <w:tblW w:w="10000" w:type="dxa"/>
        <w:tblLook w:val="04A0" w:firstRow="1" w:lastRow="0" w:firstColumn="1" w:lastColumn="0" w:noHBand="0" w:noVBand="1"/>
      </w:tblPr>
      <w:tblGrid>
        <w:gridCol w:w="2252"/>
        <w:gridCol w:w="3056"/>
        <w:gridCol w:w="2412"/>
        <w:gridCol w:w="2280"/>
      </w:tblGrid>
      <w:tr w:rsidR="00B94DC1" w:rsidRPr="00B94DC1" w14:paraId="404D3A46" w14:textId="77777777" w:rsidTr="00CE41BB">
        <w:trPr>
          <w:trHeight w:val="300"/>
        </w:trPr>
        <w:tc>
          <w:tcPr>
            <w:tcW w:w="2252" w:type="dxa"/>
            <w:tcBorders>
              <w:top w:val="nil"/>
              <w:left w:val="nil"/>
              <w:bottom w:val="nil"/>
              <w:right w:val="nil"/>
            </w:tcBorders>
            <w:shd w:val="clear" w:color="auto" w:fill="auto"/>
            <w:vAlign w:val="center"/>
            <w:hideMark/>
          </w:tcPr>
          <w:p w14:paraId="1CBD0ED1" w14:textId="77777777" w:rsidR="00E0204F" w:rsidRPr="00B94DC1" w:rsidRDefault="00E0204F" w:rsidP="00E0204F">
            <w:pPr>
              <w:overflowPunct/>
              <w:autoSpaceDE/>
              <w:autoSpaceDN/>
              <w:adjustRightInd/>
              <w:jc w:val="center"/>
              <w:textAlignment w:val="auto"/>
              <w:rPr>
                <w:rFonts w:ascii="Arial" w:hAnsi="Arial" w:cs="Arial"/>
                <w:b/>
                <w:bCs/>
                <w:lang w:val="en-US"/>
              </w:rPr>
            </w:pPr>
            <w:r w:rsidRPr="00B94DC1">
              <w:rPr>
                <w:rFonts w:ascii="Arial" w:hAnsi="Arial" w:cs="Arial"/>
                <w:b/>
                <w:bCs/>
                <w:lang w:val="en-US"/>
              </w:rPr>
              <w:t>Chỉ tiêu</w:t>
            </w:r>
          </w:p>
        </w:tc>
        <w:tc>
          <w:tcPr>
            <w:tcW w:w="3056" w:type="dxa"/>
            <w:tcBorders>
              <w:top w:val="nil"/>
              <w:left w:val="nil"/>
              <w:bottom w:val="nil"/>
              <w:right w:val="nil"/>
            </w:tcBorders>
            <w:shd w:val="clear" w:color="auto" w:fill="auto"/>
            <w:vAlign w:val="center"/>
            <w:hideMark/>
          </w:tcPr>
          <w:p w14:paraId="1BEE381A" w14:textId="52F547A5" w:rsidR="00E0204F" w:rsidRPr="00B94DC1" w:rsidRDefault="00E0204F" w:rsidP="00E0204F">
            <w:pPr>
              <w:overflowPunct/>
              <w:autoSpaceDE/>
              <w:autoSpaceDN/>
              <w:adjustRightInd/>
              <w:jc w:val="center"/>
              <w:textAlignment w:val="auto"/>
              <w:rPr>
                <w:rFonts w:ascii="Arial" w:hAnsi="Arial" w:cs="Arial"/>
                <w:b/>
                <w:bCs/>
                <w:lang w:val="en-US"/>
              </w:rPr>
            </w:pPr>
            <w:r w:rsidRPr="00B94DC1">
              <w:rPr>
                <w:rFonts w:ascii="Arial" w:hAnsi="Arial" w:cs="Arial"/>
              </w:rPr>
              <w:t>30/09/2020</w:t>
            </w:r>
          </w:p>
        </w:tc>
        <w:tc>
          <w:tcPr>
            <w:tcW w:w="2412" w:type="dxa"/>
            <w:tcBorders>
              <w:top w:val="nil"/>
              <w:left w:val="nil"/>
              <w:bottom w:val="nil"/>
              <w:right w:val="nil"/>
            </w:tcBorders>
            <w:shd w:val="clear" w:color="auto" w:fill="auto"/>
            <w:vAlign w:val="center"/>
            <w:hideMark/>
          </w:tcPr>
          <w:p w14:paraId="1CEAFE8F" w14:textId="40A80208" w:rsidR="00E0204F" w:rsidRPr="00B94DC1" w:rsidRDefault="00E0204F" w:rsidP="00E0204F">
            <w:pPr>
              <w:overflowPunct/>
              <w:autoSpaceDE/>
              <w:autoSpaceDN/>
              <w:adjustRightInd/>
              <w:jc w:val="center"/>
              <w:textAlignment w:val="auto"/>
              <w:rPr>
                <w:rFonts w:ascii="Arial" w:hAnsi="Arial" w:cs="Arial"/>
                <w:b/>
                <w:bCs/>
                <w:lang w:val="en-US"/>
              </w:rPr>
            </w:pPr>
            <w:r w:rsidRPr="00B94DC1">
              <w:rPr>
                <w:rFonts w:ascii="Arial" w:hAnsi="Arial" w:cs="Arial"/>
              </w:rPr>
              <w:t>30/09/2019</w:t>
            </w:r>
          </w:p>
        </w:tc>
        <w:tc>
          <w:tcPr>
            <w:tcW w:w="2280" w:type="dxa"/>
            <w:tcBorders>
              <w:top w:val="nil"/>
              <w:left w:val="nil"/>
              <w:bottom w:val="nil"/>
              <w:right w:val="nil"/>
            </w:tcBorders>
            <w:shd w:val="clear" w:color="auto" w:fill="auto"/>
            <w:vAlign w:val="center"/>
            <w:hideMark/>
          </w:tcPr>
          <w:p w14:paraId="7E3487DE" w14:textId="77777777" w:rsidR="00E0204F" w:rsidRPr="00B94DC1" w:rsidRDefault="00E0204F" w:rsidP="00E0204F">
            <w:pPr>
              <w:overflowPunct/>
              <w:autoSpaceDE/>
              <w:autoSpaceDN/>
              <w:adjustRightInd/>
              <w:jc w:val="center"/>
              <w:textAlignment w:val="auto"/>
              <w:rPr>
                <w:rFonts w:ascii="Arial" w:hAnsi="Arial" w:cs="Arial"/>
                <w:b/>
                <w:bCs/>
                <w:lang w:val="en-US"/>
              </w:rPr>
            </w:pPr>
            <w:r w:rsidRPr="00B94DC1">
              <w:rPr>
                <w:rFonts w:ascii="Arial" w:hAnsi="Arial" w:cs="Arial"/>
                <w:b/>
                <w:bCs/>
                <w:lang w:val="en-US"/>
              </w:rPr>
              <w:t>Tỷ lệ thay đổi</w:t>
            </w:r>
          </w:p>
        </w:tc>
      </w:tr>
      <w:tr w:rsidR="00B94DC1" w:rsidRPr="00B94DC1" w14:paraId="3BE15FEC" w14:textId="77777777" w:rsidTr="00CE41BB">
        <w:trPr>
          <w:trHeight w:val="300"/>
        </w:trPr>
        <w:tc>
          <w:tcPr>
            <w:tcW w:w="2252" w:type="dxa"/>
            <w:tcBorders>
              <w:top w:val="nil"/>
              <w:left w:val="nil"/>
              <w:bottom w:val="nil"/>
              <w:right w:val="nil"/>
            </w:tcBorders>
            <w:shd w:val="clear" w:color="auto" w:fill="auto"/>
            <w:vAlign w:val="center"/>
            <w:hideMark/>
          </w:tcPr>
          <w:p w14:paraId="6DC1552F" w14:textId="77777777" w:rsidR="00434086" w:rsidRPr="00B94DC1" w:rsidRDefault="00434086" w:rsidP="00434086">
            <w:pPr>
              <w:overflowPunct/>
              <w:autoSpaceDE/>
              <w:autoSpaceDN/>
              <w:adjustRightInd/>
              <w:jc w:val="center"/>
              <w:textAlignment w:val="auto"/>
              <w:rPr>
                <w:rFonts w:ascii="Arial" w:hAnsi="Arial" w:cs="Arial"/>
                <w:b/>
                <w:bCs/>
                <w:lang w:val="en-US"/>
              </w:rPr>
            </w:pPr>
          </w:p>
        </w:tc>
        <w:tc>
          <w:tcPr>
            <w:tcW w:w="3056" w:type="dxa"/>
            <w:tcBorders>
              <w:top w:val="nil"/>
              <w:left w:val="nil"/>
              <w:bottom w:val="nil"/>
              <w:right w:val="nil"/>
            </w:tcBorders>
            <w:shd w:val="clear" w:color="auto" w:fill="auto"/>
            <w:vAlign w:val="center"/>
            <w:hideMark/>
          </w:tcPr>
          <w:p w14:paraId="2CEDF066" w14:textId="77777777" w:rsidR="00434086" w:rsidRPr="00B94DC1" w:rsidRDefault="00434086" w:rsidP="00434086">
            <w:pPr>
              <w:overflowPunct/>
              <w:autoSpaceDE/>
              <w:autoSpaceDN/>
              <w:adjustRightInd/>
              <w:jc w:val="center"/>
              <w:textAlignment w:val="auto"/>
              <w:rPr>
                <w:rFonts w:ascii="Arial" w:hAnsi="Arial" w:cs="Arial"/>
                <w:b/>
                <w:bCs/>
                <w:lang w:val="en-US"/>
              </w:rPr>
            </w:pPr>
            <w:r w:rsidRPr="00B94DC1">
              <w:rPr>
                <w:rFonts w:ascii="Arial" w:hAnsi="Arial" w:cs="Arial"/>
                <w:b/>
                <w:bCs/>
                <w:lang w:val="en-US"/>
              </w:rPr>
              <w:t>(1)</w:t>
            </w:r>
          </w:p>
        </w:tc>
        <w:tc>
          <w:tcPr>
            <w:tcW w:w="2412" w:type="dxa"/>
            <w:tcBorders>
              <w:top w:val="nil"/>
              <w:left w:val="nil"/>
              <w:bottom w:val="nil"/>
              <w:right w:val="nil"/>
            </w:tcBorders>
            <w:shd w:val="clear" w:color="auto" w:fill="auto"/>
            <w:vAlign w:val="center"/>
            <w:hideMark/>
          </w:tcPr>
          <w:p w14:paraId="3F2C4A81" w14:textId="77777777" w:rsidR="00434086" w:rsidRPr="00B94DC1" w:rsidRDefault="00434086" w:rsidP="00434086">
            <w:pPr>
              <w:overflowPunct/>
              <w:autoSpaceDE/>
              <w:autoSpaceDN/>
              <w:adjustRightInd/>
              <w:jc w:val="center"/>
              <w:textAlignment w:val="auto"/>
              <w:rPr>
                <w:rFonts w:ascii="Arial" w:hAnsi="Arial" w:cs="Arial"/>
                <w:b/>
                <w:bCs/>
                <w:lang w:val="en-US"/>
              </w:rPr>
            </w:pPr>
            <w:r w:rsidRPr="00B94DC1">
              <w:rPr>
                <w:rFonts w:ascii="Arial" w:hAnsi="Arial" w:cs="Arial"/>
                <w:b/>
                <w:bCs/>
                <w:lang w:val="en-US"/>
              </w:rPr>
              <w:t>(2)</w:t>
            </w:r>
          </w:p>
        </w:tc>
        <w:tc>
          <w:tcPr>
            <w:tcW w:w="2280" w:type="dxa"/>
            <w:tcBorders>
              <w:top w:val="nil"/>
              <w:left w:val="nil"/>
              <w:bottom w:val="nil"/>
              <w:right w:val="nil"/>
            </w:tcBorders>
            <w:shd w:val="clear" w:color="auto" w:fill="auto"/>
            <w:vAlign w:val="center"/>
            <w:hideMark/>
          </w:tcPr>
          <w:p w14:paraId="2132FB5A" w14:textId="77777777" w:rsidR="00434086" w:rsidRPr="00B94DC1" w:rsidRDefault="00E62AFF" w:rsidP="00434086">
            <w:pPr>
              <w:overflowPunct/>
              <w:autoSpaceDE/>
              <w:autoSpaceDN/>
              <w:adjustRightInd/>
              <w:jc w:val="center"/>
              <w:textAlignment w:val="auto"/>
              <w:rPr>
                <w:rFonts w:ascii="Arial" w:hAnsi="Arial" w:cs="Arial"/>
                <w:b/>
                <w:bCs/>
                <w:lang w:val="en-US"/>
              </w:rPr>
            </w:pPr>
            <w:r w:rsidRPr="00B94DC1">
              <w:rPr>
                <w:rFonts w:ascii="Arial" w:hAnsi="Arial" w:cs="Arial"/>
                <w:b/>
                <w:bCs/>
                <w:lang w:val="en-US"/>
              </w:rPr>
              <w:t>(</w:t>
            </w:r>
            <w:r w:rsidR="00434086" w:rsidRPr="00B94DC1">
              <w:rPr>
                <w:rFonts w:ascii="Arial" w:hAnsi="Arial" w:cs="Arial"/>
                <w:b/>
                <w:bCs/>
                <w:lang w:val="en-US"/>
              </w:rPr>
              <w:t>3</w:t>
            </w:r>
            <w:r w:rsidRPr="00B94DC1">
              <w:rPr>
                <w:rFonts w:ascii="Arial" w:hAnsi="Arial" w:cs="Arial"/>
                <w:b/>
                <w:bCs/>
                <w:lang w:val="en-US"/>
              </w:rPr>
              <w:t>)</w:t>
            </w:r>
            <w:r w:rsidR="00434086" w:rsidRPr="00B94DC1">
              <w:rPr>
                <w:rFonts w:ascii="Arial" w:hAnsi="Arial" w:cs="Arial"/>
                <w:b/>
                <w:bCs/>
                <w:lang w:val="en-US"/>
              </w:rPr>
              <w:t>=((1)-(2))/(2)</w:t>
            </w:r>
          </w:p>
        </w:tc>
      </w:tr>
      <w:tr w:rsidR="00B94DC1" w:rsidRPr="00B94DC1" w14:paraId="7ECBFDCD" w14:textId="77777777" w:rsidTr="00CE41BB">
        <w:trPr>
          <w:trHeight w:val="300"/>
        </w:trPr>
        <w:tc>
          <w:tcPr>
            <w:tcW w:w="2252" w:type="dxa"/>
            <w:tcBorders>
              <w:top w:val="nil"/>
              <w:left w:val="nil"/>
              <w:bottom w:val="nil"/>
              <w:right w:val="nil"/>
            </w:tcBorders>
            <w:shd w:val="clear" w:color="auto" w:fill="auto"/>
            <w:vAlign w:val="center"/>
            <w:hideMark/>
          </w:tcPr>
          <w:p w14:paraId="5029AB5D" w14:textId="77777777" w:rsidR="00434086" w:rsidRPr="00B94DC1" w:rsidRDefault="00434086" w:rsidP="00434086">
            <w:pPr>
              <w:overflowPunct/>
              <w:autoSpaceDE/>
              <w:autoSpaceDN/>
              <w:adjustRightInd/>
              <w:jc w:val="center"/>
              <w:textAlignment w:val="auto"/>
              <w:rPr>
                <w:rFonts w:ascii="Arial" w:hAnsi="Arial" w:cs="Arial"/>
                <w:b/>
                <w:bCs/>
                <w:lang w:val="en-US"/>
              </w:rPr>
            </w:pPr>
          </w:p>
        </w:tc>
        <w:tc>
          <w:tcPr>
            <w:tcW w:w="3056" w:type="dxa"/>
            <w:tcBorders>
              <w:top w:val="nil"/>
              <w:left w:val="nil"/>
              <w:bottom w:val="nil"/>
              <w:right w:val="nil"/>
            </w:tcBorders>
            <w:shd w:val="clear" w:color="auto" w:fill="auto"/>
            <w:vAlign w:val="center"/>
            <w:hideMark/>
          </w:tcPr>
          <w:p w14:paraId="699FE553" w14:textId="77777777" w:rsidR="00434086" w:rsidRPr="00B94DC1" w:rsidRDefault="00434086" w:rsidP="00434086">
            <w:pPr>
              <w:overflowPunct/>
              <w:autoSpaceDE/>
              <w:autoSpaceDN/>
              <w:adjustRightInd/>
              <w:jc w:val="center"/>
              <w:textAlignment w:val="auto"/>
              <w:rPr>
                <w:rFonts w:ascii="Arial" w:hAnsi="Arial" w:cs="Arial"/>
                <w:lang w:val="en-US"/>
              </w:rPr>
            </w:pPr>
          </w:p>
        </w:tc>
        <w:tc>
          <w:tcPr>
            <w:tcW w:w="2412" w:type="dxa"/>
            <w:tcBorders>
              <w:top w:val="nil"/>
              <w:left w:val="nil"/>
              <w:bottom w:val="nil"/>
              <w:right w:val="nil"/>
            </w:tcBorders>
            <w:shd w:val="clear" w:color="auto" w:fill="auto"/>
            <w:vAlign w:val="center"/>
            <w:hideMark/>
          </w:tcPr>
          <w:p w14:paraId="362D997D" w14:textId="77777777" w:rsidR="00434086" w:rsidRPr="00B94DC1" w:rsidRDefault="00434086" w:rsidP="00434086">
            <w:pPr>
              <w:overflowPunct/>
              <w:autoSpaceDE/>
              <w:autoSpaceDN/>
              <w:adjustRightInd/>
              <w:jc w:val="center"/>
              <w:textAlignment w:val="auto"/>
              <w:rPr>
                <w:rFonts w:ascii="Arial" w:hAnsi="Arial" w:cs="Arial"/>
                <w:lang w:val="en-US"/>
              </w:rPr>
            </w:pPr>
          </w:p>
        </w:tc>
        <w:tc>
          <w:tcPr>
            <w:tcW w:w="2280" w:type="dxa"/>
            <w:tcBorders>
              <w:top w:val="nil"/>
              <w:left w:val="nil"/>
              <w:bottom w:val="nil"/>
              <w:right w:val="nil"/>
            </w:tcBorders>
            <w:shd w:val="clear" w:color="auto" w:fill="auto"/>
            <w:vAlign w:val="center"/>
            <w:hideMark/>
          </w:tcPr>
          <w:p w14:paraId="0E661F50" w14:textId="77777777" w:rsidR="00434086" w:rsidRPr="00B94DC1" w:rsidRDefault="00434086" w:rsidP="00434086">
            <w:pPr>
              <w:overflowPunct/>
              <w:autoSpaceDE/>
              <w:autoSpaceDN/>
              <w:adjustRightInd/>
              <w:jc w:val="center"/>
              <w:textAlignment w:val="auto"/>
              <w:rPr>
                <w:rFonts w:ascii="Arial" w:hAnsi="Arial" w:cs="Arial"/>
                <w:lang w:val="en-US"/>
              </w:rPr>
            </w:pPr>
          </w:p>
        </w:tc>
      </w:tr>
      <w:tr w:rsidR="00B94DC1" w:rsidRPr="00B94DC1" w14:paraId="491E4C0A" w14:textId="77777777" w:rsidTr="00CE41BB">
        <w:trPr>
          <w:trHeight w:val="600"/>
        </w:trPr>
        <w:tc>
          <w:tcPr>
            <w:tcW w:w="2252" w:type="dxa"/>
            <w:tcBorders>
              <w:top w:val="nil"/>
              <w:left w:val="nil"/>
              <w:bottom w:val="nil"/>
              <w:right w:val="nil"/>
            </w:tcBorders>
            <w:shd w:val="clear" w:color="auto" w:fill="auto"/>
            <w:vAlign w:val="center"/>
            <w:hideMark/>
          </w:tcPr>
          <w:p w14:paraId="72D49516" w14:textId="77777777" w:rsidR="00E0204F" w:rsidRPr="00B94DC1" w:rsidRDefault="00E0204F" w:rsidP="00E0204F">
            <w:pPr>
              <w:overflowPunct/>
              <w:autoSpaceDE/>
              <w:autoSpaceDN/>
              <w:adjustRightInd/>
              <w:textAlignment w:val="auto"/>
              <w:rPr>
                <w:rFonts w:ascii="Arial" w:hAnsi="Arial" w:cs="Arial"/>
                <w:lang w:val="en-US"/>
              </w:rPr>
            </w:pPr>
            <w:r w:rsidRPr="00B94DC1">
              <w:rPr>
                <w:rFonts w:ascii="Arial" w:hAnsi="Arial" w:cs="Arial"/>
                <w:lang w:val="en-US"/>
              </w:rPr>
              <w:t>Giá trị tài sản ròng (NAV) của Quỹ</w:t>
            </w:r>
          </w:p>
        </w:tc>
        <w:tc>
          <w:tcPr>
            <w:tcW w:w="3056" w:type="dxa"/>
            <w:tcBorders>
              <w:top w:val="nil"/>
              <w:left w:val="nil"/>
              <w:bottom w:val="nil"/>
              <w:right w:val="nil"/>
            </w:tcBorders>
            <w:shd w:val="clear" w:color="auto" w:fill="auto"/>
            <w:vAlign w:val="center"/>
          </w:tcPr>
          <w:p w14:paraId="60685152" w14:textId="6E49389E" w:rsidR="00E0204F" w:rsidRPr="00B94DC1" w:rsidRDefault="00E0204F" w:rsidP="00E0204F">
            <w:pPr>
              <w:overflowPunct/>
              <w:autoSpaceDE/>
              <w:autoSpaceDN/>
              <w:adjustRightInd/>
              <w:ind w:right="165"/>
              <w:jc w:val="right"/>
              <w:textAlignment w:val="auto"/>
              <w:rPr>
                <w:rFonts w:ascii="Arial" w:hAnsi="Arial" w:cs="Arial"/>
              </w:rPr>
            </w:pPr>
            <w:r w:rsidRPr="00B94DC1">
              <w:rPr>
                <w:rFonts w:ascii="Arial" w:hAnsi="Arial" w:cs="Arial"/>
              </w:rPr>
              <w:t>421,754,040,290</w:t>
            </w:r>
          </w:p>
        </w:tc>
        <w:tc>
          <w:tcPr>
            <w:tcW w:w="2412" w:type="dxa"/>
            <w:tcBorders>
              <w:top w:val="nil"/>
              <w:left w:val="nil"/>
              <w:bottom w:val="nil"/>
              <w:right w:val="nil"/>
            </w:tcBorders>
            <w:shd w:val="clear" w:color="auto" w:fill="auto"/>
            <w:vAlign w:val="center"/>
            <w:hideMark/>
          </w:tcPr>
          <w:p w14:paraId="1D049906" w14:textId="546A542D" w:rsidR="00E0204F" w:rsidRPr="00B94DC1" w:rsidRDefault="00E0204F" w:rsidP="00E0204F">
            <w:pPr>
              <w:overflowPunct/>
              <w:autoSpaceDE/>
              <w:autoSpaceDN/>
              <w:adjustRightInd/>
              <w:ind w:right="165"/>
              <w:jc w:val="right"/>
              <w:textAlignment w:val="auto"/>
              <w:rPr>
                <w:rFonts w:ascii="Arial" w:hAnsi="Arial" w:cs="Arial"/>
              </w:rPr>
            </w:pPr>
            <w:r w:rsidRPr="00B94DC1">
              <w:rPr>
                <w:rFonts w:ascii="Arial" w:hAnsi="Arial" w:cs="Arial"/>
              </w:rPr>
              <w:t>870,482,187,950</w:t>
            </w:r>
          </w:p>
        </w:tc>
        <w:tc>
          <w:tcPr>
            <w:tcW w:w="2280" w:type="dxa"/>
            <w:tcBorders>
              <w:top w:val="nil"/>
              <w:left w:val="nil"/>
              <w:bottom w:val="nil"/>
              <w:right w:val="nil"/>
            </w:tcBorders>
            <w:shd w:val="clear" w:color="auto" w:fill="auto"/>
            <w:vAlign w:val="center"/>
          </w:tcPr>
          <w:p w14:paraId="546F33AD" w14:textId="5110A344" w:rsidR="00E0204F" w:rsidRPr="00B94DC1" w:rsidRDefault="00E0204F" w:rsidP="00E0204F">
            <w:pPr>
              <w:ind w:right="165"/>
              <w:jc w:val="right"/>
              <w:rPr>
                <w:rFonts w:ascii="Arial" w:hAnsi="Arial" w:cs="Arial"/>
              </w:rPr>
            </w:pPr>
            <w:r w:rsidRPr="00B94DC1">
              <w:rPr>
                <w:rFonts w:ascii="Arial" w:hAnsi="Arial" w:cs="Arial"/>
              </w:rPr>
              <w:t>-51.55%</w:t>
            </w:r>
          </w:p>
        </w:tc>
      </w:tr>
      <w:tr w:rsidR="00B94DC1" w:rsidRPr="00B94DC1" w14:paraId="144D6114" w14:textId="77777777" w:rsidTr="00CE41BB">
        <w:trPr>
          <w:trHeight w:val="900"/>
        </w:trPr>
        <w:tc>
          <w:tcPr>
            <w:tcW w:w="2252" w:type="dxa"/>
            <w:tcBorders>
              <w:top w:val="nil"/>
              <w:left w:val="nil"/>
              <w:bottom w:val="nil"/>
              <w:right w:val="nil"/>
            </w:tcBorders>
            <w:shd w:val="clear" w:color="auto" w:fill="auto"/>
            <w:vAlign w:val="center"/>
            <w:hideMark/>
          </w:tcPr>
          <w:p w14:paraId="2A57ED75" w14:textId="77777777" w:rsidR="00E0204F" w:rsidRPr="00B94DC1" w:rsidRDefault="00E0204F" w:rsidP="00E0204F">
            <w:pPr>
              <w:overflowPunct/>
              <w:autoSpaceDE/>
              <w:autoSpaceDN/>
              <w:adjustRightInd/>
              <w:jc w:val="left"/>
              <w:textAlignment w:val="auto"/>
              <w:rPr>
                <w:rFonts w:ascii="Arial" w:hAnsi="Arial" w:cs="Arial"/>
                <w:lang w:val="en-US"/>
              </w:rPr>
            </w:pPr>
            <w:r w:rsidRPr="00B94DC1">
              <w:rPr>
                <w:rFonts w:ascii="Arial" w:hAnsi="Arial" w:cs="Arial"/>
                <w:lang w:val="en-US"/>
              </w:rPr>
              <w:t>Giá trị tài sản ròng (NAV) trên 1 đơn vị CCQ</w:t>
            </w:r>
          </w:p>
        </w:tc>
        <w:tc>
          <w:tcPr>
            <w:tcW w:w="3056" w:type="dxa"/>
            <w:tcBorders>
              <w:top w:val="nil"/>
              <w:left w:val="nil"/>
              <w:bottom w:val="nil"/>
              <w:right w:val="nil"/>
            </w:tcBorders>
            <w:shd w:val="clear" w:color="auto" w:fill="auto"/>
            <w:vAlign w:val="center"/>
          </w:tcPr>
          <w:p w14:paraId="0A3D6278" w14:textId="2CC832DE" w:rsidR="00E0204F" w:rsidRPr="00B94DC1" w:rsidRDefault="00E0204F" w:rsidP="00E0204F">
            <w:pPr>
              <w:overflowPunct/>
              <w:autoSpaceDE/>
              <w:autoSpaceDN/>
              <w:adjustRightInd/>
              <w:ind w:right="165"/>
              <w:jc w:val="right"/>
              <w:textAlignment w:val="auto"/>
              <w:rPr>
                <w:rFonts w:ascii="Arial" w:hAnsi="Arial" w:cs="Arial"/>
              </w:rPr>
            </w:pPr>
            <w:r w:rsidRPr="00B94DC1">
              <w:rPr>
                <w:rFonts w:ascii="Arial" w:hAnsi="Arial" w:cs="Arial"/>
              </w:rPr>
              <w:t xml:space="preserve">                              40,900.53 </w:t>
            </w:r>
          </w:p>
        </w:tc>
        <w:tc>
          <w:tcPr>
            <w:tcW w:w="2412" w:type="dxa"/>
            <w:tcBorders>
              <w:top w:val="nil"/>
              <w:left w:val="nil"/>
              <w:bottom w:val="nil"/>
              <w:right w:val="nil"/>
            </w:tcBorders>
            <w:shd w:val="clear" w:color="auto" w:fill="auto"/>
            <w:vAlign w:val="center"/>
            <w:hideMark/>
          </w:tcPr>
          <w:p w14:paraId="6FF75B93" w14:textId="6F309C8B" w:rsidR="00E0204F" w:rsidRPr="00B94DC1" w:rsidRDefault="00E0204F" w:rsidP="00E0204F">
            <w:pPr>
              <w:overflowPunct/>
              <w:autoSpaceDE/>
              <w:autoSpaceDN/>
              <w:adjustRightInd/>
              <w:ind w:right="165"/>
              <w:jc w:val="right"/>
              <w:textAlignment w:val="auto"/>
              <w:rPr>
                <w:rFonts w:ascii="Arial" w:hAnsi="Arial" w:cs="Arial"/>
              </w:rPr>
            </w:pPr>
            <w:r w:rsidRPr="00B94DC1">
              <w:rPr>
                <w:rFonts w:ascii="Arial" w:hAnsi="Arial" w:cs="Arial"/>
              </w:rPr>
              <w:t xml:space="preserve">                    41,447.91 </w:t>
            </w:r>
          </w:p>
        </w:tc>
        <w:tc>
          <w:tcPr>
            <w:tcW w:w="2280" w:type="dxa"/>
            <w:tcBorders>
              <w:top w:val="nil"/>
              <w:left w:val="nil"/>
              <w:bottom w:val="nil"/>
              <w:right w:val="nil"/>
            </w:tcBorders>
            <w:shd w:val="clear" w:color="auto" w:fill="auto"/>
            <w:vAlign w:val="center"/>
          </w:tcPr>
          <w:p w14:paraId="7F810944" w14:textId="4EAF1879" w:rsidR="00E0204F" w:rsidRPr="00B94DC1" w:rsidRDefault="00E0204F" w:rsidP="00E0204F">
            <w:pPr>
              <w:overflowPunct/>
              <w:autoSpaceDE/>
              <w:autoSpaceDN/>
              <w:adjustRightInd/>
              <w:ind w:right="165"/>
              <w:jc w:val="right"/>
              <w:textAlignment w:val="auto"/>
              <w:rPr>
                <w:rFonts w:ascii="Arial" w:hAnsi="Arial" w:cs="Arial"/>
              </w:rPr>
            </w:pPr>
            <w:r w:rsidRPr="00B94DC1">
              <w:rPr>
                <w:rFonts w:ascii="Arial" w:hAnsi="Arial" w:cs="Arial"/>
              </w:rPr>
              <w:t>-1.32%</w:t>
            </w:r>
          </w:p>
        </w:tc>
      </w:tr>
      <w:tr w:rsidR="00434086" w:rsidRPr="00B94DC1" w14:paraId="7EECAC29" w14:textId="77777777" w:rsidTr="00CE41BB">
        <w:trPr>
          <w:trHeight w:val="315"/>
        </w:trPr>
        <w:tc>
          <w:tcPr>
            <w:tcW w:w="2252" w:type="dxa"/>
            <w:tcBorders>
              <w:top w:val="nil"/>
              <w:left w:val="nil"/>
              <w:bottom w:val="nil"/>
              <w:right w:val="nil"/>
            </w:tcBorders>
            <w:shd w:val="clear" w:color="auto" w:fill="auto"/>
            <w:vAlign w:val="center"/>
            <w:hideMark/>
          </w:tcPr>
          <w:p w14:paraId="7791FAFA" w14:textId="77777777" w:rsidR="00434086" w:rsidRPr="00B94DC1" w:rsidRDefault="00434086" w:rsidP="00434086">
            <w:pPr>
              <w:overflowPunct/>
              <w:autoSpaceDE/>
              <w:autoSpaceDN/>
              <w:adjustRightInd/>
              <w:jc w:val="right"/>
              <w:textAlignment w:val="auto"/>
              <w:rPr>
                <w:rFonts w:ascii="Arial" w:hAnsi="Arial" w:cs="Arial"/>
                <w:lang w:val="en-US"/>
              </w:rPr>
            </w:pPr>
          </w:p>
        </w:tc>
        <w:tc>
          <w:tcPr>
            <w:tcW w:w="3056" w:type="dxa"/>
            <w:tcBorders>
              <w:top w:val="nil"/>
              <w:left w:val="nil"/>
              <w:bottom w:val="double" w:sz="6" w:space="0" w:color="auto"/>
              <w:right w:val="nil"/>
            </w:tcBorders>
            <w:shd w:val="clear" w:color="auto" w:fill="auto"/>
            <w:vAlign w:val="center"/>
            <w:hideMark/>
          </w:tcPr>
          <w:p w14:paraId="36564A4C" w14:textId="77777777" w:rsidR="00434086" w:rsidRPr="00B94DC1" w:rsidRDefault="00434086" w:rsidP="00434086">
            <w:pPr>
              <w:overflowPunct/>
              <w:autoSpaceDE/>
              <w:autoSpaceDN/>
              <w:adjustRightInd/>
              <w:jc w:val="right"/>
              <w:textAlignment w:val="auto"/>
              <w:rPr>
                <w:rFonts w:ascii="Arial" w:hAnsi="Arial" w:cs="Arial"/>
                <w:lang w:val="en-US"/>
              </w:rPr>
            </w:pPr>
            <w:r w:rsidRPr="00B94DC1">
              <w:rPr>
                <w:rFonts w:ascii="Arial" w:hAnsi="Arial" w:cs="Arial"/>
                <w:lang w:val="en-US"/>
              </w:rPr>
              <w:t> </w:t>
            </w:r>
          </w:p>
        </w:tc>
        <w:tc>
          <w:tcPr>
            <w:tcW w:w="2412" w:type="dxa"/>
            <w:tcBorders>
              <w:top w:val="nil"/>
              <w:left w:val="nil"/>
              <w:bottom w:val="double" w:sz="6" w:space="0" w:color="auto"/>
              <w:right w:val="nil"/>
            </w:tcBorders>
            <w:shd w:val="clear" w:color="auto" w:fill="auto"/>
            <w:vAlign w:val="center"/>
            <w:hideMark/>
          </w:tcPr>
          <w:p w14:paraId="276D1AA8" w14:textId="77777777" w:rsidR="00434086" w:rsidRPr="00B94DC1" w:rsidRDefault="00434086" w:rsidP="00434086">
            <w:pPr>
              <w:overflowPunct/>
              <w:autoSpaceDE/>
              <w:autoSpaceDN/>
              <w:adjustRightInd/>
              <w:jc w:val="right"/>
              <w:textAlignment w:val="auto"/>
              <w:rPr>
                <w:rFonts w:ascii="Arial" w:hAnsi="Arial" w:cs="Arial"/>
                <w:lang w:val="en-US"/>
              </w:rPr>
            </w:pPr>
            <w:r w:rsidRPr="00B94DC1">
              <w:rPr>
                <w:rFonts w:ascii="Arial" w:hAnsi="Arial" w:cs="Arial"/>
                <w:lang w:val="en-US"/>
              </w:rPr>
              <w:t> </w:t>
            </w:r>
          </w:p>
        </w:tc>
        <w:tc>
          <w:tcPr>
            <w:tcW w:w="2280" w:type="dxa"/>
            <w:tcBorders>
              <w:top w:val="nil"/>
              <w:left w:val="nil"/>
              <w:bottom w:val="double" w:sz="6" w:space="0" w:color="auto"/>
              <w:right w:val="nil"/>
            </w:tcBorders>
            <w:shd w:val="clear" w:color="auto" w:fill="auto"/>
            <w:vAlign w:val="center"/>
            <w:hideMark/>
          </w:tcPr>
          <w:p w14:paraId="1FA458BA" w14:textId="77777777" w:rsidR="00434086" w:rsidRPr="00B94DC1" w:rsidRDefault="00434086" w:rsidP="00434086">
            <w:pPr>
              <w:overflowPunct/>
              <w:autoSpaceDE/>
              <w:autoSpaceDN/>
              <w:adjustRightInd/>
              <w:jc w:val="right"/>
              <w:textAlignment w:val="auto"/>
              <w:rPr>
                <w:rFonts w:ascii="Arial" w:hAnsi="Arial" w:cs="Arial"/>
                <w:lang w:val="en-US"/>
              </w:rPr>
            </w:pPr>
            <w:r w:rsidRPr="00B94DC1">
              <w:rPr>
                <w:rFonts w:ascii="Arial" w:hAnsi="Arial" w:cs="Arial"/>
                <w:lang w:val="en-US"/>
              </w:rPr>
              <w:t> </w:t>
            </w:r>
          </w:p>
        </w:tc>
      </w:tr>
    </w:tbl>
    <w:p w14:paraId="5895A3DE" w14:textId="77777777" w:rsidR="00981FBF" w:rsidRPr="00B94DC1" w:rsidRDefault="00981FBF" w:rsidP="00981FBF">
      <w:pPr>
        <w:shd w:val="clear" w:color="auto" w:fill="FFFFFF"/>
        <w:tabs>
          <w:tab w:val="left" w:pos="540"/>
        </w:tabs>
        <w:spacing w:before="120"/>
        <w:rPr>
          <w:rFonts w:ascii="Arial" w:hAnsi="Arial" w:cs="Arial"/>
          <w:lang w:val="nl-NL"/>
        </w:rPr>
      </w:pPr>
    </w:p>
    <w:p w14:paraId="35E9F27C" w14:textId="51750BAC" w:rsidR="007F54E6" w:rsidRPr="00B94DC1" w:rsidRDefault="00FD4009" w:rsidP="005E0548">
      <w:pPr>
        <w:shd w:val="clear" w:color="auto" w:fill="FFFFFF"/>
        <w:tabs>
          <w:tab w:val="left" w:pos="540"/>
        </w:tabs>
        <w:spacing w:before="120"/>
        <w:rPr>
          <w:rFonts w:ascii="Arial" w:hAnsi="Arial" w:cs="Arial"/>
          <w:lang w:val="nl-NL"/>
        </w:rPr>
      </w:pPr>
      <w:r w:rsidRPr="00B94DC1">
        <w:rPr>
          <w:rFonts w:ascii="Arial" w:hAnsi="Arial" w:cs="Arial"/>
          <w:lang w:val="nl-NL"/>
        </w:rPr>
        <w:t xml:space="preserve">Trong giai đoạn </w:t>
      </w:r>
      <w:r w:rsidR="00B61756" w:rsidRPr="00B94DC1">
        <w:rPr>
          <w:rFonts w:ascii="Arial" w:hAnsi="Arial" w:cs="Arial"/>
          <w:lang w:val="nl-NL"/>
        </w:rPr>
        <w:t>3</w:t>
      </w:r>
      <w:r w:rsidR="00E0204F" w:rsidRPr="00B94DC1">
        <w:rPr>
          <w:rFonts w:ascii="Arial" w:hAnsi="Arial" w:cs="Arial"/>
          <w:lang w:val="nl-NL"/>
        </w:rPr>
        <w:t>0</w:t>
      </w:r>
      <w:r w:rsidR="00B61756" w:rsidRPr="00B94DC1">
        <w:rPr>
          <w:rFonts w:ascii="Arial" w:hAnsi="Arial" w:cs="Arial"/>
          <w:lang w:val="nl-NL"/>
        </w:rPr>
        <w:t>/0</w:t>
      </w:r>
      <w:r w:rsidR="00E0204F" w:rsidRPr="00B94DC1">
        <w:rPr>
          <w:rFonts w:ascii="Arial" w:hAnsi="Arial" w:cs="Arial"/>
          <w:lang w:val="nl-NL"/>
        </w:rPr>
        <w:t>9</w:t>
      </w:r>
      <w:r w:rsidR="00B61756" w:rsidRPr="00B94DC1">
        <w:rPr>
          <w:rFonts w:ascii="Arial" w:hAnsi="Arial" w:cs="Arial"/>
          <w:lang w:val="nl-NL"/>
        </w:rPr>
        <w:t>/2019 – 3</w:t>
      </w:r>
      <w:r w:rsidR="00585FEF" w:rsidRPr="00B94DC1">
        <w:rPr>
          <w:rFonts w:ascii="Arial" w:hAnsi="Arial" w:cs="Arial"/>
          <w:lang w:val="nl-NL"/>
        </w:rPr>
        <w:t>0</w:t>
      </w:r>
      <w:r w:rsidR="00B61756" w:rsidRPr="00B94DC1">
        <w:rPr>
          <w:rFonts w:ascii="Arial" w:hAnsi="Arial" w:cs="Arial"/>
          <w:lang w:val="nl-NL"/>
        </w:rPr>
        <w:t>/0</w:t>
      </w:r>
      <w:r w:rsidR="00E0204F" w:rsidRPr="00B94DC1">
        <w:rPr>
          <w:rFonts w:ascii="Arial" w:hAnsi="Arial" w:cs="Arial"/>
          <w:lang w:val="nl-NL"/>
        </w:rPr>
        <w:t>9</w:t>
      </w:r>
      <w:r w:rsidR="00B61756" w:rsidRPr="00B94DC1">
        <w:rPr>
          <w:rFonts w:ascii="Arial" w:hAnsi="Arial" w:cs="Arial"/>
          <w:lang w:val="nl-NL"/>
        </w:rPr>
        <w:t>/2020</w:t>
      </w:r>
      <w:r w:rsidRPr="00B94DC1">
        <w:rPr>
          <w:rFonts w:ascii="Arial" w:hAnsi="Arial" w:cs="Arial"/>
          <w:lang w:val="nl-NL"/>
        </w:rPr>
        <w:t xml:space="preserve">, quỹ VFMVF1 có giá trị tài sản ròng (NAV) trên một chứng chỉ quỹ </w:t>
      </w:r>
      <w:r w:rsidR="00E0204F" w:rsidRPr="00B94DC1">
        <w:rPr>
          <w:rFonts w:ascii="Arial" w:hAnsi="Arial" w:cs="Arial"/>
          <w:lang w:val="nl-NL"/>
        </w:rPr>
        <w:t>giảm 1.32%</w:t>
      </w:r>
      <w:r w:rsidRPr="00B94DC1">
        <w:rPr>
          <w:rFonts w:ascii="Arial" w:hAnsi="Arial" w:cs="Arial"/>
          <w:lang w:val="nl-NL"/>
        </w:rPr>
        <w:t xml:space="preserve">. </w:t>
      </w:r>
      <w:r w:rsidR="00D23597" w:rsidRPr="00B94DC1">
        <w:rPr>
          <w:rFonts w:ascii="Arial" w:hAnsi="Arial" w:cs="Arial"/>
          <w:szCs w:val="26"/>
          <w:lang w:val="nl-NL"/>
        </w:rPr>
        <w:t xml:space="preserve">Tổng giá trị tài sản ròng giảm </w:t>
      </w:r>
      <w:r w:rsidR="00E0204F" w:rsidRPr="00B94DC1">
        <w:rPr>
          <w:rFonts w:ascii="Arial" w:hAnsi="Arial" w:cs="Arial"/>
          <w:szCs w:val="26"/>
          <w:lang w:val="nl-NL"/>
        </w:rPr>
        <w:t>51.55</w:t>
      </w:r>
      <w:r w:rsidR="00D23597" w:rsidRPr="00B94DC1">
        <w:rPr>
          <w:rFonts w:ascii="Arial" w:hAnsi="Arial" w:cs="Arial"/>
          <w:szCs w:val="26"/>
          <w:lang w:val="nl-NL"/>
        </w:rPr>
        <w:t>% trong cùng giai đoạn do có sự rút vốn từ phía nhà đầu tư.</w:t>
      </w:r>
      <w:r w:rsidR="006C25D8" w:rsidRPr="00B94DC1">
        <w:rPr>
          <w:rFonts w:ascii="Arial" w:hAnsi="Arial" w:cs="Arial"/>
          <w:szCs w:val="26"/>
          <w:lang w:val="nl-NL"/>
        </w:rPr>
        <w:t xml:space="preserve"> </w:t>
      </w:r>
    </w:p>
    <w:p w14:paraId="7A13CC74" w14:textId="77777777" w:rsidR="008477D9" w:rsidRPr="00B94DC1" w:rsidRDefault="008477D9" w:rsidP="008477D9">
      <w:pPr>
        <w:shd w:val="clear" w:color="auto" w:fill="FFFFFF"/>
        <w:tabs>
          <w:tab w:val="left" w:pos="540"/>
        </w:tabs>
        <w:spacing w:before="120"/>
        <w:ind w:left="567" w:hanging="567"/>
        <w:rPr>
          <w:rFonts w:ascii="Arial" w:hAnsi="Arial" w:cs="Arial"/>
          <w:b/>
          <w:lang w:val="nl-NL"/>
        </w:rPr>
      </w:pPr>
      <w:r w:rsidRPr="00B94DC1">
        <w:rPr>
          <w:rFonts w:ascii="Arial" w:hAnsi="Arial" w:cs="Arial"/>
          <w:b/>
          <w:lang w:val="nl-NL"/>
        </w:rPr>
        <w:t>4.2.</w:t>
      </w:r>
      <w:r w:rsidRPr="00B94DC1">
        <w:rPr>
          <w:rFonts w:ascii="Arial" w:hAnsi="Arial" w:cs="Arial"/>
          <w:b/>
          <w:lang w:val="nl-NL"/>
        </w:rPr>
        <w:tab/>
        <w:t>Thống kê về Nhà đầu tư nắm giữ Chứng chỉ quỹ tại thời điểm báo cáo</w:t>
      </w:r>
    </w:p>
    <w:p w14:paraId="649780BD" w14:textId="77777777" w:rsidR="00F86A64" w:rsidRPr="00B94DC1" w:rsidRDefault="00F86A64" w:rsidP="008477D9">
      <w:pPr>
        <w:shd w:val="clear" w:color="auto" w:fill="FFFFFF"/>
        <w:tabs>
          <w:tab w:val="left" w:pos="540"/>
        </w:tabs>
        <w:spacing w:before="120"/>
        <w:ind w:left="567" w:hanging="567"/>
        <w:rPr>
          <w:rFonts w:ascii="Arial" w:hAnsi="Arial" w:cs="Arial"/>
          <w:b/>
          <w:lang w:val="nl-NL"/>
        </w:rPr>
      </w:pPr>
    </w:p>
    <w:tbl>
      <w:tblPr>
        <w:tblW w:w="10000" w:type="dxa"/>
        <w:tblLook w:val="04A0" w:firstRow="1" w:lastRow="0" w:firstColumn="1" w:lastColumn="0" w:noHBand="0" w:noVBand="1"/>
      </w:tblPr>
      <w:tblGrid>
        <w:gridCol w:w="2500"/>
        <w:gridCol w:w="2500"/>
        <w:gridCol w:w="2500"/>
        <w:gridCol w:w="2500"/>
      </w:tblGrid>
      <w:tr w:rsidR="00B94DC1" w:rsidRPr="00B94DC1" w14:paraId="72429094" w14:textId="77777777" w:rsidTr="00434086">
        <w:trPr>
          <w:trHeight w:val="300"/>
        </w:trPr>
        <w:tc>
          <w:tcPr>
            <w:tcW w:w="2500" w:type="dxa"/>
            <w:vMerge w:val="restart"/>
            <w:tcBorders>
              <w:top w:val="nil"/>
              <w:left w:val="nil"/>
              <w:bottom w:val="nil"/>
              <w:right w:val="nil"/>
            </w:tcBorders>
            <w:shd w:val="clear" w:color="auto" w:fill="auto"/>
            <w:vAlign w:val="center"/>
            <w:hideMark/>
          </w:tcPr>
          <w:p w14:paraId="2332C394" w14:textId="77777777" w:rsidR="00B16B99" w:rsidRPr="00B94DC1" w:rsidRDefault="00434086" w:rsidP="00434086">
            <w:pPr>
              <w:overflowPunct/>
              <w:autoSpaceDE/>
              <w:autoSpaceDN/>
              <w:adjustRightInd/>
              <w:jc w:val="center"/>
              <w:textAlignment w:val="auto"/>
              <w:rPr>
                <w:rFonts w:ascii="Arial" w:hAnsi="Arial" w:cs="Arial"/>
                <w:b/>
                <w:bCs/>
                <w:lang w:val="en-US"/>
              </w:rPr>
            </w:pPr>
            <w:r w:rsidRPr="00B94DC1">
              <w:rPr>
                <w:rFonts w:ascii="Arial" w:hAnsi="Arial" w:cs="Arial"/>
                <w:b/>
                <w:bCs/>
                <w:lang w:val="en-US"/>
              </w:rPr>
              <w:t xml:space="preserve">Quy mô nắm giữ </w:t>
            </w:r>
          </w:p>
          <w:p w14:paraId="6D85D456" w14:textId="77777777" w:rsidR="00434086" w:rsidRPr="00B94DC1" w:rsidRDefault="00434086" w:rsidP="00434086">
            <w:pPr>
              <w:overflowPunct/>
              <w:autoSpaceDE/>
              <w:autoSpaceDN/>
              <w:adjustRightInd/>
              <w:jc w:val="center"/>
              <w:textAlignment w:val="auto"/>
              <w:rPr>
                <w:rFonts w:ascii="Arial" w:hAnsi="Arial" w:cs="Arial"/>
                <w:b/>
                <w:bCs/>
                <w:lang w:val="en-US"/>
              </w:rPr>
            </w:pPr>
            <w:r w:rsidRPr="00B94DC1">
              <w:rPr>
                <w:rFonts w:ascii="Arial" w:hAnsi="Arial" w:cs="Arial"/>
                <w:b/>
                <w:bCs/>
                <w:lang w:val="en-US"/>
              </w:rPr>
              <w:t>(Đơn vị)</w:t>
            </w:r>
          </w:p>
        </w:tc>
        <w:tc>
          <w:tcPr>
            <w:tcW w:w="2500" w:type="dxa"/>
            <w:vMerge w:val="restart"/>
            <w:tcBorders>
              <w:top w:val="nil"/>
              <w:left w:val="nil"/>
              <w:bottom w:val="nil"/>
              <w:right w:val="nil"/>
            </w:tcBorders>
            <w:shd w:val="clear" w:color="auto" w:fill="auto"/>
            <w:vAlign w:val="center"/>
            <w:hideMark/>
          </w:tcPr>
          <w:p w14:paraId="422FE3B3" w14:textId="77777777" w:rsidR="00434086" w:rsidRPr="00B94DC1" w:rsidRDefault="00434086" w:rsidP="00434086">
            <w:pPr>
              <w:overflowPunct/>
              <w:autoSpaceDE/>
              <w:autoSpaceDN/>
              <w:adjustRightInd/>
              <w:jc w:val="center"/>
              <w:textAlignment w:val="auto"/>
              <w:rPr>
                <w:rFonts w:ascii="Arial" w:hAnsi="Arial" w:cs="Arial"/>
                <w:b/>
                <w:bCs/>
                <w:lang w:val="en-US"/>
              </w:rPr>
            </w:pPr>
            <w:r w:rsidRPr="00B94DC1">
              <w:rPr>
                <w:rFonts w:ascii="Arial" w:hAnsi="Arial" w:cs="Arial"/>
                <w:b/>
                <w:bCs/>
                <w:lang w:val="en-US"/>
              </w:rPr>
              <w:t>Số lượng Nhà đầu tư nắm giữ</w:t>
            </w:r>
          </w:p>
        </w:tc>
        <w:tc>
          <w:tcPr>
            <w:tcW w:w="2500" w:type="dxa"/>
            <w:vMerge w:val="restart"/>
            <w:tcBorders>
              <w:top w:val="nil"/>
              <w:left w:val="nil"/>
              <w:bottom w:val="nil"/>
              <w:right w:val="nil"/>
            </w:tcBorders>
            <w:shd w:val="clear" w:color="auto" w:fill="auto"/>
            <w:vAlign w:val="center"/>
            <w:hideMark/>
          </w:tcPr>
          <w:p w14:paraId="423F18A1" w14:textId="77777777" w:rsidR="00434086" w:rsidRPr="00B94DC1" w:rsidRDefault="00434086" w:rsidP="00434086">
            <w:pPr>
              <w:overflowPunct/>
              <w:autoSpaceDE/>
              <w:autoSpaceDN/>
              <w:adjustRightInd/>
              <w:jc w:val="center"/>
              <w:textAlignment w:val="auto"/>
              <w:rPr>
                <w:rFonts w:ascii="Arial" w:hAnsi="Arial" w:cs="Arial"/>
                <w:b/>
                <w:bCs/>
                <w:lang w:val="en-US"/>
              </w:rPr>
            </w:pPr>
            <w:r w:rsidRPr="00B94DC1">
              <w:rPr>
                <w:rFonts w:ascii="Arial" w:hAnsi="Arial" w:cs="Arial"/>
                <w:b/>
                <w:bCs/>
                <w:lang w:val="en-US"/>
              </w:rPr>
              <w:t>Số lượng đơn vị Chứng chỉ quỹ nắm giữ</w:t>
            </w:r>
          </w:p>
        </w:tc>
        <w:tc>
          <w:tcPr>
            <w:tcW w:w="2500" w:type="dxa"/>
            <w:tcBorders>
              <w:top w:val="nil"/>
              <w:left w:val="nil"/>
              <w:bottom w:val="nil"/>
              <w:right w:val="nil"/>
            </w:tcBorders>
            <w:shd w:val="clear" w:color="auto" w:fill="auto"/>
            <w:vAlign w:val="center"/>
            <w:hideMark/>
          </w:tcPr>
          <w:p w14:paraId="09A0A0B9" w14:textId="77777777" w:rsidR="00434086" w:rsidRPr="00B94DC1" w:rsidRDefault="00434086" w:rsidP="00434086">
            <w:pPr>
              <w:overflowPunct/>
              <w:autoSpaceDE/>
              <w:autoSpaceDN/>
              <w:adjustRightInd/>
              <w:jc w:val="center"/>
              <w:textAlignment w:val="auto"/>
              <w:rPr>
                <w:rFonts w:ascii="Arial" w:hAnsi="Arial" w:cs="Arial"/>
                <w:b/>
                <w:bCs/>
                <w:lang w:val="en-US"/>
              </w:rPr>
            </w:pPr>
            <w:r w:rsidRPr="00B94DC1">
              <w:rPr>
                <w:rFonts w:ascii="Arial" w:hAnsi="Arial" w:cs="Arial"/>
                <w:b/>
                <w:bCs/>
                <w:lang w:val="en-US"/>
              </w:rPr>
              <w:t>Tỷ lệ nắm giữ</w:t>
            </w:r>
          </w:p>
        </w:tc>
      </w:tr>
      <w:tr w:rsidR="00B94DC1" w:rsidRPr="00B94DC1" w14:paraId="3BE23852" w14:textId="77777777" w:rsidTr="00434086">
        <w:trPr>
          <w:trHeight w:val="300"/>
        </w:trPr>
        <w:tc>
          <w:tcPr>
            <w:tcW w:w="2500" w:type="dxa"/>
            <w:vMerge/>
            <w:tcBorders>
              <w:top w:val="nil"/>
              <w:left w:val="nil"/>
              <w:bottom w:val="nil"/>
              <w:right w:val="nil"/>
            </w:tcBorders>
            <w:vAlign w:val="center"/>
            <w:hideMark/>
          </w:tcPr>
          <w:p w14:paraId="7EB16085" w14:textId="77777777" w:rsidR="00434086" w:rsidRPr="00B94DC1" w:rsidRDefault="00434086" w:rsidP="00434086">
            <w:pPr>
              <w:overflowPunct/>
              <w:autoSpaceDE/>
              <w:autoSpaceDN/>
              <w:adjustRightInd/>
              <w:jc w:val="left"/>
              <w:textAlignment w:val="auto"/>
              <w:rPr>
                <w:rFonts w:ascii="Arial" w:hAnsi="Arial" w:cs="Arial"/>
                <w:b/>
                <w:bCs/>
                <w:lang w:val="en-US"/>
              </w:rPr>
            </w:pPr>
          </w:p>
        </w:tc>
        <w:tc>
          <w:tcPr>
            <w:tcW w:w="2500" w:type="dxa"/>
            <w:vMerge/>
            <w:tcBorders>
              <w:top w:val="nil"/>
              <w:left w:val="nil"/>
              <w:bottom w:val="nil"/>
              <w:right w:val="nil"/>
            </w:tcBorders>
            <w:vAlign w:val="center"/>
            <w:hideMark/>
          </w:tcPr>
          <w:p w14:paraId="75D0B7BD" w14:textId="77777777" w:rsidR="00434086" w:rsidRPr="00B94DC1" w:rsidRDefault="00434086" w:rsidP="00434086">
            <w:pPr>
              <w:overflowPunct/>
              <w:autoSpaceDE/>
              <w:autoSpaceDN/>
              <w:adjustRightInd/>
              <w:jc w:val="left"/>
              <w:textAlignment w:val="auto"/>
              <w:rPr>
                <w:rFonts w:ascii="Arial" w:hAnsi="Arial" w:cs="Arial"/>
                <w:b/>
                <w:bCs/>
                <w:lang w:val="en-US"/>
              </w:rPr>
            </w:pPr>
          </w:p>
        </w:tc>
        <w:tc>
          <w:tcPr>
            <w:tcW w:w="2500" w:type="dxa"/>
            <w:vMerge/>
            <w:tcBorders>
              <w:top w:val="nil"/>
              <w:left w:val="nil"/>
              <w:bottom w:val="nil"/>
              <w:right w:val="nil"/>
            </w:tcBorders>
            <w:vAlign w:val="center"/>
            <w:hideMark/>
          </w:tcPr>
          <w:p w14:paraId="6325BD60" w14:textId="77777777" w:rsidR="00434086" w:rsidRPr="00B94DC1" w:rsidRDefault="00434086" w:rsidP="00434086">
            <w:pPr>
              <w:overflowPunct/>
              <w:autoSpaceDE/>
              <w:autoSpaceDN/>
              <w:adjustRightInd/>
              <w:jc w:val="left"/>
              <w:textAlignment w:val="auto"/>
              <w:rPr>
                <w:rFonts w:ascii="Arial" w:hAnsi="Arial" w:cs="Arial"/>
                <w:b/>
                <w:bCs/>
                <w:lang w:val="en-US"/>
              </w:rPr>
            </w:pPr>
          </w:p>
        </w:tc>
        <w:tc>
          <w:tcPr>
            <w:tcW w:w="2500" w:type="dxa"/>
            <w:tcBorders>
              <w:top w:val="nil"/>
              <w:left w:val="nil"/>
              <w:bottom w:val="nil"/>
              <w:right w:val="nil"/>
            </w:tcBorders>
            <w:shd w:val="clear" w:color="auto" w:fill="auto"/>
            <w:vAlign w:val="center"/>
            <w:hideMark/>
          </w:tcPr>
          <w:p w14:paraId="39DF057C" w14:textId="77777777" w:rsidR="00434086" w:rsidRPr="00B94DC1" w:rsidRDefault="00434086" w:rsidP="00434086">
            <w:pPr>
              <w:overflowPunct/>
              <w:autoSpaceDE/>
              <w:autoSpaceDN/>
              <w:adjustRightInd/>
              <w:jc w:val="center"/>
              <w:textAlignment w:val="auto"/>
              <w:rPr>
                <w:rFonts w:ascii="Arial" w:hAnsi="Arial" w:cs="Arial"/>
                <w:b/>
                <w:bCs/>
                <w:lang w:val="en-US"/>
              </w:rPr>
            </w:pPr>
            <w:r w:rsidRPr="00B94DC1">
              <w:rPr>
                <w:rFonts w:ascii="Arial" w:hAnsi="Arial" w:cs="Arial"/>
                <w:b/>
                <w:bCs/>
                <w:lang w:val="en-US"/>
              </w:rPr>
              <w:t>(%)</w:t>
            </w:r>
          </w:p>
        </w:tc>
      </w:tr>
      <w:tr w:rsidR="00B94DC1" w:rsidRPr="00B94DC1" w14:paraId="73B04879" w14:textId="77777777" w:rsidTr="00434086">
        <w:trPr>
          <w:trHeight w:val="300"/>
        </w:trPr>
        <w:tc>
          <w:tcPr>
            <w:tcW w:w="2500" w:type="dxa"/>
            <w:tcBorders>
              <w:top w:val="nil"/>
              <w:left w:val="nil"/>
              <w:bottom w:val="nil"/>
              <w:right w:val="nil"/>
            </w:tcBorders>
            <w:shd w:val="clear" w:color="auto" w:fill="auto"/>
            <w:vAlign w:val="center"/>
            <w:hideMark/>
          </w:tcPr>
          <w:p w14:paraId="70976632" w14:textId="77777777" w:rsidR="00434086" w:rsidRPr="00B94DC1" w:rsidRDefault="00434086" w:rsidP="00434086">
            <w:pPr>
              <w:overflowPunct/>
              <w:autoSpaceDE/>
              <w:autoSpaceDN/>
              <w:adjustRightInd/>
              <w:jc w:val="center"/>
              <w:textAlignment w:val="auto"/>
              <w:rPr>
                <w:rFonts w:ascii="Arial" w:hAnsi="Arial" w:cs="Arial"/>
                <w:b/>
                <w:bCs/>
                <w:lang w:val="en-US"/>
              </w:rPr>
            </w:pPr>
          </w:p>
        </w:tc>
        <w:tc>
          <w:tcPr>
            <w:tcW w:w="2500" w:type="dxa"/>
            <w:tcBorders>
              <w:top w:val="nil"/>
              <w:left w:val="nil"/>
              <w:bottom w:val="nil"/>
              <w:right w:val="nil"/>
            </w:tcBorders>
            <w:shd w:val="clear" w:color="auto" w:fill="auto"/>
            <w:vAlign w:val="center"/>
            <w:hideMark/>
          </w:tcPr>
          <w:p w14:paraId="7B388625" w14:textId="77777777" w:rsidR="00434086" w:rsidRPr="00B94DC1" w:rsidRDefault="00434086" w:rsidP="00434086">
            <w:pPr>
              <w:overflowPunct/>
              <w:autoSpaceDE/>
              <w:autoSpaceDN/>
              <w:adjustRightInd/>
              <w:jc w:val="center"/>
              <w:textAlignment w:val="auto"/>
              <w:rPr>
                <w:rFonts w:ascii="Arial" w:hAnsi="Arial" w:cs="Arial"/>
                <w:lang w:val="en-US"/>
              </w:rPr>
            </w:pPr>
          </w:p>
        </w:tc>
        <w:tc>
          <w:tcPr>
            <w:tcW w:w="2500" w:type="dxa"/>
            <w:tcBorders>
              <w:top w:val="nil"/>
              <w:left w:val="nil"/>
              <w:bottom w:val="nil"/>
              <w:right w:val="nil"/>
            </w:tcBorders>
            <w:shd w:val="clear" w:color="auto" w:fill="auto"/>
            <w:vAlign w:val="center"/>
            <w:hideMark/>
          </w:tcPr>
          <w:p w14:paraId="427F2E8E" w14:textId="77777777" w:rsidR="00434086" w:rsidRPr="00B94DC1" w:rsidRDefault="00434086" w:rsidP="00434086">
            <w:pPr>
              <w:overflowPunct/>
              <w:autoSpaceDE/>
              <w:autoSpaceDN/>
              <w:adjustRightInd/>
              <w:jc w:val="center"/>
              <w:textAlignment w:val="auto"/>
              <w:rPr>
                <w:rFonts w:ascii="Arial" w:hAnsi="Arial" w:cs="Arial"/>
                <w:lang w:val="en-US"/>
              </w:rPr>
            </w:pPr>
          </w:p>
        </w:tc>
        <w:tc>
          <w:tcPr>
            <w:tcW w:w="2500" w:type="dxa"/>
            <w:tcBorders>
              <w:top w:val="nil"/>
              <w:left w:val="nil"/>
              <w:bottom w:val="nil"/>
              <w:right w:val="nil"/>
            </w:tcBorders>
            <w:shd w:val="clear" w:color="auto" w:fill="auto"/>
            <w:vAlign w:val="center"/>
            <w:hideMark/>
          </w:tcPr>
          <w:p w14:paraId="2429D3D5" w14:textId="77777777" w:rsidR="00434086" w:rsidRPr="00B94DC1" w:rsidRDefault="00434086" w:rsidP="00434086">
            <w:pPr>
              <w:overflowPunct/>
              <w:autoSpaceDE/>
              <w:autoSpaceDN/>
              <w:adjustRightInd/>
              <w:jc w:val="center"/>
              <w:textAlignment w:val="auto"/>
              <w:rPr>
                <w:rFonts w:ascii="Arial" w:hAnsi="Arial" w:cs="Arial"/>
                <w:lang w:val="en-US"/>
              </w:rPr>
            </w:pPr>
          </w:p>
        </w:tc>
      </w:tr>
      <w:tr w:rsidR="00B94DC1" w:rsidRPr="00B94DC1" w14:paraId="69FAEAAD" w14:textId="77777777" w:rsidTr="002E6045">
        <w:trPr>
          <w:trHeight w:val="300"/>
        </w:trPr>
        <w:tc>
          <w:tcPr>
            <w:tcW w:w="2500" w:type="dxa"/>
            <w:tcBorders>
              <w:top w:val="nil"/>
              <w:left w:val="nil"/>
              <w:bottom w:val="nil"/>
              <w:right w:val="nil"/>
            </w:tcBorders>
            <w:shd w:val="clear" w:color="auto" w:fill="auto"/>
            <w:vAlign w:val="center"/>
            <w:hideMark/>
          </w:tcPr>
          <w:p w14:paraId="4CD94FB4" w14:textId="77777777" w:rsidR="0083137C" w:rsidRPr="00B94DC1" w:rsidRDefault="0083137C" w:rsidP="0083137C">
            <w:pPr>
              <w:overflowPunct/>
              <w:autoSpaceDE/>
              <w:autoSpaceDN/>
              <w:adjustRightInd/>
              <w:textAlignment w:val="auto"/>
              <w:rPr>
                <w:rFonts w:ascii="Arial" w:hAnsi="Arial" w:cs="Arial"/>
                <w:lang w:val="en-US"/>
              </w:rPr>
            </w:pPr>
            <w:r w:rsidRPr="00B94DC1">
              <w:rPr>
                <w:rFonts w:ascii="Arial" w:hAnsi="Arial" w:cs="Arial"/>
                <w:lang w:val="en-US"/>
              </w:rPr>
              <w:t>Dưới 5.000</w:t>
            </w:r>
          </w:p>
        </w:tc>
        <w:tc>
          <w:tcPr>
            <w:tcW w:w="2500" w:type="dxa"/>
            <w:tcBorders>
              <w:top w:val="nil"/>
              <w:left w:val="nil"/>
              <w:bottom w:val="nil"/>
              <w:right w:val="nil"/>
            </w:tcBorders>
            <w:shd w:val="clear" w:color="auto" w:fill="auto"/>
            <w:vAlign w:val="center"/>
          </w:tcPr>
          <w:p w14:paraId="47D38F12" w14:textId="482FC2EB"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2,896</w:t>
            </w:r>
          </w:p>
        </w:tc>
        <w:tc>
          <w:tcPr>
            <w:tcW w:w="2500" w:type="dxa"/>
            <w:tcBorders>
              <w:top w:val="nil"/>
              <w:left w:val="nil"/>
              <w:bottom w:val="nil"/>
              <w:right w:val="nil"/>
            </w:tcBorders>
            <w:shd w:val="clear" w:color="auto" w:fill="auto"/>
            <w:vAlign w:val="center"/>
          </w:tcPr>
          <w:p w14:paraId="1A2487D9" w14:textId="49DBFE88"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2,138,583</w:t>
            </w:r>
          </w:p>
        </w:tc>
        <w:tc>
          <w:tcPr>
            <w:tcW w:w="2500" w:type="dxa"/>
            <w:tcBorders>
              <w:top w:val="nil"/>
              <w:left w:val="nil"/>
              <w:bottom w:val="nil"/>
              <w:right w:val="nil"/>
            </w:tcBorders>
            <w:shd w:val="clear" w:color="auto" w:fill="auto"/>
            <w:vAlign w:val="center"/>
          </w:tcPr>
          <w:p w14:paraId="067C4F4D" w14:textId="51DD0085"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20.74%</w:t>
            </w:r>
          </w:p>
        </w:tc>
      </w:tr>
      <w:tr w:rsidR="00B94DC1" w:rsidRPr="00B94DC1" w14:paraId="1DA8E3AD" w14:textId="77777777" w:rsidTr="002E6045">
        <w:trPr>
          <w:trHeight w:val="300"/>
        </w:trPr>
        <w:tc>
          <w:tcPr>
            <w:tcW w:w="2500" w:type="dxa"/>
            <w:tcBorders>
              <w:top w:val="nil"/>
              <w:left w:val="nil"/>
              <w:bottom w:val="nil"/>
              <w:right w:val="nil"/>
            </w:tcBorders>
            <w:shd w:val="clear" w:color="auto" w:fill="auto"/>
            <w:vAlign w:val="center"/>
            <w:hideMark/>
          </w:tcPr>
          <w:p w14:paraId="5A09E768" w14:textId="77777777" w:rsidR="0083137C" w:rsidRPr="00B94DC1" w:rsidRDefault="0083137C" w:rsidP="0083137C">
            <w:pPr>
              <w:overflowPunct/>
              <w:autoSpaceDE/>
              <w:autoSpaceDN/>
              <w:adjustRightInd/>
              <w:textAlignment w:val="auto"/>
              <w:rPr>
                <w:rFonts w:ascii="Arial" w:hAnsi="Arial" w:cs="Arial"/>
                <w:lang w:val="en-US"/>
              </w:rPr>
            </w:pPr>
            <w:r w:rsidRPr="00B94DC1">
              <w:rPr>
                <w:rFonts w:ascii="Arial" w:hAnsi="Arial" w:cs="Arial"/>
                <w:lang w:val="en-US"/>
              </w:rPr>
              <w:t>Từ 5.000 đến 10.000</w:t>
            </w:r>
          </w:p>
        </w:tc>
        <w:tc>
          <w:tcPr>
            <w:tcW w:w="2500" w:type="dxa"/>
            <w:tcBorders>
              <w:top w:val="nil"/>
              <w:left w:val="nil"/>
              <w:bottom w:val="nil"/>
              <w:right w:val="nil"/>
            </w:tcBorders>
            <w:shd w:val="clear" w:color="auto" w:fill="auto"/>
            <w:vAlign w:val="center"/>
          </w:tcPr>
          <w:p w14:paraId="48FF6496" w14:textId="44612A7F"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99</w:t>
            </w:r>
          </w:p>
        </w:tc>
        <w:tc>
          <w:tcPr>
            <w:tcW w:w="2500" w:type="dxa"/>
            <w:tcBorders>
              <w:top w:val="nil"/>
              <w:left w:val="nil"/>
              <w:bottom w:val="nil"/>
              <w:right w:val="nil"/>
            </w:tcBorders>
            <w:shd w:val="clear" w:color="auto" w:fill="auto"/>
            <w:vAlign w:val="center"/>
          </w:tcPr>
          <w:p w14:paraId="08C2A63D" w14:textId="712E99DF"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649,774.96</w:t>
            </w:r>
          </w:p>
        </w:tc>
        <w:tc>
          <w:tcPr>
            <w:tcW w:w="2500" w:type="dxa"/>
            <w:tcBorders>
              <w:top w:val="nil"/>
              <w:left w:val="nil"/>
              <w:bottom w:val="nil"/>
              <w:right w:val="nil"/>
            </w:tcBorders>
            <w:shd w:val="clear" w:color="auto" w:fill="auto"/>
            <w:vAlign w:val="center"/>
          </w:tcPr>
          <w:p w14:paraId="2E701A2C" w14:textId="49CF5631"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6.30%</w:t>
            </w:r>
          </w:p>
        </w:tc>
      </w:tr>
      <w:tr w:rsidR="00B94DC1" w:rsidRPr="00B94DC1" w14:paraId="23E9B76D" w14:textId="77777777" w:rsidTr="002E6045">
        <w:trPr>
          <w:trHeight w:val="300"/>
        </w:trPr>
        <w:tc>
          <w:tcPr>
            <w:tcW w:w="2500" w:type="dxa"/>
            <w:tcBorders>
              <w:top w:val="nil"/>
              <w:left w:val="nil"/>
              <w:bottom w:val="nil"/>
              <w:right w:val="nil"/>
            </w:tcBorders>
            <w:shd w:val="clear" w:color="auto" w:fill="auto"/>
            <w:vAlign w:val="center"/>
            <w:hideMark/>
          </w:tcPr>
          <w:p w14:paraId="73332794" w14:textId="77777777" w:rsidR="0083137C" w:rsidRPr="00B94DC1" w:rsidRDefault="0083137C" w:rsidP="0083137C">
            <w:pPr>
              <w:overflowPunct/>
              <w:autoSpaceDE/>
              <w:autoSpaceDN/>
              <w:adjustRightInd/>
              <w:textAlignment w:val="auto"/>
              <w:rPr>
                <w:rFonts w:ascii="Arial" w:hAnsi="Arial" w:cs="Arial"/>
                <w:lang w:val="en-US"/>
              </w:rPr>
            </w:pPr>
            <w:r w:rsidRPr="00B94DC1">
              <w:rPr>
                <w:rFonts w:ascii="Arial" w:hAnsi="Arial" w:cs="Arial"/>
                <w:lang w:val="en-US"/>
              </w:rPr>
              <w:t>Từ 10.000 đến 50.000</w:t>
            </w:r>
          </w:p>
        </w:tc>
        <w:tc>
          <w:tcPr>
            <w:tcW w:w="2500" w:type="dxa"/>
            <w:tcBorders>
              <w:top w:val="nil"/>
              <w:left w:val="nil"/>
              <w:bottom w:val="nil"/>
              <w:right w:val="nil"/>
            </w:tcBorders>
            <w:shd w:val="clear" w:color="auto" w:fill="auto"/>
            <w:vAlign w:val="center"/>
          </w:tcPr>
          <w:p w14:paraId="0C8260C4" w14:textId="2425F46E"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81</w:t>
            </w:r>
          </w:p>
        </w:tc>
        <w:tc>
          <w:tcPr>
            <w:tcW w:w="2500" w:type="dxa"/>
            <w:tcBorders>
              <w:top w:val="nil"/>
              <w:left w:val="nil"/>
              <w:bottom w:val="nil"/>
              <w:right w:val="nil"/>
            </w:tcBorders>
            <w:shd w:val="clear" w:color="auto" w:fill="auto"/>
            <w:vAlign w:val="center"/>
          </w:tcPr>
          <w:p w14:paraId="00C6E665" w14:textId="3DF851F8"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1,557,093.38</w:t>
            </w:r>
          </w:p>
        </w:tc>
        <w:tc>
          <w:tcPr>
            <w:tcW w:w="2500" w:type="dxa"/>
            <w:tcBorders>
              <w:top w:val="nil"/>
              <w:left w:val="nil"/>
              <w:bottom w:val="nil"/>
              <w:right w:val="nil"/>
            </w:tcBorders>
            <w:shd w:val="clear" w:color="auto" w:fill="auto"/>
            <w:vAlign w:val="center"/>
          </w:tcPr>
          <w:p w14:paraId="69816417" w14:textId="54C024EA"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15.10%</w:t>
            </w:r>
          </w:p>
        </w:tc>
      </w:tr>
      <w:tr w:rsidR="00B94DC1" w:rsidRPr="00B94DC1" w14:paraId="643BB7BF" w14:textId="77777777" w:rsidTr="002E6045">
        <w:trPr>
          <w:trHeight w:val="300"/>
        </w:trPr>
        <w:tc>
          <w:tcPr>
            <w:tcW w:w="2500" w:type="dxa"/>
            <w:tcBorders>
              <w:top w:val="nil"/>
              <w:left w:val="nil"/>
              <w:bottom w:val="nil"/>
              <w:right w:val="nil"/>
            </w:tcBorders>
            <w:shd w:val="clear" w:color="auto" w:fill="auto"/>
            <w:vAlign w:val="center"/>
            <w:hideMark/>
          </w:tcPr>
          <w:p w14:paraId="582E9335" w14:textId="77777777" w:rsidR="0083137C" w:rsidRPr="00B94DC1" w:rsidRDefault="0083137C" w:rsidP="0083137C">
            <w:pPr>
              <w:overflowPunct/>
              <w:autoSpaceDE/>
              <w:autoSpaceDN/>
              <w:adjustRightInd/>
              <w:textAlignment w:val="auto"/>
              <w:rPr>
                <w:rFonts w:ascii="Arial" w:hAnsi="Arial" w:cs="Arial"/>
                <w:lang w:val="en-US"/>
              </w:rPr>
            </w:pPr>
            <w:r w:rsidRPr="00B94DC1">
              <w:rPr>
                <w:rFonts w:ascii="Arial" w:hAnsi="Arial" w:cs="Arial"/>
                <w:lang w:val="en-US"/>
              </w:rPr>
              <w:t>Từ 50.000 đến 500.000</w:t>
            </w:r>
          </w:p>
        </w:tc>
        <w:tc>
          <w:tcPr>
            <w:tcW w:w="2500" w:type="dxa"/>
            <w:tcBorders>
              <w:top w:val="nil"/>
              <w:left w:val="nil"/>
              <w:bottom w:val="nil"/>
              <w:right w:val="nil"/>
            </w:tcBorders>
            <w:shd w:val="clear" w:color="auto" w:fill="auto"/>
            <w:vAlign w:val="center"/>
          </w:tcPr>
          <w:p w14:paraId="0DD24474" w14:textId="5DD7ED6E"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16</w:t>
            </w:r>
          </w:p>
        </w:tc>
        <w:tc>
          <w:tcPr>
            <w:tcW w:w="2500" w:type="dxa"/>
            <w:tcBorders>
              <w:top w:val="nil"/>
              <w:left w:val="nil"/>
              <w:bottom w:val="nil"/>
              <w:right w:val="nil"/>
            </w:tcBorders>
            <w:shd w:val="clear" w:color="auto" w:fill="auto"/>
            <w:vAlign w:val="center"/>
          </w:tcPr>
          <w:p w14:paraId="5698D4B4" w14:textId="3A4CC7A5"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2,161,646.83</w:t>
            </w:r>
          </w:p>
        </w:tc>
        <w:tc>
          <w:tcPr>
            <w:tcW w:w="2500" w:type="dxa"/>
            <w:tcBorders>
              <w:top w:val="nil"/>
              <w:left w:val="nil"/>
              <w:bottom w:val="nil"/>
              <w:right w:val="nil"/>
            </w:tcBorders>
            <w:shd w:val="clear" w:color="auto" w:fill="auto"/>
            <w:vAlign w:val="center"/>
          </w:tcPr>
          <w:p w14:paraId="4024F0EE" w14:textId="7B1861D7"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20.96%</w:t>
            </w:r>
          </w:p>
        </w:tc>
      </w:tr>
      <w:tr w:rsidR="00B94DC1" w:rsidRPr="00B94DC1" w14:paraId="1CC631BB" w14:textId="77777777" w:rsidTr="002E6045">
        <w:trPr>
          <w:trHeight w:val="300"/>
        </w:trPr>
        <w:tc>
          <w:tcPr>
            <w:tcW w:w="2500" w:type="dxa"/>
            <w:tcBorders>
              <w:top w:val="nil"/>
              <w:left w:val="nil"/>
              <w:bottom w:val="nil"/>
              <w:right w:val="nil"/>
            </w:tcBorders>
            <w:shd w:val="clear" w:color="auto" w:fill="auto"/>
            <w:vAlign w:val="center"/>
            <w:hideMark/>
          </w:tcPr>
          <w:p w14:paraId="6204F9B2" w14:textId="77777777" w:rsidR="0083137C" w:rsidRPr="00B94DC1" w:rsidRDefault="0083137C" w:rsidP="0083137C">
            <w:pPr>
              <w:overflowPunct/>
              <w:autoSpaceDE/>
              <w:autoSpaceDN/>
              <w:adjustRightInd/>
              <w:textAlignment w:val="auto"/>
              <w:rPr>
                <w:rFonts w:ascii="Arial" w:hAnsi="Arial" w:cs="Arial"/>
                <w:lang w:val="en-US"/>
              </w:rPr>
            </w:pPr>
            <w:r w:rsidRPr="00B94DC1">
              <w:rPr>
                <w:rFonts w:ascii="Arial" w:hAnsi="Arial" w:cs="Arial"/>
                <w:lang w:val="en-US"/>
              </w:rPr>
              <w:t>Trên 500.000</w:t>
            </w:r>
          </w:p>
        </w:tc>
        <w:tc>
          <w:tcPr>
            <w:tcW w:w="2500" w:type="dxa"/>
            <w:tcBorders>
              <w:top w:val="nil"/>
              <w:left w:val="nil"/>
              <w:bottom w:val="nil"/>
              <w:right w:val="nil"/>
            </w:tcBorders>
            <w:shd w:val="clear" w:color="auto" w:fill="auto"/>
            <w:vAlign w:val="center"/>
          </w:tcPr>
          <w:p w14:paraId="73EBFD4C" w14:textId="3557EC4B"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2</w:t>
            </w:r>
          </w:p>
        </w:tc>
        <w:tc>
          <w:tcPr>
            <w:tcW w:w="2500" w:type="dxa"/>
            <w:tcBorders>
              <w:top w:val="nil"/>
              <w:left w:val="nil"/>
              <w:bottom w:val="nil"/>
              <w:right w:val="nil"/>
            </w:tcBorders>
            <w:shd w:val="clear" w:color="auto" w:fill="auto"/>
            <w:vAlign w:val="center"/>
          </w:tcPr>
          <w:p w14:paraId="3F61526F" w14:textId="62D2A371"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3,804,602.65</w:t>
            </w:r>
          </w:p>
        </w:tc>
        <w:tc>
          <w:tcPr>
            <w:tcW w:w="2500" w:type="dxa"/>
            <w:tcBorders>
              <w:top w:val="nil"/>
              <w:left w:val="nil"/>
              <w:bottom w:val="nil"/>
              <w:right w:val="nil"/>
            </w:tcBorders>
            <w:shd w:val="clear" w:color="auto" w:fill="auto"/>
            <w:vAlign w:val="center"/>
          </w:tcPr>
          <w:p w14:paraId="13A42FB0" w14:textId="1A99FAC6"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36.90%</w:t>
            </w:r>
          </w:p>
        </w:tc>
      </w:tr>
      <w:tr w:rsidR="00B94DC1" w:rsidRPr="00B94DC1" w14:paraId="3F63B3E2" w14:textId="77777777" w:rsidTr="004E6AE4">
        <w:trPr>
          <w:trHeight w:val="315"/>
        </w:trPr>
        <w:tc>
          <w:tcPr>
            <w:tcW w:w="2500" w:type="dxa"/>
            <w:tcBorders>
              <w:top w:val="nil"/>
              <w:left w:val="nil"/>
              <w:bottom w:val="nil"/>
              <w:right w:val="nil"/>
            </w:tcBorders>
            <w:shd w:val="clear" w:color="auto" w:fill="auto"/>
            <w:vAlign w:val="center"/>
            <w:hideMark/>
          </w:tcPr>
          <w:p w14:paraId="7A6E8EA6" w14:textId="77777777" w:rsidR="00434086" w:rsidRPr="00B94DC1" w:rsidRDefault="00434086" w:rsidP="00434086">
            <w:pPr>
              <w:overflowPunct/>
              <w:autoSpaceDE/>
              <w:autoSpaceDN/>
              <w:adjustRightInd/>
              <w:jc w:val="right"/>
              <w:textAlignment w:val="auto"/>
              <w:rPr>
                <w:rFonts w:ascii="Arial" w:hAnsi="Arial" w:cs="Arial"/>
                <w:lang w:val="en-US"/>
              </w:rPr>
            </w:pPr>
          </w:p>
        </w:tc>
        <w:tc>
          <w:tcPr>
            <w:tcW w:w="2500" w:type="dxa"/>
            <w:tcBorders>
              <w:top w:val="nil"/>
              <w:left w:val="nil"/>
              <w:bottom w:val="single" w:sz="8" w:space="0" w:color="auto"/>
              <w:right w:val="nil"/>
            </w:tcBorders>
            <w:shd w:val="clear" w:color="auto" w:fill="auto"/>
            <w:vAlign w:val="center"/>
          </w:tcPr>
          <w:p w14:paraId="7E636D96" w14:textId="14C068A3" w:rsidR="00434086" w:rsidRPr="00B94DC1" w:rsidRDefault="00434086" w:rsidP="00434086">
            <w:pPr>
              <w:overflowPunct/>
              <w:autoSpaceDE/>
              <w:autoSpaceDN/>
              <w:adjustRightInd/>
              <w:jc w:val="center"/>
              <w:textAlignment w:val="auto"/>
              <w:rPr>
                <w:rFonts w:ascii="Arial" w:hAnsi="Arial" w:cs="Arial"/>
                <w:lang w:val="en-US"/>
              </w:rPr>
            </w:pPr>
          </w:p>
        </w:tc>
        <w:tc>
          <w:tcPr>
            <w:tcW w:w="2500" w:type="dxa"/>
            <w:tcBorders>
              <w:top w:val="nil"/>
              <w:left w:val="nil"/>
              <w:bottom w:val="single" w:sz="8" w:space="0" w:color="auto"/>
              <w:right w:val="nil"/>
            </w:tcBorders>
            <w:shd w:val="clear" w:color="auto" w:fill="auto"/>
            <w:vAlign w:val="center"/>
          </w:tcPr>
          <w:p w14:paraId="47701A4A" w14:textId="110C0249" w:rsidR="00434086" w:rsidRPr="00B94DC1" w:rsidRDefault="00434086" w:rsidP="00434086">
            <w:pPr>
              <w:overflowPunct/>
              <w:autoSpaceDE/>
              <w:autoSpaceDN/>
              <w:adjustRightInd/>
              <w:jc w:val="center"/>
              <w:textAlignment w:val="auto"/>
              <w:rPr>
                <w:rFonts w:ascii="Arial" w:hAnsi="Arial" w:cs="Arial"/>
                <w:lang w:val="en-US"/>
              </w:rPr>
            </w:pPr>
          </w:p>
        </w:tc>
        <w:tc>
          <w:tcPr>
            <w:tcW w:w="2500" w:type="dxa"/>
            <w:tcBorders>
              <w:top w:val="nil"/>
              <w:left w:val="nil"/>
              <w:bottom w:val="single" w:sz="8" w:space="0" w:color="auto"/>
              <w:right w:val="nil"/>
            </w:tcBorders>
            <w:shd w:val="clear" w:color="auto" w:fill="auto"/>
            <w:vAlign w:val="center"/>
          </w:tcPr>
          <w:p w14:paraId="32AD5A08" w14:textId="5B8B7B74" w:rsidR="00434086" w:rsidRPr="00B94DC1" w:rsidRDefault="00434086" w:rsidP="00434086">
            <w:pPr>
              <w:overflowPunct/>
              <w:autoSpaceDE/>
              <w:autoSpaceDN/>
              <w:adjustRightInd/>
              <w:jc w:val="right"/>
              <w:textAlignment w:val="auto"/>
              <w:rPr>
                <w:rFonts w:ascii="Arial" w:hAnsi="Arial" w:cs="Arial"/>
                <w:lang w:val="en-US"/>
              </w:rPr>
            </w:pPr>
          </w:p>
        </w:tc>
      </w:tr>
      <w:tr w:rsidR="0083137C" w:rsidRPr="00B94DC1" w14:paraId="6FADEA64" w14:textId="77777777" w:rsidTr="002E6045">
        <w:trPr>
          <w:trHeight w:val="315"/>
        </w:trPr>
        <w:tc>
          <w:tcPr>
            <w:tcW w:w="2500" w:type="dxa"/>
            <w:tcBorders>
              <w:top w:val="nil"/>
              <w:left w:val="nil"/>
              <w:bottom w:val="nil"/>
              <w:right w:val="nil"/>
            </w:tcBorders>
            <w:shd w:val="clear" w:color="auto" w:fill="auto"/>
            <w:vAlign w:val="center"/>
            <w:hideMark/>
          </w:tcPr>
          <w:p w14:paraId="6EF8A9CF" w14:textId="77777777" w:rsidR="0083137C" w:rsidRPr="00B94DC1" w:rsidRDefault="0083137C" w:rsidP="0083137C">
            <w:pPr>
              <w:overflowPunct/>
              <w:autoSpaceDE/>
              <w:autoSpaceDN/>
              <w:adjustRightInd/>
              <w:jc w:val="left"/>
              <w:textAlignment w:val="auto"/>
              <w:rPr>
                <w:rFonts w:ascii="Arial" w:hAnsi="Arial" w:cs="Arial"/>
                <w:b/>
                <w:bCs/>
                <w:lang w:val="en-US"/>
              </w:rPr>
            </w:pPr>
            <w:r w:rsidRPr="00B94DC1">
              <w:rPr>
                <w:rFonts w:ascii="Arial" w:hAnsi="Arial" w:cs="Arial"/>
                <w:b/>
                <w:bCs/>
                <w:lang w:val="en-US"/>
              </w:rPr>
              <w:t>Tổng cộng</w:t>
            </w:r>
          </w:p>
        </w:tc>
        <w:tc>
          <w:tcPr>
            <w:tcW w:w="2500" w:type="dxa"/>
            <w:tcBorders>
              <w:top w:val="nil"/>
              <w:left w:val="nil"/>
              <w:bottom w:val="double" w:sz="6" w:space="0" w:color="auto"/>
              <w:right w:val="nil"/>
            </w:tcBorders>
            <w:shd w:val="clear" w:color="auto" w:fill="auto"/>
            <w:vAlign w:val="center"/>
          </w:tcPr>
          <w:p w14:paraId="549759B1" w14:textId="2802D497"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3,094</w:t>
            </w:r>
          </w:p>
        </w:tc>
        <w:tc>
          <w:tcPr>
            <w:tcW w:w="2500" w:type="dxa"/>
            <w:tcBorders>
              <w:top w:val="nil"/>
              <w:left w:val="nil"/>
              <w:bottom w:val="double" w:sz="6" w:space="0" w:color="auto"/>
              <w:right w:val="nil"/>
            </w:tcBorders>
            <w:shd w:val="clear" w:color="auto" w:fill="auto"/>
            <w:vAlign w:val="center"/>
          </w:tcPr>
          <w:p w14:paraId="4D58BFEE" w14:textId="667BF480"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10,311,701.04</w:t>
            </w:r>
          </w:p>
        </w:tc>
        <w:tc>
          <w:tcPr>
            <w:tcW w:w="2500" w:type="dxa"/>
            <w:tcBorders>
              <w:top w:val="nil"/>
              <w:left w:val="nil"/>
              <w:bottom w:val="double" w:sz="6" w:space="0" w:color="auto"/>
              <w:right w:val="nil"/>
            </w:tcBorders>
            <w:shd w:val="clear" w:color="auto" w:fill="auto"/>
            <w:vAlign w:val="center"/>
            <w:hideMark/>
          </w:tcPr>
          <w:p w14:paraId="60C7E520" w14:textId="44C207D8" w:rsidR="0083137C" w:rsidRPr="00B94DC1" w:rsidRDefault="0083137C" w:rsidP="0083137C">
            <w:pPr>
              <w:overflowPunct/>
              <w:jc w:val="right"/>
              <w:textAlignment w:val="auto"/>
              <w:rPr>
                <w:rFonts w:ascii="Arial" w:eastAsiaTheme="minorHAnsi" w:hAnsi="Arial" w:cs="Arial"/>
                <w:lang w:val="en-US"/>
              </w:rPr>
            </w:pPr>
            <w:r w:rsidRPr="00B94DC1">
              <w:rPr>
                <w:rFonts w:ascii="Arial" w:hAnsi="Arial" w:cs="Arial"/>
              </w:rPr>
              <w:t>100.00%</w:t>
            </w:r>
          </w:p>
        </w:tc>
      </w:tr>
    </w:tbl>
    <w:p w14:paraId="7E060280" w14:textId="77777777" w:rsidR="00E42142" w:rsidRPr="00B94DC1" w:rsidRDefault="00E42142" w:rsidP="008477D9">
      <w:pPr>
        <w:shd w:val="clear" w:color="auto" w:fill="FFFFFF"/>
        <w:tabs>
          <w:tab w:val="left" w:pos="540"/>
        </w:tabs>
        <w:spacing w:before="120"/>
        <w:ind w:left="567" w:hanging="567"/>
        <w:rPr>
          <w:rFonts w:ascii="Arial" w:hAnsi="Arial" w:cs="Arial"/>
          <w:b/>
          <w:lang w:val="nl-NL"/>
        </w:rPr>
      </w:pPr>
    </w:p>
    <w:p w14:paraId="479AD239" w14:textId="77777777" w:rsidR="008477D9" w:rsidRPr="00B94DC1" w:rsidRDefault="008477D9" w:rsidP="008477D9">
      <w:pPr>
        <w:shd w:val="clear" w:color="auto" w:fill="FFFFFF"/>
        <w:tabs>
          <w:tab w:val="left" w:pos="540"/>
        </w:tabs>
        <w:spacing w:before="120"/>
        <w:rPr>
          <w:rFonts w:ascii="Arial" w:hAnsi="Arial" w:cs="Arial"/>
          <w:lang w:val="nl-NL"/>
        </w:rPr>
      </w:pPr>
      <w:r w:rsidRPr="00B94DC1">
        <w:rPr>
          <w:rFonts w:ascii="Arial" w:hAnsi="Arial" w:cs="Arial"/>
          <w:b/>
          <w:lang w:val="nl-NL"/>
        </w:rPr>
        <w:t>4.3</w:t>
      </w:r>
      <w:r w:rsidRPr="00B94DC1">
        <w:rPr>
          <w:rFonts w:ascii="Arial" w:hAnsi="Arial" w:cs="Arial"/>
          <w:b/>
          <w:lang w:val="nl-NL"/>
        </w:rPr>
        <w:tab/>
        <w:t>Chi phí ngầm và giảm giá</w:t>
      </w:r>
    </w:p>
    <w:p w14:paraId="197FB9F0" w14:textId="77777777" w:rsidR="008477D9" w:rsidRPr="00B94DC1" w:rsidRDefault="008477D9" w:rsidP="008477D9">
      <w:pPr>
        <w:spacing w:after="120"/>
        <w:ind w:left="567"/>
        <w:rPr>
          <w:rFonts w:ascii="Arial" w:hAnsi="Arial" w:cs="Arial"/>
        </w:rPr>
      </w:pPr>
    </w:p>
    <w:p w14:paraId="540CEEDF" w14:textId="06102930" w:rsidR="008477D9" w:rsidRPr="00B94DC1" w:rsidRDefault="008477D9" w:rsidP="005810C8">
      <w:pPr>
        <w:spacing w:after="120"/>
        <w:rPr>
          <w:rFonts w:ascii="Arial" w:hAnsi="Arial" w:cs="Arial"/>
        </w:rPr>
      </w:pPr>
      <w:r w:rsidRPr="00B94DC1">
        <w:rPr>
          <w:rFonts w:ascii="Arial" w:hAnsi="Arial" w:cs="Arial"/>
        </w:rPr>
        <w:t>Để hạn chế vấn đề xung đột về lợi ích và đảm bảo sự chính xác của các khoản</w:t>
      </w:r>
      <w:r w:rsidR="002B1137" w:rsidRPr="00B94DC1">
        <w:rPr>
          <w:rFonts w:ascii="Arial" w:hAnsi="Arial" w:cs="Arial"/>
        </w:rPr>
        <w:t xml:space="preserve"> mục chi phí của Quỹ VF1</w:t>
      </w:r>
      <w:r w:rsidRPr="00B94DC1">
        <w:rPr>
          <w:rFonts w:ascii="Arial" w:hAnsi="Arial" w:cs="Arial"/>
        </w:rPr>
        <w:t>, Công ty qui định tất cả các nhân viên của công ty không được phép nhận các khoản giảm giá bằng tiền và không được thực hiện các khoản chi phí ngầm khi thực hiện c</w:t>
      </w:r>
      <w:r w:rsidR="002B1137" w:rsidRPr="00B94DC1">
        <w:rPr>
          <w:rFonts w:ascii="Arial" w:hAnsi="Arial" w:cs="Arial"/>
        </w:rPr>
        <w:t>ác giao dịch của Quỹ VF1</w:t>
      </w:r>
      <w:r w:rsidRPr="00B94DC1">
        <w:rPr>
          <w:rFonts w:ascii="Arial" w:hAnsi="Arial" w:cs="Arial"/>
        </w:rPr>
        <w:t xml:space="preserve"> với các đối tác cung cấp dịch vụ cho Quỹ.</w:t>
      </w:r>
    </w:p>
    <w:p w14:paraId="0F34D42E" w14:textId="7EF94BBE" w:rsidR="008477D9" w:rsidRPr="00B94DC1" w:rsidRDefault="008477D9" w:rsidP="005810C8">
      <w:pPr>
        <w:spacing w:after="120"/>
        <w:rPr>
          <w:rFonts w:ascii="Arial" w:hAnsi="Arial" w:cs="Arial"/>
        </w:rPr>
      </w:pPr>
      <w:r w:rsidRPr="00B94DC1">
        <w:rPr>
          <w:rFonts w:ascii="Arial" w:hAnsi="Arial" w:cs="Arial"/>
        </w:rPr>
        <w:t>Trong kỳ báo cáo, Quỹ không phát sinh các khoản giảm giá bằng tiền hoặc chi phí ngầm liên quan đến các giao dịch của Quỹ với các đối tác cung c</w:t>
      </w:r>
      <w:r w:rsidR="005E0548" w:rsidRPr="00B94DC1">
        <w:rPr>
          <w:rFonts w:ascii="Arial" w:hAnsi="Arial" w:cs="Arial"/>
        </w:rPr>
        <w:t>ấ</w:t>
      </w:r>
      <w:r w:rsidRPr="00B94DC1">
        <w:rPr>
          <w:rFonts w:ascii="Arial" w:hAnsi="Arial" w:cs="Arial"/>
        </w:rPr>
        <w:t>p dịch vụ cho Quỹ.</w:t>
      </w:r>
    </w:p>
    <w:p w14:paraId="78BCA327" w14:textId="77777777" w:rsidR="00FD4009" w:rsidRPr="00B94DC1" w:rsidRDefault="00FD4009" w:rsidP="00FD4009">
      <w:pPr>
        <w:spacing w:after="120"/>
        <w:ind w:left="567"/>
        <w:rPr>
          <w:rFonts w:ascii="Arial" w:hAnsi="Arial" w:cs="Arial"/>
        </w:rPr>
      </w:pPr>
    </w:p>
    <w:p w14:paraId="77CC0314" w14:textId="5CBADC7F" w:rsidR="008477D9" w:rsidRPr="00B94DC1" w:rsidRDefault="008477D9" w:rsidP="00F8619B">
      <w:pPr>
        <w:pStyle w:val="ListParagraph"/>
        <w:numPr>
          <w:ilvl w:val="0"/>
          <w:numId w:val="1"/>
        </w:numPr>
        <w:shd w:val="clear" w:color="auto" w:fill="FFFFFF"/>
        <w:tabs>
          <w:tab w:val="left" w:pos="540"/>
        </w:tabs>
        <w:spacing w:before="120"/>
        <w:rPr>
          <w:rFonts w:ascii="Arial" w:hAnsi="Arial" w:cs="Arial"/>
          <w:b/>
          <w:lang w:val="nl-NL"/>
        </w:rPr>
      </w:pPr>
      <w:r w:rsidRPr="00B94DC1">
        <w:rPr>
          <w:rFonts w:ascii="Arial" w:hAnsi="Arial" w:cs="Arial"/>
          <w:b/>
          <w:lang w:val="nl-NL"/>
        </w:rPr>
        <w:t>THÔNG TIN VỀ TRIỂN VỌNG THỊ TRƯỜNG</w:t>
      </w:r>
    </w:p>
    <w:p w14:paraId="4499C124" w14:textId="77777777" w:rsidR="006A6DF5" w:rsidRPr="00B94DC1" w:rsidRDefault="006A6DF5" w:rsidP="008477D9">
      <w:pPr>
        <w:shd w:val="clear" w:color="auto" w:fill="FFFFFF"/>
        <w:tabs>
          <w:tab w:val="left" w:pos="540"/>
        </w:tabs>
        <w:spacing w:before="120"/>
        <w:rPr>
          <w:rFonts w:ascii="Arial" w:hAnsi="Arial" w:cs="Arial"/>
          <w:bCs/>
          <w:lang w:val="nl-NL"/>
        </w:rPr>
      </w:pPr>
      <w:r w:rsidRPr="00B94DC1">
        <w:rPr>
          <w:rFonts w:ascii="Arial" w:hAnsi="Arial" w:cs="Arial"/>
          <w:bCs/>
          <w:lang w:val="nl-NL"/>
        </w:rPr>
        <w:t>GDP Việt Nam đã tăng tr</w:t>
      </w:r>
      <w:r w:rsidRPr="00B94DC1">
        <w:rPr>
          <w:rFonts w:ascii="Arial" w:hAnsi="Arial" w:cs="Arial" w:hint="eastAsia"/>
          <w:bCs/>
          <w:lang w:val="nl-NL"/>
        </w:rPr>
        <w:t>ư</w:t>
      </w:r>
      <w:r w:rsidRPr="00B94DC1">
        <w:rPr>
          <w:rFonts w:ascii="Arial" w:hAnsi="Arial" w:cs="Arial"/>
          <w:bCs/>
          <w:lang w:val="nl-NL"/>
        </w:rPr>
        <w:t>ởng 2,62% trong Quý 3 2020 và 9 tháng đầu năm tăng 2,12%. Khu vực sản xuất công nghiệp và xây dựng vẫn duy trì là khu vực có tốc độ tăng tr</w:t>
      </w:r>
      <w:r w:rsidRPr="00B94DC1">
        <w:rPr>
          <w:rFonts w:ascii="Arial" w:hAnsi="Arial" w:cs="Arial" w:hint="eastAsia"/>
          <w:bCs/>
          <w:lang w:val="nl-NL"/>
        </w:rPr>
        <w:t>ư</w:t>
      </w:r>
      <w:r w:rsidRPr="00B94DC1">
        <w:rPr>
          <w:rFonts w:ascii="Arial" w:hAnsi="Arial" w:cs="Arial"/>
          <w:bCs/>
          <w:lang w:val="nl-NL"/>
        </w:rPr>
        <w:t>ởng cao nhất trong các khu vực của nền kinh tế. Khu vực nông, lâm nghiệp và thủy sản tăng tr</w:t>
      </w:r>
      <w:r w:rsidRPr="00B94DC1">
        <w:rPr>
          <w:rFonts w:ascii="Arial" w:hAnsi="Arial" w:cs="Arial" w:hint="eastAsia"/>
          <w:bCs/>
          <w:lang w:val="nl-NL"/>
        </w:rPr>
        <w:t>ư</w:t>
      </w:r>
      <w:r w:rsidRPr="00B94DC1">
        <w:rPr>
          <w:rFonts w:ascii="Arial" w:hAnsi="Arial" w:cs="Arial"/>
          <w:bCs/>
          <w:lang w:val="nl-NL"/>
        </w:rPr>
        <w:t>ởng 1,84% cùng kỳ. Xuất siêu là điểm nổi bật của hoạt động kinh tế 9 tháng đầu năm, ghi nhận kỷ lục mới với mức thặng d</w:t>
      </w:r>
      <w:r w:rsidRPr="00B94DC1">
        <w:rPr>
          <w:rFonts w:ascii="Arial" w:hAnsi="Arial" w:cs="Arial" w:hint="eastAsia"/>
          <w:bCs/>
          <w:lang w:val="nl-NL"/>
        </w:rPr>
        <w:t>ư</w:t>
      </w:r>
      <w:r w:rsidRPr="00B94DC1">
        <w:rPr>
          <w:rFonts w:ascii="Arial" w:hAnsi="Arial" w:cs="Arial"/>
          <w:bCs/>
          <w:lang w:val="nl-NL"/>
        </w:rPr>
        <w:t xml:space="preserve"> 3,5 tỷ USD trong tháng 9, 11,5 tỷ USD trong Quý 3 2020 và 17 tỷ USD lũy kế 9 tháng năm 2020. Bên cạnh đó, vốn đầu t</w:t>
      </w:r>
      <w:r w:rsidRPr="00B94DC1">
        <w:rPr>
          <w:rFonts w:ascii="Arial" w:hAnsi="Arial" w:cs="Arial" w:hint="eastAsia"/>
          <w:bCs/>
          <w:lang w:val="nl-NL"/>
        </w:rPr>
        <w:t>ư</w:t>
      </w:r>
      <w:r w:rsidRPr="00B94DC1">
        <w:rPr>
          <w:rFonts w:ascii="Arial" w:hAnsi="Arial" w:cs="Arial"/>
          <w:bCs/>
          <w:lang w:val="nl-NL"/>
        </w:rPr>
        <w:t xml:space="preserve"> t</w:t>
      </w:r>
      <w:r w:rsidRPr="00B94DC1">
        <w:rPr>
          <w:rFonts w:ascii="Arial" w:hAnsi="Arial" w:cs="Arial" w:hint="eastAsia"/>
          <w:bCs/>
          <w:lang w:val="nl-NL"/>
        </w:rPr>
        <w:t>ư</w:t>
      </w:r>
      <w:r w:rsidRPr="00B94DC1">
        <w:rPr>
          <w:rFonts w:ascii="Arial" w:hAnsi="Arial" w:cs="Arial"/>
          <w:bCs/>
          <w:lang w:val="nl-NL"/>
        </w:rPr>
        <w:t xml:space="preserve"> nhân chỉ tăng 2,8% (bằng 20% mức tăng cùng kỳ năm 2019) và vốn FDI giảm 2,5% (cùng kỳ năm 2019 tăng 8,4%). Đầu t</w:t>
      </w:r>
      <w:r w:rsidRPr="00B94DC1">
        <w:rPr>
          <w:rFonts w:ascii="Arial" w:hAnsi="Arial" w:cs="Arial" w:hint="eastAsia"/>
          <w:bCs/>
          <w:lang w:val="nl-NL"/>
        </w:rPr>
        <w:t>ư</w:t>
      </w:r>
      <w:r w:rsidRPr="00B94DC1">
        <w:rPr>
          <w:rFonts w:ascii="Arial" w:hAnsi="Arial" w:cs="Arial"/>
          <w:bCs/>
          <w:lang w:val="nl-NL"/>
        </w:rPr>
        <w:t xml:space="preserve"> công bắt đầu tăng tốc từ Quý 2 2020 và có sự tăng tr</w:t>
      </w:r>
      <w:r w:rsidRPr="00B94DC1">
        <w:rPr>
          <w:rFonts w:ascii="Arial" w:hAnsi="Arial" w:cs="Arial" w:hint="eastAsia"/>
          <w:bCs/>
          <w:lang w:val="nl-NL"/>
        </w:rPr>
        <w:t>ư</w:t>
      </w:r>
      <w:r w:rsidRPr="00B94DC1">
        <w:rPr>
          <w:rFonts w:ascii="Arial" w:hAnsi="Arial" w:cs="Arial"/>
          <w:bCs/>
          <w:lang w:val="nl-NL"/>
        </w:rPr>
        <w:t>ởng đột biến trong Quý 3 khi vốn đầu t</w:t>
      </w:r>
      <w:r w:rsidRPr="00B94DC1">
        <w:rPr>
          <w:rFonts w:ascii="Arial" w:hAnsi="Arial" w:cs="Arial" w:hint="eastAsia"/>
          <w:bCs/>
          <w:lang w:val="nl-NL"/>
        </w:rPr>
        <w:t>ư</w:t>
      </w:r>
      <w:r w:rsidRPr="00B94DC1">
        <w:rPr>
          <w:rFonts w:ascii="Arial" w:hAnsi="Arial" w:cs="Arial"/>
          <w:bCs/>
          <w:lang w:val="nl-NL"/>
        </w:rPr>
        <w:t xml:space="preserve"> từ ngân sách nhà n</w:t>
      </w:r>
      <w:r w:rsidRPr="00B94DC1">
        <w:rPr>
          <w:rFonts w:ascii="Arial" w:hAnsi="Arial" w:cs="Arial" w:hint="eastAsia"/>
          <w:bCs/>
          <w:lang w:val="nl-NL"/>
        </w:rPr>
        <w:t>ư</w:t>
      </w:r>
      <w:r w:rsidRPr="00B94DC1">
        <w:rPr>
          <w:rFonts w:ascii="Arial" w:hAnsi="Arial" w:cs="Arial"/>
          <w:bCs/>
          <w:lang w:val="nl-NL"/>
        </w:rPr>
        <w:t>ớc tăng 13,4% (t</w:t>
      </w:r>
      <w:r w:rsidRPr="00B94DC1">
        <w:rPr>
          <w:rFonts w:ascii="Arial" w:hAnsi="Arial" w:cs="Arial" w:hint="eastAsia"/>
          <w:bCs/>
          <w:lang w:val="nl-NL"/>
        </w:rPr>
        <w:t>ươ</w:t>
      </w:r>
      <w:r w:rsidRPr="00B94DC1">
        <w:rPr>
          <w:rFonts w:ascii="Arial" w:hAnsi="Arial" w:cs="Arial"/>
          <w:bCs/>
          <w:lang w:val="nl-NL"/>
        </w:rPr>
        <w:t>ng đ</w:t>
      </w:r>
      <w:r w:rsidRPr="00B94DC1">
        <w:rPr>
          <w:rFonts w:ascii="Arial" w:hAnsi="Arial" w:cs="Arial" w:hint="eastAsia"/>
          <w:bCs/>
          <w:lang w:val="nl-NL"/>
        </w:rPr>
        <w:t>ươ</w:t>
      </w:r>
      <w:r w:rsidRPr="00B94DC1">
        <w:rPr>
          <w:rFonts w:ascii="Arial" w:hAnsi="Arial" w:cs="Arial"/>
          <w:bCs/>
          <w:lang w:val="nl-NL"/>
        </w:rPr>
        <w:t>ng 2,5 lần mức tăng cùng kỳ năm 2019). Với chủ tr</w:t>
      </w:r>
      <w:r w:rsidRPr="00B94DC1">
        <w:rPr>
          <w:rFonts w:ascii="Arial" w:hAnsi="Arial" w:cs="Arial" w:hint="eastAsia"/>
          <w:bCs/>
          <w:lang w:val="nl-NL"/>
        </w:rPr>
        <w:t>ươ</w:t>
      </w:r>
      <w:r w:rsidRPr="00B94DC1">
        <w:rPr>
          <w:rFonts w:ascii="Arial" w:hAnsi="Arial" w:cs="Arial"/>
          <w:bCs/>
          <w:lang w:val="nl-NL"/>
        </w:rPr>
        <w:t xml:space="preserve">ng đẩy </w:t>
      </w:r>
      <w:r w:rsidRPr="00B94DC1">
        <w:rPr>
          <w:rFonts w:ascii="Arial" w:hAnsi="Arial" w:cs="Arial"/>
          <w:bCs/>
          <w:lang w:val="nl-NL"/>
        </w:rPr>
        <w:lastRenderedPageBreak/>
        <w:t>mạnh đầu t</w:t>
      </w:r>
      <w:r w:rsidRPr="00B94DC1">
        <w:rPr>
          <w:rFonts w:ascii="Arial" w:hAnsi="Arial" w:cs="Arial" w:hint="eastAsia"/>
          <w:bCs/>
          <w:lang w:val="nl-NL"/>
        </w:rPr>
        <w:t>ư</w:t>
      </w:r>
      <w:r w:rsidRPr="00B94DC1">
        <w:rPr>
          <w:rFonts w:ascii="Arial" w:hAnsi="Arial" w:cs="Arial"/>
          <w:bCs/>
          <w:lang w:val="nl-NL"/>
        </w:rPr>
        <w:t xml:space="preserve"> công sẽ vẫn là động lực quan trọng trong việc thức đẩy tăng tr</w:t>
      </w:r>
      <w:r w:rsidRPr="00B94DC1">
        <w:rPr>
          <w:rFonts w:ascii="Arial" w:hAnsi="Arial" w:cs="Arial" w:hint="eastAsia"/>
          <w:bCs/>
          <w:lang w:val="nl-NL"/>
        </w:rPr>
        <w:t>ư</w:t>
      </w:r>
      <w:r w:rsidRPr="00B94DC1">
        <w:rPr>
          <w:rFonts w:ascii="Arial" w:hAnsi="Arial" w:cs="Arial"/>
          <w:bCs/>
          <w:lang w:val="nl-NL"/>
        </w:rPr>
        <w:t>ởng Quý 4. Các dự báo cho thấy tốc độ tăng tr</w:t>
      </w:r>
      <w:r w:rsidRPr="00B94DC1">
        <w:rPr>
          <w:rFonts w:ascii="Arial" w:hAnsi="Arial" w:cs="Arial" w:hint="eastAsia"/>
          <w:bCs/>
          <w:lang w:val="nl-NL"/>
        </w:rPr>
        <w:t>ư</w:t>
      </w:r>
      <w:r w:rsidRPr="00B94DC1">
        <w:rPr>
          <w:rFonts w:ascii="Arial" w:hAnsi="Arial" w:cs="Arial"/>
          <w:bCs/>
          <w:lang w:val="nl-NL"/>
        </w:rPr>
        <w:t>ởng GDP cả năm 2020 đạt mức tiệm cận 3%.</w:t>
      </w:r>
    </w:p>
    <w:p w14:paraId="09DEA8F8" w14:textId="3A32A968" w:rsidR="008477D9" w:rsidRPr="00B94DC1" w:rsidRDefault="008477D9" w:rsidP="008477D9">
      <w:pPr>
        <w:shd w:val="clear" w:color="auto" w:fill="FFFFFF"/>
        <w:tabs>
          <w:tab w:val="left" w:pos="540"/>
        </w:tabs>
        <w:spacing w:before="120"/>
        <w:rPr>
          <w:rFonts w:ascii="Arial" w:hAnsi="Arial" w:cs="Arial"/>
          <w:b/>
          <w:lang w:val="nl-NL"/>
        </w:rPr>
      </w:pPr>
      <w:r w:rsidRPr="00B94DC1">
        <w:rPr>
          <w:rFonts w:ascii="Arial" w:hAnsi="Arial" w:cs="Arial"/>
          <w:b/>
          <w:lang w:val="nl-NL"/>
        </w:rPr>
        <w:t>6</w:t>
      </w:r>
      <w:r w:rsidRPr="00B94DC1">
        <w:rPr>
          <w:rFonts w:ascii="Arial" w:hAnsi="Arial" w:cs="Arial"/>
          <w:b/>
          <w:lang w:val="nl-NL"/>
        </w:rPr>
        <w:tab/>
        <w:t>THÔNG TIN KHÁC</w:t>
      </w:r>
    </w:p>
    <w:p w14:paraId="3E04D5D6" w14:textId="77777777" w:rsidR="008477D9" w:rsidRPr="00B94DC1" w:rsidRDefault="008477D9" w:rsidP="008477D9">
      <w:pPr>
        <w:shd w:val="clear" w:color="auto" w:fill="FFFFFF"/>
        <w:tabs>
          <w:tab w:val="left" w:pos="540"/>
        </w:tabs>
        <w:spacing w:before="120"/>
        <w:ind w:left="567"/>
        <w:rPr>
          <w:rFonts w:ascii="Arial" w:hAnsi="Arial" w:cs="Arial"/>
          <w:b/>
          <w:lang w:val="nl-NL"/>
        </w:rPr>
      </w:pPr>
      <w:r w:rsidRPr="00B94DC1">
        <w:rPr>
          <w:rFonts w:ascii="Arial" w:hAnsi="Arial" w:cs="Arial"/>
          <w:lang w:val="nl-NL"/>
        </w:rPr>
        <w:tab/>
      </w:r>
      <w:r w:rsidRPr="00B94DC1">
        <w:rPr>
          <w:rFonts w:ascii="Arial" w:hAnsi="Arial" w:cs="Arial"/>
          <w:b/>
          <w:lang w:val="nl-NL"/>
        </w:rPr>
        <w:t>Nhân sự điều hành Quỹ gồm có:</w:t>
      </w:r>
    </w:p>
    <w:p w14:paraId="5A8C3EDE" w14:textId="77777777" w:rsidR="008477D9" w:rsidRPr="00B94DC1" w:rsidRDefault="008477D9" w:rsidP="007F3773">
      <w:pPr>
        <w:pStyle w:val="ListParagraph"/>
        <w:numPr>
          <w:ilvl w:val="0"/>
          <w:numId w:val="4"/>
        </w:numPr>
        <w:shd w:val="clear" w:color="auto" w:fill="FFFFFF"/>
        <w:tabs>
          <w:tab w:val="left" w:pos="540"/>
        </w:tabs>
        <w:spacing w:before="120"/>
        <w:ind w:left="567" w:hanging="567"/>
        <w:jc w:val="both"/>
        <w:rPr>
          <w:rFonts w:ascii="Arial" w:hAnsi="Arial" w:cs="Arial"/>
          <w:sz w:val="20"/>
          <w:szCs w:val="20"/>
          <w:lang w:val="nl-NL"/>
        </w:rPr>
      </w:pPr>
      <w:r w:rsidRPr="00B94DC1">
        <w:rPr>
          <w:rFonts w:ascii="Arial" w:hAnsi="Arial" w:cs="Arial"/>
          <w:sz w:val="20"/>
          <w:szCs w:val="20"/>
          <w:lang w:val="nl-NL"/>
        </w:rPr>
        <w:t>Bà Lương Thị Mỹ Hạnh, Thạc sỹ Kinh tế. Bà hiện là Phó tổng giám đốc – Khối đầu tư nghiên cứu Công ty Cổ Phần Quản lý Quỹ Đầu tư Việt Nam từ năm 2010 đến nay.</w:t>
      </w:r>
    </w:p>
    <w:p w14:paraId="5154B977" w14:textId="77777777" w:rsidR="008477D9" w:rsidRPr="00B94DC1" w:rsidRDefault="008477D9" w:rsidP="007F3773">
      <w:pPr>
        <w:pStyle w:val="ListParagraph"/>
        <w:shd w:val="clear" w:color="auto" w:fill="FFFFFF"/>
        <w:tabs>
          <w:tab w:val="left" w:pos="540"/>
        </w:tabs>
        <w:spacing w:before="120"/>
        <w:ind w:left="567"/>
        <w:jc w:val="both"/>
        <w:rPr>
          <w:rFonts w:ascii="Arial" w:hAnsi="Arial" w:cs="Arial"/>
          <w:sz w:val="20"/>
          <w:szCs w:val="20"/>
          <w:lang w:val="nl-NL"/>
        </w:rPr>
      </w:pPr>
    </w:p>
    <w:p w14:paraId="3A5BFCDF" w14:textId="77777777" w:rsidR="008477D9" w:rsidRPr="00B94DC1" w:rsidRDefault="0046561D" w:rsidP="007F3773">
      <w:pPr>
        <w:pStyle w:val="ListParagraph"/>
        <w:numPr>
          <w:ilvl w:val="0"/>
          <w:numId w:val="4"/>
        </w:numPr>
        <w:shd w:val="clear" w:color="auto" w:fill="FFFFFF"/>
        <w:tabs>
          <w:tab w:val="left" w:pos="540"/>
        </w:tabs>
        <w:spacing w:before="120"/>
        <w:ind w:left="567" w:hanging="567"/>
        <w:jc w:val="both"/>
        <w:rPr>
          <w:rFonts w:ascii="Arial" w:hAnsi="Arial" w:cs="Arial"/>
          <w:sz w:val="20"/>
          <w:szCs w:val="20"/>
          <w:lang w:val="nl-NL"/>
        </w:rPr>
      </w:pPr>
      <w:r w:rsidRPr="00B94DC1">
        <w:rPr>
          <w:rFonts w:ascii="Arial" w:hAnsi="Arial" w:cs="Arial"/>
          <w:sz w:val="20"/>
          <w:szCs w:val="20"/>
          <w:lang w:val="nl-NL"/>
        </w:rPr>
        <w:t>Ông Trần Lê Minh</w:t>
      </w:r>
      <w:r w:rsidR="008477D9" w:rsidRPr="00B94DC1">
        <w:rPr>
          <w:rFonts w:ascii="Arial" w:hAnsi="Arial" w:cs="Arial"/>
          <w:sz w:val="20"/>
          <w:szCs w:val="20"/>
          <w:lang w:val="nl-NL"/>
        </w:rPr>
        <w:t xml:space="preserve">, Thạc sỹ Quản Trị </w:t>
      </w:r>
      <w:r w:rsidRPr="00B94DC1">
        <w:rPr>
          <w:rFonts w:ascii="Arial" w:hAnsi="Arial" w:cs="Arial"/>
          <w:sz w:val="20"/>
          <w:szCs w:val="20"/>
          <w:lang w:val="nl-NL"/>
        </w:rPr>
        <w:t>Tài chính. Ông</w:t>
      </w:r>
      <w:r w:rsidR="008477D9" w:rsidRPr="00B94DC1">
        <w:rPr>
          <w:rFonts w:ascii="Arial" w:hAnsi="Arial" w:cs="Arial"/>
          <w:sz w:val="20"/>
          <w:szCs w:val="20"/>
          <w:lang w:val="nl-NL"/>
        </w:rPr>
        <w:t xml:space="preserve"> hiện là </w:t>
      </w:r>
      <w:r w:rsidRPr="00B94DC1">
        <w:rPr>
          <w:rFonts w:ascii="Arial" w:hAnsi="Arial" w:cs="Arial"/>
          <w:sz w:val="20"/>
          <w:szCs w:val="20"/>
          <w:lang w:val="nl-NL"/>
        </w:rPr>
        <w:t>Phó tổng giám đốc – Giám đốc chi nhánh Hà Nội – Công ty Cổ Phần Quản lý Quỹ Đầu tư Việt Nam từ 2011</w:t>
      </w:r>
      <w:r w:rsidR="008477D9" w:rsidRPr="00B94DC1">
        <w:rPr>
          <w:rFonts w:ascii="Arial" w:hAnsi="Arial" w:cs="Arial"/>
          <w:sz w:val="20"/>
          <w:szCs w:val="20"/>
          <w:lang w:val="nl-NL"/>
        </w:rPr>
        <w:t xml:space="preserve"> đến nay. </w:t>
      </w:r>
    </w:p>
    <w:p w14:paraId="7600CD67" w14:textId="77777777" w:rsidR="008477D9" w:rsidRPr="00B94DC1" w:rsidRDefault="008477D9" w:rsidP="007F3773">
      <w:pPr>
        <w:shd w:val="clear" w:color="auto" w:fill="FFFFFF"/>
        <w:tabs>
          <w:tab w:val="left" w:pos="540"/>
        </w:tabs>
        <w:spacing w:before="120"/>
        <w:rPr>
          <w:rFonts w:ascii="Arial" w:hAnsi="Arial" w:cs="Arial"/>
          <w:b/>
          <w:lang w:val="nl-NL"/>
        </w:rPr>
      </w:pPr>
      <w:r w:rsidRPr="00B94DC1">
        <w:rPr>
          <w:rFonts w:ascii="Arial" w:hAnsi="Arial" w:cs="Arial"/>
          <w:lang w:val="nl-NL"/>
        </w:rPr>
        <w:tab/>
      </w:r>
      <w:r w:rsidRPr="00B94DC1">
        <w:rPr>
          <w:rFonts w:ascii="Arial" w:hAnsi="Arial" w:cs="Arial"/>
          <w:b/>
          <w:lang w:val="nl-NL"/>
        </w:rPr>
        <w:t>Ban Đại diện Quỹ gồm có:</w:t>
      </w:r>
    </w:p>
    <w:p w14:paraId="17D4D2D2" w14:textId="77777777" w:rsidR="008477D9" w:rsidRPr="00B94DC1" w:rsidRDefault="008477D9" w:rsidP="007F3773">
      <w:pPr>
        <w:pStyle w:val="ListParagraph"/>
        <w:numPr>
          <w:ilvl w:val="0"/>
          <w:numId w:val="4"/>
        </w:numPr>
        <w:shd w:val="clear" w:color="auto" w:fill="FFFFFF"/>
        <w:tabs>
          <w:tab w:val="left" w:pos="540"/>
        </w:tabs>
        <w:spacing w:before="120"/>
        <w:ind w:left="567" w:hanging="567"/>
        <w:jc w:val="both"/>
        <w:rPr>
          <w:rFonts w:ascii="Arial" w:hAnsi="Arial" w:cs="Arial"/>
          <w:sz w:val="20"/>
          <w:szCs w:val="20"/>
          <w:lang w:val="nl-NL"/>
        </w:rPr>
      </w:pPr>
      <w:r w:rsidRPr="00B94DC1">
        <w:rPr>
          <w:rFonts w:ascii="Arial" w:hAnsi="Arial" w:cs="Arial"/>
          <w:sz w:val="20"/>
          <w:szCs w:val="20"/>
          <w:lang w:val="nl-NL"/>
        </w:rPr>
        <w:t>Ông Lưu Đức Khánh, Chủ tịch, Thạc sỹ Quản trị kinh doanh Quốc tế. Ông hiện là Phó Chủ tịch HĐQT Ngân hàng HDBank từ năm 2009 đến nay đồng thời là Giám đốc điều hành Công ty cổ phần hàng không Vietjet từ năm 2011 đến nay.</w:t>
      </w:r>
    </w:p>
    <w:p w14:paraId="5AA87311" w14:textId="77777777" w:rsidR="008477D9" w:rsidRPr="00B94DC1" w:rsidRDefault="008477D9" w:rsidP="007F3773">
      <w:pPr>
        <w:pStyle w:val="ListParagraph"/>
        <w:shd w:val="clear" w:color="auto" w:fill="FFFFFF"/>
        <w:tabs>
          <w:tab w:val="left" w:pos="540"/>
        </w:tabs>
        <w:spacing w:before="120"/>
        <w:ind w:left="567"/>
        <w:jc w:val="both"/>
        <w:rPr>
          <w:rFonts w:ascii="Arial" w:hAnsi="Arial" w:cs="Arial"/>
          <w:sz w:val="20"/>
          <w:szCs w:val="20"/>
          <w:lang w:val="nl-NL"/>
        </w:rPr>
      </w:pPr>
    </w:p>
    <w:p w14:paraId="0B533689" w14:textId="77777777" w:rsidR="008477D9" w:rsidRPr="00B94DC1" w:rsidRDefault="008477D9" w:rsidP="007F3773">
      <w:pPr>
        <w:pStyle w:val="ListParagraph"/>
        <w:numPr>
          <w:ilvl w:val="0"/>
          <w:numId w:val="4"/>
        </w:numPr>
        <w:shd w:val="clear" w:color="auto" w:fill="FFFFFF"/>
        <w:tabs>
          <w:tab w:val="left" w:pos="540"/>
        </w:tabs>
        <w:spacing w:before="120"/>
        <w:ind w:left="567" w:hanging="567"/>
        <w:jc w:val="both"/>
        <w:rPr>
          <w:rFonts w:ascii="Arial" w:hAnsi="Arial" w:cs="Arial"/>
          <w:sz w:val="20"/>
          <w:szCs w:val="20"/>
          <w:lang w:val="nl-NL"/>
        </w:rPr>
      </w:pPr>
      <w:r w:rsidRPr="00B94DC1">
        <w:rPr>
          <w:rFonts w:ascii="Arial" w:hAnsi="Arial" w:cs="Arial"/>
          <w:sz w:val="20"/>
          <w:szCs w:val="20"/>
          <w:lang w:val="nl-NL"/>
        </w:rPr>
        <w:t>Ông Đặng Thái Nguyên, Thành viên, Thạc sỹ Quản trị kinh doanh Quốc tế. Ông từng là Giám đốc Ngân hàng TMCP Bắc Á – CN Thanh Hóa từ năm 2003 đến năm 2006 và hiện là Tổng giám đốc Công ty CP Chứng khoán Việt từ năm 2006 đến nay.</w:t>
      </w:r>
    </w:p>
    <w:p w14:paraId="125FD3B4" w14:textId="77777777" w:rsidR="008477D9" w:rsidRPr="00B94DC1" w:rsidRDefault="008477D9" w:rsidP="007F3773">
      <w:pPr>
        <w:pStyle w:val="ListParagraph"/>
        <w:jc w:val="both"/>
        <w:rPr>
          <w:rFonts w:ascii="Arial" w:hAnsi="Arial" w:cs="Arial"/>
          <w:sz w:val="20"/>
          <w:szCs w:val="20"/>
          <w:lang w:val="nl-NL"/>
        </w:rPr>
      </w:pPr>
    </w:p>
    <w:p w14:paraId="01496122" w14:textId="77777777" w:rsidR="008477D9" w:rsidRPr="00B94DC1" w:rsidRDefault="008477D9" w:rsidP="007F3773">
      <w:pPr>
        <w:pStyle w:val="ListParagraph"/>
        <w:numPr>
          <w:ilvl w:val="0"/>
          <w:numId w:val="4"/>
        </w:numPr>
        <w:shd w:val="clear" w:color="auto" w:fill="FFFFFF"/>
        <w:tabs>
          <w:tab w:val="left" w:pos="540"/>
        </w:tabs>
        <w:spacing w:before="120"/>
        <w:ind w:left="567" w:hanging="567"/>
        <w:jc w:val="both"/>
        <w:rPr>
          <w:rFonts w:ascii="Arial" w:hAnsi="Arial" w:cs="Arial"/>
          <w:sz w:val="20"/>
          <w:szCs w:val="20"/>
          <w:lang w:val="nl-NL"/>
        </w:rPr>
      </w:pPr>
      <w:r w:rsidRPr="00B94DC1">
        <w:rPr>
          <w:rFonts w:ascii="Arial" w:hAnsi="Arial" w:cs="Arial"/>
          <w:sz w:val="20"/>
          <w:szCs w:val="20"/>
          <w:lang w:val="nl-NL"/>
        </w:rPr>
        <w:t>Bà Lê Thị Thu Hương, Thành viên, Cử nhân Kế toán – Kiểm toán. Bà từng là Phó giám đốc công ty TNHH kiểm toán AS từ năm 2011 đến năm 2012 và hiện là Phó Tổng giám đốc công ty TNHH kiểm toán Đại Tín từ năm 2012 đến nay.</w:t>
      </w:r>
    </w:p>
    <w:p w14:paraId="7720066D" w14:textId="77777777" w:rsidR="008477D9" w:rsidRPr="00B94DC1" w:rsidRDefault="008477D9" w:rsidP="007F3773">
      <w:pPr>
        <w:pStyle w:val="ListParagraph"/>
        <w:jc w:val="both"/>
        <w:rPr>
          <w:rFonts w:ascii="Arial" w:hAnsi="Arial" w:cs="Arial"/>
          <w:sz w:val="20"/>
          <w:szCs w:val="20"/>
          <w:lang w:val="nl-NL"/>
        </w:rPr>
      </w:pPr>
    </w:p>
    <w:p w14:paraId="22A382D4" w14:textId="77777777" w:rsidR="008477D9" w:rsidRPr="00B94DC1" w:rsidRDefault="008477D9" w:rsidP="007F3773">
      <w:pPr>
        <w:pStyle w:val="ListParagraph"/>
        <w:numPr>
          <w:ilvl w:val="0"/>
          <w:numId w:val="4"/>
        </w:numPr>
        <w:shd w:val="clear" w:color="auto" w:fill="FFFFFF"/>
        <w:tabs>
          <w:tab w:val="left" w:pos="540"/>
        </w:tabs>
        <w:spacing w:before="120"/>
        <w:ind w:left="567" w:hanging="567"/>
        <w:jc w:val="both"/>
        <w:rPr>
          <w:rFonts w:ascii="Arial" w:hAnsi="Arial" w:cs="Arial"/>
          <w:sz w:val="20"/>
          <w:szCs w:val="20"/>
          <w:lang w:val="nl-NL"/>
        </w:rPr>
      </w:pPr>
      <w:r w:rsidRPr="00B94DC1">
        <w:rPr>
          <w:rFonts w:ascii="Arial" w:hAnsi="Arial" w:cs="Arial"/>
          <w:sz w:val="20"/>
          <w:szCs w:val="20"/>
          <w:lang w:val="nl-NL"/>
        </w:rPr>
        <w:t xml:space="preserve">Bà Phạm Thị Thanh Thúy, Thành viên, Luật sư. Bà hiện là Trưởng phòng Pháp chế tuân thủ Công ty Cổ Phần Quản lý Quỹ Đầu tư Việt Nam. </w:t>
      </w:r>
    </w:p>
    <w:p w14:paraId="75DECE5D" w14:textId="77777777" w:rsidR="008477D9" w:rsidRPr="00B94DC1" w:rsidRDefault="008477D9" w:rsidP="007F3773">
      <w:pPr>
        <w:pStyle w:val="ListParagraph"/>
        <w:shd w:val="clear" w:color="auto" w:fill="FFFFFF"/>
        <w:tabs>
          <w:tab w:val="left" w:pos="540"/>
        </w:tabs>
        <w:spacing w:before="120"/>
        <w:ind w:left="567"/>
        <w:jc w:val="both"/>
        <w:rPr>
          <w:rFonts w:ascii="Arial" w:hAnsi="Arial" w:cs="Arial"/>
          <w:sz w:val="20"/>
          <w:szCs w:val="20"/>
          <w:lang w:val="nl-NL"/>
        </w:rPr>
      </w:pPr>
    </w:p>
    <w:p w14:paraId="7F9FAD55" w14:textId="77777777" w:rsidR="008477D9" w:rsidRPr="00B94DC1" w:rsidRDefault="008477D9" w:rsidP="007F3773">
      <w:pPr>
        <w:pStyle w:val="ListParagraph"/>
        <w:shd w:val="clear" w:color="auto" w:fill="FFFFFF"/>
        <w:tabs>
          <w:tab w:val="left" w:pos="540"/>
        </w:tabs>
        <w:spacing w:before="120"/>
        <w:ind w:left="567"/>
        <w:jc w:val="both"/>
        <w:rPr>
          <w:rFonts w:ascii="Arial" w:hAnsi="Arial" w:cs="Arial"/>
          <w:b/>
          <w:sz w:val="20"/>
          <w:szCs w:val="20"/>
          <w:lang w:val="nl-NL"/>
        </w:rPr>
      </w:pPr>
      <w:r w:rsidRPr="00B94DC1">
        <w:rPr>
          <w:rFonts w:ascii="Arial" w:hAnsi="Arial" w:cs="Arial"/>
          <w:b/>
          <w:sz w:val="20"/>
          <w:szCs w:val="20"/>
          <w:lang w:val="nl-NL"/>
        </w:rPr>
        <w:t>Ban điều hành Công ty Quản lý Quỹ gồm có:</w:t>
      </w:r>
    </w:p>
    <w:p w14:paraId="2BC99748" w14:textId="77777777" w:rsidR="008477D9" w:rsidRPr="00B94DC1" w:rsidRDefault="008477D9" w:rsidP="007F3773">
      <w:pPr>
        <w:pStyle w:val="ListParagraph"/>
        <w:shd w:val="clear" w:color="auto" w:fill="FFFFFF"/>
        <w:tabs>
          <w:tab w:val="left" w:pos="540"/>
        </w:tabs>
        <w:spacing w:before="120"/>
        <w:ind w:left="567"/>
        <w:jc w:val="both"/>
        <w:rPr>
          <w:rFonts w:ascii="Arial" w:hAnsi="Arial" w:cs="Arial"/>
          <w:sz w:val="20"/>
          <w:szCs w:val="20"/>
          <w:lang w:val="nl-NL"/>
        </w:rPr>
      </w:pPr>
    </w:p>
    <w:p w14:paraId="6FBD734E" w14:textId="77777777" w:rsidR="008477D9" w:rsidRPr="00B94DC1" w:rsidRDefault="008477D9" w:rsidP="007F3773">
      <w:pPr>
        <w:pStyle w:val="ListParagraph"/>
        <w:numPr>
          <w:ilvl w:val="0"/>
          <w:numId w:val="4"/>
        </w:numPr>
        <w:shd w:val="clear" w:color="auto" w:fill="FFFFFF"/>
        <w:tabs>
          <w:tab w:val="left" w:pos="540"/>
        </w:tabs>
        <w:spacing w:before="120"/>
        <w:ind w:left="567" w:hanging="567"/>
        <w:jc w:val="both"/>
        <w:rPr>
          <w:rFonts w:ascii="Arial" w:hAnsi="Arial" w:cs="Arial"/>
          <w:sz w:val="20"/>
          <w:szCs w:val="20"/>
          <w:lang w:val="nl-NL"/>
        </w:rPr>
      </w:pPr>
      <w:r w:rsidRPr="00B94DC1">
        <w:rPr>
          <w:rFonts w:ascii="Arial" w:hAnsi="Arial" w:cs="Arial"/>
          <w:sz w:val="20"/>
          <w:szCs w:val="20"/>
          <w:lang w:val="nl-NL"/>
        </w:rPr>
        <w:t>Ông Trần Thanh Tân, Tổng Giám đốc, Thạc sỹ Quản trị kinh doanh. Ông hiện là Tổng giám đốc từ năm 2003 đến nay.</w:t>
      </w:r>
    </w:p>
    <w:p w14:paraId="51FD627C" w14:textId="77777777" w:rsidR="008477D9" w:rsidRPr="00B94DC1" w:rsidRDefault="008477D9" w:rsidP="007F3773">
      <w:pPr>
        <w:pStyle w:val="ListParagraph"/>
        <w:shd w:val="clear" w:color="auto" w:fill="FFFFFF"/>
        <w:tabs>
          <w:tab w:val="left" w:pos="540"/>
        </w:tabs>
        <w:spacing w:before="120"/>
        <w:ind w:left="567"/>
        <w:jc w:val="both"/>
        <w:rPr>
          <w:rFonts w:ascii="Arial" w:hAnsi="Arial" w:cs="Arial"/>
          <w:sz w:val="20"/>
          <w:szCs w:val="20"/>
          <w:lang w:val="nl-NL"/>
        </w:rPr>
      </w:pPr>
    </w:p>
    <w:p w14:paraId="00B7FF4D" w14:textId="77777777" w:rsidR="008477D9" w:rsidRPr="00B94DC1" w:rsidRDefault="008477D9" w:rsidP="007F3773">
      <w:pPr>
        <w:pStyle w:val="ListParagraph"/>
        <w:numPr>
          <w:ilvl w:val="0"/>
          <w:numId w:val="4"/>
        </w:numPr>
        <w:shd w:val="clear" w:color="auto" w:fill="FFFFFF"/>
        <w:tabs>
          <w:tab w:val="left" w:pos="540"/>
        </w:tabs>
        <w:spacing w:before="120"/>
        <w:ind w:left="567" w:hanging="567"/>
        <w:jc w:val="both"/>
        <w:rPr>
          <w:rFonts w:ascii="Arial" w:hAnsi="Arial" w:cs="Arial"/>
          <w:sz w:val="20"/>
          <w:szCs w:val="20"/>
          <w:lang w:val="nl-NL"/>
        </w:rPr>
      </w:pPr>
      <w:r w:rsidRPr="00B94DC1">
        <w:rPr>
          <w:rFonts w:ascii="Arial" w:hAnsi="Arial" w:cs="Arial"/>
          <w:sz w:val="20"/>
          <w:szCs w:val="20"/>
          <w:lang w:val="nl-NL"/>
        </w:rPr>
        <w:t>Bà Lương Thị Mỹ Hạnh, Phó tổng giám đốc – Khối đầu tư nghiên cứu , Thạc sỹ Kinh tế. Bà hiện là Phó tổng Giám đốc từ năm 2010 đến nay.</w:t>
      </w:r>
    </w:p>
    <w:p w14:paraId="2DC9CEB1" w14:textId="77777777" w:rsidR="008477D9" w:rsidRPr="00B94DC1" w:rsidRDefault="008477D9" w:rsidP="007F3773">
      <w:pPr>
        <w:pStyle w:val="ListParagraph"/>
        <w:jc w:val="both"/>
        <w:rPr>
          <w:rFonts w:ascii="Arial" w:hAnsi="Arial" w:cs="Arial"/>
          <w:sz w:val="20"/>
          <w:szCs w:val="20"/>
          <w:lang w:val="nl-NL"/>
        </w:rPr>
      </w:pPr>
    </w:p>
    <w:p w14:paraId="320B2C1A" w14:textId="77777777" w:rsidR="008477D9" w:rsidRPr="00B94DC1" w:rsidRDefault="008477D9" w:rsidP="007F3773">
      <w:pPr>
        <w:pStyle w:val="ListParagraph"/>
        <w:numPr>
          <w:ilvl w:val="0"/>
          <w:numId w:val="4"/>
        </w:numPr>
        <w:shd w:val="clear" w:color="auto" w:fill="FFFFFF"/>
        <w:tabs>
          <w:tab w:val="left" w:pos="540"/>
        </w:tabs>
        <w:spacing w:before="120"/>
        <w:ind w:left="567" w:hanging="567"/>
        <w:jc w:val="both"/>
        <w:rPr>
          <w:rFonts w:ascii="Arial" w:hAnsi="Arial" w:cs="Arial"/>
          <w:sz w:val="20"/>
          <w:szCs w:val="20"/>
          <w:lang w:val="nl-NL"/>
        </w:rPr>
      </w:pPr>
      <w:r w:rsidRPr="00B94DC1">
        <w:rPr>
          <w:rFonts w:ascii="Arial" w:hAnsi="Arial" w:cs="Arial"/>
          <w:sz w:val="20"/>
          <w:szCs w:val="20"/>
          <w:lang w:val="nl-NL"/>
        </w:rPr>
        <w:t>Ông Nguyễn Minh Đăng Khánh, Phó tổng giám đốc – Giám đốc tài chính, Thạc sỹ Tài chính – kinh tế. Ông hiện là Phó tổng Giám đốc từ năm 2011 đến nay.</w:t>
      </w:r>
    </w:p>
    <w:p w14:paraId="71A7B194" w14:textId="77777777" w:rsidR="008477D9" w:rsidRPr="00B94DC1" w:rsidRDefault="008477D9" w:rsidP="007F3773">
      <w:pPr>
        <w:pStyle w:val="ListParagraph"/>
        <w:shd w:val="clear" w:color="auto" w:fill="FFFFFF"/>
        <w:tabs>
          <w:tab w:val="left" w:pos="540"/>
        </w:tabs>
        <w:spacing w:before="120"/>
        <w:ind w:left="567"/>
        <w:jc w:val="both"/>
        <w:rPr>
          <w:rFonts w:ascii="Arial" w:hAnsi="Arial" w:cs="Arial"/>
          <w:sz w:val="20"/>
          <w:szCs w:val="20"/>
          <w:lang w:val="nl-NL"/>
        </w:rPr>
      </w:pPr>
    </w:p>
    <w:p w14:paraId="495471F0" w14:textId="77777777" w:rsidR="008477D9" w:rsidRPr="00B94DC1" w:rsidRDefault="008477D9" w:rsidP="007F3773">
      <w:pPr>
        <w:pStyle w:val="ListParagraph"/>
        <w:numPr>
          <w:ilvl w:val="0"/>
          <w:numId w:val="4"/>
        </w:numPr>
        <w:shd w:val="clear" w:color="auto" w:fill="FFFFFF"/>
        <w:tabs>
          <w:tab w:val="left" w:pos="540"/>
        </w:tabs>
        <w:spacing w:before="120"/>
        <w:ind w:left="567" w:hanging="567"/>
        <w:jc w:val="both"/>
        <w:rPr>
          <w:rFonts w:ascii="Arial" w:hAnsi="Arial" w:cs="Arial"/>
          <w:sz w:val="20"/>
          <w:szCs w:val="20"/>
          <w:lang w:val="nl-NL"/>
        </w:rPr>
      </w:pPr>
      <w:r w:rsidRPr="00B94DC1">
        <w:rPr>
          <w:rFonts w:ascii="Arial" w:hAnsi="Arial" w:cs="Arial"/>
          <w:sz w:val="20"/>
          <w:szCs w:val="20"/>
          <w:lang w:val="nl-NL"/>
        </w:rPr>
        <w:t xml:space="preserve">Ông Trần Lê Minh, Phó tổng giám đốc – Giám đốc chi nhánh Hà Nội, Thạc sỹ Quản trị Tài chính. Ông hiện là Phó tổng Giám đốc từ năm 2011 đến nay. </w:t>
      </w:r>
    </w:p>
    <w:p w14:paraId="3D039395" w14:textId="77777777" w:rsidR="005074E5" w:rsidRPr="00B94DC1" w:rsidRDefault="005074E5" w:rsidP="005074E5">
      <w:pPr>
        <w:pStyle w:val="ListParagraph"/>
        <w:shd w:val="clear" w:color="auto" w:fill="FFFFFF"/>
        <w:tabs>
          <w:tab w:val="left" w:pos="540"/>
        </w:tabs>
        <w:spacing w:before="120"/>
        <w:ind w:left="567"/>
        <w:rPr>
          <w:rFonts w:ascii="Arial" w:hAnsi="Arial" w:cs="Arial"/>
          <w:sz w:val="20"/>
          <w:szCs w:val="20"/>
          <w:lang w:val="nl-NL"/>
        </w:rPr>
      </w:pPr>
    </w:p>
    <w:p w14:paraId="4D41914C" w14:textId="77777777" w:rsidR="008477D9" w:rsidRPr="00B94DC1" w:rsidRDefault="008477D9" w:rsidP="008477D9">
      <w:pPr>
        <w:pStyle w:val="ListParagraph"/>
        <w:shd w:val="clear" w:color="auto" w:fill="FFFFFF"/>
        <w:tabs>
          <w:tab w:val="left" w:pos="540"/>
        </w:tabs>
        <w:spacing w:before="120"/>
        <w:ind w:left="567"/>
        <w:rPr>
          <w:rFonts w:ascii="Arial" w:hAnsi="Arial" w:cs="Arial"/>
          <w:sz w:val="20"/>
          <w:szCs w:val="20"/>
          <w:lang w:val="nl-NL"/>
        </w:rPr>
      </w:pPr>
    </w:p>
    <w:tbl>
      <w:tblPr>
        <w:tblW w:w="0" w:type="auto"/>
        <w:tblLook w:val="01E0" w:firstRow="1" w:lastRow="1" w:firstColumn="1" w:lastColumn="1" w:noHBand="0" w:noVBand="0"/>
      </w:tblPr>
      <w:tblGrid>
        <w:gridCol w:w="4428"/>
        <w:gridCol w:w="4428"/>
      </w:tblGrid>
      <w:tr w:rsidR="008477D9" w:rsidRPr="00B94DC1" w14:paraId="1007D9DB" w14:textId="77777777" w:rsidTr="007F54E6">
        <w:trPr>
          <w:trHeight w:val="2880"/>
        </w:trPr>
        <w:tc>
          <w:tcPr>
            <w:tcW w:w="4428" w:type="dxa"/>
            <w:shd w:val="clear" w:color="auto" w:fill="auto"/>
          </w:tcPr>
          <w:p w14:paraId="676FE61A" w14:textId="6239FDD8" w:rsidR="005074E5" w:rsidRPr="00B94DC1" w:rsidRDefault="007C63D1" w:rsidP="00F86A64">
            <w:pPr>
              <w:tabs>
                <w:tab w:val="left" w:pos="540"/>
              </w:tabs>
              <w:spacing w:before="120"/>
              <w:jc w:val="left"/>
              <w:rPr>
                <w:rFonts w:ascii="Arial" w:hAnsi="Arial" w:cs="Arial"/>
                <w:lang w:val="nl-NL"/>
              </w:rPr>
            </w:pPr>
            <w:r w:rsidRPr="00B94DC1">
              <w:rPr>
                <w:rFonts w:ascii="Arial" w:hAnsi="Arial" w:cs="Arial"/>
                <w:lang w:val="nl-NL"/>
              </w:rPr>
              <w:t>Tp.HCM, ngày</w:t>
            </w:r>
            <w:r w:rsidR="00434086" w:rsidRPr="00B94DC1">
              <w:rPr>
                <w:rFonts w:ascii="Arial" w:hAnsi="Arial" w:cs="Arial"/>
                <w:lang w:val="nl-NL"/>
              </w:rPr>
              <w:t xml:space="preserve"> </w:t>
            </w:r>
            <w:r w:rsidR="009D47F7" w:rsidRPr="00B94DC1">
              <w:rPr>
                <w:rFonts w:ascii="Arial" w:hAnsi="Arial" w:cs="Arial"/>
                <w:lang w:val="nl-NL"/>
              </w:rPr>
              <w:t>2</w:t>
            </w:r>
            <w:r w:rsidR="00114035">
              <w:rPr>
                <w:rFonts w:ascii="Arial" w:hAnsi="Arial" w:cs="Arial"/>
                <w:lang w:val="nl-NL"/>
              </w:rPr>
              <w:t>0</w:t>
            </w:r>
            <w:r w:rsidR="00035143" w:rsidRPr="00B94DC1">
              <w:rPr>
                <w:rFonts w:ascii="Arial" w:hAnsi="Arial" w:cs="Arial"/>
                <w:lang w:val="nl-NL"/>
              </w:rPr>
              <w:t xml:space="preserve"> tháng </w:t>
            </w:r>
            <w:r w:rsidR="009D47F7" w:rsidRPr="00B94DC1">
              <w:rPr>
                <w:rFonts w:ascii="Arial" w:hAnsi="Arial" w:cs="Arial"/>
                <w:lang w:val="nl-NL"/>
              </w:rPr>
              <w:t>10</w:t>
            </w:r>
            <w:r w:rsidR="00434086" w:rsidRPr="00B94DC1">
              <w:rPr>
                <w:rFonts w:ascii="Arial" w:hAnsi="Arial" w:cs="Arial"/>
                <w:lang w:val="nl-NL"/>
              </w:rPr>
              <w:t xml:space="preserve"> năm 20</w:t>
            </w:r>
            <w:r w:rsidR="00F50A2C" w:rsidRPr="00B94DC1">
              <w:rPr>
                <w:rFonts w:ascii="Arial" w:hAnsi="Arial" w:cs="Arial"/>
                <w:lang w:val="nl-NL"/>
              </w:rPr>
              <w:t>20</w:t>
            </w:r>
          </w:p>
          <w:p w14:paraId="5BA38A82" w14:textId="77777777" w:rsidR="008477D9" w:rsidRPr="00B94DC1" w:rsidRDefault="00F86A64" w:rsidP="00F86A64">
            <w:pPr>
              <w:tabs>
                <w:tab w:val="left" w:pos="540"/>
              </w:tabs>
              <w:spacing w:before="120"/>
              <w:jc w:val="left"/>
              <w:rPr>
                <w:rFonts w:ascii="Arial" w:hAnsi="Arial" w:cs="Arial"/>
                <w:lang w:val="nl-NL"/>
              </w:rPr>
            </w:pPr>
            <w:r w:rsidRPr="00B94DC1">
              <w:rPr>
                <w:rFonts w:ascii="Arial" w:hAnsi="Arial" w:cs="Arial"/>
                <w:b/>
                <w:lang w:val="nl-NL"/>
              </w:rPr>
              <w:t>Tổng Giám đốc</w:t>
            </w:r>
            <w:r w:rsidR="008477D9" w:rsidRPr="00B94DC1">
              <w:rPr>
                <w:rFonts w:ascii="Arial" w:hAnsi="Arial" w:cs="Arial"/>
                <w:b/>
                <w:lang w:val="nl-NL"/>
              </w:rPr>
              <w:br/>
            </w:r>
          </w:p>
          <w:p w14:paraId="2C057C16" w14:textId="77777777" w:rsidR="008477D9" w:rsidRPr="00B94DC1" w:rsidRDefault="008477D9" w:rsidP="00F86A64">
            <w:pPr>
              <w:tabs>
                <w:tab w:val="left" w:pos="540"/>
              </w:tabs>
              <w:spacing w:before="120"/>
              <w:jc w:val="left"/>
              <w:rPr>
                <w:rFonts w:ascii="Arial" w:hAnsi="Arial" w:cs="Arial"/>
                <w:lang w:val="nl-NL"/>
              </w:rPr>
            </w:pPr>
          </w:p>
          <w:p w14:paraId="6976302E" w14:textId="77777777" w:rsidR="005074E5" w:rsidRPr="00B94DC1" w:rsidRDefault="005074E5" w:rsidP="00F86A64">
            <w:pPr>
              <w:tabs>
                <w:tab w:val="left" w:pos="540"/>
              </w:tabs>
              <w:spacing w:before="120"/>
              <w:jc w:val="left"/>
              <w:rPr>
                <w:rFonts w:ascii="Arial" w:hAnsi="Arial" w:cs="Arial"/>
                <w:lang w:val="nl-NL"/>
              </w:rPr>
            </w:pPr>
          </w:p>
          <w:p w14:paraId="76234CE5" w14:textId="77777777" w:rsidR="00FD4009" w:rsidRPr="00B94DC1" w:rsidRDefault="00FD4009" w:rsidP="00F86A64">
            <w:pPr>
              <w:tabs>
                <w:tab w:val="left" w:pos="540"/>
              </w:tabs>
              <w:spacing w:before="120"/>
              <w:jc w:val="left"/>
              <w:rPr>
                <w:rFonts w:ascii="Arial" w:hAnsi="Arial" w:cs="Arial"/>
                <w:lang w:val="nl-NL"/>
              </w:rPr>
            </w:pPr>
          </w:p>
          <w:p w14:paraId="026AB861" w14:textId="77777777" w:rsidR="008477D9" w:rsidRPr="00B94DC1" w:rsidRDefault="008477D9" w:rsidP="00F86A64">
            <w:pPr>
              <w:tabs>
                <w:tab w:val="left" w:pos="540"/>
              </w:tabs>
              <w:spacing w:before="120"/>
              <w:jc w:val="left"/>
              <w:rPr>
                <w:rFonts w:ascii="Arial" w:hAnsi="Arial" w:cs="Arial"/>
                <w:lang w:val="nl-NL"/>
              </w:rPr>
            </w:pPr>
          </w:p>
          <w:p w14:paraId="53300E58" w14:textId="77777777" w:rsidR="008477D9" w:rsidRPr="00B94DC1" w:rsidRDefault="00F86A64" w:rsidP="00F86A64">
            <w:pPr>
              <w:tabs>
                <w:tab w:val="left" w:pos="540"/>
              </w:tabs>
              <w:spacing w:before="120"/>
              <w:jc w:val="left"/>
              <w:rPr>
                <w:rFonts w:ascii="Arial" w:hAnsi="Arial" w:cs="Arial"/>
                <w:b/>
                <w:lang w:val="nl-NL"/>
              </w:rPr>
            </w:pPr>
            <w:r w:rsidRPr="00B94DC1">
              <w:rPr>
                <w:rFonts w:ascii="Arial" w:hAnsi="Arial" w:cs="Arial"/>
                <w:b/>
                <w:lang w:val="nl-NL"/>
              </w:rPr>
              <w:t>TRẦN THANH TÂN</w:t>
            </w:r>
          </w:p>
        </w:tc>
        <w:tc>
          <w:tcPr>
            <w:tcW w:w="4428" w:type="dxa"/>
            <w:shd w:val="clear" w:color="auto" w:fill="auto"/>
          </w:tcPr>
          <w:p w14:paraId="75A32D25" w14:textId="77777777" w:rsidR="008477D9" w:rsidRPr="00B94DC1" w:rsidRDefault="008477D9" w:rsidP="002E6045">
            <w:pPr>
              <w:tabs>
                <w:tab w:val="left" w:pos="540"/>
              </w:tabs>
              <w:spacing w:before="120"/>
              <w:rPr>
                <w:rFonts w:ascii="Arial" w:hAnsi="Arial" w:cs="Arial"/>
                <w:lang w:val="nl-NL"/>
              </w:rPr>
            </w:pPr>
          </w:p>
        </w:tc>
      </w:tr>
    </w:tbl>
    <w:p w14:paraId="183D7250" w14:textId="77777777" w:rsidR="00A66F0C" w:rsidRPr="00B94DC1" w:rsidRDefault="00A66F0C" w:rsidP="00D81F51">
      <w:pPr>
        <w:rPr>
          <w:rFonts w:ascii="Arial" w:hAnsi="Arial" w:cs="Arial"/>
        </w:rPr>
      </w:pPr>
    </w:p>
    <w:sectPr w:rsidR="00A66F0C" w:rsidRPr="00B94DC1" w:rsidSect="007F54E6">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80D8D"/>
    <w:multiLevelType w:val="multilevel"/>
    <w:tmpl w:val="450AF650"/>
    <w:lvl w:ilvl="0">
      <w:start w:val="1"/>
      <w:numFmt w:val="decimal"/>
      <w:lvlText w:val="%1"/>
      <w:lvlJc w:val="left"/>
      <w:pPr>
        <w:ind w:left="369" w:hanging="360"/>
      </w:pPr>
      <w:rPr>
        <w:rFonts w:hint="default"/>
        <w:b/>
        <w:bCs/>
      </w:rPr>
    </w:lvl>
    <w:lvl w:ilvl="1">
      <w:start w:val="8"/>
      <w:numFmt w:val="decimal"/>
      <w:isLgl/>
      <w:lvlText w:val="%1.%2."/>
      <w:lvlJc w:val="left"/>
      <w:pPr>
        <w:ind w:left="369" w:hanging="360"/>
      </w:pPr>
      <w:rPr>
        <w:rFonts w:hint="default"/>
        <w:b/>
      </w:rPr>
    </w:lvl>
    <w:lvl w:ilvl="2">
      <w:start w:val="1"/>
      <w:numFmt w:val="decimal"/>
      <w:isLgl/>
      <w:lvlText w:val="%1.%2.%3."/>
      <w:lvlJc w:val="left"/>
      <w:pPr>
        <w:ind w:left="729" w:hanging="720"/>
      </w:pPr>
      <w:rPr>
        <w:rFonts w:hint="default"/>
        <w:b/>
      </w:rPr>
    </w:lvl>
    <w:lvl w:ilvl="3">
      <w:start w:val="1"/>
      <w:numFmt w:val="decimal"/>
      <w:isLgl/>
      <w:lvlText w:val="%1.%2.%3.%4."/>
      <w:lvlJc w:val="left"/>
      <w:pPr>
        <w:ind w:left="729" w:hanging="720"/>
      </w:pPr>
      <w:rPr>
        <w:rFonts w:hint="default"/>
        <w:b/>
      </w:rPr>
    </w:lvl>
    <w:lvl w:ilvl="4">
      <w:start w:val="1"/>
      <w:numFmt w:val="decimal"/>
      <w:isLgl/>
      <w:lvlText w:val="%1.%2.%3.%4.%5."/>
      <w:lvlJc w:val="left"/>
      <w:pPr>
        <w:ind w:left="1089" w:hanging="1080"/>
      </w:pPr>
      <w:rPr>
        <w:rFonts w:hint="default"/>
        <w:b/>
      </w:rPr>
    </w:lvl>
    <w:lvl w:ilvl="5">
      <w:start w:val="1"/>
      <w:numFmt w:val="decimal"/>
      <w:isLgl/>
      <w:lvlText w:val="%1.%2.%3.%4.%5.%6."/>
      <w:lvlJc w:val="left"/>
      <w:pPr>
        <w:ind w:left="1089" w:hanging="1080"/>
      </w:pPr>
      <w:rPr>
        <w:rFonts w:hint="default"/>
        <w:b/>
      </w:rPr>
    </w:lvl>
    <w:lvl w:ilvl="6">
      <w:start w:val="1"/>
      <w:numFmt w:val="decimal"/>
      <w:isLgl/>
      <w:lvlText w:val="%1.%2.%3.%4.%5.%6.%7."/>
      <w:lvlJc w:val="left"/>
      <w:pPr>
        <w:ind w:left="1449" w:hanging="1440"/>
      </w:pPr>
      <w:rPr>
        <w:rFonts w:hint="default"/>
        <w:b/>
      </w:rPr>
    </w:lvl>
    <w:lvl w:ilvl="7">
      <w:start w:val="1"/>
      <w:numFmt w:val="decimal"/>
      <w:isLgl/>
      <w:lvlText w:val="%1.%2.%3.%4.%5.%6.%7.%8."/>
      <w:lvlJc w:val="left"/>
      <w:pPr>
        <w:ind w:left="1449" w:hanging="1440"/>
      </w:pPr>
      <w:rPr>
        <w:rFonts w:hint="default"/>
        <w:b/>
      </w:rPr>
    </w:lvl>
    <w:lvl w:ilvl="8">
      <w:start w:val="1"/>
      <w:numFmt w:val="decimal"/>
      <w:isLgl/>
      <w:lvlText w:val="%1.%2.%3.%4.%5.%6.%7.%8.%9."/>
      <w:lvlJc w:val="left"/>
      <w:pPr>
        <w:ind w:left="1809" w:hanging="1800"/>
      </w:pPr>
      <w:rPr>
        <w:rFonts w:hint="default"/>
        <w:b/>
      </w:rPr>
    </w:lvl>
  </w:abstractNum>
  <w:abstractNum w:abstractNumId="1" w15:restartNumberingAfterBreak="0">
    <w:nsid w:val="12AC0752"/>
    <w:multiLevelType w:val="multilevel"/>
    <w:tmpl w:val="7020EFA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1C814087"/>
    <w:multiLevelType w:val="hybridMultilevel"/>
    <w:tmpl w:val="77FC8D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B7616A2"/>
    <w:multiLevelType w:val="hybridMultilevel"/>
    <w:tmpl w:val="206AD7BE"/>
    <w:lvl w:ilvl="0" w:tplc="138AF134">
      <w:start w:val="1"/>
      <w:numFmt w:val="lowerRoman"/>
      <w:lvlText w:val="%1)"/>
      <w:lvlJc w:val="left"/>
      <w:pPr>
        <w:ind w:left="1260" w:hanging="72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2DE5B4B"/>
    <w:multiLevelType w:val="hybridMultilevel"/>
    <w:tmpl w:val="8E1AFDF2"/>
    <w:lvl w:ilvl="0" w:tplc="782A63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D9"/>
    <w:rsid w:val="00000BCF"/>
    <w:rsid w:val="00035143"/>
    <w:rsid w:val="000849FC"/>
    <w:rsid w:val="000A3A62"/>
    <w:rsid w:val="000D028C"/>
    <w:rsid w:val="000F324F"/>
    <w:rsid w:val="000F7813"/>
    <w:rsid w:val="00114035"/>
    <w:rsid w:val="00121F4A"/>
    <w:rsid w:val="0013500F"/>
    <w:rsid w:val="00136720"/>
    <w:rsid w:val="001A0451"/>
    <w:rsid w:val="001A726A"/>
    <w:rsid w:val="001B71B8"/>
    <w:rsid w:val="001E103E"/>
    <w:rsid w:val="00206BDF"/>
    <w:rsid w:val="00215678"/>
    <w:rsid w:val="002258FF"/>
    <w:rsid w:val="00251C8A"/>
    <w:rsid w:val="00277B07"/>
    <w:rsid w:val="00296BBB"/>
    <w:rsid w:val="002A44B7"/>
    <w:rsid w:val="002B1137"/>
    <w:rsid w:val="002D39B0"/>
    <w:rsid w:val="002E3351"/>
    <w:rsid w:val="002E6045"/>
    <w:rsid w:val="002F528F"/>
    <w:rsid w:val="003302A7"/>
    <w:rsid w:val="00355583"/>
    <w:rsid w:val="00364BAA"/>
    <w:rsid w:val="003740A5"/>
    <w:rsid w:val="003767F7"/>
    <w:rsid w:val="003A0123"/>
    <w:rsid w:val="003B5AD5"/>
    <w:rsid w:val="003B6370"/>
    <w:rsid w:val="003C157C"/>
    <w:rsid w:val="003C4141"/>
    <w:rsid w:val="003D1F25"/>
    <w:rsid w:val="004033BA"/>
    <w:rsid w:val="00434086"/>
    <w:rsid w:val="0045611E"/>
    <w:rsid w:val="004648AC"/>
    <w:rsid w:val="0046561D"/>
    <w:rsid w:val="004A714D"/>
    <w:rsid w:val="004C161B"/>
    <w:rsid w:val="004E6AE4"/>
    <w:rsid w:val="004F0DB9"/>
    <w:rsid w:val="00502F19"/>
    <w:rsid w:val="005074E5"/>
    <w:rsid w:val="005254BB"/>
    <w:rsid w:val="00526794"/>
    <w:rsid w:val="00535196"/>
    <w:rsid w:val="0055185F"/>
    <w:rsid w:val="00562589"/>
    <w:rsid w:val="005810C8"/>
    <w:rsid w:val="00585FEF"/>
    <w:rsid w:val="0058648A"/>
    <w:rsid w:val="00590C89"/>
    <w:rsid w:val="005D462B"/>
    <w:rsid w:val="005D645E"/>
    <w:rsid w:val="005D74E2"/>
    <w:rsid w:val="005E0548"/>
    <w:rsid w:val="005F1273"/>
    <w:rsid w:val="0061407E"/>
    <w:rsid w:val="00662EB9"/>
    <w:rsid w:val="006A6DF5"/>
    <w:rsid w:val="006C25D8"/>
    <w:rsid w:val="006C78D9"/>
    <w:rsid w:val="006D244A"/>
    <w:rsid w:val="006D3FC5"/>
    <w:rsid w:val="006F2C62"/>
    <w:rsid w:val="006F58D8"/>
    <w:rsid w:val="006F74A7"/>
    <w:rsid w:val="007008E4"/>
    <w:rsid w:val="007406E0"/>
    <w:rsid w:val="00755D13"/>
    <w:rsid w:val="00757216"/>
    <w:rsid w:val="00762461"/>
    <w:rsid w:val="00770E0A"/>
    <w:rsid w:val="00774482"/>
    <w:rsid w:val="007833B1"/>
    <w:rsid w:val="00794F3D"/>
    <w:rsid w:val="007C63D1"/>
    <w:rsid w:val="007D2B12"/>
    <w:rsid w:val="007D404A"/>
    <w:rsid w:val="007E38A6"/>
    <w:rsid w:val="007F3773"/>
    <w:rsid w:val="007F54E6"/>
    <w:rsid w:val="008112FC"/>
    <w:rsid w:val="008231C8"/>
    <w:rsid w:val="00823AD2"/>
    <w:rsid w:val="0083137C"/>
    <w:rsid w:val="008402EE"/>
    <w:rsid w:val="008437E5"/>
    <w:rsid w:val="008477D9"/>
    <w:rsid w:val="008544AB"/>
    <w:rsid w:val="00861BFD"/>
    <w:rsid w:val="008730DD"/>
    <w:rsid w:val="0089559A"/>
    <w:rsid w:val="008C1A56"/>
    <w:rsid w:val="008E0B2C"/>
    <w:rsid w:val="008F184D"/>
    <w:rsid w:val="009029DE"/>
    <w:rsid w:val="009303B9"/>
    <w:rsid w:val="009550E9"/>
    <w:rsid w:val="009601CE"/>
    <w:rsid w:val="00964A65"/>
    <w:rsid w:val="00981FBF"/>
    <w:rsid w:val="00986350"/>
    <w:rsid w:val="009A5E3F"/>
    <w:rsid w:val="009D47F7"/>
    <w:rsid w:val="009E54ED"/>
    <w:rsid w:val="009F6652"/>
    <w:rsid w:val="00A01ADE"/>
    <w:rsid w:val="00A15547"/>
    <w:rsid w:val="00A23685"/>
    <w:rsid w:val="00A3366D"/>
    <w:rsid w:val="00A45851"/>
    <w:rsid w:val="00A55884"/>
    <w:rsid w:val="00A66F0C"/>
    <w:rsid w:val="00AB725F"/>
    <w:rsid w:val="00AD20E3"/>
    <w:rsid w:val="00AE4F15"/>
    <w:rsid w:val="00AE7BC8"/>
    <w:rsid w:val="00B16B99"/>
    <w:rsid w:val="00B23E72"/>
    <w:rsid w:val="00B41DCA"/>
    <w:rsid w:val="00B604C9"/>
    <w:rsid w:val="00B61756"/>
    <w:rsid w:val="00B721FB"/>
    <w:rsid w:val="00B75A75"/>
    <w:rsid w:val="00B94DC1"/>
    <w:rsid w:val="00BA7D6A"/>
    <w:rsid w:val="00BC0D80"/>
    <w:rsid w:val="00BC5195"/>
    <w:rsid w:val="00BF4B44"/>
    <w:rsid w:val="00C226C4"/>
    <w:rsid w:val="00C25B07"/>
    <w:rsid w:val="00C35878"/>
    <w:rsid w:val="00C44CC7"/>
    <w:rsid w:val="00C552B9"/>
    <w:rsid w:val="00C60E6F"/>
    <w:rsid w:val="00C66A75"/>
    <w:rsid w:val="00C700F7"/>
    <w:rsid w:val="00C93B83"/>
    <w:rsid w:val="00C97E84"/>
    <w:rsid w:val="00CC1552"/>
    <w:rsid w:val="00CC43AD"/>
    <w:rsid w:val="00CC6D16"/>
    <w:rsid w:val="00CC7F39"/>
    <w:rsid w:val="00CE41BB"/>
    <w:rsid w:val="00D00B9E"/>
    <w:rsid w:val="00D159FF"/>
    <w:rsid w:val="00D206D2"/>
    <w:rsid w:val="00D23597"/>
    <w:rsid w:val="00D36DF9"/>
    <w:rsid w:val="00D540F2"/>
    <w:rsid w:val="00D64A36"/>
    <w:rsid w:val="00D70BBC"/>
    <w:rsid w:val="00D72889"/>
    <w:rsid w:val="00D74EB4"/>
    <w:rsid w:val="00D7609B"/>
    <w:rsid w:val="00D81F51"/>
    <w:rsid w:val="00D8434E"/>
    <w:rsid w:val="00D84520"/>
    <w:rsid w:val="00DA058F"/>
    <w:rsid w:val="00DB0F6D"/>
    <w:rsid w:val="00DC54DF"/>
    <w:rsid w:val="00DF727E"/>
    <w:rsid w:val="00DF73F8"/>
    <w:rsid w:val="00DF76CA"/>
    <w:rsid w:val="00E0204F"/>
    <w:rsid w:val="00E03E3E"/>
    <w:rsid w:val="00E12D35"/>
    <w:rsid w:val="00E42142"/>
    <w:rsid w:val="00E525CD"/>
    <w:rsid w:val="00E62AFF"/>
    <w:rsid w:val="00E830D4"/>
    <w:rsid w:val="00EB095D"/>
    <w:rsid w:val="00EB20F6"/>
    <w:rsid w:val="00EB49B3"/>
    <w:rsid w:val="00ED1990"/>
    <w:rsid w:val="00EE166A"/>
    <w:rsid w:val="00F118AF"/>
    <w:rsid w:val="00F21603"/>
    <w:rsid w:val="00F34092"/>
    <w:rsid w:val="00F43F9A"/>
    <w:rsid w:val="00F50A2C"/>
    <w:rsid w:val="00F6501C"/>
    <w:rsid w:val="00F8619B"/>
    <w:rsid w:val="00F86A64"/>
    <w:rsid w:val="00F9036C"/>
    <w:rsid w:val="00FA51B8"/>
    <w:rsid w:val="00FC1239"/>
    <w:rsid w:val="00FC3BFA"/>
    <w:rsid w:val="00FC547B"/>
    <w:rsid w:val="00FD0E59"/>
    <w:rsid w:val="00FD4009"/>
    <w:rsid w:val="00FF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552C"/>
  <w15:chartTrackingRefBased/>
  <w15:docId w15:val="{29545394-D5B8-4021-BE2E-63639336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7D9"/>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7D9"/>
    <w:pPr>
      <w:overflowPunct/>
      <w:autoSpaceDE/>
      <w:autoSpaceDN/>
      <w:adjustRightInd/>
      <w:ind w:left="720"/>
      <w:contextualSpacing/>
      <w:jc w:val="left"/>
      <w:textAlignment w:val="auto"/>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0A3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A6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67958">
      <w:bodyDiv w:val="1"/>
      <w:marLeft w:val="0"/>
      <w:marRight w:val="0"/>
      <w:marTop w:val="0"/>
      <w:marBottom w:val="0"/>
      <w:divBdr>
        <w:top w:val="none" w:sz="0" w:space="0" w:color="auto"/>
        <w:left w:val="none" w:sz="0" w:space="0" w:color="auto"/>
        <w:bottom w:val="none" w:sz="0" w:space="0" w:color="auto"/>
        <w:right w:val="none" w:sz="0" w:space="0" w:color="auto"/>
      </w:divBdr>
    </w:div>
    <w:div w:id="165638407">
      <w:bodyDiv w:val="1"/>
      <w:marLeft w:val="0"/>
      <w:marRight w:val="0"/>
      <w:marTop w:val="0"/>
      <w:marBottom w:val="0"/>
      <w:divBdr>
        <w:top w:val="none" w:sz="0" w:space="0" w:color="auto"/>
        <w:left w:val="none" w:sz="0" w:space="0" w:color="auto"/>
        <w:bottom w:val="none" w:sz="0" w:space="0" w:color="auto"/>
        <w:right w:val="none" w:sz="0" w:space="0" w:color="auto"/>
      </w:divBdr>
    </w:div>
    <w:div w:id="166093746">
      <w:bodyDiv w:val="1"/>
      <w:marLeft w:val="0"/>
      <w:marRight w:val="0"/>
      <w:marTop w:val="0"/>
      <w:marBottom w:val="0"/>
      <w:divBdr>
        <w:top w:val="none" w:sz="0" w:space="0" w:color="auto"/>
        <w:left w:val="none" w:sz="0" w:space="0" w:color="auto"/>
        <w:bottom w:val="none" w:sz="0" w:space="0" w:color="auto"/>
        <w:right w:val="none" w:sz="0" w:space="0" w:color="auto"/>
      </w:divBdr>
    </w:div>
    <w:div w:id="221674935">
      <w:bodyDiv w:val="1"/>
      <w:marLeft w:val="0"/>
      <w:marRight w:val="0"/>
      <w:marTop w:val="0"/>
      <w:marBottom w:val="0"/>
      <w:divBdr>
        <w:top w:val="none" w:sz="0" w:space="0" w:color="auto"/>
        <w:left w:val="none" w:sz="0" w:space="0" w:color="auto"/>
        <w:bottom w:val="none" w:sz="0" w:space="0" w:color="auto"/>
        <w:right w:val="none" w:sz="0" w:space="0" w:color="auto"/>
      </w:divBdr>
    </w:div>
    <w:div w:id="293368292">
      <w:bodyDiv w:val="1"/>
      <w:marLeft w:val="0"/>
      <w:marRight w:val="0"/>
      <w:marTop w:val="0"/>
      <w:marBottom w:val="0"/>
      <w:divBdr>
        <w:top w:val="none" w:sz="0" w:space="0" w:color="auto"/>
        <w:left w:val="none" w:sz="0" w:space="0" w:color="auto"/>
        <w:bottom w:val="none" w:sz="0" w:space="0" w:color="auto"/>
        <w:right w:val="none" w:sz="0" w:space="0" w:color="auto"/>
      </w:divBdr>
    </w:div>
    <w:div w:id="295066160">
      <w:bodyDiv w:val="1"/>
      <w:marLeft w:val="0"/>
      <w:marRight w:val="0"/>
      <w:marTop w:val="0"/>
      <w:marBottom w:val="0"/>
      <w:divBdr>
        <w:top w:val="none" w:sz="0" w:space="0" w:color="auto"/>
        <w:left w:val="none" w:sz="0" w:space="0" w:color="auto"/>
        <w:bottom w:val="none" w:sz="0" w:space="0" w:color="auto"/>
        <w:right w:val="none" w:sz="0" w:space="0" w:color="auto"/>
      </w:divBdr>
    </w:div>
    <w:div w:id="397627720">
      <w:bodyDiv w:val="1"/>
      <w:marLeft w:val="0"/>
      <w:marRight w:val="0"/>
      <w:marTop w:val="0"/>
      <w:marBottom w:val="0"/>
      <w:divBdr>
        <w:top w:val="none" w:sz="0" w:space="0" w:color="auto"/>
        <w:left w:val="none" w:sz="0" w:space="0" w:color="auto"/>
        <w:bottom w:val="none" w:sz="0" w:space="0" w:color="auto"/>
        <w:right w:val="none" w:sz="0" w:space="0" w:color="auto"/>
      </w:divBdr>
    </w:div>
    <w:div w:id="411703854">
      <w:bodyDiv w:val="1"/>
      <w:marLeft w:val="0"/>
      <w:marRight w:val="0"/>
      <w:marTop w:val="0"/>
      <w:marBottom w:val="0"/>
      <w:divBdr>
        <w:top w:val="none" w:sz="0" w:space="0" w:color="auto"/>
        <w:left w:val="none" w:sz="0" w:space="0" w:color="auto"/>
        <w:bottom w:val="none" w:sz="0" w:space="0" w:color="auto"/>
        <w:right w:val="none" w:sz="0" w:space="0" w:color="auto"/>
      </w:divBdr>
    </w:div>
    <w:div w:id="524053960">
      <w:bodyDiv w:val="1"/>
      <w:marLeft w:val="0"/>
      <w:marRight w:val="0"/>
      <w:marTop w:val="0"/>
      <w:marBottom w:val="0"/>
      <w:divBdr>
        <w:top w:val="none" w:sz="0" w:space="0" w:color="auto"/>
        <w:left w:val="none" w:sz="0" w:space="0" w:color="auto"/>
        <w:bottom w:val="none" w:sz="0" w:space="0" w:color="auto"/>
        <w:right w:val="none" w:sz="0" w:space="0" w:color="auto"/>
      </w:divBdr>
    </w:div>
    <w:div w:id="547881425">
      <w:bodyDiv w:val="1"/>
      <w:marLeft w:val="0"/>
      <w:marRight w:val="0"/>
      <w:marTop w:val="0"/>
      <w:marBottom w:val="0"/>
      <w:divBdr>
        <w:top w:val="none" w:sz="0" w:space="0" w:color="auto"/>
        <w:left w:val="none" w:sz="0" w:space="0" w:color="auto"/>
        <w:bottom w:val="none" w:sz="0" w:space="0" w:color="auto"/>
        <w:right w:val="none" w:sz="0" w:space="0" w:color="auto"/>
      </w:divBdr>
    </w:div>
    <w:div w:id="558248948">
      <w:bodyDiv w:val="1"/>
      <w:marLeft w:val="0"/>
      <w:marRight w:val="0"/>
      <w:marTop w:val="0"/>
      <w:marBottom w:val="0"/>
      <w:divBdr>
        <w:top w:val="none" w:sz="0" w:space="0" w:color="auto"/>
        <w:left w:val="none" w:sz="0" w:space="0" w:color="auto"/>
        <w:bottom w:val="none" w:sz="0" w:space="0" w:color="auto"/>
        <w:right w:val="none" w:sz="0" w:space="0" w:color="auto"/>
      </w:divBdr>
    </w:div>
    <w:div w:id="594749069">
      <w:bodyDiv w:val="1"/>
      <w:marLeft w:val="0"/>
      <w:marRight w:val="0"/>
      <w:marTop w:val="0"/>
      <w:marBottom w:val="0"/>
      <w:divBdr>
        <w:top w:val="none" w:sz="0" w:space="0" w:color="auto"/>
        <w:left w:val="none" w:sz="0" w:space="0" w:color="auto"/>
        <w:bottom w:val="none" w:sz="0" w:space="0" w:color="auto"/>
        <w:right w:val="none" w:sz="0" w:space="0" w:color="auto"/>
      </w:divBdr>
    </w:div>
    <w:div w:id="595671096">
      <w:bodyDiv w:val="1"/>
      <w:marLeft w:val="0"/>
      <w:marRight w:val="0"/>
      <w:marTop w:val="0"/>
      <w:marBottom w:val="0"/>
      <w:divBdr>
        <w:top w:val="none" w:sz="0" w:space="0" w:color="auto"/>
        <w:left w:val="none" w:sz="0" w:space="0" w:color="auto"/>
        <w:bottom w:val="none" w:sz="0" w:space="0" w:color="auto"/>
        <w:right w:val="none" w:sz="0" w:space="0" w:color="auto"/>
      </w:divBdr>
    </w:div>
    <w:div w:id="696856023">
      <w:bodyDiv w:val="1"/>
      <w:marLeft w:val="0"/>
      <w:marRight w:val="0"/>
      <w:marTop w:val="0"/>
      <w:marBottom w:val="0"/>
      <w:divBdr>
        <w:top w:val="none" w:sz="0" w:space="0" w:color="auto"/>
        <w:left w:val="none" w:sz="0" w:space="0" w:color="auto"/>
        <w:bottom w:val="none" w:sz="0" w:space="0" w:color="auto"/>
        <w:right w:val="none" w:sz="0" w:space="0" w:color="auto"/>
      </w:divBdr>
    </w:div>
    <w:div w:id="711466345">
      <w:bodyDiv w:val="1"/>
      <w:marLeft w:val="0"/>
      <w:marRight w:val="0"/>
      <w:marTop w:val="0"/>
      <w:marBottom w:val="0"/>
      <w:divBdr>
        <w:top w:val="none" w:sz="0" w:space="0" w:color="auto"/>
        <w:left w:val="none" w:sz="0" w:space="0" w:color="auto"/>
        <w:bottom w:val="none" w:sz="0" w:space="0" w:color="auto"/>
        <w:right w:val="none" w:sz="0" w:space="0" w:color="auto"/>
      </w:divBdr>
    </w:div>
    <w:div w:id="751271565">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8951135">
      <w:bodyDiv w:val="1"/>
      <w:marLeft w:val="0"/>
      <w:marRight w:val="0"/>
      <w:marTop w:val="0"/>
      <w:marBottom w:val="0"/>
      <w:divBdr>
        <w:top w:val="none" w:sz="0" w:space="0" w:color="auto"/>
        <w:left w:val="none" w:sz="0" w:space="0" w:color="auto"/>
        <w:bottom w:val="none" w:sz="0" w:space="0" w:color="auto"/>
        <w:right w:val="none" w:sz="0" w:space="0" w:color="auto"/>
      </w:divBdr>
    </w:div>
    <w:div w:id="937248715">
      <w:bodyDiv w:val="1"/>
      <w:marLeft w:val="0"/>
      <w:marRight w:val="0"/>
      <w:marTop w:val="0"/>
      <w:marBottom w:val="0"/>
      <w:divBdr>
        <w:top w:val="none" w:sz="0" w:space="0" w:color="auto"/>
        <w:left w:val="none" w:sz="0" w:space="0" w:color="auto"/>
        <w:bottom w:val="none" w:sz="0" w:space="0" w:color="auto"/>
        <w:right w:val="none" w:sz="0" w:space="0" w:color="auto"/>
      </w:divBdr>
    </w:div>
    <w:div w:id="979843541">
      <w:bodyDiv w:val="1"/>
      <w:marLeft w:val="0"/>
      <w:marRight w:val="0"/>
      <w:marTop w:val="0"/>
      <w:marBottom w:val="0"/>
      <w:divBdr>
        <w:top w:val="none" w:sz="0" w:space="0" w:color="auto"/>
        <w:left w:val="none" w:sz="0" w:space="0" w:color="auto"/>
        <w:bottom w:val="none" w:sz="0" w:space="0" w:color="auto"/>
        <w:right w:val="none" w:sz="0" w:space="0" w:color="auto"/>
      </w:divBdr>
    </w:div>
    <w:div w:id="1001157259">
      <w:bodyDiv w:val="1"/>
      <w:marLeft w:val="0"/>
      <w:marRight w:val="0"/>
      <w:marTop w:val="0"/>
      <w:marBottom w:val="0"/>
      <w:divBdr>
        <w:top w:val="none" w:sz="0" w:space="0" w:color="auto"/>
        <w:left w:val="none" w:sz="0" w:space="0" w:color="auto"/>
        <w:bottom w:val="none" w:sz="0" w:space="0" w:color="auto"/>
        <w:right w:val="none" w:sz="0" w:space="0" w:color="auto"/>
      </w:divBdr>
    </w:div>
    <w:div w:id="1100102381">
      <w:bodyDiv w:val="1"/>
      <w:marLeft w:val="0"/>
      <w:marRight w:val="0"/>
      <w:marTop w:val="0"/>
      <w:marBottom w:val="0"/>
      <w:divBdr>
        <w:top w:val="none" w:sz="0" w:space="0" w:color="auto"/>
        <w:left w:val="none" w:sz="0" w:space="0" w:color="auto"/>
        <w:bottom w:val="none" w:sz="0" w:space="0" w:color="auto"/>
        <w:right w:val="none" w:sz="0" w:space="0" w:color="auto"/>
      </w:divBdr>
    </w:div>
    <w:div w:id="1124888120">
      <w:bodyDiv w:val="1"/>
      <w:marLeft w:val="0"/>
      <w:marRight w:val="0"/>
      <w:marTop w:val="0"/>
      <w:marBottom w:val="0"/>
      <w:divBdr>
        <w:top w:val="none" w:sz="0" w:space="0" w:color="auto"/>
        <w:left w:val="none" w:sz="0" w:space="0" w:color="auto"/>
        <w:bottom w:val="none" w:sz="0" w:space="0" w:color="auto"/>
        <w:right w:val="none" w:sz="0" w:space="0" w:color="auto"/>
      </w:divBdr>
    </w:div>
    <w:div w:id="1190875133">
      <w:bodyDiv w:val="1"/>
      <w:marLeft w:val="0"/>
      <w:marRight w:val="0"/>
      <w:marTop w:val="0"/>
      <w:marBottom w:val="0"/>
      <w:divBdr>
        <w:top w:val="none" w:sz="0" w:space="0" w:color="auto"/>
        <w:left w:val="none" w:sz="0" w:space="0" w:color="auto"/>
        <w:bottom w:val="none" w:sz="0" w:space="0" w:color="auto"/>
        <w:right w:val="none" w:sz="0" w:space="0" w:color="auto"/>
      </w:divBdr>
    </w:div>
    <w:div w:id="1212226883">
      <w:bodyDiv w:val="1"/>
      <w:marLeft w:val="0"/>
      <w:marRight w:val="0"/>
      <w:marTop w:val="0"/>
      <w:marBottom w:val="0"/>
      <w:divBdr>
        <w:top w:val="none" w:sz="0" w:space="0" w:color="auto"/>
        <w:left w:val="none" w:sz="0" w:space="0" w:color="auto"/>
        <w:bottom w:val="none" w:sz="0" w:space="0" w:color="auto"/>
        <w:right w:val="none" w:sz="0" w:space="0" w:color="auto"/>
      </w:divBdr>
    </w:div>
    <w:div w:id="1254508040">
      <w:bodyDiv w:val="1"/>
      <w:marLeft w:val="0"/>
      <w:marRight w:val="0"/>
      <w:marTop w:val="0"/>
      <w:marBottom w:val="0"/>
      <w:divBdr>
        <w:top w:val="none" w:sz="0" w:space="0" w:color="auto"/>
        <w:left w:val="none" w:sz="0" w:space="0" w:color="auto"/>
        <w:bottom w:val="none" w:sz="0" w:space="0" w:color="auto"/>
        <w:right w:val="none" w:sz="0" w:space="0" w:color="auto"/>
      </w:divBdr>
    </w:div>
    <w:div w:id="1258171080">
      <w:bodyDiv w:val="1"/>
      <w:marLeft w:val="0"/>
      <w:marRight w:val="0"/>
      <w:marTop w:val="0"/>
      <w:marBottom w:val="0"/>
      <w:divBdr>
        <w:top w:val="none" w:sz="0" w:space="0" w:color="auto"/>
        <w:left w:val="none" w:sz="0" w:space="0" w:color="auto"/>
        <w:bottom w:val="none" w:sz="0" w:space="0" w:color="auto"/>
        <w:right w:val="none" w:sz="0" w:space="0" w:color="auto"/>
      </w:divBdr>
    </w:div>
    <w:div w:id="1281762127">
      <w:bodyDiv w:val="1"/>
      <w:marLeft w:val="0"/>
      <w:marRight w:val="0"/>
      <w:marTop w:val="0"/>
      <w:marBottom w:val="0"/>
      <w:divBdr>
        <w:top w:val="none" w:sz="0" w:space="0" w:color="auto"/>
        <w:left w:val="none" w:sz="0" w:space="0" w:color="auto"/>
        <w:bottom w:val="none" w:sz="0" w:space="0" w:color="auto"/>
        <w:right w:val="none" w:sz="0" w:space="0" w:color="auto"/>
      </w:divBdr>
    </w:div>
    <w:div w:id="1322274991">
      <w:bodyDiv w:val="1"/>
      <w:marLeft w:val="0"/>
      <w:marRight w:val="0"/>
      <w:marTop w:val="0"/>
      <w:marBottom w:val="0"/>
      <w:divBdr>
        <w:top w:val="none" w:sz="0" w:space="0" w:color="auto"/>
        <w:left w:val="none" w:sz="0" w:space="0" w:color="auto"/>
        <w:bottom w:val="none" w:sz="0" w:space="0" w:color="auto"/>
        <w:right w:val="none" w:sz="0" w:space="0" w:color="auto"/>
      </w:divBdr>
    </w:div>
    <w:div w:id="1350762931">
      <w:bodyDiv w:val="1"/>
      <w:marLeft w:val="0"/>
      <w:marRight w:val="0"/>
      <w:marTop w:val="0"/>
      <w:marBottom w:val="0"/>
      <w:divBdr>
        <w:top w:val="none" w:sz="0" w:space="0" w:color="auto"/>
        <w:left w:val="none" w:sz="0" w:space="0" w:color="auto"/>
        <w:bottom w:val="none" w:sz="0" w:space="0" w:color="auto"/>
        <w:right w:val="none" w:sz="0" w:space="0" w:color="auto"/>
      </w:divBdr>
    </w:div>
    <w:div w:id="1444882427">
      <w:bodyDiv w:val="1"/>
      <w:marLeft w:val="0"/>
      <w:marRight w:val="0"/>
      <w:marTop w:val="0"/>
      <w:marBottom w:val="0"/>
      <w:divBdr>
        <w:top w:val="none" w:sz="0" w:space="0" w:color="auto"/>
        <w:left w:val="none" w:sz="0" w:space="0" w:color="auto"/>
        <w:bottom w:val="none" w:sz="0" w:space="0" w:color="auto"/>
        <w:right w:val="none" w:sz="0" w:space="0" w:color="auto"/>
      </w:divBdr>
    </w:div>
    <w:div w:id="1452938491">
      <w:bodyDiv w:val="1"/>
      <w:marLeft w:val="0"/>
      <w:marRight w:val="0"/>
      <w:marTop w:val="0"/>
      <w:marBottom w:val="0"/>
      <w:divBdr>
        <w:top w:val="none" w:sz="0" w:space="0" w:color="auto"/>
        <w:left w:val="none" w:sz="0" w:space="0" w:color="auto"/>
        <w:bottom w:val="none" w:sz="0" w:space="0" w:color="auto"/>
        <w:right w:val="none" w:sz="0" w:space="0" w:color="auto"/>
      </w:divBdr>
    </w:div>
    <w:div w:id="1472672051">
      <w:bodyDiv w:val="1"/>
      <w:marLeft w:val="0"/>
      <w:marRight w:val="0"/>
      <w:marTop w:val="0"/>
      <w:marBottom w:val="0"/>
      <w:divBdr>
        <w:top w:val="none" w:sz="0" w:space="0" w:color="auto"/>
        <w:left w:val="none" w:sz="0" w:space="0" w:color="auto"/>
        <w:bottom w:val="none" w:sz="0" w:space="0" w:color="auto"/>
        <w:right w:val="none" w:sz="0" w:space="0" w:color="auto"/>
      </w:divBdr>
    </w:div>
    <w:div w:id="1478062299">
      <w:bodyDiv w:val="1"/>
      <w:marLeft w:val="0"/>
      <w:marRight w:val="0"/>
      <w:marTop w:val="0"/>
      <w:marBottom w:val="0"/>
      <w:divBdr>
        <w:top w:val="none" w:sz="0" w:space="0" w:color="auto"/>
        <w:left w:val="none" w:sz="0" w:space="0" w:color="auto"/>
        <w:bottom w:val="none" w:sz="0" w:space="0" w:color="auto"/>
        <w:right w:val="none" w:sz="0" w:space="0" w:color="auto"/>
      </w:divBdr>
    </w:div>
    <w:div w:id="1498227219">
      <w:bodyDiv w:val="1"/>
      <w:marLeft w:val="0"/>
      <w:marRight w:val="0"/>
      <w:marTop w:val="0"/>
      <w:marBottom w:val="0"/>
      <w:divBdr>
        <w:top w:val="none" w:sz="0" w:space="0" w:color="auto"/>
        <w:left w:val="none" w:sz="0" w:space="0" w:color="auto"/>
        <w:bottom w:val="none" w:sz="0" w:space="0" w:color="auto"/>
        <w:right w:val="none" w:sz="0" w:space="0" w:color="auto"/>
      </w:divBdr>
    </w:div>
    <w:div w:id="1508210772">
      <w:bodyDiv w:val="1"/>
      <w:marLeft w:val="0"/>
      <w:marRight w:val="0"/>
      <w:marTop w:val="0"/>
      <w:marBottom w:val="0"/>
      <w:divBdr>
        <w:top w:val="none" w:sz="0" w:space="0" w:color="auto"/>
        <w:left w:val="none" w:sz="0" w:space="0" w:color="auto"/>
        <w:bottom w:val="none" w:sz="0" w:space="0" w:color="auto"/>
        <w:right w:val="none" w:sz="0" w:space="0" w:color="auto"/>
      </w:divBdr>
    </w:div>
    <w:div w:id="1580099045">
      <w:bodyDiv w:val="1"/>
      <w:marLeft w:val="0"/>
      <w:marRight w:val="0"/>
      <w:marTop w:val="0"/>
      <w:marBottom w:val="0"/>
      <w:divBdr>
        <w:top w:val="none" w:sz="0" w:space="0" w:color="auto"/>
        <w:left w:val="none" w:sz="0" w:space="0" w:color="auto"/>
        <w:bottom w:val="none" w:sz="0" w:space="0" w:color="auto"/>
        <w:right w:val="none" w:sz="0" w:space="0" w:color="auto"/>
      </w:divBdr>
    </w:div>
    <w:div w:id="1605068482">
      <w:bodyDiv w:val="1"/>
      <w:marLeft w:val="0"/>
      <w:marRight w:val="0"/>
      <w:marTop w:val="0"/>
      <w:marBottom w:val="0"/>
      <w:divBdr>
        <w:top w:val="none" w:sz="0" w:space="0" w:color="auto"/>
        <w:left w:val="none" w:sz="0" w:space="0" w:color="auto"/>
        <w:bottom w:val="none" w:sz="0" w:space="0" w:color="auto"/>
        <w:right w:val="none" w:sz="0" w:space="0" w:color="auto"/>
      </w:divBdr>
    </w:div>
    <w:div w:id="1637485609">
      <w:bodyDiv w:val="1"/>
      <w:marLeft w:val="0"/>
      <w:marRight w:val="0"/>
      <w:marTop w:val="0"/>
      <w:marBottom w:val="0"/>
      <w:divBdr>
        <w:top w:val="none" w:sz="0" w:space="0" w:color="auto"/>
        <w:left w:val="none" w:sz="0" w:space="0" w:color="auto"/>
        <w:bottom w:val="none" w:sz="0" w:space="0" w:color="auto"/>
        <w:right w:val="none" w:sz="0" w:space="0" w:color="auto"/>
      </w:divBdr>
    </w:div>
    <w:div w:id="1707676262">
      <w:bodyDiv w:val="1"/>
      <w:marLeft w:val="0"/>
      <w:marRight w:val="0"/>
      <w:marTop w:val="0"/>
      <w:marBottom w:val="0"/>
      <w:divBdr>
        <w:top w:val="none" w:sz="0" w:space="0" w:color="auto"/>
        <w:left w:val="none" w:sz="0" w:space="0" w:color="auto"/>
        <w:bottom w:val="none" w:sz="0" w:space="0" w:color="auto"/>
        <w:right w:val="none" w:sz="0" w:space="0" w:color="auto"/>
      </w:divBdr>
    </w:div>
    <w:div w:id="1776558587">
      <w:bodyDiv w:val="1"/>
      <w:marLeft w:val="0"/>
      <w:marRight w:val="0"/>
      <w:marTop w:val="0"/>
      <w:marBottom w:val="0"/>
      <w:divBdr>
        <w:top w:val="none" w:sz="0" w:space="0" w:color="auto"/>
        <w:left w:val="none" w:sz="0" w:space="0" w:color="auto"/>
        <w:bottom w:val="none" w:sz="0" w:space="0" w:color="auto"/>
        <w:right w:val="none" w:sz="0" w:space="0" w:color="auto"/>
      </w:divBdr>
    </w:div>
    <w:div w:id="1816947104">
      <w:bodyDiv w:val="1"/>
      <w:marLeft w:val="0"/>
      <w:marRight w:val="0"/>
      <w:marTop w:val="0"/>
      <w:marBottom w:val="0"/>
      <w:divBdr>
        <w:top w:val="none" w:sz="0" w:space="0" w:color="auto"/>
        <w:left w:val="none" w:sz="0" w:space="0" w:color="auto"/>
        <w:bottom w:val="none" w:sz="0" w:space="0" w:color="auto"/>
        <w:right w:val="none" w:sz="0" w:space="0" w:color="auto"/>
      </w:divBdr>
    </w:div>
    <w:div w:id="1864660878">
      <w:bodyDiv w:val="1"/>
      <w:marLeft w:val="0"/>
      <w:marRight w:val="0"/>
      <w:marTop w:val="0"/>
      <w:marBottom w:val="0"/>
      <w:divBdr>
        <w:top w:val="none" w:sz="0" w:space="0" w:color="auto"/>
        <w:left w:val="none" w:sz="0" w:space="0" w:color="auto"/>
        <w:bottom w:val="none" w:sz="0" w:space="0" w:color="auto"/>
        <w:right w:val="none" w:sz="0" w:space="0" w:color="auto"/>
      </w:divBdr>
    </w:div>
    <w:div w:id="1910379945">
      <w:bodyDiv w:val="1"/>
      <w:marLeft w:val="0"/>
      <w:marRight w:val="0"/>
      <w:marTop w:val="0"/>
      <w:marBottom w:val="0"/>
      <w:divBdr>
        <w:top w:val="none" w:sz="0" w:space="0" w:color="auto"/>
        <w:left w:val="none" w:sz="0" w:space="0" w:color="auto"/>
        <w:bottom w:val="none" w:sz="0" w:space="0" w:color="auto"/>
        <w:right w:val="none" w:sz="0" w:space="0" w:color="auto"/>
      </w:divBdr>
    </w:div>
    <w:div w:id="1926189485">
      <w:bodyDiv w:val="1"/>
      <w:marLeft w:val="0"/>
      <w:marRight w:val="0"/>
      <w:marTop w:val="0"/>
      <w:marBottom w:val="0"/>
      <w:divBdr>
        <w:top w:val="none" w:sz="0" w:space="0" w:color="auto"/>
        <w:left w:val="none" w:sz="0" w:space="0" w:color="auto"/>
        <w:bottom w:val="none" w:sz="0" w:space="0" w:color="auto"/>
        <w:right w:val="none" w:sz="0" w:space="0" w:color="auto"/>
      </w:divBdr>
    </w:div>
    <w:div w:id="1926259878">
      <w:bodyDiv w:val="1"/>
      <w:marLeft w:val="0"/>
      <w:marRight w:val="0"/>
      <w:marTop w:val="0"/>
      <w:marBottom w:val="0"/>
      <w:divBdr>
        <w:top w:val="none" w:sz="0" w:space="0" w:color="auto"/>
        <w:left w:val="none" w:sz="0" w:space="0" w:color="auto"/>
        <w:bottom w:val="none" w:sz="0" w:space="0" w:color="auto"/>
        <w:right w:val="none" w:sz="0" w:space="0" w:color="auto"/>
      </w:divBdr>
    </w:div>
    <w:div w:id="1937665455">
      <w:bodyDiv w:val="1"/>
      <w:marLeft w:val="0"/>
      <w:marRight w:val="0"/>
      <w:marTop w:val="0"/>
      <w:marBottom w:val="0"/>
      <w:divBdr>
        <w:top w:val="none" w:sz="0" w:space="0" w:color="auto"/>
        <w:left w:val="none" w:sz="0" w:space="0" w:color="auto"/>
        <w:bottom w:val="none" w:sz="0" w:space="0" w:color="auto"/>
        <w:right w:val="none" w:sz="0" w:space="0" w:color="auto"/>
      </w:divBdr>
    </w:div>
    <w:div w:id="1986279290">
      <w:bodyDiv w:val="1"/>
      <w:marLeft w:val="0"/>
      <w:marRight w:val="0"/>
      <w:marTop w:val="0"/>
      <w:marBottom w:val="0"/>
      <w:divBdr>
        <w:top w:val="none" w:sz="0" w:space="0" w:color="auto"/>
        <w:left w:val="none" w:sz="0" w:space="0" w:color="auto"/>
        <w:bottom w:val="none" w:sz="0" w:space="0" w:color="auto"/>
        <w:right w:val="none" w:sz="0" w:space="0" w:color="auto"/>
      </w:divBdr>
    </w:div>
    <w:div w:id="2020035339">
      <w:bodyDiv w:val="1"/>
      <w:marLeft w:val="0"/>
      <w:marRight w:val="0"/>
      <w:marTop w:val="0"/>
      <w:marBottom w:val="0"/>
      <w:divBdr>
        <w:top w:val="none" w:sz="0" w:space="0" w:color="auto"/>
        <w:left w:val="none" w:sz="0" w:space="0" w:color="auto"/>
        <w:bottom w:val="none" w:sz="0" w:space="0" w:color="auto"/>
        <w:right w:val="none" w:sz="0" w:space="0" w:color="auto"/>
      </w:divBdr>
    </w:div>
    <w:div w:id="2083674629">
      <w:bodyDiv w:val="1"/>
      <w:marLeft w:val="0"/>
      <w:marRight w:val="0"/>
      <w:marTop w:val="0"/>
      <w:marBottom w:val="0"/>
      <w:divBdr>
        <w:top w:val="none" w:sz="0" w:space="0" w:color="auto"/>
        <w:left w:val="none" w:sz="0" w:space="0" w:color="auto"/>
        <w:bottom w:val="none" w:sz="0" w:space="0" w:color="auto"/>
        <w:right w:val="none" w:sz="0" w:space="0" w:color="auto"/>
      </w:divBdr>
    </w:div>
    <w:div w:id="2103528508">
      <w:bodyDiv w:val="1"/>
      <w:marLeft w:val="0"/>
      <w:marRight w:val="0"/>
      <w:marTop w:val="0"/>
      <w:marBottom w:val="0"/>
      <w:divBdr>
        <w:top w:val="none" w:sz="0" w:space="0" w:color="auto"/>
        <w:left w:val="none" w:sz="0" w:space="0" w:color="auto"/>
        <w:bottom w:val="none" w:sz="0" w:space="0" w:color="auto"/>
        <w:right w:val="none" w:sz="0" w:space="0" w:color="auto"/>
      </w:divBdr>
    </w:div>
    <w:div w:id="21048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14B3A-C355-4E21-8973-D5303C72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Ninh Thi Tue</dc:creator>
  <cp:keywords/>
  <dc:description/>
  <cp:lastModifiedBy>Thao Pham Thi Nhu</cp:lastModifiedBy>
  <cp:revision>7</cp:revision>
  <cp:lastPrinted>2019-07-10T08:01:00Z</cp:lastPrinted>
  <dcterms:created xsi:type="dcterms:W3CDTF">2020-10-20T07:51:00Z</dcterms:created>
  <dcterms:modified xsi:type="dcterms:W3CDTF">2020-10-20T07:55:00Z</dcterms:modified>
</cp:coreProperties>
</file>