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FD97" w14:textId="77777777" w:rsidR="003766B1" w:rsidRPr="00E21368" w:rsidRDefault="00897749" w:rsidP="005425EE">
      <w:pPr>
        <w:shd w:val="clear" w:color="auto" w:fill="FFFFFF"/>
        <w:spacing w:after="0" w:line="312" w:lineRule="auto"/>
        <w:ind w:left="142" w:right="260"/>
        <w:jc w:val="both"/>
        <w:rPr>
          <w:rFonts w:ascii="Times New Roman" w:hAnsi="Times New Roman"/>
          <w:b/>
          <w:sz w:val="20"/>
          <w:szCs w:val="20"/>
          <w:lang w:val="de-DE"/>
        </w:rPr>
      </w:pPr>
      <w:r w:rsidRPr="00E21368">
        <w:rPr>
          <w:rFonts w:ascii="Times New Roman" w:hAnsi="Times New Roman"/>
          <w:sz w:val="20"/>
          <w:szCs w:val="20"/>
          <w:lang w:val="de-DE"/>
        </w:rPr>
        <w:t xml:space="preserve"> </w:t>
      </w:r>
    </w:p>
    <w:tbl>
      <w:tblPr>
        <w:tblW w:w="10710" w:type="dxa"/>
        <w:tblInd w:w="108" w:type="dxa"/>
        <w:tblLook w:val="01E0" w:firstRow="1" w:lastRow="1" w:firstColumn="1" w:lastColumn="1" w:noHBand="0" w:noVBand="0"/>
      </w:tblPr>
      <w:tblGrid>
        <w:gridCol w:w="5310"/>
        <w:gridCol w:w="5400"/>
      </w:tblGrid>
      <w:tr w:rsidR="00897749" w:rsidRPr="00A96A82" w14:paraId="6E27285D" w14:textId="77777777" w:rsidTr="00066324">
        <w:tc>
          <w:tcPr>
            <w:tcW w:w="5310" w:type="dxa"/>
          </w:tcPr>
          <w:p w14:paraId="43C83637" w14:textId="77777777" w:rsidR="00897749" w:rsidRDefault="00066324" w:rsidP="005425EE">
            <w:pPr>
              <w:shd w:val="clear" w:color="auto" w:fill="FFFFFF"/>
              <w:spacing w:after="0" w:line="312" w:lineRule="auto"/>
              <w:ind w:left="142"/>
              <w:rPr>
                <w:rFonts w:ascii="Times New Roman" w:hAnsi="Times New Roman"/>
                <w:b/>
                <w:sz w:val="20"/>
                <w:szCs w:val="20"/>
                <w:lang w:val="de-DE"/>
              </w:rPr>
            </w:pPr>
            <w:r w:rsidRPr="00E21368">
              <w:rPr>
                <w:rFonts w:ascii="Times New Roman" w:hAnsi="Times New Roman"/>
                <w:b/>
                <w:sz w:val="20"/>
                <w:szCs w:val="20"/>
                <w:lang w:val="de-DE"/>
              </w:rPr>
              <w:t xml:space="preserve">Công ty Cổ phần Quản lý Quỹ Đầu tư </w:t>
            </w:r>
            <w:r>
              <w:rPr>
                <w:rFonts w:ascii="Times New Roman" w:hAnsi="Times New Roman"/>
                <w:b/>
                <w:sz w:val="20"/>
                <w:szCs w:val="20"/>
                <w:lang w:val="de-DE"/>
              </w:rPr>
              <w:t xml:space="preserve">Dragon Capital </w:t>
            </w:r>
            <w:r w:rsidRPr="00E21368">
              <w:rPr>
                <w:rFonts w:ascii="Times New Roman" w:hAnsi="Times New Roman"/>
                <w:b/>
                <w:sz w:val="20"/>
                <w:szCs w:val="20"/>
                <w:lang w:val="de-DE"/>
              </w:rPr>
              <w:t>Việt Nam</w:t>
            </w:r>
            <w:r>
              <w:rPr>
                <w:rFonts w:ascii="Times New Roman" w:hAnsi="Times New Roman"/>
                <w:b/>
                <w:sz w:val="20"/>
                <w:szCs w:val="20"/>
                <w:lang w:val="de-DE"/>
              </w:rPr>
              <w:t xml:space="preserve"> (“DCVFM’’)</w:t>
            </w:r>
          </w:p>
          <w:p w14:paraId="4AA0519E" w14:textId="64707ACF" w:rsidR="000135CC" w:rsidRPr="000135CC" w:rsidRDefault="000135CC" w:rsidP="005425EE">
            <w:pPr>
              <w:shd w:val="clear" w:color="auto" w:fill="FFFFFF"/>
              <w:spacing w:after="0" w:line="312" w:lineRule="auto"/>
              <w:ind w:left="142"/>
              <w:rPr>
                <w:rFonts w:ascii="Times New Roman" w:hAnsi="Times New Roman"/>
                <w:b/>
                <w:sz w:val="20"/>
                <w:szCs w:val="20"/>
                <w:lang w:val="de-DE"/>
              </w:rPr>
            </w:pPr>
            <w:r w:rsidRPr="000135CC">
              <w:rPr>
                <w:rFonts w:ascii="Times New Roman" w:hAnsi="Times New Roman"/>
                <w:b/>
                <w:sz w:val="20"/>
                <w:szCs w:val="20"/>
                <w:lang w:val="de-DE"/>
              </w:rPr>
              <w:t xml:space="preserve">Dragon </w:t>
            </w:r>
            <w:r>
              <w:rPr>
                <w:rFonts w:ascii="Times New Roman" w:hAnsi="Times New Roman"/>
                <w:b/>
                <w:sz w:val="20"/>
                <w:szCs w:val="20"/>
                <w:lang w:val="de-DE"/>
              </w:rPr>
              <w:t>C</w:t>
            </w:r>
            <w:r w:rsidRPr="000135CC">
              <w:rPr>
                <w:rFonts w:ascii="Times New Roman" w:hAnsi="Times New Roman"/>
                <w:b/>
                <w:sz w:val="20"/>
                <w:szCs w:val="20"/>
                <w:lang w:val="de-DE"/>
              </w:rPr>
              <w:t xml:space="preserve">apital </w:t>
            </w:r>
            <w:r>
              <w:rPr>
                <w:rFonts w:ascii="Times New Roman" w:hAnsi="Times New Roman"/>
                <w:b/>
                <w:sz w:val="20"/>
                <w:szCs w:val="20"/>
                <w:lang w:val="de-DE"/>
              </w:rPr>
              <w:t>V</w:t>
            </w:r>
            <w:r w:rsidRPr="000135CC">
              <w:rPr>
                <w:rFonts w:ascii="Times New Roman" w:hAnsi="Times New Roman"/>
                <w:b/>
                <w:sz w:val="20"/>
                <w:szCs w:val="20"/>
                <w:lang w:val="de-DE"/>
              </w:rPr>
              <w:t xml:space="preserve">ietfund </w:t>
            </w:r>
            <w:r>
              <w:rPr>
                <w:rFonts w:ascii="Times New Roman" w:hAnsi="Times New Roman"/>
                <w:b/>
                <w:sz w:val="20"/>
                <w:szCs w:val="20"/>
                <w:lang w:val="de-DE"/>
              </w:rPr>
              <w:t>M</w:t>
            </w:r>
            <w:r w:rsidRPr="000135CC">
              <w:rPr>
                <w:rFonts w:ascii="Times New Roman" w:hAnsi="Times New Roman"/>
                <w:b/>
                <w:sz w:val="20"/>
                <w:szCs w:val="20"/>
                <w:lang w:val="de-DE"/>
              </w:rPr>
              <w:t xml:space="preserve">anagement </w:t>
            </w:r>
            <w:r>
              <w:rPr>
                <w:rFonts w:ascii="Times New Roman" w:hAnsi="Times New Roman"/>
                <w:b/>
                <w:sz w:val="20"/>
                <w:szCs w:val="20"/>
                <w:lang w:val="de-DE"/>
              </w:rPr>
              <w:t>J</w:t>
            </w:r>
            <w:r w:rsidRPr="000135CC">
              <w:rPr>
                <w:rFonts w:ascii="Times New Roman" w:hAnsi="Times New Roman"/>
                <w:b/>
                <w:sz w:val="20"/>
                <w:szCs w:val="20"/>
                <w:lang w:val="de-DE"/>
              </w:rPr>
              <w:t xml:space="preserve">oint </w:t>
            </w:r>
            <w:r>
              <w:rPr>
                <w:rFonts w:ascii="Times New Roman" w:hAnsi="Times New Roman"/>
                <w:b/>
                <w:sz w:val="20"/>
                <w:szCs w:val="20"/>
                <w:lang w:val="de-DE"/>
              </w:rPr>
              <w:t>S</w:t>
            </w:r>
            <w:r w:rsidRPr="000135CC">
              <w:rPr>
                <w:rFonts w:ascii="Times New Roman" w:hAnsi="Times New Roman"/>
                <w:b/>
                <w:sz w:val="20"/>
                <w:szCs w:val="20"/>
                <w:lang w:val="de-DE"/>
              </w:rPr>
              <w:t xml:space="preserve">tock </w:t>
            </w:r>
            <w:r>
              <w:rPr>
                <w:rFonts w:ascii="Times New Roman" w:hAnsi="Times New Roman"/>
                <w:b/>
                <w:sz w:val="20"/>
                <w:szCs w:val="20"/>
                <w:lang w:val="de-DE"/>
              </w:rPr>
              <w:t>C</w:t>
            </w:r>
            <w:r w:rsidRPr="000135CC">
              <w:rPr>
                <w:rFonts w:ascii="Times New Roman" w:hAnsi="Times New Roman"/>
                <w:b/>
                <w:sz w:val="20"/>
                <w:szCs w:val="20"/>
                <w:lang w:val="de-DE"/>
              </w:rPr>
              <w:t>ompany</w:t>
            </w:r>
            <w:r>
              <w:rPr>
                <w:rFonts w:ascii="Times New Roman" w:hAnsi="Times New Roman"/>
                <w:b/>
                <w:sz w:val="20"/>
                <w:szCs w:val="20"/>
                <w:lang w:val="de-DE"/>
              </w:rPr>
              <w:t xml:space="preserve"> </w:t>
            </w:r>
            <w:r w:rsidRPr="000135CC">
              <w:rPr>
                <w:rFonts w:ascii="Times New Roman" w:hAnsi="Times New Roman"/>
                <w:b/>
                <w:sz w:val="20"/>
                <w:szCs w:val="20"/>
                <w:lang w:val="de-DE"/>
              </w:rPr>
              <w:t xml:space="preserve"> </w:t>
            </w:r>
            <w:r>
              <w:rPr>
                <w:rFonts w:ascii="Times New Roman" w:hAnsi="Times New Roman"/>
                <w:b/>
                <w:sz w:val="20"/>
                <w:szCs w:val="20"/>
                <w:lang w:val="de-DE"/>
              </w:rPr>
              <w:t>(“DCVFM’’)</w:t>
            </w:r>
          </w:p>
          <w:p w14:paraId="58612F65" w14:textId="77777777" w:rsidR="00066324" w:rsidRDefault="00066324" w:rsidP="005425EE">
            <w:pPr>
              <w:shd w:val="clear" w:color="auto" w:fill="FFFFFF"/>
              <w:spacing w:after="0" w:line="312" w:lineRule="auto"/>
              <w:ind w:left="142"/>
              <w:rPr>
                <w:rFonts w:ascii="Times New Roman" w:hAnsi="Times New Roman"/>
                <w:b/>
                <w:sz w:val="20"/>
                <w:szCs w:val="20"/>
                <w:lang w:val="nl-NL"/>
              </w:rPr>
            </w:pPr>
            <w:r w:rsidRPr="00E21368">
              <w:rPr>
                <w:rFonts w:ascii="Times New Roman" w:hAnsi="Times New Roman"/>
                <w:b/>
                <w:bCs/>
                <w:sz w:val="20"/>
                <w:szCs w:val="20"/>
                <w:lang w:val="nl-NL"/>
              </w:rPr>
              <w:t>Quỹ</w:t>
            </w:r>
            <w:r w:rsidRPr="00E21368">
              <w:rPr>
                <w:rFonts w:ascii="Times New Roman" w:hAnsi="Times New Roman"/>
                <w:bCs/>
                <w:sz w:val="20"/>
                <w:szCs w:val="20"/>
                <w:lang w:val="nl-NL"/>
              </w:rPr>
              <w:t xml:space="preserve">: </w:t>
            </w:r>
            <w:r w:rsidRPr="00A91FE0">
              <w:rPr>
                <w:rFonts w:ascii="Times New Roman" w:hAnsi="Times New Roman"/>
                <w:b/>
                <w:sz w:val="20"/>
                <w:szCs w:val="20"/>
                <w:lang w:val="nl-NL"/>
              </w:rPr>
              <w:t xml:space="preserve">ETF </w:t>
            </w:r>
            <w:r w:rsidR="006B6153">
              <w:rPr>
                <w:rFonts w:ascii="Times New Roman" w:hAnsi="Times New Roman"/>
                <w:b/>
                <w:sz w:val="20"/>
                <w:szCs w:val="20"/>
                <w:lang w:val="nl-NL"/>
              </w:rPr>
              <w:t>DC</w:t>
            </w:r>
            <w:r w:rsidRPr="00A91FE0">
              <w:rPr>
                <w:rFonts w:ascii="Times New Roman" w:hAnsi="Times New Roman"/>
                <w:b/>
                <w:sz w:val="20"/>
                <w:szCs w:val="20"/>
                <w:lang w:val="nl-NL"/>
              </w:rPr>
              <w:t>VFMV</w:t>
            </w:r>
            <w:r w:rsidR="001931FB">
              <w:rPr>
                <w:rFonts w:ascii="Times New Roman" w:hAnsi="Times New Roman"/>
                <w:b/>
                <w:sz w:val="20"/>
                <w:szCs w:val="20"/>
                <w:lang w:val="nl-NL"/>
              </w:rPr>
              <w:t>NMIDCAP</w:t>
            </w:r>
          </w:p>
          <w:p w14:paraId="72D4A3D5" w14:textId="23640CE9" w:rsidR="000E7A23" w:rsidRPr="000E7A23" w:rsidRDefault="000E7A23" w:rsidP="005425EE">
            <w:pPr>
              <w:shd w:val="clear" w:color="auto" w:fill="FFFFFF"/>
              <w:spacing w:after="0" w:line="312" w:lineRule="auto"/>
              <w:ind w:left="142"/>
              <w:rPr>
                <w:rFonts w:ascii="Times New Roman" w:hAnsi="Times New Roman"/>
                <w:bCs/>
                <w:sz w:val="20"/>
                <w:szCs w:val="20"/>
                <w:lang w:val="nl-NL"/>
              </w:rPr>
            </w:pPr>
            <w:r w:rsidRPr="000E7A23">
              <w:rPr>
                <w:rFonts w:ascii="Times New Roman" w:hAnsi="Times New Roman"/>
                <w:b/>
                <w:sz w:val="20"/>
                <w:szCs w:val="20"/>
                <w:lang w:val="nl-NL"/>
              </w:rPr>
              <w:t>DCVFMVNMIDCAP ETF</w:t>
            </w:r>
          </w:p>
        </w:tc>
        <w:tc>
          <w:tcPr>
            <w:tcW w:w="5400" w:type="dxa"/>
          </w:tcPr>
          <w:p w14:paraId="629E29FF" w14:textId="27C13B28" w:rsidR="00066324" w:rsidRDefault="00897749" w:rsidP="005425EE">
            <w:pPr>
              <w:shd w:val="clear" w:color="auto" w:fill="FFFFFF"/>
              <w:spacing w:after="0" w:line="312" w:lineRule="auto"/>
              <w:ind w:left="142"/>
              <w:jc w:val="right"/>
              <w:rPr>
                <w:rFonts w:ascii="Times New Roman" w:hAnsi="Times New Roman"/>
                <w:b/>
                <w:i/>
                <w:sz w:val="20"/>
                <w:szCs w:val="20"/>
                <w:lang w:val="nl-NL"/>
              </w:rPr>
            </w:pPr>
            <w:r w:rsidRPr="00E21368">
              <w:rPr>
                <w:rFonts w:ascii="Times New Roman" w:hAnsi="Times New Roman"/>
                <w:b/>
                <w:i/>
                <w:sz w:val="20"/>
                <w:szCs w:val="20"/>
                <w:lang w:val="nl-NL"/>
              </w:rPr>
              <w:t xml:space="preserve">Mẫu số B06g </w:t>
            </w:r>
            <w:r w:rsidR="005342E4">
              <w:rPr>
                <w:rFonts w:ascii="Times New Roman" w:hAnsi="Times New Roman"/>
                <w:b/>
                <w:i/>
                <w:sz w:val="20"/>
                <w:szCs w:val="20"/>
                <w:lang w:val="nl-NL"/>
              </w:rPr>
              <w:t>–</w:t>
            </w:r>
            <w:r w:rsidRPr="00E21368">
              <w:rPr>
                <w:rFonts w:ascii="Times New Roman" w:hAnsi="Times New Roman"/>
                <w:b/>
                <w:i/>
                <w:sz w:val="20"/>
                <w:szCs w:val="20"/>
                <w:lang w:val="nl-NL"/>
              </w:rPr>
              <w:t xml:space="preserve"> </w:t>
            </w:r>
            <w:r w:rsidR="00E043AF" w:rsidRPr="00E21368">
              <w:rPr>
                <w:rFonts w:ascii="Times New Roman" w:hAnsi="Times New Roman"/>
                <w:b/>
                <w:i/>
                <w:sz w:val="20"/>
                <w:szCs w:val="20"/>
                <w:lang w:val="nl-NL"/>
              </w:rPr>
              <w:t>ETF</w:t>
            </w:r>
          </w:p>
          <w:p w14:paraId="3DE79346" w14:textId="3B072CB2" w:rsidR="005342E4" w:rsidRDefault="005342E4" w:rsidP="005425EE">
            <w:pPr>
              <w:shd w:val="clear" w:color="auto" w:fill="FFFFFF"/>
              <w:spacing w:after="0" w:line="312" w:lineRule="auto"/>
              <w:ind w:left="142"/>
              <w:jc w:val="right"/>
              <w:rPr>
                <w:rFonts w:ascii="Times New Roman" w:hAnsi="Times New Roman"/>
                <w:b/>
                <w:i/>
                <w:sz w:val="20"/>
                <w:szCs w:val="20"/>
                <w:lang w:val="nl-NL"/>
              </w:rPr>
            </w:pPr>
            <w:r>
              <w:rPr>
                <w:rFonts w:ascii="Times New Roman" w:hAnsi="Times New Roman"/>
                <w:b/>
                <w:i/>
                <w:sz w:val="20"/>
                <w:szCs w:val="20"/>
                <w:lang w:val="nl-NL"/>
              </w:rPr>
              <w:t>Form</w:t>
            </w:r>
            <w:r>
              <w:rPr>
                <w:rFonts w:ascii="Times New Roman" w:hAnsi="Times New Roman"/>
                <w:b/>
                <w:i/>
                <w:sz w:val="20"/>
                <w:szCs w:val="20"/>
                <w:lang w:val="vi-VN"/>
              </w:rPr>
              <w:t xml:space="preserve"> B06g – ETF</w:t>
            </w:r>
          </w:p>
          <w:p w14:paraId="68BE1325" w14:textId="77777777" w:rsidR="00066324" w:rsidRPr="00762874" w:rsidRDefault="00066324" w:rsidP="005425EE">
            <w:pPr>
              <w:shd w:val="clear" w:color="auto" w:fill="FFFFFF"/>
              <w:spacing w:after="0" w:line="312" w:lineRule="auto"/>
              <w:ind w:left="142"/>
              <w:jc w:val="right"/>
              <w:rPr>
                <w:rFonts w:ascii="Times New Roman" w:hAnsi="Times New Roman"/>
                <w:i/>
                <w:sz w:val="20"/>
                <w:szCs w:val="20"/>
                <w:lang w:val="nl-NL"/>
              </w:rPr>
            </w:pPr>
            <w:r w:rsidRPr="00762874">
              <w:rPr>
                <w:rFonts w:ascii="Times New Roman" w:hAnsi="Times New Roman"/>
                <w:i/>
                <w:sz w:val="20"/>
                <w:szCs w:val="20"/>
                <w:lang w:val="nl-NL"/>
              </w:rPr>
              <w:t xml:space="preserve">(Ban hành kèm theo Thông tư số 181/2015/TT-BTC </w:t>
            </w:r>
          </w:p>
          <w:p w14:paraId="3EB7F373" w14:textId="77777777" w:rsidR="00897749" w:rsidRDefault="00066324" w:rsidP="005425EE">
            <w:pPr>
              <w:shd w:val="clear" w:color="auto" w:fill="FFFFFF"/>
              <w:spacing w:after="0" w:line="312" w:lineRule="auto"/>
              <w:ind w:left="142"/>
              <w:jc w:val="right"/>
              <w:rPr>
                <w:rFonts w:ascii="Times New Roman" w:hAnsi="Times New Roman"/>
                <w:i/>
                <w:sz w:val="20"/>
                <w:szCs w:val="20"/>
                <w:lang w:val="nl-NL"/>
              </w:rPr>
            </w:pPr>
            <w:r w:rsidRPr="00762874">
              <w:rPr>
                <w:rFonts w:ascii="Times New Roman" w:hAnsi="Times New Roman"/>
                <w:i/>
                <w:sz w:val="20"/>
                <w:szCs w:val="20"/>
                <w:lang w:val="nl-NL"/>
              </w:rPr>
              <w:t>ngày 13 tháng 11 năm 2015 của Bộ Tài chính hướng dẫn thành lập và quản lý quỹ hoán đổi danh mục)</w:t>
            </w:r>
          </w:p>
          <w:p w14:paraId="5EF167C7" w14:textId="1449506E" w:rsidR="000E7A23" w:rsidRPr="00E21368" w:rsidRDefault="000E7A23" w:rsidP="005425EE">
            <w:pPr>
              <w:shd w:val="clear" w:color="auto" w:fill="FFFFFF"/>
              <w:spacing w:after="0" w:line="312" w:lineRule="auto"/>
              <w:ind w:left="142"/>
              <w:jc w:val="right"/>
              <w:rPr>
                <w:rFonts w:ascii="Times New Roman" w:hAnsi="Times New Roman"/>
                <w:b/>
                <w:i/>
                <w:sz w:val="20"/>
                <w:szCs w:val="20"/>
                <w:lang w:val="nl-NL"/>
              </w:rPr>
            </w:pPr>
            <w:r>
              <w:rPr>
                <w:rFonts w:ascii="Times New Roman" w:eastAsia="Times New Roman" w:hAnsi="Times New Roman"/>
                <w:bCs/>
                <w:i/>
                <w:sz w:val="20"/>
                <w:szCs w:val="20"/>
                <w:lang w:eastAsia="en-GB"/>
              </w:rPr>
              <w:t>(According to Circular 1</w:t>
            </w:r>
            <w:r w:rsidR="007864ED">
              <w:rPr>
                <w:rFonts w:ascii="Times New Roman" w:eastAsia="Times New Roman" w:hAnsi="Times New Roman"/>
                <w:bCs/>
                <w:i/>
                <w:sz w:val="20"/>
                <w:szCs w:val="20"/>
                <w:lang w:eastAsia="en-GB"/>
              </w:rPr>
              <w:t>81</w:t>
            </w:r>
            <w:r>
              <w:rPr>
                <w:rFonts w:ascii="Times New Roman" w:eastAsia="Times New Roman" w:hAnsi="Times New Roman"/>
                <w:bCs/>
                <w:i/>
                <w:sz w:val="20"/>
                <w:szCs w:val="20"/>
                <w:lang w:eastAsia="en-GB"/>
              </w:rPr>
              <w:t>/201</w:t>
            </w:r>
            <w:r w:rsidR="007864ED">
              <w:rPr>
                <w:rFonts w:ascii="Times New Roman" w:eastAsia="Times New Roman" w:hAnsi="Times New Roman"/>
                <w:bCs/>
                <w:i/>
                <w:sz w:val="20"/>
                <w:szCs w:val="20"/>
                <w:lang w:eastAsia="en-GB"/>
              </w:rPr>
              <w:t>5</w:t>
            </w:r>
            <w:r>
              <w:rPr>
                <w:rFonts w:ascii="Times New Roman" w:eastAsia="Times New Roman" w:hAnsi="Times New Roman"/>
                <w:bCs/>
                <w:i/>
                <w:sz w:val="20"/>
                <w:szCs w:val="20"/>
                <w:lang w:eastAsia="en-GB"/>
              </w:rPr>
              <w:t>/TT-BTC dated 1</w:t>
            </w:r>
            <w:r w:rsidR="007864ED">
              <w:rPr>
                <w:rFonts w:ascii="Times New Roman" w:eastAsia="Times New Roman" w:hAnsi="Times New Roman"/>
                <w:bCs/>
                <w:i/>
                <w:sz w:val="20"/>
                <w:szCs w:val="20"/>
                <w:lang w:eastAsia="en-GB"/>
              </w:rPr>
              <w:t>3</w:t>
            </w:r>
            <w:r>
              <w:rPr>
                <w:rFonts w:ascii="Times New Roman" w:eastAsia="Times New Roman" w:hAnsi="Times New Roman"/>
                <w:bCs/>
                <w:i/>
                <w:sz w:val="20"/>
                <w:szCs w:val="20"/>
                <w:lang w:eastAsia="en-GB"/>
              </w:rPr>
              <w:t>/11/201</w:t>
            </w:r>
            <w:r w:rsidR="006C67B7">
              <w:rPr>
                <w:rFonts w:ascii="Times New Roman" w:eastAsia="Times New Roman" w:hAnsi="Times New Roman"/>
                <w:bCs/>
                <w:i/>
                <w:sz w:val="20"/>
                <w:szCs w:val="20"/>
                <w:lang w:eastAsia="en-GB"/>
              </w:rPr>
              <w:t>5</w:t>
            </w:r>
            <w:r>
              <w:rPr>
                <w:rFonts w:ascii="Times New Roman" w:eastAsia="Times New Roman" w:hAnsi="Times New Roman"/>
                <w:bCs/>
                <w:i/>
                <w:sz w:val="20"/>
                <w:szCs w:val="20"/>
                <w:lang w:eastAsia="en-GB"/>
              </w:rPr>
              <w:t xml:space="preserve"> of Ministry of Finance)</w:t>
            </w:r>
          </w:p>
        </w:tc>
      </w:tr>
      <w:tr w:rsidR="00897749" w:rsidRPr="00A96A82" w14:paraId="26994DFA" w14:textId="77777777" w:rsidTr="00066324">
        <w:trPr>
          <w:trHeight w:val="621"/>
        </w:trPr>
        <w:tc>
          <w:tcPr>
            <w:tcW w:w="5310" w:type="dxa"/>
          </w:tcPr>
          <w:p w14:paraId="6F446747" w14:textId="2D77BC4A" w:rsidR="00897749" w:rsidRPr="008144A8" w:rsidRDefault="00897749" w:rsidP="005425EE">
            <w:pPr>
              <w:shd w:val="clear" w:color="auto" w:fill="FFFFFF"/>
              <w:spacing w:after="0" w:line="312" w:lineRule="auto"/>
              <w:ind w:left="142"/>
              <w:jc w:val="both"/>
              <w:rPr>
                <w:rFonts w:ascii="Times New Roman" w:hAnsi="Times New Roman"/>
                <w:b/>
                <w:i/>
                <w:iCs/>
                <w:sz w:val="20"/>
                <w:szCs w:val="20"/>
                <w:lang w:val="nl-NL"/>
              </w:rPr>
            </w:pPr>
          </w:p>
        </w:tc>
        <w:tc>
          <w:tcPr>
            <w:tcW w:w="5400" w:type="dxa"/>
          </w:tcPr>
          <w:p w14:paraId="2E3AF36C" w14:textId="77777777" w:rsidR="00897749" w:rsidRPr="00762874" w:rsidRDefault="00897749" w:rsidP="005425EE">
            <w:pPr>
              <w:shd w:val="clear" w:color="auto" w:fill="FFFFFF"/>
              <w:spacing w:after="0" w:line="312" w:lineRule="auto"/>
              <w:ind w:left="142"/>
              <w:jc w:val="right"/>
              <w:rPr>
                <w:rFonts w:ascii="Times New Roman" w:hAnsi="Times New Roman"/>
                <w:i/>
                <w:sz w:val="20"/>
                <w:szCs w:val="20"/>
                <w:lang w:val="nl-NL"/>
              </w:rPr>
            </w:pPr>
          </w:p>
        </w:tc>
      </w:tr>
    </w:tbl>
    <w:p w14:paraId="61CBDDDA" w14:textId="2E9FD3AE" w:rsidR="00897749" w:rsidRDefault="00897749" w:rsidP="00D2172E">
      <w:pPr>
        <w:shd w:val="clear" w:color="auto" w:fill="FFFFFF"/>
        <w:spacing w:after="0" w:line="312" w:lineRule="auto"/>
        <w:ind w:left="1440" w:right="260" w:firstLine="720"/>
        <w:rPr>
          <w:rFonts w:ascii="Times New Roman" w:hAnsi="Times New Roman"/>
          <w:b/>
          <w:sz w:val="24"/>
          <w:szCs w:val="24"/>
          <w:lang w:val="nl-NL"/>
        </w:rPr>
      </w:pPr>
      <w:r w:rsidRPr="00E21368">
        <w:rPr>
          <w:rFonts w:ascii="Times New Roman" w:hAnsi="Times New Roman"/>
          <w:b/>
          <w:sz w:val="24"/>
          <w:szCs w:val="24"/>
          <w:lang w:val="nl-NL"/>
        </w:rPr>
        <w:t>BẢN THUYẾT MINH BÁO CÁO TÀI CHÍNH CHỌN LỌC</w:t>
      </w:r>
    </w:p>
    <w:p w14:paraId="45667FBD" w14:textId="77777777" w:rsidR="00705DA7" w:rsidRPr="002136F3" w:rsidRDefault="00705DA7" w:rsidP="00705DA7">
      <w:pPr>
        <w:shd w:val="clear" w:color="auto" w:fill="FFFFFF"/>
        <w:spacing w:before="120" w:after="120" w:line="312" w:lineRule="auto"/>
        <w:ind w:right="260" w:firstLine="720"/>
        <w:jc w:val="center"/>
        <w:rPr>
          <w:rFonts w:ascii="Times New Roman" w:hAnsi="Times New Roman"/>
          <w:b/>
          <w:i/>
          <w:iCs/>
          <w:sz w:val="24"/>
          <w:szCs w:val="24"/>
          <w:lang w:val="vi-VN"/>
        </w:rPr>
      </w:pPr>
      <w:r w:rsidRPr="002136F3">
        <w:rPr>
          <w:rFonts w:ascii="Times New Roman" w:hAnsi="Times New Roman"/>
          <w:b/>
          <w:i/>
          <w:iCs/>
          <w:sz w:val="24"/>
          <w:szCs w:val="24"/>
          <w:lang w:val="nl-NL"/>
        </w:rPr>
        <w:t>SELECTED</w:t>
      </w:r>
      <w:r w:rsidRPr="002136F3">
        <w:rPr>
          <w:rFonts w:ascii="Times New Roman" w:hAnsi="Times New Roman"/>
          <w:b/>
          <w:i/>
          <w:iCs/>
          <w:sz w:val="24"/>
          <w:szCs w:val="24"/>
          <w:lang w:val="vi-VN"/>
        </w:rPr>
        <w:t xml:space="preserve"> NOTES TO FINANCIAL STATEMENTS</w:t>
      </w:r>
    </w:p>
    <w:p w14:paraId="650ADE4B" w14:textId="0316B2F3" w:rsidR="00897749" w:rsidRPr="008E38BF" w:rsidRDefault="00914D7E" w:rsidP="005425EE">
      <w:pPr>
        <w:shd w:val="clear" w:color="auto" w:fill="FFFFFF"/>
        <w:spacing w:after="0" w:line="312" w:lineRule="auto"/>
        <w:ind w:left="142" w:right="260"/>
        <w:jc w:val="center"/>
        <w:rPr>
          <w:rFonts w:ascii="Times New Roman" w:hAnsi="Times New Roman"/>
          <w:i/>
          <w:sz w:val="24"/>
          <w:szCs w:val="24"/>
          <w:lang w:val="vi-VN"/>
        </w:rPr>
      </w:pPr>
      <w:r w:rsidRPr="00E21368">
        <w:rPr>
          <w:rFonts w:ascii="Times New Roman" w:hAnsi="Times New Roman"/>
          <w:i/>
          <w:sz w:val="24"/>
          <w:szCs w:val="24"/>
          <w:lang w:val="nl-NL"/>
        </w:rPr>
        <w:t xml:space="preserve">Quý </w:t>
      </w:r>
      <w:r w:rsidR="000E75D6">
        <w:rPr>
          <w:rFonts w:ascii="Times New Roman" w:hAnsi="Times New Roman"/>
          <w:i/>
          <w:sz w:val="24"/>
          <w:szCs w:val="24"/>
          <w:lang w:val="nl-NL"/>
        </w:rPr>
        <w:t>I</w:t>
      </w:r>
      <w:r w:rsidR="00374833">
        <w:rPr>
          <w:rFonts w:ascii="Times New Roman" w:hAnsi="Times New Roman"/>
          <w:i/>
          <w:sz w:val="24"/>
          <w:szCs w:val="24"/>
          <w:lang w:val="nl-NL"/>
        </w:rPr>
        <w:t xml:space="preserve"> - Năm </w:t>
      </w:r>
      <w:r w:rsidR="008E38BF">
        <w:rPr>
          <w:rFonts w:ascii="Times New Roman" w:hAnsi="Times New Roman"/>
          <w:i/>
          <w:sz w:val="24"/>
          <w:szCs w:val="24"/>
          <w:lang w:val="nl-NL"/>
        </w:rPr>
        <w:t>2025</w:t>
      </w:r>
    </w:p>
    <w:p w14:paraId="610CC2D4" w14:textId="24396F40" w:rsidR="00BC4097" w:rsidRPr="00A033E7" w:rsidRDefault="00BC4097" w:rsidP="00BC4097">
      <w:pPr>
        <w:shd w:val="clear" w:color="auto" w:fill="FFFFFF"/>
        <w:spacing w:before="120" w:after="120" w:line="312" w:lineRule="auto"/>
        <w:ind w:left="142" w:right="260"/>
        <w:jc w:val="center"/>
        <w:rPr>
          <w:rFonts w:ascii="Times New Roman" w:hAnsi="Times New Roman"/>
          <w:i/>
          <w:sz w:val="24"/>
          <w:szCs w:val="24"/>
          <w:lang w:val="vi-VN"/>
        </w:rPr>
      </w:pPr>
      <w:r>
        <w:rPr>
          <w:rFonts w:ascii="Times New Roman" w:hAnsi="Times New Roman"/>
          <w:i/>
          <w:sz w:val="24"/>
          <w:szCs w:val="24"/>
          <w:lang w:val="nl-NL"/>
        </w:rPr>
        <w:t>Quarter</w:t>
      </w:r>
      <w:r>
        <w:rPr>
          <w:rFonts w:ascii="Times New Roman" w:hAnsi="Times New Roman"/>
          <w:i/>
          <w:sz w:val="24"/>
          <w:szCs w:val="24"/>
          <w:lang w:val="vi-VN"/>
        </w:rPr>
        <w:t xml:space="preserve"> I – </w:t>
      </w:r>
      <w:r w:rsidR="008E38BF">
        <w:rPr>
          <w:rFonts w:ascii="Times New Roman" w:hAnsi="Times New Roman"/>
          <w:i/>
          <w:sz w:val="24"/>
          <w:szCs w:val="24"/>
          <w:lang w:val="vi-VN"/>
        </w:rPr>
        <w:t>2025</w:t>
      </w:r>
    </w:p>
    <w:p w14:paraId="6CFEC4E0" w14:textId="77777777" w:rsidR="00897749" w:rsidRPr="00E21368" w:rsidRDefault="00897749" w:rsidP="005425EE">
      <w:pPr>
        <w:shd w:val="clear" w:color="auto" w:fill="FFFFFF"/>
        <w:spacing w:after="0" w:line="312" w:lineRule="auto"/>
        <w:ind w:left="142" w:right="260"/>
        <w:jc w:val="both"/>
        <w:rPr>
          <w:rFonts w:ascii="Times New Roman" w:hAnsi="Times New Roman"/>
          <w:b/>
          <w:sz w:val="20"/>
          <w:szCs w:val="20"/>
          <w:lang w:val="nl-NL"/>
        </w:rPr>
      </w:pPr>
    </w:p>
    <w:p w14:paraId="04D3B938" w14:textId="11BD6C6C" w:rsidR="00897749" w:rsidRPr="006E6E61" w:rsidRDefault="00897749" w:rsidP="006E6E61">
      <w:pPr>
        <w:pStyle w:val="ListParagraph"/>
        <w:numPr>
          <w:ilvl w:val="0"/>
          <w:numId w:val="39"/>
        </w:numPr>
        <w:shd w:val="clear" w:color="auto" w:fill="FFFFFF"/>
        <w:spacing w:after="120" w:line="312" w:lineRule="auto"/>
        <w:ind w:right="260"/>
        <w:jc w:val="both"/>
        <w:rPr>
          <w:rFonts w:ascii="Times New Roman" w:hAnsi="Times New Roman"/>
          <w:b/>
          <w:sz w:val="20"/>
          <w:szCs w:val="20"/>
        </w:rPr>
      </w:pPr>
      <w:r w:rsidRPr="006E6E61">
        <w:rPr>
          <w:rFonts w:ascii="Times New Roman" w:hAnsi="Times New Roman"/>
          <w:b/>
          <w:sz w:val="20"/>
          <w:szCs w:val="20"/>
          <w:lang w:val="nl-NL"/>
        </w:rPr>
        <w:t xml:space="preserve">Đặc điểm hoạt động của </w:t>
      </w:r>
      <w:r w:rsidR="00CA2334" w:rsidRPr="006E6E61">
        <w:rPr>
          <w:rFonts w:ascii="Times New Roman" w:hAnsi="Times New Roman"/>
          <w:b/>
          <w:sz w:val="20"/>
          <w:szCs w:val="20"/>
          <w:lang w:val="nl-NL"/>
        </w:rPr>
        <w:t>Quỹ</w:t>
      </w:r>
      <w:r w:rsidR="00CA2334" w:rsidRPr="006E6E61">
        <w:rPr>
          <w:rFonts w:ascii="Times New Roman" w:hAnsi="Times New Roman"/>
          <w:b/>
          <w:sz w:val="20"/>
          <w:szCs w:val="20"/>
          <w:lang w:val="vi-VN"/>
        </w:rPr>
        <w:t xml:space="preserve">/ </w:t>
      </w:r>
      <w:r w:rsidR="00787BEA" w:rsidRPr="006E6E61">
        <w:rPr>
          <w:rFonts w:ascii="Times New Roman" w:hAnsi="Times New Roman"/>
          <w:b/>
          <w:sz w:val="20"/>
          <w:szCs w:val="20"/>
        </w:rPr>
        <w:t>G</w:t>
      </w:r>
      <w:r w:rsidR="00787BEA" w:rsidRPr="006E6E61">
        <w:rPr>
          <w:rFonts w:ascii="Times New Roman" w:hAnsi="Times New Roman"/>
          <w:b/>
          <w:sz w:val="20"/>
          <w:szCs w:val="20"/>
          <w:lang w:val="vi-VN"/>
        </w:rPr>
        <w:t xml:space="preserve">eneral information of </w:t>
      </w:r>
      <w:r w:rsidR="00EC2E5E" w:rsidRPr="006E6E61">
        <w:rPr>
          <w:rFonts w:ascii="Times New Roman" w:hAnsi="Times New Roman"/>
          <w:b/>
          <w:sz w:val="20"/>
          <w:szCs w:val="20"/>
        </w:rPr>
        <w:t>fund</w:t>
      </w:r>
    </w:p>
    <w:p w14:paraId="497545ED" w14:textId="611703F1" w:rsidR="00897749" w:rsidRPr="006E6E61" w:rsidRDefault="00897749" w:rsidP="006E6E61">
      <w:pPr>
        <w:pStyle w:val="ListParagraph"/>
        <w:numPr>
          <w:ilvl w:val="1"/>
          <w:numId w:val="39"/>
        </w:numPr>
        <w:tabs>
          <w:tab w:val="left" w:pos="4329"/>
        </w:tabs>
        <w:suppressAutoHyphens/>
        <w:rPr>
          <w:rFonts w:ascii="Arial" w:hAnsi="Arial" w:cs="Arial"/>
          <w:b/>
          <w:sz w:val="20"/>
        </w:rPr>
      </w:pPr>
      <w:r w:rsidRPr="006E6E61">
        <w:rPr>
          <w:rFonts w:ascii="Times New Roman" w:hAnsi="Times New Roman"/>
          <w:b/>
          <w:sz w:val="20"/>
          <w:szCs w:val="20"/>
          <w:lang w:val="nl-NL"/>
        </w:rPr>
        <w:t xml:space="preserve">Giấy chứng nhận chào bán chứng chỉ Quỹ và Giấy chứng nhận đăng ký thành lập </w:t>
      </w:r>
      <w:r w:rsidR="00CA2334" w:rsidRPr="006E6E61">
        <w:rPr>
          <w:rFonts w:ascii="Times New Roman" w:hAnsi="Times New Roman"/>
          <w:b/>
          <w:sz w:val="20"/>
          <w:szCs w:val="20"/>
          <w:lang w:val="nl-NL"/>
        </w:rPr>
        <w:t>Quỹ</w:t>
      </w:r>
      <w:r w:rsidR="00CA2334" w:rsidRPr="006E6E61">
        <w:rPr>
          <w:rFonts w:ascii="Times New Roman" w:hAnsi="Times New Roman"/>
          <w:b/>
          <w:sz w:val="20"/>
          <w:szCs w:val="20"/>
          <w:lang w:val="vi-VN"/>
        </w:rPr>
        <w:t xml:space="preserve">/ </w:t>
      </w:r>
      <w:r w:rsidR="004C2AE1" w:rsidRPr="006E6E61">
        <w:rPr>
          <w:rFonts w:ascii="Times New Roman" w:hAnsi="Times New Roman"/>
          <w:b/>
          <w:sz w:val="20"/>
          <w:szCs w:val="20"/>
          <w:lang w:val="vi-VN"/>
        </w:rPr>
        <w:t>Certificate of Public Offering</w:t>
      </w:r>
      <w:r w:rsidR="00CA2334" w:rsidRPr="006E6E61">
        <w:rPr>
          <w:rFonts w:ascii="Times New Roman" w:hAnsi="Times New Roman"/>
          <w:b/>
          <w:sz w:val="20"/>
          <w:szCs w:val="20"/>
          <w:lang w:val="vi-VN"/>
        </w:rPr>
        <w:t xml:space="preserve"> </w:t>
      </w:r>
      <w:r w:rsidR="00CA2334" w:rsidRPr="006E6E61">
        <w:rPr>
          <w:rFonts w:ascii="Times New Roman" w:hAnsi="Times New Roman"/>
          <w:b/>
          <w:sz w:val="20"/>
          <w:szCs w:val="20"/>
          <w:lang w:val="nl-NL"/>
        </w:rPr>
        <w:t xml:space="preserve">and </w:t>
      </w:r>
      <w:r w:rsidR="006E6E61" w:rsidRPr="006E6E61">
        <w:rPr>
          <w:rFonts w:ascii="Times New Roman" w:hAnsi="Times New Roman"/>
          <w:b/>
          <w:sz w:val="20"/>
          <w:szCs w:val="20"/>
          <w:lang w:val="nl-NL"/>
        </w:rPr>
        <w:t>Certificate of registration of public fund establishment</w:t>
      </w:r>
    </w:p>
    <w:p w14:paraId="04428333" w14:textId="77777777" w:rsidR="006E6E61" w:rsidRPr="006E6E61" w:rsidRDefault="006E6E61" w:rsidP="006E6E61">
      <w:pPr>
        <w:pStyle w:val="ListParagraph"/>
        <w:tabs>
          <w:tab w:val="left" w:pos="4329"/>
        </w:tabs>
        <w:suppressAutoHyphens/>
        <w:ind w:left="862"/>
        <w:rPr>
          <w:rFonts w:ascii="Arial" w:hAnsi="Arial" w:cs="Arial"/>
          <w:b/>
          <w:sz w:val="20"/>
        </w:rPr>
      </w:pPr>
    </w:p>
    <w:p w14:paraId="330871DC" w14:textId="02DA336B" w:rsidR="00897749" w:rsidRDefault="00897749" w:rsidP="009A58B4">
      <w:pPr>
        <w:pStyle w:val="ListParagraph"/>
        <w:spacing w:after="0" w:line="312" w:lineRule="auto"/>
        <w:ind w:left="502" w:right="260"/>
        <w:contextualSpacing w:val="0"/>
        <w:jc w:val="both"/>
        <w:rPr>
          <w:rFonts w:ascii="Times New Roman" w:hAnsi="Times New Roman"/>
          <w:sz w:val="20"/>
          <w:szCs w:val="20"/>
          <w:lang w:val="nl-NL"/>
        </w:rPr>
      </w:pPr>
      <w:r w:rsidRPr="001931FB">
        <w:rPr>
          <w:rFonts w:ascii="Times New Roman" w:hAnsi="Times New Roman"/>
          <w:sz w:val="20"/>
          <w:szCs w:val="20"/>
          <w:lang w:val="vi-VN"/>
        </w:rPr>
        <w:t xml:space="preserve">Quỹ ETF </w:t>
      </w:r>
      <w:r w:rsidR="00D52D4A" w:rsidRPr="00762874">
        <w:rPr>
          <w:rFonts w:ascii="Times New Roman" w:hAnsi="Times New Roman"/>
          <w:sz w:val="20"/>
          <w:szCs w:val="20"/>
          <w:lang w:val="nl-NL"/>
        </w:rPr>
        <w:t>DC</w:t>
      </w:r>
      <w:r w:rsidRPr="001931FB">
        <w:rPr>
          <w:rFonts w:ascii="Times New Roman" w:hAnsi="Times New Roman"/>
          <w:sz w:val="20"/>
          <w:szCs w:val="20"/>
          <w:lang w:val="vi-VN"/>
        </w:rPr>
        <w:t>VFMVN</w:t>
      </w:r>
      <w:r w:rsidR="001931FB" w:rsidRPr="00762874">
        <w:rPr>
          <w:rFonts w:ascii="Times New Roman" w:hAnsi="Times New Roman"/>
          <w:sz w:val="20"/>
          <w:szCs w:val="20"/>
          <w:lang w:val="nl-NL"/>
        </w:rPr>
        <w:t>MIDCAP</w:t>
      </w:r>
      <w:r w:rsidR="00D52D4A" w:rsidRPr="00762874">
        <w:rPr>
          <w:rFonts w:ascii="Times New Roman" w:hAnsi="Times New Roman"/>
          <w:sz w:val="20"/>
          <w:szCs w:val="20"/>
          <w:lang w:val="nl-NL"/>
        </w:rPr>
        <w:t xml:space="preserve"> </w:t>
      </w:r>
      <w:r w:rsidR="001B5334" w:rsidRPr="00762874">
        <w:rPr>
          <w:rFonts w:ascii="Times New Roman" w:hAnsi="Times New Roman"/>
          <w:sz w:val="20"/>
          <w:szCs w:val="20"/>
          <w:lang w:val="nl-NL"/>
        </w:rPr>
        <w:t xml:space="preserve">(“Quỹ”) </w:t>
      </w:r>
      <w:r w:rsidRPr="001931FB">
        <w:rPr>
          <w:rFonts w:ascii="Times New Roman" w:hAnsi="Times New Roman"/>
          <w:sz w:val="20"/>
          <w:szCs w:val="20"/>
          <w:lang w:val="vi-VN"/>
        </w:rPr>
        <w:t xml:space="preserve">được Ủy ban Chứng khoán Nhà nước cấp </w:t>
      </w:r>
      <w:r w:rsidRPr="00762874">
        <w:rPr>
          <w:rFonts w:ascii="Times New Roman" w:hAnsi="Times New Roman"/>
          <w:sz w:val="20"/>
          <w:szCs w:val="20"/>
          <w:lang w:val="nl-NL"/>
        </w:rPr>
        <w:t xml:space="preserve">Giấy chứng nhận chào bán chứng chỉ quỹ </w:t>
      </w:r>
      <w:r w:rsidRPr="001931FB">
        <w:rPr>
          <w:rFonts w:ascii="Times New Roman" w:hAnsi="Times New Roman"/>
          <w:sz w:val="20"/>
          <w:szCs w:val="20"/>
          <w:lang w:val="vi-VN"/>
        </w:rPr>
        <w:t xml:space="preserve">ra công chúng số </w:t>
      </w:r>
      <w:bookmarkStart w:id="0" w:name="_Hlk164084687"/>
      <w:r w:rsidR="001931FB" w:rsidRPr="001931FB">
        <w:rPr>
          <w:rFonts w:ascii="Times New Roman" w:hAnsi="Times New Roman"/>
          <w:sz w:val="20"/>
          <w:szCs w:val="20"/>
          <w:lang w:val="vi-VN"/>
        </w:rPr>
        <w:t>132/GCN-UBCK</w:t>
      </w:r>
      <w:bookmarkEnd w:id="0"/>
      <w:r w:rsidRPr="00762874">
        <w:rPr>
          <w:rFonts w:ascii="Times New Roman" w:hAnsi="Times New Roman"/>
          <w:sz w:val="20"/>
          <w:szCs w:val="20"/>
          <w:lang w:val="nl-NL"/>
        </w:rPr>
        <w:t xml:space="preserve"> </w:t>
      </w:r>
      <w:r w:rsidRPr="001931FB">
        <w:rPr>
          <w:rFonts w:ascii="Times New Roman" w:hAnsi="Times New Roman"/>
          <w:sz w:val="20"/>
          <w:szCs w:val="20"/>
          <w:lang w:val="vi-VN"/>
        </w:rPr>
        <w:t xml:space="preserve">ngày </w:t>
      </w:r>
      <w:r w:rsidR="001931FB" w:rsidRPr="00762874">
        <w:rPr>
          <w:rFonts w:ascii="Times New Roman" w:hAnsi="Times New Roman"/>
          <w:sz w:val="20"/>
          <w:szCs w:val="20"/>
          <w:lang w:val="nl-NL"/>
        </w:rPr>
        <w:t>25</w:t>
      </w:r>
      <w:r w:rsidRPr="00762874">
        <w:rPr>
          <w:rFonts w:ascii="Times New Roman" w:hAnsi="Times New Roman"/>
          <w:sz w:val="20"/>
          <w:szCs w:val="20"/>
          <w:lang w:val="nl-NL"/>
        </w:rPr>
        <w:t>/</w:t>
      </w:r>
      <w:r w:rsidR="001931FB" w:rsidRPr="00762874">
        <w:rPr>
          <w:rFonts w:ascii="Times New Roman" w:hAnsi="Times New Roman"/>
          <w:sz w:val="20"/>
          <w:szCs w:val="20"/>
          <w:lang w:val="nl-NL"/>
        </w:rPr>
        <w:t>05</w:t>
      </w:r>
      <w:r w:rsidRPr="00762874">
        <w:rPr>
          <w:rFonts w:ascii="Times New Roman" w:hAnsi="Times New Roman"/>
          <w:sz w:val="20"/>
          <w:szCs w:val="20"/>
          <w:lang w:val="nl-NL"/>
        </w:rPr>
        <w:t>/20</w:t>
      </w:r>
      <w:r w:rsidR="001931FB" w:rsidRPr="00762874">
        <w:rPr>
          <w:rFonts w:ascii="Times New Roman" w:hAnsi="Times New Roman"/>
          <w:sz w:val="20"/>
          <w:szCs w:val="20"/>
          <w:lang w:val="nl-NL"/>
        </w:rPr>
        <w:t>22</w:t>
      </w:r>
      <w:r w:rsidRPr="00762874">
        <w:rPr>
          <w:rFonts w:ascii="Times New Roman" w:hAnsi="Times New Roman"/>
          <w:sz w:val="20"/>
          <w:szCs w:val="20"/>
          <w:lang w:val="nl-NL"/>
        </w:rPr>
        <w:t xml:space="preserve"> và Giấy chứng nhận đăng ký thành lập Quỹ ETF </w:t>
      </w:r>
      <w:r w:rsidR="001931FB" w:rsidRPr="00762874">
        <w:rPr>
          <w:rFonts w:ascii="Times New Roman" w:hAnsi="Times New Roman"/>
          <w:sz w:val="20"/>
          <w:szCs w:val="20"/>
          <w:lang w:val="nl-NL"/>
        </w:rPr>
        <w:t>DCVFMVNMIDCAP</w:t>
      </w:r>
      <w:r w:rsidRPr="00762874">
        <w:rPr>
          <w:rFonts w:ascii="Times New Roman" w:hAnsi="Times New Roman"/>
          <w:sz w:val="20"/>
          <w:szCs w:val="20"/>
          <w:lang w:val="nl-NL"/>
        </w:rPr>
        <w:t xml:space="preserve"> số </w:t>
      </w:r>
      <w:bookmarkStart w:id="1" w:name="_Hlk164084667"/>
      <w:r w:rsidR="001931FB" w:rsidRPr="00762874">
        <w:rPr>
          <w:rFonts w:ascii="Times New Roman" w:hAnsi="Times New Roman"/>
          <w:sz w:val="20"/>
          <w:szCs w:val="20"/>
          <w:lang w:val="nl-NL"/>
        </w:rPr>
        <w:t>40</w:t>
      </w:r>
      <w:r w:rsidRPr="00762874">
        <w:rPr>
          <w:rFonts w:ascii="Times New Roman" w:hAnsi="Times New Roman"/>
          <w:sz w:val="20"/>
          <w:szCs w:val="20"/>
          <w:lang w:val="nl-NL"/>
        </w:rPr>
        <w:t xml:space="preserve">/GCN-UBCK </w:t>
      </w:r>
      <w:bookmarkEnd w:id="1"/>
      <w:r w:rsidRPr="00762874">
        <w:rPr>
          <w:rFonts w:ascii="Times New Roman" w:hAnsi="Times New Roman"/>
          <w:sz w:val="20"/>
          <w:szCs w:val="20"/>
          <w:lang w:val="nl-NL"/>
        </w:rPr>
        <w:t xml:space="preserve">ngày </w:t>
      </w:r>
      <w:r w:rsidR="001931FB" w:rsidRPr="00762874">
        <w:rPr>
          <w:rFonts w:ascii="Times New Roman" w:hAnsi="Times New Roman"/>
          <w:sz w:val="20"/>
          <w:szCs w:val="20"/>
          <w:lang w:val="nl-NL"/>
        </w:rPr>
        <w:t>23</w:t>
      </w:r>
      <w:r w:rsidRPr="00762874">
        <w:rPr>
          <w:rFonts w:ascii="Times New Roman" w:hAnsi="Times New Roman"/>
          <w:sz w:val="20"/>
          <w:szCs w:val="20"/>
          <w:lang w:val="nl-NL"/>
        </w:rPr>
        <w:t>/</w:t>
      </w:r>
      <w:r w:rsidR="001931FB" w:rsidRPr="00762874">
        <w:rPr>
          <w:rFonts w:ascii="Times New Roman" w:hAnsi="Times New Roman"/>
          <w:sz w:val="20"/>
          <w:szCs w:val="20"/>
          <w:lang w:val="nl-NL"/>
        </w:rPr>
        <w:t>08</w:t>
      </w:r>
      <w:r w:rsidRPr="00762874">
        <w:rPr>
          <w:rFonts w:ascii="Times New Roman" w:hAnsi="Times New Roman"/>
          <w:sz w:val="20"/>
          <w:szCs w:val="20"/>
          <w:lang w:val="nl-NL"/>
        </w:rPr>
        <w:t>/20</w:t>
      </w:r>
      <w:r w:rsidR="001931FB" w:rsidRPr="00762874">
        <w:rPr>
          <w:rFonts w:ascii="Times New Roman" w:hAnsi="Times New Roman"/>
          <w:sz w:val="20"/>
          <w:szCs w:val="20"/>
          <w:lang w:val="nl-NL"/>
        </w:rPr>
        <w:t>22</w:t>
      </w:r>
      <w:r w:rsidRPr="00762874">
        <w:rPr>
          <w:rFonts w:ascii="Times New Roman" w:hAnsi="Times New Roman"/>
          <w:sz w:val="20"/>
          <w:szCs w:val="20"/>
          <w:lang w:val="nl-NL"/>
        </w:rPr>
        <w:t>.</w:t>
      </w:r>
    </w:p>
    <w:p w14:paraId="322586DB" w14:textId="3DE09A79" w:rsidR="00CA2334" w:rsidRPr="00CA2334" w:rsidRDefault="00CA2334" w:rsidP="009A58B4">
      <w:pPr>
        <w:pStyle w:val="ListParagraph"/>
        <w:spacing w:after="0" w:line="312" w:lineRule="auto"/>
        <w:ind w:left="502" w:right="260"/>
        <w:contextualSpacing w:val="0"/>
        <w:jc w:val="both"/>
        <w:rPr>
          <w:rFonts w:ascii="Times New Roman" w:hAnsi="Times New Roman"/>
          <w:i/>
          <w:iCs/>
          <w:sz w:val="20"/>
          <w:szCs w:val="20"/>
          <w:lang w:val="nl-NL"/>
        </w:rPr>
      </w:pPr>
      <w:r w:rsidRPr="00CA2334">
        <w:rPr>
          <w:rFonts w:ascii="Times New Roman" w:hAnsi="Times New Roman"/>
          <w:i/>
          <w:iCs/>
          <w:sz w:val="20"/>
          <w:szCs w:val="20"/>
          <w:lang w:val="nl-NL"/>
        </w:rPr>
        <w:t xml:space="preserve">DCVFMVNMIDCAP ETF Fund (“Fund”) </w:t>
      </w:r>
      <w:r w:rsidR="00A053C5" w:rsidRPr="00535635">
        <w:rPr>
          <w:rFonts w:ascii="Times New Roman" w:hAnsi="Times New Roman"/>
          <w:i/>
          <w:iCs/>
        </w:rPr>
        <w:t>was established</w:t>
      </w:r>
      <w:r w:rsidR="00141A25" w:rsidRPr="00141A25">
        <w:rPr>
          <w:rFonts w:ascii="Times New Roman" w:hAnsi="Times New Roman"/>
          <w:i/>
          <w:iCs/>
          <w:sz w:val="20"/>
          <w:szCs w:val="20"/>
          <w:lang w:val="nl-NL"/>
        </w:rPr>
        <w:t xml:space="preserve"> according to the</w:t>
      </w:r>
      <w:r w:rsidRPr="00CA2334">
        <w:rPr>
          <w:rFonts w:ascii="Times New Roman" w:hAnsi="Times New Roman"/>
          <w:i/>
          <w:iCs/>
          <w:sz w:val="20"/>
          <w:szCs w:val="20"/>
          <w:lang w:val="nl-NL"/>
        </w:rPr>
        <w:t xml:space="preserve"> </w:t>
      </w:r>
      <w:r w:rsidR="009A58B4" w:rsidRPr="009A58B4">
        <w:rPr>
          <w:rFonts w:ascii="Times New Roman" w:hAnsi="Times New Roman"/>
          <w:i/>
          <w:iCs/>
          <w:sz w:val="20"/>
          <w:szCs w:val="20"/>
          <w:lang w:val="nl-NL"/>
        </w:rPr>
        <w:t>Certificate of public offering No. 132/GCN-UBCK</w:t>
      </w:r>
      <w:r w:rsidRPr="00CA2334">
        <w:rPr>
          <w:rFonts w:ascii="Times New Roman" w:hAnsi="Times New Roman"/>
          <w:i/>
          <w:iCs/>
          <w:sz w:val="20"/>
          <w:szCs w:val="20"/>
          <w:lang w:val="nl-NL"/>
        </w:rPr>
        <w:t xml:space="preserve"> dated May 25, 2022 and </w:t>
      </w:r>
      <w:r w:rsidR="00141A25" w:rsidRPr="00141A25">
        <w:rPr>
          <w:rFonts w:ascii="Times New Roman" w:hAnsi="Times New Roman"/>
          <w:i/>
          <w:iCs/>
          <w:sz w:val="20"/>
          <w:szCs w:val="20"/>
          <w:lang w:val="nl-NL"/>
        </w:rPr>
        <w:t>Certificate of registration of public fund establishment No. 40/GCN-UBCK</w:t>
      </w:r>
      <w:r w:rsidR="005C0855" w:rsidRPr="005C0855">
        <w:rPr>
          <w:rFonts w:ascii="Times New Roman" w:hAnsi="Times New Roman"/>
          <w:i/>
          <w:iCs/>
          <w:sz w:val="20"/>
          <w:szCs w:val="20"/>
          <w:lang w:val="nl-NL"/>
        </w:rPr>
        <w:t xml:space="preserve"> </w:t>
      </w:r>
      <w:r w:rsidR="005C0855">
        <w:rPr>
          <w:rFonts w:ascii="Times New Roman" w:hAnsi="Times New Roman"/>
          <w:i/>
          <w:iCs/>
          <w:sz w:val="20"/>
          <w:szCs w:val="20"/>
          <w:lang w:val="nl-NL"/>
        </w:rPr>
        <w:t>dated</w:t>
      </w:r>
      <w:r w:rsidR="005C0855" w:rsidRPr="00141A25">
        <w:rPr>
          <w:rFonts w:ascii="Times New Roman" w:hAnsi="Times New Roman"/>
          <w:i/>
          <w:iCs/>
          <w:sz w:val="20"/>
          <w:szCs w:val="20"/>
          <w:lang w:val="nl-NL"/>
        </w:rPr>
        <w:t xml:space="preserve"> 23 August 2022</w:t>
      </w:r>
      <w:r w:rsidR="00141A25" w:rsidRPr="00141A25">
        <w:rPr>
          <w:rFonts w:ascii="Times New Roman" w:hAnsi="Times New Roman"/>
          <w:i/>
          <w:iCs/>
          <w:sz w:val="20"/>
          <w:szCs w:val="20"/>
          <w:lang w:val="nl-NL"/>
        </w:rPr>
        <w:t xml:space="preserve"> issued by the State Securities Commission of Vietnam (“the SSC”)</w:t>
      </w:r>
      <w:r w:rsidR="00A053C5">
        <w:rPr>
          <w:rFonts w:ascii="Times New Roman" w:hAnsi="Times New Roman"/>
          <w:i/>
          <w:iCs/>
          <w:sz w:val="20"/>
          <w:szCs w:val="20"/>
          <w:lang w:val="nl-NL"/>
        </w:rPr>
        <w:t>.</w:t>
      </w:r>
    </w:p>
    <w:p w14:paraId="27F7D3D8" w14:textId="77777777" w:rsidR="009A58B4" w:rsidRDefault="009A58B4" w:rsidP="005425EE">
      <w:pPr>
        <w:pStyle w:val="ListParagraph"/>
        <w:spacing w:after="0" w:line="312" w:lineRule="auto"/>
        <w:ind w:left="142" w:right="260"/>
        <w:contextualSpacing w:val="0"/>
        <w:jc w:val="both"/>
        <w:rPr>
          <w:rFonts w:ascii="Times New Roman" w:hAnsi="Times New Roman"/>
          <w:sz w:val="20"/>
          <w:szCs w:val="20"/>
          <w:lang w:val="nl-NL"/>
        </w:rPr>
      </w:pPr>
    </w:p>
    <w:p w14:paraId="0210AB51" w14:textId="1D42D526" w:rsidR="00CA2334" w:rsidRDefault="00897749" w:rsidP="005A344A">
      <w:pPr>
        <w:pStyle w:val="ListParagraph"/>
        <w:spacing w:after="0" w:line="312" w:lineRule="auto"/>
        <w:ind w:left="502" w:right="260"/>
        <w:contextualSpacing w:val="0"/>
        <w:jc w:val="both"/>
        <w:rPr>
          <w:rFonts w:ascii="Times New Roman" w:hAnsi="Times New Roman"/>
          <w:sz w:val="20"/>
          <w:szCs w:val="20"/>
          <w:lang w:val="nl-NL"/>
        </w:rPr>
      </w:pPr>
      <w:r w:rsidRPr="00762874">
        <w:rPr>
          <w:rFonts w:ascii="Times New Roman" w:hAnsi="Times New Roman"/>
          <w:sz w:val="20"/>
          <w:szCs w:val="20"/>
          <w:lang w:val="nl-NL"/>
        </w:rPr>
        <w:t xml:space="preserve">Quỹ ETF </w:t>
      </w:r>
      <w:r w:rsidR="00D52D4A" w:rsidRPr="00762874">
        <w:rPr>
          <w:rFonts w:ascii="Times New Roman" w:hAnsi="Times New Roman"/>
          <w:sz w:val="20"/>
          <w:szCs w:val="20"/>
          <w:lang w:val="nl-NL"/>
        </w:rPr>
        <w:t>DC</w:t>
      </w:r>
      <w:r w:rsidRPr="00762874">
        <w:rPr>
          <w:rFonts w:ascii="Times New Roman" w:hAnsi="Times New Roman"/>
          <w:sz w:val="20"/>
          <w:szCs w:val="20"/>
          <w:lang w:val="nl-NL"/>
        </w:rPr>
        <w:t>VFMVN</w:t>
      </w:r>
      <w:r w:rsidR="00173AF3" w:rsidRPr="00762874">
        <w:rPr>
          <w:rFonts w:ascii="Times New Roman" w:hAnsi="Times New Roman"/>
          <w:sz w:val="20"/>
          <w:szCs w:val="20"/>
          <w:lang w:val="nl-NL"/>
        </w:rPr>
        <w:t>MIDCAP</w:t>
      </w:r>
      <w:r w:rsidRPr="00762874">
        <w:rPr>
          <w:rFonts w:ascii="Times New Roman" w:hAnsi="Times New Roman"/>
          <w:sz w:val="20"/>
          <w:szCs w:val="20"/>
          <w:lang w:val="nl-NL"/>
        </w:rPr>
        <w:t xml:space="preserve"> đã</w:t>
      </w:r>
      <w:r w:rsidR="00126795" w:rsidRPr="00762874">
        <w:rPr>
          <w:rFonts w:ascii="Times New Roman" w:hAnsi="Times New Roman"/>
          <w:sz w:val="20"/>
          <w:szCs w:val="20"/>
          <w:lang w:val="nl-NL"/>
        </w:rPr>
        <w:t xml:space="preserve"> </w:t>
      </w:r>
      <w:r w:rsidR="002C298C" w:rsidRPr="00762874">
        <w:rPr>
          <w:rFonts w:ascii="Times New Roman" w:hAnsi="Times New Roman"/>
          <w:sz w:val="20"/>
          <w:szCs w:val="20"/>
          <w:lang w:val="nl-NL"/>
        </w:rPr>
        <w:t xml:space="preserve">niêm </w:t>
      </w:r>
      <w:r w:rsidR="0046229E" w:rsidRPr="00762874">
        <w:rPr>
          <w:rFonts w:ascii="Times New Roman" w:hAnsi="Times New Roman"/>
          <w:sz w:val="20"/>
          <w:szCs w:val="20"/>
          <w:lang w:val="nl-NL"/>
        </w:rPr>
        <w:t>yết</w:t>
      </w:r>
      <w:r w:rsidR="002C298C" w:rsidRPr="00762874">
        <w:rPr>
          <w:rFonts w:ascii="Times New Roman" w:hAnsi="Times New Roman"/>
          <w:sz w:val="20"/>
          <w:szCs w:val="20"/>
          <w:lang w:val="nl-NL"/>
        </w:rPr>
        <w:t xml:space="preserve"> lần đầ</w:t>
      </w:r>
      <w:r w:rsidR="00126795" w:rsidRPr="00762874">
        <w:rPr>
          <w:rFonts w:ascii="Times New Roman" w:hAnsi="Times New Roman"/>
          <w:sz w:val="20"/>
          <w:szCs w:val="20"/>
          <w:lang w:val="nl-NL"/>
        </w:rPr>
        <w:t>u tiên trên</w:t>
      </w:r>
      <w:r w:rsidRPr="00762874">
        <w:rPr>
          <w:rFonts w:ascii="Times New Roman" w:hAnsi="Times New Roman"/>
          <w:sz w:val="20"/>
          <w:szCs w:val="20"/>
          <w:lang w:val="nl-NL"/>
        </w:rPr>
        <w:t xml:space="preserve"> Sở giao dịch chứng khoán TP. HCM</w:t>
      </w:r>
      <w:r w:rsidR="00126795" w:rsidRPr="00762874">
        <w:rPr>
          <w:rFonts w:ascii="Times New Roman" w:hAnsi="Times New Roman"/>
          <w:sz w:val="20"/>
          <w:szCs w:val="20"/>
          <w:lang w:val="nl-NL"/>
        </w:rPr>
        <w:t xml:space="preserve"> </w:t>
      </w:r>
      <w:r w:rsidR="002C298C" w:rsidRPr="00762874">
        <w:rPr>
          <w:rFonts w:ascii="Times New Roman" w:hAnsi="Times New Roman"/>
          <w:sz w:val="20"/>
          <w:szCs w:val="20"/>
          <w:lang w:val="nl-NL"/>
        </w:rPr>
        <w:t>theo</w:t>
      </w:r>
      <w:r w:rsidRPr="00762874">
        <w:rPr>
          <w:rFonts w:ascii="Times New Roman" w:hAnsi="Times New Roman"/>
          <w:sz w:val="20"/>
          <w:szCs w:val="20"/>
          <w:lang w:val="nl-NL"/>
        </w:rPr>
        <w:t xml:space="preserve"> Quyết định niêm yết chứng chỉ quỹ số </w:t>
      </w:r>
      <w:r w:rsidR="001931FB" w:rsidRPr="00762874">
        <w:rPr>
          <w:rFonts w:ascii="Times New Roman" w:hAnsi="Times New Roman"/>
          <w:sz w:val="20"/>
          <w:szCs w:val="20"/>
          <w:lang w:val="nl-NL"/>
        </w:rPr>
        <w:t>660</w:t>
      </w:r>
      <w:r w:rsidRPr="00762874">
        <w:rPr>
          <w:rFonts w:ascii="Times New Roman" w:hAnsi="Times New Roman"/>
          <w:sz w:val="20"/>
          <w:szCs w:val="20"/>
          <w:lang w:val="nl-NL"/>
        </w:rPr>
        <w:t>/</w:t>
      </w:r>
      <w:r w:rsidR="001931FB" w:rsidRPr="00762874">
        <w:rPr>
          <w:rFonts w:ascii="Times New Roman" w:hAnsi="Times New Roman"/>
          <w:sz w:val="20"/>
          <w:szCs w:val="20"/>
          <w:lang w:val="nl-NL"/>
        </w:rPr>
        <w:t>QĐ-SGDHCM</w:t>
      </w:r>
      <w:r w:rsidRPr="00762874">
        <w:rPr>
          <w:rFonts w:ascii="Times New Roman" w:hAnsi="Times New Roman"/>
          <w:sz w:val="20"/>
          <w:szCs w:val="20"/>
          <w:lang w:val="nl-NL"/>
        </w:rPr>
        <w:t xml:space="preserve"> ngày </w:t>
      </w:r>
      <w:r w:rsidR="001931FB" w:rsidRPr="00762874">
        <w:rPr>
          <w:rFonts w:ascii="Times New Roman" w:hAnsi="Times New Roman"/>
          <w:sz w:val="20"/>
          <w:szCs w:val="20"/>
          <w:lang w:val="nl-NL"/>
        </w:rPr>
        <w:t>14</w:t>
      </w:r>
      <w:r w:rsidR="00197484" w:rsidRPr="00762874">
        <w:rPr>
          <w:rFonts w:ascii="Times New Roman" w:hAnsi="Times New Roman"/>
          <w:sz w:val="20"/>
          <w:szCs w:val="20"/>
          <w:lang w:val="nl-NL"/>
        </w:rPr>
        <w:t xml:space="preserve"> tháng </w:t>
      </w:r>
      <w:r w:rsidRPr="00762874">
        <w:rPr>
          <w:rFonts w:ascii="Times New Roman" w:hAnsi="Times New Roman"/>
          <w:sz w:val="20"/>
          <w:szCs w:val="20"/>
          <w:lang w:val="nl-NL"/>
        </w:rPr>
        <w:t>9</w:t>
      </w:r>
      <w:r w:rsidR="00197484" w:rsidRPr="00762874">
        <w:rPr>
          <w:rFonts w:ascii="Times New Roman" w:hAnsi="Times New Roman"/>
          <w:sz w:val="20"/>
          <w:szCs w:val="20"/>
          <w:lang w:val="nl-NL"/>
        </w:rPr>
        <w:t xml:space="preserve"> năm </w:t>
      </w:r>
      <w:r w:rsidRPr="00762874">
        <w:rPr>
          <w:rFonts w:ascii="Times New Roman" w:hAnsi="Times New Roman"/>
          <w:sz w:val="20"/>
          <w:szCs w:val="20"/>
          <w:lang w:val="nl-NL"/>
        </w:rPr>
        <w:t>20</w:t>
      </w:r>
      <w:r w:rsidR="001931FB" w:rsidRPr="00762874">
        <w:rPr>
          <w:rFonts w:ascii="Times New Roman" w:hAnsi="Times New Roman"/>
          <w:sz w:val="20"/>
          <w:szCs w:val="20"/>
          <w:lang w:val="nl-NL"/>
        </w:rPr>
        <w:t>22</w:t>
      </w:r>
      <w:r w:rsidR="00AE7782" w:rsidRPr="00762874">
        <w:rPr>
          <w:rFonts w:ascii="Times New Roman" w:hAnsi="Times New Roman"/>
          <w:sz w:val="20"/>
          <w:szCs w:val="20"/>
          <w:lang w:val="nl-NL"/>
        </w:rPr>
        <w:t>.</w:t>
      </w:r>
    </w:p>
    <w:p w14:paraId="6604D9D0" w14:textId="555595E5" w:rsidR="00897749" w:rsidRDefault="00CA2334" w:rsidP="005A344A">
      <w:pPr>
        <w:pStyle w:val="ListParagraph"/>
        <w:spacing w:after="0" w:line="312" w:lineRule="auto"/>
        <w:ind w:left="502" w:right="260"/>
        <w:contextualSpacing w:val="0"/>
        <w:jc w:val="both"/>
        <w:rPr>
          <w:rFonts w:ascii="Times New Roman" w:hAnsi="Times New Roman"/>
          <w:i/>
          <w:iCs/>
          <w:sz w:val="20"/>
          <w:szCs w:val="20"/>
          <w:lang w:val="nl-NL"/>
        </w:rPr>
      </w:pPr>
      <w:r w:rsidRPr="00CA2334">
        <w:rPr>
          <w:rFonts w:ascii="Times New Roman" w:hAnsi="Times New Roman"/>
          <w:i/>
          <w:iCs/>
          <w:sz w:val="20"/>
          <w:szCs w:val="20"/>
          <w:lang w:val="nl-NL"/>
        </w:rPr>
        <w:t>DCVFMVNMIDCAP ETF was listed for the first time on the Ho</w:t>
      </w:r>
      <w:r w:rsidRPr="00CA2334">
        <w:rPr>
          <w:rFonts w:ascii="Times New Roman" w:hAnsi="Times New Roman"/>
          <w:i/>
          <w:iCs/>
          <w:sz w:val="20"/>
          <w:szCs w:val="20"/>
          <w:lang w:val="vi-VN"/>
        </w:rPr>
        <w:t xml:space="preserve"> Chi Minh </w:t>
      </w:r>
      <w:r w:rsidRPr="00CA2334">
        <w:rPr>
          <w:rFonts w:ascii="Times New Roman" w:hAnsi="Times New Roman"/>
          <w:i/>
          <w:iCs/>
          <w:sz w:val="20"/>
          <w:szCs w:val="20"/>
          <w:lang w:val="nl-NL"/>
        </w:rPr>
        <w:t>City Stock Exchange</w:t>
      </w:r>
      <w:r w:rsidRPr="00CA2334">
        <w:rPr>
          <w:rFonts w:ascii="Times New Roman" w:hAnsi="Times New Roman"/>
          <w:i/>
          <w:iCs/>
          <w:sz w:val="20"/>
          <w:szCs w:val="20"/>
          <w:lang w:val="vi-VN"/>
        </w:rPr>
        <w:t xml:space="preserve"> </w:t>
      </w:r>
      <w:r w:rsidR="003A05AA" w:rsidRPr="003A05AA">
        <w:rPr>
          <w:rFonts w:ascii="Times New Roman" w:hAnsi="Times New Roman"/>
          <w:i/>
          <w:iCs/>
          <w:sz w:val="20"/>
          <w:szCs w:val="20"/>
          <w:lang w:val="nl-NL"/>
        </w:rPr>
        <w:t>listed on the Ho Chi Minh City Stock Exchange (“HOSE”) following the Decision No. 660/QD-SGDHCM dated on 14 September 2022</w:t>
      </w:r>
      <w:r w:rsidRPr="00CA2334">
        <w:rPr>
          <w:rFonts w:ascii="Times New Roman" w:hAnsi="Times New Roman"/>
          <w:i/>
          <w:iCs/>
          <w:sz w:val="20"/>
          <w:szCs w:val="20"/>
          <w:lang w:val="nl-NL"/>
        </w:rPr>
        <w:t>.</w:t>
      </w:r>
      <w:r w:rsidR="002C298C" w:rsidRPr="00CA2334">
        <w:rPr>
          <w:rFonts w:ascii="Times New Roman" w:hAnsi="Times New Roman"/>
          <w:i/>
          <w:iCs/>
          <w:sz w:val="20"/>
          <w:szCs w:val="20"/>
          <w:lang w:val="nl-NL"/>
        </w:rPr>
        <w:t xml:space="preserve"> </w:t>
      </w:r>
    </w:p>
    <w:p w14:paraId="31C11109" w14:textId="77777777" w:rsidR="005A344A" w:rsidRPr="00CA2334" w:rsidRDefault="005A344A" w:rsidP="005A344A">
      <w:pPr>
        <w:pStyle w:val="ListParagraph"/>
        <w:spacing w:after="0" w:line="312" w:lineRule="auto"/>
        <w:ind w:left="502" w:right="260"/>
        <w:contextualSpacing w:val="0"/>
        <w:jc w:val="both"/>
        <w:rPr>
          <w:rFonts w:ascii="Times New Roman" w:hAnsi="Times New Roman"/>
          <w:i/>
          <w:iCs/>
          <w:sz w:val="20"/>
          <w:szCs w:val="20"/>
          <w:lang w:val="nl-NL"/>
        </w:rPr>
      </w:pPr>
    </w:p>
    <w:p w14:paraId="6324F90C" w14:textId="2920363D" w:rsidR="00897749" w:rsidRDefault="00897749" w:rsidP="003A05AA">
      <w:pPr>
        <w:pStyle w:val="ListParagraph"/>
        <w:spacing w:after="0" w:line="312" w:lineRule="auto"/>
        <w:ind w:left="502" w:right="260"/>
        <w:contextualSpacing w:val="0"/>
        <w:jc w:val="both"/>
        <w:rPr>
          <w:rFonts w:ascii="Times New Roman" w:hAnsi="Times New Roman"/>
          <w:sz w:val="20"/>
          <w:szCs w:val="20"/>
          <w:lang w:val="vi-VN"/>
        </w:rPr>
      </w:pPr>
      <w:r w:rsidRPr="00E21368">
        <w:rPr>
          <w:rFonts w:ascii="Times New Roman" w:hAnsi="Times New Roman"/>
          <w:sz w:val="20"/>
          <w:szCs w:val="20"/>
          <w:lang w:val="vi-VN"/>
        </w:rPr>
        <w:t xml:space="preserve">Trong giai đoạn phát hành chứng chỉ Quỹ ETF </w:t>
      </w:r>
      <w:r w:rsidR="00D52D4A" w:rsidRPr="00762874">
        <w:rPr>
          <w:rFonts w:ascii="Times New Roman" w:hAnsi="Times New Roman"/>
          <w:sz w:val="20"/>
          <w:szCs w:val="20"/>
          <w:lang w:val="nl-NL"/>
        </w:rPr>
        <w:t>DC</w:t>
      </w:r>
      <w:r w:rsidRPr="00E21368">
        <w:rPr>
          <w:rFonts w:ascii="Times New Roman" w:hAnsi="Times New Roman"/>
          <w:sz w:val="20"/>
          <w:szCs w:val="20"/>
          <w:lang w:val="vi-VN"/>
        </w:rPr>
        <w:t>VFMVN</w:t>
      </w:r>
      <w:r w:rsidR="001931FB" w:rsidRPr="00762874">
        <w:rPr>
          <w:rFonts w:ascii="Times New Roman" w:hAnsi="Times New Roman"/>
          <w:sz w:val="20"/>
          <w:szCs w:val="20"/>
          <w:lang w:val="nl-NL"/>
        </w:rPr>
        <w:t>MIDCAP</w:t>
      </w:r>
      <w:r w:rsidRPr="00E21368">
        <w:rPr>
          <w:rFonts w:ascii="Times New Roman" w:hAnsi="Times New Roman"/>
          <w:sz w:val="20"/>
          <w:szCs w:val="20"/>
          <w:lang w:val="vi-VN"/>
        </w:rPr>
        <w:t xml:space="preserve"> lần đầu ra công chúng, vốn điều lệ </w:t>
      </w:r>
      <w:r w:rsidRPr="00762874">
        <w:rPr>
          <w:rFonts w:ascii="Times New Roman" w:hAnsi="Times New Roman"/>
          <w:sz w:val="20"/>
          <w:szCs w:val="20"/>
          <w:lang w:val="nl-NL"/>
        </w:rPr>
        <w:t xml:space="preserve">đã </w:t>
      </w:r>
      <w:r w:rsidRPr="00E21368">
        <w:rPr>
          <w:rFonts w:ascii="Times New Roman" w:hAnsi="Times New Roman"/>
          <w:sz w:val="20"/>
          <w:szCs w:val="20"/>
          <w:lang w:val="vi-VN"/>
        </w:rPr>
        <w:t xml:space="preserve">huy động là </w:t>
      </w:r>
      <w:r w:rsidR="001931FB" w:rsidRPr="00762874">
        <w:rPr>
          <w:rFonts w:ascii="Times New Roman" w:hAnsi="Times New Roman"/>
          <w:sz w:val="20"/>
          <w:szCs w:val="20"/>
          <w:lang w:val="nl-NL"/>
        </w:rPr>
        <w:t>60</w:t>
      </w:r>
      <w:r w:rsidRPr="00762874">
        <w:rPr>
          <w:rFonts w:ascii="Times New Roman" w:hAnsi="Times New Roman"/>
          <w:sz w:val="20"/>
          <w:szCs w:val="20"/>
          <w:lang w:val="nl-NL"/>
        </w:rPr>
        <w:t xml:space="preserve">.000.000.000 </w:t>
      </w:r>
      <w:r w:rsidRPr="00E21368">
        <w:rPr>
          <w:rFonts w:ascii="Times New Roman" w:hAnsi="Times New Roman"/>
          <w:sz w:val="20"/>
          <w:szCs w:val="20"/>
          <w:lang w:val="vi-VN"/>
        </w:rPr>
        <w:t>(</w:t>
      </w:r>
      <w:r w:rsidR="001931FB" w:rsidRPr="00762874">
        <w:rPr>
          <w:rFonts w:ascii="Times New Roman" w:hAnsi="Times New Roman"/>
          <w:sz w:val="20"/>
          <w:szCs w:val="20"/>
          <w:lang w:val="nl-NL"/>
        </w:rPr>
        <w:t>sáu mươi</w:t>
      </w:r>
      <w:r w:rsidRPr="00762874">
        <w:rPr>
          <w:rFonts w:ascii="Times New Roman" w:hAnsi="Times New Roman"/>
          <w:sz w:val="20"/>
          <w:szCs w:val="20"/>
          <w:lang w:val="nl-NL"/>
        </w:rPr>
        <w:t xml:space="preserve"> tỷ</w:t>
      </w:r>
      <w:r w:rsidRPr="00E21368">
        <w:rPr>
          <w:rFonts w:ascii="Times New Roman" w:hAnsi="Times New Roman"/>
          <w:sz w:val="20"/>
          <w:szCs w:val="20"/>
          <w:lang w:val="vi-VN"/>
        </w:rPr>
        <w:t xml:space="preserve">) đồng Việt Nam và tương ứng với </w:t>
      </w:r>
      <w:r w:rsidR="001931FB" w:rsidRPr="00762874">
        <w:rPr>
          <w:rFonts w:ascii="Times New Roman" w:hAnsi="Times New Roman"/>
          <w:sz w:val="20"/>
          <w:szCs w:val="20"/>
          <w:lang w:val="nl-NL"/>
        </w:rPr>
        <w:t>60</w:t>
      </w:r>
      <w:r w:rsidRPr="00E21368">
        <w:rPr>
          <w:rFonts w:ascii="Times New Roman" w:hAnsi="Times New Roman"/>
          <w:sz w:val="20"/>
          <w:szCs w:val="20"/>
          <w:lang w:val="vi-VN"/>
        </w:rPr>
        <w:t xml:space="preserve"> (</w:t>
      </w:r>
      <w:r w:rsidR="001931FB" w:rsidRPr="00762874">
        <w:rPr>
          <w:rFonts w:ascii="Times New Roman" w:hAnsi="Times New Roman"/>
          <w:sz w:val="20"/>
          <w:szCs w:val="20"/>
          <w:lang w:val="nl-NL"/>
        </w:rPr>
        <w:t>sáu mươi</w:t>
      </w:r>
      <w:r w:rsidRPr="00E21368">
        <w:rPr>
          <w:rFonts w:ascii="Times New Roman" w:hAnsi="Times New Roman"/>
          <w:sz w:val="20"/>
          <w:szCs w:val="20"/>
          <w:lang w:val="vi-VN"/>
        </w:rPr>
        <w:t>) lô chứng chỉ Quỹ. Mệnh giá của mỗi chứng chỉ quỹ là 10.000 (mười ngàn) Đồng.</w:t>
      </w:r>
    </w:p>
    <w:p w14:paraId="5AF083EB" w14:textId="398C14FD" w:rsidR="00CA2334" w:rsidRPr="00CA2334" w:rsidRDefault="00CA2334" w:rsidP="008D2843">
      <w:pPr>
        <w:pStyle w:val="ListParagraph"/>
        <w:spacing w:after="0" w:line="312" w:lineRule="auto"/>
        <w:ind w:left="502" w:right="260"/>
        <w:contextualSpacing w:val="0"/>
        <w:jc w:val="both"/>
        <w:rPr>
          <w:rFonts w:ascii="Times New Roman" w:hAnsi="Times New Roman"/>
          <w:i/>
          <w:iCs/>
          <w:sz w:val="20"/>
          <w:szCs w:val="20"/>
          <w:lang w:val="vi-VN"/>
        </w:rPr>
      </w:pPr>
      <w:r w:rsidRPr="00CA2334">
        <w:rPr>
          <w:rFonts w:ascii="Times New Roman" w:hAnsi="Times New Roman"/>
          <w:i/>
          <w:iCs/>
          <w:sz w:val="20"/>
          <w:szCs w:val="20"/>
          <w:lang w:val="vi-VN"/>
        </w:rPr>
        <w:t xml:space="preserve">During the initial public offering of DCVFMVNMIDCAP ETF certificates, the charter capital was 60,000,000,000 (sixty billion) Vietnam Dong </w:t>
      </w:r>
      <w:r w:rsidR="00F362BA" w:rsidRPr="00F362BA">
        <w:rPr>
          <w:rFonts w:ascii="Times New Roman" w:hAnsi="Times New Roman"/>
          <w:i/>
          <w:iCs/>
          <w:sz w:val="20"/>
          <w:szCs w:val="20"/>
          <w:lang w:val="vi-VN"/>
        </w:rPr>
        <w:t>equivalent to</w:t>
      </w:r>
      <w:r w:rsidRPr="00CA2334">
        <w:rPr>
          <w:rFonts w:ascii="Times New Roman" w:hAnsi="Times New Roman"/>
          <w:i/>
          <w:iCs/>
          <w:sz w:val="20"/>
          <w:szCs w:val="20"/>
          <w:lang w:val="vi-VN"/>
        </w:rPr>
        <w:t xml:space="preserve"> 60 (sixty) lots of Fund certificates. The </w:t>
      </w:r>
      <w:r w:rsidR="00F362BA">
        <w:rPr>
          <w:rFonts w:ascii="Times New Roman" w:hAnsi="Times New Roman"/>
          <w:i/>
          <w:iCs/>
          <w:sz w:val="20"/>
          <w:szCs w:val="20"/>
        </w:rPr>
        <w:t>par</w:t>
      </w:r>
      <w:r w:rsidRPr="00CA2334">
        <w:rPr>
          <w:rFonts w:ascii="Times New Roman" w:hAnsi="Times New Roman"/>
          <w:i/>
          <w:iCs/>
          <w:sz w:val="20"/>
          <w:szCs w:val="20"/>
          <w:lang w:val="vi-VN"/>
        </w:rPr>
        <w:t xml:space="preserve"> value of each fund certificate is 10,000 (ten thousand) VND.</w:t>
      </w:r>
    </w:p>
    <w:p w14:paraId="2209DEE5" w14:textId="77777777" w:rsidR="008D2843" w:rsidRDefault="008D2843" w:rsidP="005425EE">
      <w:pPr>
        <w:pStyle w:val="BodyText"/>
        <w:spacing w:after="0" w:line="312" w:lineRule="auto"/>
        <w:ind w:left="142" w:right="260"/>
        <w:rPr>
          <w:sz w:val="20"/>
          <w:lang w:val="vi-VN"/>
        </w:rPr>
      </w:pPr>
    </w:p>
    <w:p w14:paraId="1C731E33" w14:textId="4CCAFAF1" w:rsidR="00897749" w:rsidRDefault="00897749" w:rsidP="008D2843">
      <w:pPr>
        <w:pStyle w:val="BodyText"/>
        <w:spacing w:after="0" w:line="312" w:lineRule="auto"/>
        <w:ind w:left="502" w:right="260"/>
        <w:rPr>
          <w:sz w:val="20"/>
          <w:lang w:val="vi-VN"/>
        </w:rPr>
      </w:pPr>
      <w:r w:rsidRPr="00762874">
        <w:rPr>
          <w:sz w:val="20"/>
          <w:lang w:val="vi-VN"/>
        </w:rPr>
        <w:t xml:space="preserve">Quỹ hoạt động theo Điều lệ Tổ chức và Hoạt động của </w:t>
      </w:r>
      <w:r w:rsidRPr="00D126F6">
        <w:rPr>
          <w:sz w:val="20"/>
          <w:lang w:val="vi-VN"/>
        </w:rPr>
        <w:t xml:space="preserve">Quỹ ban hành </w:t>
      </w:r>
      <w:r w:rsidR="00115E1E" w:rsidRPr="00D126F6">
        <w:rPr>
          <w:sz w:val="20"/>
          <w:lang w:val="vi-VN"/>
        </w:rPr>
        <w:t>vào tháng</w:t>
      </w:r>
      <w:r w:rsidRPr="00D126F6">
        <w:rPr>
          <w:sz w:val="20"/>
          <w:lang w:val="vi-VN"/>
        </w:rPr>
        <w:t xml:space="preserve"> </w:t>
      </w:r>
      <w:r w:rsidR="00D126F6" w:rsidRPr="00D126F6">
        <w:rPr>
          <w:sz w:val="20"/>
          <w:lang w:val="en-US"/>
        </w:rPr>
        <w:t>4</w:t>
      </w:r>
      <w:r w:rsidRPr="00D126F6">
        <w:rPr>
          <w:sz w:val="20"/>
          <w:lang w:val="vi-VN"/>
        </w:rPr>
        <w:t xml:space="preserve"> năm </w:t>
      </w:r>
      <w:r w:rsidR="001079D4">
        <w:rPr>
          <w:sz w:val="20"/>
          <w:lang w:val="vi-VN"/>
        </w:rPr>
        <w:t>2024</w:t>
      </w:r>
      <w:r w:rsidRPr="00762874">
        <w:rPr>
          <w:sz w:val="20"/>
          <w:lang w:val="vi-VN"/>
        </w:rPr>
        <w:t xml:space="preserve"> và không bị giới hạn về thời gian hoạt động theo Giấy</w:t>
      </w:r>
      <w:r w:rsidR="00AE7782" w:rsidRPr="00762874">
        <w:rPr>
          <w:sz w:val="20"/>
          <w:lang w:val="vi-VN"/>
        </w:rPr>
        <w:t xml:space="preserve"> Chứng nhận Đăng ký Thành lập. </w:t>
      </w:r>
      <w:r w:rsidRPr="00762874">
        <w:rPr>
          <w:sz w:val="20"/>
          <w:lang w:val="vi-VN"/>
        </w:rPr>
        <w:t>Trong suốt thời gian hoạt động, Quỹ có nghĩa vụ thực hiện việc đổi danh mục chứng khoán cơ cấu lấy lô chứng chỉ quỹ và ngược lại.</w:t>
      </w:r>
    </w:p>
    <w:p w14:paraId="284AF95E" w14:textId="1E0F81B8" w:rsidR="00CA2334" w:rsidRPr="00CA2334" w:rsidRDefault="00CA2334" w:rsidP="00607ECC">
      <w:pPr>
        <w:pStyle w:val="BodyText"/>
        <w:spacing w:after="0" w:line="312" w:lineRule="auto"/>
        <w:ind w:left="502" w:right="260"/>
        <w:rPr>
          <w:i/>
          <w:iCs/>
          <w:sz w:val="20"/>
          <w:lang w:val="vi-VN"/>
        </w:rPr>
      </w:pPr>
      <w:r w:rsidRPr="00CA2334">
        <w:rPr>
          <w:i/>
          <w:iCs/>
          <w:sz w:val="20"/>
          <w:lang w:val="vi-VN"/>
        </w:rPr>
        <w:t xml:space="preserve">The Fund operates according to the Fund Charter issued in April 2024 and is not limited in operating time according to the </w:t>
      </w:r>
      <w:r w:rsidR="0071612A" w:rsidRPr="00141A25">
        <w:rPr>
          <w:i/>
          <w:iCs/>
          <w:sz w:val="20"/>
          <w:lang w:val="nl-NL"/>
        </w:rPr>
        <w:t>Certificate of registration of public fund establishment</w:t>
      </w:r>
      <w:r w:rsidRPr="00CA2334">
        <w:rPr>
          <w:i/>
          <w:iCs/>
          <w:sz w:val="20"/>
          <w:lang w:val="vi-VN"/>
        </w:rPr>
        <w:t xml:space="preserve">. </w:t>
      </w:r>
      <w:r w:rsidR="003C4C89" w:rsidRPr="003C4C89">
        <w:rPr>
          <w:i/>
          <w:iCs/>
          <w:sz w:val="20"/>
          <w:lang w:val="vi-VN"/>
        </w:rPr>
        <w:t>During the operation period, the Fund has the obligations to issue creation units in exchange for a basket of component securities and vice versa</w:t>
      </w:r>
    </w:p>
    <w:p w14:paraId="65D21DE8" w14:textId="77777777" w:rsidR="00CA2334" w:rsidRPr="00762874" w:rsidRDefault="00CA2334" w:rsidP="005425EE">
      <w:pPr>
        <w:pStyle w:val="BodyText"/>
        <w:spacing w:after="0" w:line="312" w:lineRule="auto"/>
        <w:ind w:left="142" w:right="260"/>
        <w:rPr>
          <w:sz w:val="20"/>
          <w:lang w:val="vi-VN"/>
        </w:rPr>
      </w:pPr>
    </w:p>
    <w:p w14:paraId="20A05B99" w14:textId="77777777" w:rsidR="00935231" w:rsidRDefault="00935231">
      <w:pPr>
        <w:spacing w:after="160" w:line="259" w:lineRule="auto"/>
        <w:rPr>
          <w:rFonts w:ascii="Times New Roman" w:hAnsi="Times New Roman"/>
          <w:b/>
          <w:sz w:val="20"/>
          <w:szCs w:val="20"/>
          <w:lang w:val="nl-NL"/>
        </w:rPr>
      </w:pPr>
      <w:r>
        <w:rPr>
          <w:rFonts w:ascii="Times New Roman" w:hAnsi="Times New Roman"/>
          <w:b/>
          <w:sz w:val="20"/>
          <w:szCs w:val="20"/>
          <w:lang w:val="nl-NL"/>
        </w:rPr>
        <w:br w:type="page"/>
      </w:r>
    </w:p>
    <w:p w14:paraId="075A4008" w14:textId="5E3E8C7C" w:rsidR="00897749" w:rsidRPr="003C4C89" w:rsidRDefault="00897749" w:rsidP="003C4C89">
      <w:pPr>
        <w:pStyle w:val="ListParagraph"/>
        <w:numPr>
          <w:ilvl w:val="1"/>
          <w:numId w:val="39"/>
        </w:numPr>
        <w:shd w:val="clear" w:color="auto" w:fill="FFFFFF"/>
        <w:spacing w:before="60" w:after="120" w:line="312" w:lineRule="auto"/>
        <w:ind w:right="260"/>
        <w:jc w:val="both"/>
        <w:rPr>
          <w:rFonts w:ascii="Times New Roman" w:hAnsi="Times New Roman"/>
          <w:b/>
          <w:sz w:val="20"/>
          <w:szCs w:val="20"/>
          <w:lang w:val="nl-NL"/>
        </w:rPr>
      </w:pPr>
      <w:r w:rsidRPr="003C4C89">
        <w:rPr>
          <w:rFonts w:ascii="Times New Roman" w:hAnsi="Times New Roman"/>
          <w:b/>
          <w:sz w:val="20"/>
          <w:szCs w:val="20"/>
          <w:lang w:val="nl-NL"/>
        </w:rPr>
        <w:lastRenderedPageBreak/>
        <w:t xml:space="preserve"> </w:t>
      </w:r>
      <w:r w:rsidR="00200471" w:rsidRPr="003C4C89">
        <w:rPr>
          <w:rFonts w:ascii="Times New Roman" w:hAnsi="Times New Roman"/>
          <w:b/>
          <w:sz w:val="20"/>
          <w:szCs w:val="20"/>
          <w:lang w:val="nl-NL"/>
        </w:rPr>
        <w:tab/>
      </w:r>
      <w:r w:rsidRPr="003C4C89">
        <w:rPr>
          <w:rFonts w:ascii="Times New Roman" w:hAnsi="Times New Roman"/>
          <w:b/>
          <w:sz w:val="20"/>
          <w:szCs w:val="20"/>
          <w:lang w:val="nl-NL"/>
        </w:rPr>
        <w:t xml:space="preserve">Địa chỉ liên hệ của </w:t>
      </w:r>
      <w:r w:rsidR="00CA2334" w:rsidRPr="003C4C89">
        <w:rPr>
          <w:rFonts w:ascii="Times New Roman" w:hAnsi="Times New Roman"/>
          <w:b/>
          <w:sz w:val="20"/>
          <w:szCs w:val="20"/>
          <w:lang w:val="nl-NL"/>
        </w:rPr>
        <w:t>Quỹ</w:t>
      </w:r>
      <w:r w:rsidR="00CA2334" w:rsidRPr="003C4C89">
        <w:rPr>
          <w:rFonts w:ascii="Times New Roman" w:hAnsi="Times New Roman"/>
          <w:b/>
          <w:sz w:val="20"/>
          <w:szCs w:val="20"/>
          <w:lang w:val="vi-VN"/>
        </w:rPr>
        <w:t>/</w:t>
      </w:r>
      <w:r w:rsidR="00325C24" w:rsidRPr="00935231">
        <w:rPr>
          <w:rFonts w:ascii="Times New Roman" w:hAnsi="Times New Roman"/>
          <w:b/>
          <w:i/>
          <w:iCs/>
          <w:sz w:val="20"/>
          <w:szCs w:val="20"/>
          <w:lang w:val="vi-VN"/>
        </w:rPr>
        <w:t>Correspondence address of the Fund</w:t>
      </w:r>
    </w:p>
    <w:p w14:paraId="2C571A8B" w14:textId="646EFE9C" w:rsidR="00897749" w:rsidRPr="00CA2334" w:rsidRDefault="00897749" w:rsidP="003C4C89">
      <w:pPr>
        <w:shd w:val="clear" w:color="auto" w:fill="FFFFFF"/>
        <w:spacing w:after="0" w:line="312" w:lineRule="auto"/>
        <w:ind w:left="142" w:right="260" w:firstLine="360"/>
        <w:jc w:val="both"/>
        <w:rPr>
          <w:rFonts w:ascii="Times New Roman" w:hAnsi="Times New Roman"/>
          <w:i/>
          <w:iCs/>
          <w:sz w:val="20"/>
          <w:szCs w:val="20"/>
          <w:lang w:val="nl-NL"/>
        </w:rPr>
      </w:pPr>
      <w:r w:rsidRPr="00E21368">
        <w:rPr>
          <w:rFonts w:ascii="Times New Roman" w:hAnsi="Times New Roman"/>
          <w:sz w:val="20"/>
          <w:szCs w:val="20"/>
          <w:lang w:val="nl-NL"/>
        </w:rPr>
        <w:t>Tầng 1</w:t>
      </w:r>
      <w:r w:rsidR="00236F1B">
        <w:rPr>
          <w:rFonts w:ascii="Times New Roman" w:hAnsi="Times New Roman"/>
          <w:sz w:val="20"/>
          <w:szCs w:val="20"/>
          <w:lang w:val="nl-NL"/>
        </w:rPr>
        <w:t>5</w:t>
      </w:r>
      <w:r w:rsidRPr="00E21368">
        <w:rPr>
          <w:rFonts w:ascii="Times New Roman" w:hAnsi="Times New Roman"/>
          <w:sz w:val="20"/>
          <w:szCs w:val="20"/>
          <w:lang w:val="nl-NL"/>
        </w:rPr>
        <w:t xml:space="preserve">, Tòa nhà Mê Linh Point, 02 Ngô Đức Kế, </w:t>
      </w:r>
      <w:r w:rsidR="00247DD2">
        <w:rPr>
          <w:rFonts w:ascii="Times New Roman" w:hAnsi="Times New Roman"/>
          <w:sz w:val="20"/>
          <w:szCs w:val="20"/>
          <w:lang w:val="nl-NL"/>
        </w:rPr>
        <w:t xml:space="preserve">Phường Bến Nghé, </w:t>
      </w:r>
      <w:r w:rsidRPr="00E21368">
        <w:rPr>
          <w:rFonts w:ascii="Times New Roman" w:hAnsi="Times New Roman"/>
          <w:sz w:val="20"/>
          <w:szCs w:val="20"/>
          <w:lang w:val="nl-NL"/>
        </w:rPr>
        <w:t>Quận 1, TPHCM, Việt Nam.</w:t>
      </w:r>
    </w:p>
    <w:p w14:paraId="3F60F770" w14:textId="31C954CC" w:rsidR="00CA2334" w:rsidRPr="00CA2334" w:rsidRDefault="00CA2334" w:rsidP="00935231">
      <w:pPr>
        <w:shd w:val="clear" w:color="auto" w:fill="FFFFFF"/>
        <w:spacing w:after="0" w:line="312" w:lineRule="auto"/>
        <w:ind w:left="142" w:right="260" w:firstLine="360"/>
        <w:jc w:val="both"/>
        <w:rPr>
          <w:rFonts w:ascii="Times New Roman" w:hAnsi="Times New Roman"/>
          <w:i/>
          <w:iCs/>
          <w:sz w:val="20"/>
          <w:szCs w:val="20"/>
          <w:lang w:val="nl-NL"/>
        </w:rPr>
      </w:pPr>
      <w:r w:rsidRPr="00CA2334">
        <w:rPr>
          <w:rFonts w:ascii="Times New Roman" w:hAnsi="Times New Roman"/>
          <w:i/>
          <w:iCs/>
          <w:sz w:val="20"/>
          <w:szCs w:val="20"/>
          <w:lang w:val="nl-NL"/>
        </w:rPr>
        <w:t>15th Floor, Me Linh Point Building, 02 Ngo Duc Ke, Ben Nghe Ward, District 1, Ho Chi Minh City, Vietnam.</w:t>
      </w:r>
    </w:p>
    <w:p w14:paraId="24A223B5" w14:textId="6BA10947" w:rsidR="00897749" w:rsidRPr="00935231" w:rsidRDefault="00897749" w:rsidP="00935231">
      <w:pPr>
        <w:pStyle w:val="ListParagraph"/>
        <w:numPr>
          <w:ilvl w:val="1"/>
          <w:numId w:val="39"/>
        </w:numPr>
        <w:shd w:val="clear" w:color="auto" w:fill="FFFFFF"/>
        <w:spacing w:before="60" w:after="120" w:line="312" w:lineRule="auto"/>
        <w:ind w:right="260"/>
        <w:jc w:val="both"/>
        <w:rPr>
          <w:rFonts w:ascii="Times New Roman" w:hAnsi="Times New Roman"/>
          <w:b/>
          <w:sz w:val="20"/>
          <w:szCs w:val="20"/>
          <w:lang w:val="vi-VN"/>
        </w:rPr>
      </w:pPr>
      <w:r w:rsidRPr="00935231">
        <w:rPr>
          <w:rFonts w:ascii="Times New Roman" w:hAnsi="Times New Roman"/>
          <w:b/>
          <w:sz w:val="20"/>
          <w:szCs w:val="20"/>
          <w:lang w:val="nl-NL"/>
        </w:rPr>
        <w:t xml:space="preserve">Những đặc điểm chính về hoạt động </w:t>
      </w:r>
      <w:r w:rsidR="00CA2334" w:rsidRPr="00935231">
        <w:rPr>
          <w:rFonts w:ascii="Times New Roman" w:hAnsi="Times New Roman"/>
          <w:b/>
          <w:sz w:val="20"/>
          <w:szCs w:val="20"/>
          <w:lang w:val="nl-NL"/>
        </w:rPr>
        <w:t>Quỹ</w:t>
      </w:r>
      <w:r w:rsidR="00CA2334" w:rsidRPr="00935231">
        <w:rPr>
          <w:rFonts w:ascii="Times New Roman" w:hAnsi="Times New Roman"/>
          <w:b/>
          <w:sz w:val="20"/>
          <w:szCs w:val="20"/>
          <w:lang w:val="vi-VN"/>
        </w:rPr>
        <w:t xml:space="preserve">/ </w:t>
      </w:r>
      <w:r w:rsidR="007B22BC" w:rsidRPr="007B22BC">
        <w:rPr>
          <w:rFonts w:ascii="Times New Roman" w:hAnsi="Times New Roman"/>
          <w:b/>
          <w:i/>
          <w:iCs/>
          <w:sz w:val="20"/>
          <w:szCs w:val="20"/>
          <w:lang w:val="vi-VN"/>
        </w:rPr>
        <w:t>General information of the Fund’s operations</w:t>
      </w:r>
    </w:p>
    <w:p w14:paraId="7B40AF17" w14:textId="58427062" w:rsidR="00897749" w:rsidRDefault="00897749" w:rsidP="007B22BC">
      <w:pPr>
        <w:shd w:val="clear" w:color="auto" w:fill="FFFFFF"/>
        <w:spacing w:after="0" w:line="312" w:lineRule="auto"/>
        <w:ind w:left="502" w:right="260"/>
        <w:jc w:val="both"/>
        <w:rPr>
          <w:rFonts w:ascii="Times New Roman" w:hAnsi="Times New Roman"/>
          <w:sz w:val="20"/>
          <w:szCs w:val="20"/>
          <w:lang w:val="nl-NL"/>
        </w:rPr>
      </w:pPr>
      <w:r w:rsidRPr="00E21368">
        <w:rPr>
          <w:rFonts w:ascii="Times New Roman" w:hAnsi="Times New Roman"/>
          <w:sz w:val="20"/>
          <w:szCs w:val="20"/>
          <w:lang w:val="nl-NL"/>
        </w:rPr>
        <w:t>Quy mô vốn Quỹ:</w:t>
      </w:r>
      <w:r w:rsidR="00394FD6" w:rsidRPr="00E21368">
        <w:rPr>
          <w:rFonts w:ascii="Times New Roman" w:hAnsi="Times New Roman"/>
          <w:sz w:val="20"/>
          <w:szCs w:val="20"/>
          <w:lang w:val="nl-NL"/>
        </w:rPr>
        <w:t xml:space="preserve"> </w:t>
      </w:r>
      <w:r w:rsidRPr="00762874">
        <w:rPr>
          <w:rFonts w:ascii="Times New Roman" w:hAnsi="Times New Roman"/>
          <w:sz w:val="20"/>
          <w:szCs w:val="20"/>
          <w:lang w:val="nl-NL"/>
        </w:rPr>
        <w:t xml:space="preserve">Vốn điều lệ của Quỹ theo Giấy chứng nhận đăng ký thành lập quỹ là: </w:t>
      </w:r>
      <w:r w:rsidR="001931FB" w:rsidRPr="00762874">
        <w:rPr>
          <w:rFonts w:ascii="Times New Roman" w:hAnsi="Times New Roman"/>
          <w:sz w:val="20"/>
          <w:szCs w:val="20"/>
          <w:lang w:val="nl-NL"/>
        </w:rPr>
        <w:t>60</w:t>
      </w:r>
      <w:r w:rsidRPr="00762874">
        <w:rPr>
          <w:rFonts w:ascii="Times New Roman" w:hAnsi="Times New Roman"/>
          <w:sz w:val="20"/>
          <w:szCs w:val="20"/>
          <w:lang w:val="nl-NL"/>
        </w:rPr>
        <w:t>.000.000.000 đồng.</w:t>
      </w:r>
    </w:p>
    <w:p w14:paraId="520CCDA8" w14:textId="667E1955" w:rsidR="00CA2334" w:rsidRPr="00CA2334" w:rsidRDefault="00CA2334" w:rsidP="007B22BC">
      <w:pPr>
        <w:shd w:val="clear" w:color="auto" w:fill="FFFFFF"/>
        <w:spacing w:after="0" w:line="312" w:lineRule="auto"/>
        <w:ind w:left="142" w:right="260" w:firstLine="360"/>
        <w:jc w:val="both"/>
        <w:rPr>
          <w:rFonts w:ascii="Times New Roman" w:hAnsi="Times New Roman"/>
          <w:i/>
          <w:iCs/>
          <w:sz w:val="20"/>
          <w:szCs w:val="20"/>
          <w:lang w:val="vi-VN"/>
        </w:rPr>
      </w:pPr>
      <w:r w:rsidRPr="00CA2334">
        <w:rPr>
          <w:rFonts w:ascii="Times New Roman" w:hAnsi="Times New Roman"/>
          <w:i/>
          <w:iCs/>
          <w:sz w:val="20"/>
          <w:szCs w:val="20"/>
          <w:lang w:val="nl-NL"/>
        </w:rPr>
        <w:t>The size of the Fund</w:t>
      </w:r>
      <w:r w:rsidRPr="00CA2334">
        <w:rPr>
          <w:rFonts w:ascii="Times New Roman" w:hAnsi="Times New Roman"/>
          <w:i/>
          <w:iCs/>
          <w:sz w:val="20"/>
          <w:szCs w:val="20"/>
          <w:lang w:val="vi-VN"/>
        </w:rPr>
        <w:t>: The initial charter capital of the Fund was VND 60,000,000,000.</w:t>
      </w:r>
    </w:p>
    <w:p w14:paraId="1101F11C" w14:textId="77777777" w:rsidR="007B22BC" w:rsidRDefault="007B22BC" w:rsidP="005425EE">
      <w:pPr>
        <w:shd w:val="clear" w:color="auto" w:fill="FFFFFF"/>
        <w:spacing w:after="0" w:line="312" w:lineRule="auto"/>
        <w:ind w:left="142" w:right="260"/>
        <w:jc w:val="both"/>
        <w:rPr>
          <w:rFonts w:ascii="Times New Roman" w:hAnsi="Times New Roman"/>
          <w:sz w:val="20"/>
          <w:szCs w:val="20"/>
          <w:lang w:val="nl-NL"/>
        </w:rPr>
      </w:pPr>
    </w:p>
    <w:p w14:paraId="625E556D" w14:textId="1BEDE8A0" w:rsidR="00115E1E" w:rsidRDefault="00115E1E" w:rsidP="00864A30">
      <w:pPr>
        <w:shd w:val="clear" w:color="auto" w:fill="FFFFFF"/>
        <w:spacing w:after="0" w:line="312" w:lineRule="auto"/>
        <w:ind w:left="502" w:right="260"/>
        <w:jc w:val="both"/>
        <w:rPr>
          <w:rFonts w:ascii="Times New Roman" w:hAnsi="Times New Roman"/>
          <w:sz w:val="20"/>
          <w:szCs w:val="20"/>
          <w:lang w:val="nl-NL"/>
        </w:rPr>
      </w:pPr>
      <w:r w:rsidRPr="00115E1E">
        <w:rPr>
          <w:rFonts w:ascii="Times New Roman" w:hAnsi="Times New Roman"/>
          <w:sz w:val="20"/>
          <w:szCs w:val="20"/>
          <w:lang w:val="nl-NL"/>
        </w:rPr>
        <w:t>Mục tiêu của Quỹ ETF DCVFMVNMIDCAP là mô phỏng gần nhất có thể về biến động (performance) của chỉ số tham chiếu.</w:t>
      </w:r>
    </w:p>
    <w:p w14:paraId="7C4D7F83" w14:textId="25FB6E17" w:rsidR="00CA2334" w:rsidRDefault="004921FA" w:rsidP="00864A30">
      <w:pPr>
        <w:shd w:val="clear" w:color="auto" w:fill="FFFFFF"/>
        <w:spacing w:after="0" w:line="312" w:lineRule="auto"/>
        <w:ind w:left="502" w:right="260"/>
        <w:jc w:val="both"/>
        <w:rPr>
          <w:rFonts w:ascii="Times New Roman" w:hAnsi="Times New Roman"/>
          <w:i/>
          <w:iCs/>
          <w:sz w:val="20"/>
          <w:szCs w:val="20"/>
          <w:lang w:val="nl-NL"/>
        </w:rPr>
      </w:pPr>
      <w:r w:rsidRPr="004921FA">
        <w:rPr>
          <w:rFonts w:ascii="Times New Roman" w:hAnsi="Times New Roman"/>
          <w:i/>
          <w:iCs/>
          <w:sz w:val="20"/>
          <w:szCs w:val="20"/>
          <w:lang w:val="nl-NL"/>
        </w:rPr>
        <w:t>The objective of the Fund is to replicate the performance of the Reference Index as closely as possible.</w:t>
      </w:r>
    </w:p>
    <w:p w14:paraId="5ACE448C" w14:textId="77777777" w:rsidR="004921FA" w:rsidRPr="004921FA" w:rsidRDefault="004921FA" w:rsidP="00864A30">
      <w:pPr>
        <w:shd w:val="clear" w:color="auto" w:fill="FFFFFF"/>
        <w:spacing w:after="0" w:line="312" w:lineRule="auto"/>
        <w:ind w:left="502" w:right="260"/>
        <w:jc w:val="both"/>
        <w:rPr>
          <w:rFonts w:ascii="Times New Roman" w:hAnsi="Times New Roman"/>
          <w:i/>
          <w:iCs/>
          <w:sz w:val="20"/>
          <w:szCs w:val="20"/>
          <w:lang w:val="nl-NL"/>
        </w:rPr>
      </w:pPr>
    </w:p>
    <w:p w14:paraId="79E7268D" w14:textId="0628B2C1" w:rsidR="00897749" w:rsidRDefault="00897749" w:rsidP="00864A30">
      <w:pPr>
        <w:shd w:val="clear" w:color="auto" w:fill="FFFFFF"/>
        <w:spacing w:after="0" w:line="312" w:lineRule="auto"/>
        <w:ind w:left="502" w:right="260"/>
        <w:jc w:val="both"/>
        <w:rPr>
          <w:rFonts w:ascii="Times New Roman" w:hAnsi="Times New Roman"/>
          <w:sz w:val="20"/>
          <w:szCs w:val="20"/>
          <w:lang w:val="nl-NL"/>
        </w:rPr>
      </w:pPr>
      <w:r w:rsidRPr="00E21368">
        <w:rPr>
          <w:rFonts w:ascii="Times New Roman" w:hAnsi="Times New Roman"/>
          <w:sz w:val="20"/>
          <w:szCs w:val="20"/>
          <w:lang w:val="nl-NL"/>
        </w:rPr>
        <w:t>Kỳ tính giá trị tài sản ròng</w:t>
      </w:r>
      <w:r w:rsidR="00A11002">
        <w:rPr>
          <w:rFonts w:ascii="Times New Roman" w:hAnsi="Times New Roman"/>
          <w:sz w:val="20"/>
          <w:szCs w:val="20"/>
          <w:lang w:val="nl-NL"/>
        </w:rPr>
        <w:t xml:space="preserve">: </w:t>
      </w:r>
      <w:r w:rsidRPr="00E21368">
        <w:rPr>
          <w:rFonts w:ascii="Times New Roman" w:hAnsi="Times New Roman"/>
          <w:sz w:val="20"/>
          <w:szCs w:val="20"/>
          <w:lang w:val="nl-NL"/>
        </w:rPr>
        <w:t xml:space="preserve">Giá trị tài sản ròng của Quỹ sẽ được định </w:t>
      </w:r>
      <w:r w:rsidR="00A62CD3">
        <w:rPr>
          <w:rFonts w:ascii="Times New Roman" w:hAnsi="Times New Roman"/>
          <w:sz w:val="20"/>
          <w:szCs w:val="20"/>
          <w:lang w:val="nl-NL"/>
        </w:rPr>
        <w:t>giá hàng ngày vào</w:t>
      </w:r>
      <w:r w:rsidR="00A62CD3" w:rsidRPr="00A62CD3">
        <w:rPr>
          <w:rFonts w:ascii="Times New Roman" w:hAnsi="Times New Roman"/>
          <w:sz w:val="20"/>
          <w:szCs w:val="20"/>
          <w:lang w:val="nl-NL"/>
        </w:rPr>
        <w:t xml:space="preserve"> ngày làm việc (của kỳ định giá ngày), ngày thứ Sáu hàng tuần (của kỳ định giá tuần) và ngày</w:t>
      </w:r>
      <w:r w:rsidR="00A62CD3">
        <w:rPr>
          <w:rFonts w:ascii="Times New Roman" w:hAnsi="Times New Roman"/>
          <w:sz w:val="20"/>
          <w:szCs w:val="20"/>
          <w:lang w:val="nl-NL"/>
        </w:rPr>
        <w:t xml:space="preserve"> </w:t>
      </w:r>
      <w:r w:rsidR="00A62CD3" w:rsidRPr="00A62CD3">
        <w:rPr>
          <w:rFonts w:ascii="Times New Roman" w:hAnsi="Times New Roman"/>
          <w:sz w:val="20"/>
          <w:szCs w:val="20"/>
          <w:lang w:val="nl-NL"/>
        </w:rPr>
        <w:t>đầu tiên của tháng tiếp theo (của kỳ định giá hàng tháng).</w:t>
      </w:r>
      <w:r w:rsidR="00A62CD3">
        <w:rPr>
          <w:rFonts w:ascii="Times New Roman" w:hAnsi="Times New Roman"/>
          <w:sz w:val="20"/>
          <w:szCs w:val="20"/>
          <w:lang w:val="nl-NL"/>
        </w:rPr>
        <w:t xml:space="preserve"> </w:t>
      </w:r>
      <w:r w:rsidRPr="00E21368">
        <w:rPr>
          <w:rFonts w:ascii="Times New Roman" w:hAnsi="Times New Roman"/>
          <w:sz w:val="20"/>
          <w:szCs w:val="20"/>
          <w:lang w:val="nl-NL"/>
        </w:rPr>
        <w:t>Trong trường hợp ngày định giá rơi vào ngày nghỉ hoặc ngày lễ thì ngày định giá là ngày làm việc kế tiếp liền ngay sau đó.  Đối với kỳ định giá hàng tháng, ngày định giá là ngày đầu tiên của tháng tiếp theo, và không thay đổi kể cả trường hợp ngày định giá rơi vào ngày nghỉ hoặc ngày lễ.</w:t>
      </w:r>
    </w:p>
    <w:p w14:paraId="09004657" w14:textId="42C6E210" w:rsidR="00CA2334" w:rsidRPr="00CA2334" w:rsidRDefault="006876F4" w:rsidP="00864A30">
      <w:pPr>
        <w:shd w:val="clear" w:color="auto" w:fill="FFFFFF"/>
        <w:spacing w:after="0" w:line="312" w:lineRule="auto"/>
        <w:ind w:left="502" w:right="260"/>
        <w:jc w:val="both"/>
        <w:rPr>
          <w:rFonts w:ascii="Times New Roman" w:hAnsi="Times New Roman"/>
          <w:i/>
          <w:iCs/>
          <w:sz w:val="20"/>
          <w:szCs w:val="20"/>
          <w:lang w:val="vi-VN"/>
        </w:rPr>
      </w:pPr>
      <w:r w:rsidRPr="006876F4">
        <w:rPr>
          <w:rFonts w:ascii="Times New Roman" w:hAnsi="Times New Roman"/>
          <w:i/>
          <w:iCs/>
          <w:sz w:val="20"/>
          <w:szCs w:val="20"/>
          <w:lang w:val="nl-NL"/>
        </w:rPr>
        <w:t>Frequency of net asset value determination</w:t>
      </w:r>
      <w:r w:rsidR="00CA2334" w:rsidRPr="00CA2334">
        <w:rPr>
          <w:rFonts w:ascii="Times New Roman" w:hAnsi="Times New Roman"/>
          <w:i/>
          <w:iCs/>
          <w:sz w:val="20"/>
          <w:szCs w:val="20"/>
          <w:lang w:val="vi-VN"/>
        </w:rPr>
        <w:t xml:space="preserve">: </w:t>
      </w:r>
      <w:r w:rsidR="00480FCF" w:rsidRPr="00480FCF">
        <w:rPr>
          <w:rFonts w:ascii="Times New Roman" w:hAnsi="Times New Roman"/>
          <w:i/>
          <w:iCs/>
          <w:sz w:val="20"/>
          <w:szCs w:val="20"/>
          <w:lang w:val="vi-VN"/>
        </w:rPr>
        <w:t>The Fund’s net asset value is determined daily on the working day (for daily valuation period), every Friday (for weekly valuation period), and the first day of the following month (for monthly valuation period). In case the valuation date falls on a weekend or a holiday, the valuation date will be moved to the working day right after. Regarding monthly valuation, the valuation date is the first date of the following month and does not change</w:t>
      </w:r>
      <w:r w:rsidR="00480FCF" w:rsidRPr="00480FCF">
        <w:rPr>
          <w:rFonts w:ascii="Times New Roman" w:hAnsi="Times New Roman"/>
          <w:i/>
          <w:iCs/>
          <w:sz w:val="20"/>
          <w:szCs w:val="20"/>
          <w:lang w:val="vi-VN"/>
        </w:rPr>
        <w:tab/>
        <w:t xml:space="preserve"> even if the valuation date falls on a weekend or a holiday.</w:t>
      </w:r>
    </w:p>
    <w:p w14:paraId="506C5A85" w14:textId="77777777" w:rsidR="004921FA" w:rsidRDefault="004921FA" w:rsidP="00864A30">
      <w:pPr>
        <w:shd w:val="clear" w:color="auto" w:fill="FFFFFF"/>
        <w:spacing w:after="0" w:line="312" w:lineRule="auto"/>
        <w:ind w:left="502" w:right="260"/>
        <w:jc w:val="both"/>
        <w:rPr>
          <w:rFonts w:ascii="Times New Roman" w:hAnsi="Times New Roman"/>
          <w:sz w:val="20"/>
          <w:szCs w:val="20"/>
          <w:lang w:val="nl-NL"/>
        </w:rPr>
      </w:pPr>
    </w:p>
    <w:p w14:paraId="33BEEA55" w14:textId="3628A5C6" w:rsidR="00897749" w:rsidRDefault="00897749" w:rsidP="00864A30">
      <w:pPr>
        <w:shd w:val="clear" w:color="auto" w:fill="FFFFFF"/>
        <w:spacing w:after="0" w:line="312" w:lineRule="auto"/>
        <w:ind w:left="502" w:right="260"/>
        <w:jc w:val="both"/>
        <w:rPr>
          <w:rFonts w:ascii="Times New Roman" w:hAnsi="Times New Roman"/>
          <w:sz w:val="20"/>
          <w:szCs w:val="20"/>
          <w:lang w:val="pt-BR"/>
        </w:rPr>
      </w:pPr>
      <w:r w:rsidRPr="00E21368">
        <w:rPr>
          <w:rFonts w:ascii="Times New Roman" w:hAnsi="Times New Roman"/>
          <w:sz w:val="20"/>
          <w:szCs w:val="20"/>
          <w:lang w:val="nl-NL"/>
        </w:rPr>
        <w:t>Tần suất giao dịch Chứng chỉ quỹ:</w:t>
      </w:r>
      <w:r w:rsidR="00394FD6" w:rsidRPr="00E21368">
        <w:rPr>
          <w:rFonts w:ascii="Times New Roman" w:hAnsi="Times New Roman"/>
          <w:sz w:val="20"/>
          <w:szCs w:val="20"/>
          <w:lang w:val="nl-NL"/>
        </w:rPr>
        <w:t xml:space="preserve"> </w:t>
      </w:r>
      <w:r w:rsidRPr="00E21368">
        <w:rPr>
          <w:rFonts w:ascii="Times New Roman" w:hAnsi="Times New Roman"/>
          <w:sz w:val="20"/>
          <w:szCs w:val="20"/>
          <w:lang w:val="pt-BR"/>
        </w:rPr>
        <w:t>Tần suất giao dịch hoán đổi được tổ chức định kỳ hàng ngày.</w:t>
      </w:r>
    </w:p>
    <w:p w14:paraId="6D4ECC44" w14:textId="40747298" w:rsidR="004417BD" w:rsidRDefault="004417BD" w:rsidP="00864A30">
      <w:pPr>
        <w:shd w:val="clear" w:color="auto" w:fill="FFFFFF"/>
        <w:spacing w:after="0" w:line="312" w:lineRule="auto"/>
        <w:ind w:left="502" w:right="260"/>
        <w:jc w:val="both"/>
        <w:rPr>
          <w:rFonts w:ascii="Times New Roman" w:hAnsi="Times New Roman"/>
          <w:i/>
          <w:iCs/>
          <w:sz w:val="20"/>
          <w:szCs w:val="20"/>
          <w:lang w:val="vi-VN"/>
        </w:rPr>
      </w:pPr>
      <w:r w:rsidRPr="004417BD">
        <w:rPr>
          <w:rFonts w:ascii="Times New Roman" w:hAnsi="Times New Roman"/>
          <w:i/>
          <w:iCs/>
          <w:sz w:val="20"/>
          <w:szCs w:val="20"/>
          <w:lang w:val="pt-BR"/>
        </w:rPr>
        <w:t>Trading</w:t>
      </w:r>
      <w:r w:rsidRPr="004417BD">
        <w:rPr>
          <w:rFonts w:ascii="Times New Roman" w:hAnsi="Times New Roman"/>
          <w:i/>
          <w:iCs/>
          <w:sz w:val="20"/>
          <w:szCs w:val="20"/>
          <w:lang w:val="vi-VN"/>
        </w:rPr>
        <w:t xml:space="preserve"> frequency of Fund Certificate: </w:t>
      </w:r>
      <w:r w:rsidR="00A66DAE" w:rsidRPr="00A66DAE">
        <w:rPr>
          <w:rFonts w:ascii="Times New Roman" w:hAnsi="Times New Roman"/>
          <w:i/>
          <w:iCs/>
          <w:sz w:val="20"/>
          <w:szCs w:val="20"/>
          <w:lang w:val="vi-VN"/>
        </w:rPr>
        <w:t>on a daily basis</w:t>
      </w:r>
    </w:p>
    <w:p w14:paraId="0704B80C" w14:textId="77777777" w:rsidR="00530509" w:rsidRPr="004417BD" w:rsidRDefault="00530509" w:rsidP="00864A30">
      <w:pPr>
        <w:shd w:val="clear" w:color="auto" w:fill="FFFFFF"/>
        <w:spacing w:after="0" w:line="312" w:lineRule="auto"/>
        <w:ind w:left="502" w:right="260"/>
        <w:jc w:val="both"/>
        <w:rPr>
          <w:rFonts w:ascii="Times New Roman" w:hAnsi="Times New Roman"/>
          <w:i/>
          <w:iCs/>
          <w:sz w:val="20"/>
          <w:szCs w:val="20"/>
          <w:lang w:val="vi-VN"/>
        </w:rPr>
      </w:pPr>
    </w:p>
    <w:p w14:paraId="7679C3AF" w14:textId="57A46A86" w:rsidR="008F4D4C" w:rsidRDefault="00897749" w:rsidP="00864A30">
      <w:pPr>
        <w:shd w:val="clear" w:color="auto" w:fill="FFFFFF"/>
        <w:spacing w:after="0" w:line="312" w:lineRule="auto"/>
        <w:ind w:left="502" w:right="260"/>
        <w:jc w:val="both"/>
        <w:rPr>
          <w:rFonts w:ascii="Times New Roman" w:hAnsi="Times New Roman"/>
          <w:sz w:val="20"/>
          <w:szCs w:val="20"/>
          <w:lang w:val="nl-NL"/>
        </w:rPr>
      </w:pPr>
      <w:r w:rsidRPr="00E21368">
        <w:rPr>
          <w:rFonts w:ascii="Times New Roman" w:hAnsi="Times New Roman"/>
          <w:sz w:val="20"/>
          <w:szCs w:val="20"/>
          <w:lang w:val="nl-NL"/>
        </w:rPr>
        <w:t>Hạn chế đầu tư của Quỹ</w:t>
      </w:r>
      <w:r w:rsidR="005243C2">
        <w:rPr>
          <w:rFonts w:ascii="Times New Roman" w:hAnsi="Times New Roman"/>
          <w:sz w:val="20"/>
          <w:szCs w:val="20"/>
          <w:lang w:val="nl-NL"/>
        </w:rPr>
        <w:t xml:space="preserve"> theo quy định của điều lệ và pháp luật hiện hành.</w:t>
      </w:r>
    </w:p>
    <w:p w14:paraId="4A2E377B" w14:textId="21D9B65C" w:rsidR="004417BD" w:rsidRPr="004417BD" w:rsidRDefault="004417BD" w:rsidP="00864A30">
      <w:pPr>
        <w:shd w:val="clear" w:color="auto" w:fill="FFFFFF"/>
        <w:spacing w:after="0" w:line="312" w:lineRule="auto"/>
        <w:ind w:left="502" w:right="260"/>
        <w:jc w:val="both"/>
        <w:rPr>
          <w:rFonts w:ascii="Times New Roman" w:hAnsi="Times New Roman"/>
          <w:bCs/>
          <w:i/>
          <w:iCs/>
          <w:sz w:val="20"/>
          <w:szCs w:val="20"/>
          <w:lang w:val="vi-VN"/>
        </w:rPr>
      </w:pPr>
      <w:r w:rsidRPr="004417BD">
        <w:rPr>
          <w:rFonts w:ascii="Times New Roman" w:hAnsi="Times New Roman"/>
          <w:bCs/>
          <w:i/>
          <w:iCs/>
          <w:sz w:val="20"/>
          <w:szCs w:val="20"/>
          <w:lang w:val="nl-NL"/>
        </w:rPr>
        <w:t>Investment Restrictions</w:t>
      </w:r>
      <w:r w:rsidRPr="004417BD">
        <w:rPr>
          <w:rFonts w:ascii="Times New Roman" w:hAnsi="Times New Roman"/>
          <w:bCs/>
          <w:i/>
          <w:iCs/>
          <w:sz w:val="20"/>
          <w:szCs w:val="20"/>
          <w:lang w:val="vi-VN"/>
        </w:rPr>
        <w:t xml:space="preserve"> of the Fund</w:t>
      </w:r>
      <w:r w:rsidRPr="004417BD">
        <w:rPr>
          <w:rFonts w:ascii="Times New Roman" w:hAnsi="Times New Roman"/>
          <w:bCs/>
          <w:i/>
          <w:iCs/>
          <w:sz w:val="20"/>
          <w:szCs w:val="20"/>
          <w:lang w:val="nl-NL"/>
        </w:rPr>
        <w:t xml:space="preserve"> is</w:t>
      </w:r>
      <w:r w:rsidRPr="004417BD">
        <w:rPr>
          <w:rFonts w:ascii="Times New Roman" w:hAnsi="Times New Roman"/>
          <w:bCs/>
          <w:i/>
          <w:iCs/>
          <w:sz w:val="20"/>
          <w:szCs w:val="20"/>
          <w:lang w:val="vi-VN"/>
        </w:rPr>
        <w:t xml:space="preserve"> </w:t>
      </w:r>
      <w:r w:rsidRPr="004417BD">
        <w:rPr>
          <w:rFonts w:ascii="Times New Roman" w:hAnsi="Times New Roman"/>
          <w:bCs/>
          <w:i/>
          <w:iCs/>
          <w:sz w:val="20"/>
          <w:szCs w:val="20"/>
          <w:lang w:val="nl-NL"/>
        </w:rPr>
        <w:t xml:space="preserve">according to the Fund charter and </w:t>
      </w:r>
      <w:r w:rsidR="00C55A3F" w:rsidRPr="00C55A3F">
        <w:rPr>
          <w:rFonts w:ascii="Times New Roman" w:hAnsi="Times New Roman"/>
          <w:bCs/>
          <w:i/>
          <w:iCs/>
          <w:sz w:val="20"/>
          <w:szCs w:val="20"/>
          <w:lang w:val="nl-NL"/>
        </w:rPr>
        <w:t xml:space="preserve">prevailing </w:t>
      </w:r>
      <w:r w:rsidRPr="004417BD">
        <w:rPr>
          <w:rFonts w:ascii="Times New Roman" w:hAnsi="Times New Roman"/>
          <w:bCs/>
          <w:i/>
          <w:iCs/>
          <w:sz w:val="20"/>
          <w:szCs w:val="20"/>
          <w:lang w:val="nl-NL"/>
        </w:rPr>
        <w:t>law</w:t>
      </w:r>
      <w:r w:rsidRPr="004417BD">
        <w:rPr>
          <w:rFonts w:ascii="Times New Roman" w:hAnsi="Times New Roman"/>
          <w:bCs/>
          <w:i/>
          <w:iCs/>
          <w:sz w:val="20"/>
          <w:szCs w:val="20"/>
          <w:lang w:val="vi-VN"/>
        </w:rPr>
        <w:t>.</w:t>
      </w:r>
    </w:p>
    <w:p w14:paraId="3F63B5DC" w14:textId="1FF4BF77" w:rsidR="00897749" w:rsidRPr="00C55A3F" w:rsidRDefault="00897749" w:rsidP="00C55A3F">
      <w:pPr>
        <w:pStyle w:val="ListParagraph"/>
        <w:numPr>
          <w:ilvl w:val="0"/>
          <w:numId w:val="39"/>
        </w:numPr>
        <w:shd w:val="clear" w:color="auto" w:fill="FFFFFF"/>
        <w:spacing w:before="120" w:after="120" w:line="312" w:lineRule="auto"/>
        <w:ind w:right="260"/>
        <w:jc w:val="both"/>
        <w:rPr>
          <w:rFonts w:ascii="Times New Roman" w:hAnsi="Times New Roman"/>
          <w:b/>
          <w:sz w:val="20"/>
          <w:szCs w:val="20"/>
          <w:lang w:val="vi-VN"/>
        </w:rPr>
      </w:pPr>
      <w:r w:rsidRPr="00C55A3F">
        <w:rPr>
          <w:rFonts w:ascii="Times New Roman" w:hAnsi="Times New Roman"/>
          <w:b/>
          <w:sz w:val="20"/>
          <w:szCs w:val="20"/>
          <w:lang w:val="nl-NL"/>
        </w:rPr>
        <w:t xml:space="preserve">Kỳ kế toán, đơn vị tiền tệ sử dụng trong kế </w:t>
      </w:r>
      <w:r w:rsidR="004417BD" w:rsidRPr="00C55A3F">
        <w:rPr>
          <w:rFonts w:ascii="Times New Roman" w:hAnsi="Times New Roman"/>
          <w:b/>
          <w:sz w:val="20"/>
          <w:szCs w:val="20"/>
          <w:lang w:val="nl-NL"/>
        </w:rPr>
        <w:t>toán</w:t>
      </w:r>
      <w:r w:rsidR="004417BD" w:rsidRPr="00C55A3F">
        <w:rPr>
          <w:rFonts w:ascii="Times New Roman" w:hAnsi="Times New Roman"/>
          <w:b/>
          <w:sz w:val="20"/>
          <w:szCs w:val="20"/>
          <w:lang w:val="vi-VN"/>
        </w:rPr>
        <w:t>/</w:t>
      </w:r>
      <w:r w:rsidR="00C55A3F">
        <w:rPr>
          <w:rFonts w:ascii="Times New Roman" w:hAnsi="Times New Roman"/>
          <w:b/>
          <w:sz w:val="20"/>
          <w:szCs w:val="20"/>
        </w:rPr>
        <w:t>F</w:t>
      </w:r>
      <w:r w:rsidR="00C55A3F" w:rsidRPr="00C55A3F">
        <w:rPr>
          <w:rFonts w:ascii="Times New Roman" w:hAnsi="Times New Roman"/>
          <w:b/>
          <w:sz w:val="20"/>
          <w:szCs w:val="20"/>
          <w:lang w:val="vi-VN"/>
        </w:rPr>
        <w:t>iscal year and currency</w:t>
      </w:r>
    </w:p>
    <w:p w14:paraId="6F449D66" w14:textId="042F57CD" w:rsidR="00897749" w:rsidRPr="00C55A3F" w:rsidRDefault="00897749" w:rsidP="00C55A3F">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C55A3F">
        <w:rPr>
          <w:rFonts w:ascii="Times New Roman" w:hAnsi="Times New Roman"/>
          <w:b/>
          <w:sz w:val="20"/>
          <w:szCs w:val="20"/>
          <w:lang w:val="nl-NL"/>
        </w:rPr>
        <w:t xml:space="preserve">Kỳ kế </w:t>
      </w:r>
      <w:r w:rsidR="004417BD" w:rsidRPr="00C55A3F">
        <w:rPr>
          <w:rFonts w:ascii="Times New Roman" w:hAnsi="Times New Roman"/>
          <w:b/>
          <w:sz w:val="20"/>
          <w:szCs w:val="20"/>
          <w:lang w:val="nl-NL"/>
        </w:rPr>
        <w:t>toán</w:t>
      </w:r>
      <w:r w:rsidR="004417BD" w:rsidRPr="00C55A3F">
        <w:rPr>
          <w:rFonts w:ascii="Times New Roman" w:hAnsi="Times New Roman"/>
          <w:b/>
          <w:sz w:val="20"/>
          <w:szCs w:val="20"/>
          <w:lang w:val="vi-VN"/>
        </w:rPr>
        <w:t>/ Fiscal year</w:t>
      </w:r>
    </w:p>
    <w:p w14:paraId="36574226" w14:textId="77777777" w:rsidR="00897749" w:rsidRDefault="00897749" w:rsidP="00C55A3F">
      <w:pPr>
        <w:tabs>
          <w:tab w:val="left" w:pos="0"/>
        </w:tabs>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Kỳ kế toán năm của quỹ là từ ngày 01 tháng 01 đến ngày 31 tháng 12.</w:t>
      </w:r>
    </w:p>
    <w:p w14:paraId="25C5F848" w14:textId="00B9D40B" w:rsidR="004417BD" w:rsidRPr="00762874" w:rsidRDefault="004417BD" w:rsidP="00C55A3F">
      <w:pPr>
        <w:tabs>
          <w:tab w:val="left" w:pos="0"/>
        </w:tabs>
        <w:spacing w:after="0" w:line="312" w:lineRule="auto"/>
        <w:ind w:left="502" w:right="260"/>
        <w:jc w:val="both"/>
        <w:rPr>
          <w:rFonts w:ascii="Times New Roman" w:hAnsi="Times New Roman"/>
          <w:sz w:val="20"/>
          <w:szCs w:val="20"/>
          <w:lang w:val="nl-NL"/>
        </w:rPr>
      </w:pPr>
      <w:r w:rsidRPr="004417BD">
        <w:rPr>
          <w:rFonts w:ascii="Times New Roman" w:hAnsi="Times New Roman"/>
          <w:sz w:val="20"/>
          <w:szCs w:val="20"/>
          <w:lang w:val="nl-NL"/>
        </w:rPr>
        <w:t>The Fund’s fiscal year starts on 1 January and ends on 31 December</w:t>
      </w:r>
    </w:p>
    <w:p w14:paraId="4C917B74" w14:textId="482B6306" w:rsidR="00897749" w:rsidRPr="00E67508" w:rsidRDefault="00897749" w:rsidP="00E67508">
      <w:pPr>
        <w:pStyle w:val="ListParagraph"/>
        <w:numPr>
          <w:ilvl w:val="1"/>
          <w:numId w:val="39"/>
        </w:numPr>
        <w:shd w:val="clear" w:color="auto" w:fill="FFFFFF"/>
        <w:spacing w:before="120" w:after="120" w:line="312" w:lineRule="auto"/>
        <w:ind w:right="259"/>
        <w:jc w:val="both"/>
        <w:rPr>
          <w:rFonts w:ascii="Times New Roman" w:hAnsi="Times New Roman"/>
          <w:b/>
          <w:sz w:val="20"/>
          <w:szCs w:val="20"/>
          <w:lang w:val="vi-VN"/>
        </w:rPr>
      </w:pPr>
      <w:r w:rsidRPr="00E67508">
        <w:rPr>
          <w:rFonts w:ascii="Times New Roman" w:hAnsi="Times New Roman"/>
          <w:b/>
          <w:sz w:val="20"/>
          <w:szCs w:val="20"/>
          <w:lang w:val="nl-NL"/>
        </w:rPr>
        <w:t xml:space="preserve">Đơn vị tiền tệ sử dụng trong kế </w:t>
      </w:r>
      <w:r w:rsidR="004417BD" w:rsidRPr="00E67508">
        <w:rPr>
          <w:rFonts w:ascii="Times New Roman" w:hAnsi="Times New Roman"/>
          <w:b/>
          <w:sz w:val="20"/>
          <w:szCs w:val="20"/>
          <w:lang w:val="nl-NL"/>
        </w:rPr>
        <w:t>toán</w:t>
      </w:r>
      <w:r w:rsidR="004417BD" w:rsidRPr="00E67508">
        <w:rPr>
          <w:rFonts w:ascii="Times New Roman" w:hAnsi="Times New Roman"/>
          <w:b/>
          <w:sz w:val="20"/>
          <w:szCs w:val="20"/>
          <w:lang w:val="vi-VN"/>
        </w:rPr>
        <w:t>/Currency</w:t>
      </w:r>
    </w:p>
    <w:p w14:paraId="0439EE35" w14:textId="6721A53A" w:rsidR="00897749" w:rsidRDefault="00897749" w:rsidP="00FD6F1A">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Báo cáo tài chính được lập và trình bày bằng Đồng Việt Nam (“VND”).</w:t>
      </w:r>
    </w:p>
    <w:p w14:paraId="14CFA11E" w14:textId="780B7623" w:rsidR="004417BD" w:rsidRPr="004417BD" w:rsidRDefault="004417BD" w:rsidP="00FD6F1A">
      <w:pPr>
        <w:shd w:val="clear" w:color="auto" w:fill="FFFFFF"/>
        <w:spacing w:after="0" w:line="312" w:lineRule="auto"/>
        <w:ind w:left="502" w:right="260"/>
        <w:jc w:val="both"/>
        <w:rPr>
          <w:rFonts w:ascii="Times New Roman" w:hAnsi="Times New Roman"/>
          <w:i/>
          <w:iCs/>
          <w:sz w:val="20"/>
          <w:szCs w:val="20"/>
          <w:lang w:val="nl-NL"/>
        </w:rPr>
      </w:pPr>
      <w:r w:rsidRPr="004417BD">
        <w:rPr>
          <w:rFonts w:ascii="Times New Roman" w:hAnsi="Times New Roman"/>
          <w:i/>
          <w:iCs/>
          <w:sz w:val="20"/>
          <w:szCs w:val="20"/>
          <w:lang w:val="nl-NL"/>
        </w:rPr>
        <w:t>The financial statements are measured and presented in the Vietnamese Dong (“VND”).</w:t>
      </w:r>
    </w:p>
    <w:p w14:paraId="10CC96BD" w14:textId="13BF7D05" w:rsidR="00063CE6" w:rsidRDefault="00063CE6" w:rsidP="005425EE">
      <w:pPr>
        <w:shd w:val="clear" w:color="auto" w:fill="FFFFFF"/>
        <w:spacing w:after="0" w:line="312" w:lineRule="auto"/>
        <w:ind w:left="142" w:right="260"/>
        <w:jc w:val="both"/>
        <w:rPr>
          <w:rFonts w:ascii="Times New Roman" w:hAnsi="Times New Roman"/>
          <w:sz w:val="20"/>
          <w:szCs w:val="20"/>
          <w:lang w:val="nl-NL"/>
        </w:rPr>
      </w:pPr>
    </w:p>
    <w:p w14:paraId="3D740B4B" w14:textId="5B0740F0" w:rsidR="00897749" w:rsidRPr="00FD6F1A" w:rsidRDefault="00897749" w:rsidP="00FD6F1A">
      <w:pPr>
        <w:pStyle w:val="ListParagraph"/>
        <w:numPr>
          <w:ilvl w:val="0"/>
          <w:numId w:val="39"/>
        </w:numPr>
        <w:shd w:val="clear" w:color="auto" w:fill="FFFFFF"/>
        <w:spacing w:before="120" w:after="120" w:line="312" w:lineRule="auto"/>
        <w:ind w:right="260"/>
        <w:jc w:val="both"/>
        <w:rPr>
          <w:rFonts w:ascii="Times New Roman" w:hAnsi="Times New Roman"/>
          <w:b/>
          <w:sz w:val="20"/>
          <w:szCs w:val="20"/>
          <w:lang w:val="vi-VN"/>
        </w:rPr>
      </w:pPr>
      <w:r w:rsidRPr="00FD6F1A">
        <w:rPr>
          <w:rFonts w:ascii="Times New Roman" w:hAnsi="Times New Roman"/>
          <w:b/>
          <w:sz w:val="20"/>
          <w:szCs w:val="20"/>
          <w:lang w:val="nl-NL"/>
        </w:rPr>
        <w:t xml:space="preserve">Chuẩn mực và Chế độ kế toán áp </w:t>
      </w:r>
      <w:r w:rsidR="004417BD" w:rsidRPr="00FD6F1A">
        <w:rPr>
          <w:rFonts w:ascii="Times New Roman" w:hAnsi="Times New Roman"/>
          <w:b/>
          <w:sz w:val="20"/>
          <w:szCs w:val="20"/>
          <w:lang w:val="nl-NL"/>
        </w:rPr>
        <w:t>dụng</w:t>
      </w:r>
      <w:r w:rsidR="004417BD" w:rsidRPr="00FD6F1A">
        <w:rPr>
          <w:rFonts w:ascii="Times New Roman" w:hAnsi="Times New Roman"/>
          <w:b/>
          <w:sz w:val="20"/>
          <w:szCs w:val="20"/>
          <w:lang w:val="vi-VN"/>
        </w:rPr>
        <w:t>/</w:t>
      </w:r>
      <w:r w:rsidR="00FD6F1A">
        <w:rPr>
          <w:rFonts w:ascii="Times New Roman" w:hAnsi="Times New Roman"/>
          <w:b/>
          <w:sz w:val="20"/>
          <w:szCs w:val="20"/>
        </w:rPr>
        <w:t>A</w:t>
      </w:r>
      <w:r w:rsidR="00FD6F1A" w:rsidRPr="00FD6F1A">
        <w:rPr>
          <w:rFonts w:ascii="Times New Roman" w:hAnsi="Times New Roman"/>
          <w:b/>
          <w:sz w:val="20"/>
          <w:szCs w:val="20"/>
          <w:lang w:val="vi-VN"/>
        </w:rPr>
        <w:t>ccounting standards and reporting framework applied</w:t>
      </w:r>
    </w:p>
    <w:p w14:paraId="27E22440" w14:textId="606EED3F" w:rsidR="00897749" w:rsidRPr="00501FCE" w:rsidRDefault="00897749" w:rsidP="00501FCE">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501FCE">
        <w:rPr>
          <w:rFonts w:ascii="Times New Roman" w:hAnsi="Times New Roman"/>
          <w:b/>
          <w:sz w:val="20"/>
          <w:szCs w:val="20"/>
          <w:lang w:val="nl-NL"/>
        </w:rPr>
        <w:t xml:space="preserve">Chế độ kế toán áp </w:t>
      </w:r>
      <w:r w:rsidR="004417BD" w:rsidRPr="00501FCE">
        <w:rPr>
          <w:rFonts w:ascii="Times New Roman" w:hAnsi="Times New Roman"/>
          <w:b/>
          <w:sz w:val="20"/>
          <w:szCs w:val="20"/>
          <w:lang w:val="nl-NL"/>
        </w:rPr>
        <w:t>dụng</w:t>
      </w:r>
      <w:r w:rsidR="004417BD" w:rsidRPr="00501FCE">
        <w:rPr>
          <w:rFonts w:ascii="Times New Roman" w:hAnsi="Times New Roman"/>
          <w:b/>
          <w:sz w:val="20"/>
          <w:szCs w:val="20"/>
          <w:lang w:val="vi-VN"/>
        </w:rPr>
        <w:t>/ Accounting policies</w:t>
      </w:r>
    </w:p>
    <w:p w14:paraId="29956339" w14:textId="13E89F74" w:rsidR="00897749" w:rsidRDefault="00897749" w:rsidP="00501FCE">
      <w:pPr>
        <w:shd w:val="clear" w:color="auto" w:fill="FFFFFF"/>
        <w:spacing w:before="120" w:after="0" w:line="312" w:lineRule="auto"/>
        <w:ind w:left="502" w:right="260"/>
        <w:jc w:val="both"/>
        <w:rPr>
          <w:rFonts w:ascii="Times New Roman" w:hAnsi="Times New Roman"/>
          <w:sz w:val="20"/>
          <w:szCs w:val="20"/>
          <w:lang w:val="nl-NL"/>
        </w:rPr>
      </w:pPr>
      <w:r w:rsidRPr="00E21368">
        <w:rPr>
          <w:rFonts w:ascii="Times New Roman" w:hAnsi="Times New Roman"/>
          <w:sz w:val="20"/>
          <w:szCs w:val="20"/>
          <w:lang w:val="nl-NL"/>
        </w:rPr>
        <w:t>Quỹ áp dụ</w:t>
      </w:r>
      <w:r w:rsidR="00A51415" w:rsidRPr="00E21368">
        <w:rPr>
          <w:rFonts w:ascii="Times New Roman" w:hAnsi="Times New Roman"/>
          <w:sz w:val="20"/>
          <w:szCs w:val="20"/>
          <w:lang w:val="nl-NL"/>
        </w:rPr>
        <w:t xml:space="preserve">ng Chế độ kế toán Quỹ ETF ban hành theo Thông tư số 181/2015/TT-BTC ngày 13/11/2015 của </w:t>
      </w:r>
      <w:r w:rsidR="00A51415" w:rsidRPr="00886DC3">
        <w:rPr>
          <w:rFonts w:ascii="Times New Roman" w:hAnsi="Times New Roman"/>
          <w:sz w:val="20"/>
          <w:szCs w:val="20"/>
          <w:lang w:val="nl-NL"/>
        </w:rPr>
        <w:t>Bộ Tài chính</w:t>
      </w:r>
      <w:r w:rsidRPr="00886DC3">
        <w:rPr>
          <w:rFonts w:ascii="Times New Roman" w:hAnsi="Times New Roman"/>
          <w:sz w:val="20"/>
          <w:szCs w:val="20"/>
          <w:lang w:val="nl-NL"/>
        </w:rPr>
        <w:t xml:space="preserve">, </w:t>
      </w:r>
      <w:r w:rsidR="00AC16A3" w:rsidRPr="00886DC3">
        <w:rPr>
          <w:rFonts w:ascii="Times New Roman" w:hAnsi="Times New Roman"/>
          <w:sz w:val="20"/>
          <w:szCs w:val="20"/>
          <w:lang w:val="nl-NL"/>
        </w:rPr>
        <w:t xml:space="preserve">Thông tư 98/2020/TT-BTC ngày 16 tháng 11 năm 2020 </w:t>
      </w:r>
      <w:r w:rsidR="00513862">
        <w:rPr>
          <w:rFonts w:ascii="Times New Roman" w:hAnsi="Times New Roman"/>
          <w:sz w:val="20"/>
          <w:szCs w:val="20"/>
          <w:lang w:val="nl-NL"/>
        </w:rPr>
        <w:t>của</w:t>
      </w:r>
      <w:r w:rsidR="00A71E04">
        <w:rPr>
          <w:rFonts w:ascii="Times New Roman" w:hAnsi="Times New Roman"/>
          <w:sz w:val="20"/>
          <w:szCs w:val="20"/>
          <w:lang w:val="nl-NL"/>
        </w:rPr>
        <w:t xml:space="preserve"> </w:t>
      </w:r>
      <w:r w:rsidR="00AC16A3" w:rsidRPr="00886DC3">
        <w:rPr>
          <w:rFonts w:ascii="Times New Roman" w:hAnsi="Times New Roman"/>
          <w:sz w:val="20"/>
          <w:szCs w:val="20"/>
          <w:lang w:val="nl-NL"/>
        </w:rPr>
        <w:t>Bộ Tài chính ban hành về hướng dẫn hoạt động và quản lý quỹ đầu tư chứng khoán</w:t>
      </w:r>
      <w:r w:rsidR="00A71E04">
        <w:rPr>
          <w:rFonts w:ascii="Times New Roman" w:hAnsi="Times New Roman"/>
          <w:sz w:val="20"/>
          <w:szCs w:val="20"/>
          <w:lang w:val="nl-NL"/>
        </w:rPr>
        <w:t xml:space="preserve"> </w:t>
      </w:r>
      <w:r w:rsidR="00EB5911">
        <w:rPr>
          <w:rFonts w:ascii="Times New Roman" w:hAnsi="Times New Roman"/>
          <w:sz w:val="20"/>
          <w:szCs w:val="20"/>
          <w:lang w:val="nl-NL"/>
        </w:rPr>
        <w:t>(“</w:t>
      </w:r>
      <w:r w:rsidR="00EB5911" w:rsidRPr="00886DC3">
        <w:rPr>
          <w:rFonts w:ascii="Times New Roman" w:hAnsi="Times New Roman"/>
          <w:sz w:val="20"/>
          <w:szCs w:val="20"/>
          <w:lang w:val="nl-NL"/>
        </w:rPr>
        <w:t>Thông tư 98</w:t>
      </w:r>
      <w:r w:rsidR="00EB5911">
        <w:rPr>
          <w:rFonts w:ascii="Times New Roman" w:hAnsi="Times New Roman"/>
          <w:sz w:val="20"/>
          <w:szCs w:val="20"/>
          <w:lang w:val="nl-NL"/>
        </w:rPr>
        <w:t xml:space="preserve">”) </w:t>
      </w:r>
      <w:r w:rsidR="00A71E04">
        <w:rPr>
          <w:rFonts w:ascii="Times New Roman" w:hAnsi="Times New Roman"/>
          <w:sz w:val="20"/>
          <w:szCs w:val="20"/>
          <w:lang w:val="nl-NL"/>
        </w:rPr>
        <w:t>và các quy định có liên quan khác.</w:t>
      </w:r>
    </w:p>
    <w:p w14:paraId="12CF223D" w14:textId="66EB8293" w:rsidR="004417BD" w:rsidRPr="004417BD" w:rsidRDefault="004417BD" w:rsidP="00501FCE">
      <w:pPr>
        <w:shd w:val="clear" w:color="auto" w:fill="FFFFFF"/>
        <w:spacing w:before="60" w:after="120" w:line="312" w:lineRule="auto"/>
        <w:ind w:left="502" w:right="260"/>
        <w:jc w:val="both"/>
        <w:rPr>
          <w:rFonts w:ascii="Times New Roman" w:hAnsi="Times New Roman"/>
          <w:i/>
          <w:iCs/>
          <w:sz w:val="20"/>
          <w:szCs w:val="20"/>
          <w:lang w:val="nl-NL"/>
        </w:rPr>
      </w:pPr>
      <w:r w:rsidRPr="004417BD">
        <w:rPr>
          <w:rFonts w:ascii="Times New Roman" w:hAnsi="Times New Roman"/>
          <w:i/>
          <w:iCs/>
          <w:sz w:val="20"/>
          <w:szCs w:val="20"/>
          <w:lang w:val="nl-NL"/>
        </w:rPr>
        <w:t xml:space="preserve">The Fund applies the ETF Fund Accounting Regime issued according to Circular No. 181/2015/TT-BTC dated </w:t>
      </w:r>
      <w:r w:rsidR="009A0301">
        <w:rPr>
          <w:rFonts w:ascii="Times New Roman" w:hAnsi="Times New Roman"/>
          <w:i/>
          <w:iCs/>
          <w:sz w:val="20"/>
          <w:szCs w:val="20"/>
          <w:lang w:val="nl-NL"/>
        </w:rPr>
        <w:t xml:space="preserve">13 </w:t>
      </w:r>
      <w:r w:rsidRPr="004417BD">
        <w:rPr>
          <w:rFonts w:ascii="Times New Roman" w:hAnsi="Times New Roman"/>
          <w:i/>
          <w:iCs/>
          <w:sz w:val="20"/>
          <w:szCs w:val="20"/>
          <w:lang w:val="nl-NL"/>
        </w:rPr>
        <w:t xml:space="preserve">November 2015 of the Ministry of Finance, Circular 98/2020/TT-BTC dated </w:t>
      </w:r>
      <w:r w:rsidR="009A0301">
        <w:rPr>
          <w:rFonts w:ascii="Times New Roman" w:hAnsi="Times New Roman"/>
          <w:i/>
          <w:iCs/>
          <w:sz w:val="20"/>
          <w:szCs w:val="20"/>
          <w:lang w:val="nl-NL"/>
        </w:rPr>
        <w:t xml:space="preserve">16 </w:t>
      </w:r>
      <w:r w:rsidRPr="004417BD">
        <w:rPr>
          <w:rFonts w:ascii="Times New Roman" w:hAnsi="Times New Roman"/>
          <w:i/>
          <w:iCs/>
          <w:sz w:val="20"/>
          <w:szCs w:val="20"/>
          <w:lang w:val="nl-NL"/>
        </w:rPr>
        <w:t>November 2020 of the Ministry Finance issued on guidance on operations and management of securities investment funds (“Circular 98”) and other relevant regulations.</w:t>
      </w:r>
    </w:p>
    <w:p w14:paraId="67073BDD" w14:textId="77777777" w:rsidR="00682E4B" w:rsidRDefault="00682E4B">
      <w:pPr>
        <w:spacing w:after="160" w:line="259" w:lineRule="auto"/>
        <w:rPr>
          <w:rFonts w:ascii="Times New Roman" w:hAnsi="Times New Roman"/>
          <w:b/>
          <w:sz w:val="20"/>
          <w:szCs w:val="20"/>
          <w:lang w:val="nl-NL"/>
        </w:rPr>
      </w:pPr>
      <w:r>
        <w:rPr>
          <w:rFonts w:ascii="Times New Roman" w:hAnsi="Times New Roman"/>
          <w:b/>
          <w:sz w:val="20"/>
          <w:szCs w:val="20"/>
          <w:lang w:val="nl-NL"/>
        </w:rPr>
        <w:br w:type="page"/>
      </w:r>
    </w:p>
    <w:p w14:paraId="630C4F7B" w14:textId="1C0781B2" w:rsidR="00897749" w:rsidRPr="00682E4B" w:rsidRDefault="00897749" w:rsidP="00682E4B">
      <w:pPr>
        <w:pStyle w:val="ListParagraph"/>
        <w:numPr>
          <w:ilvl w:val="1"/>
          <w:numId w:val="39"/>
        </w:numPr>
        <w:shd w:val="clear" w:color="auto" w:fill="FFFFFF"/>
        <w:spacing w:before="60" w:after="120" w:line="312" w:lineRule="auto"/>
        <w:ind w:right="260"/>
        <w:jc w:val="both"/>
        <w:rPr>
          <w:rFonts w:ascii="Times New Roman" w:hAnsi="Times New Roman"/>
          <w:b/>
          <w:sz w:val="20"/>
          <w:szCs w:val="20"/>
          <w:lang w:val="nl-NL"/>
        </w:rPr>
      </w:pPr>
      <w:r w:rsidRPr="00682E4B">
        <w:rPr>
          <w:rFonts w:ascii="Times New Roman" w:hAnsi="Times New Roman"/>
          <w:b/>
          <w:sz w:val="20"/>
          <w:szCs w:val="20"/>
          <w:lang w:val="nl-NL"/>
        </w:rPr>
        <w:lastRenderedPageBreak/>
        <w:t>Tuyên bố về việc tuân thủ Chuẩn mực kế toán và Chế độ kế toán</w:t>
      </w:r>
    </w:p>
    <w:p w14:paraId="6A52105A" w14:textId="7A894D06" w:rsidR="00897749" w:rsidRDefault="00897749" w:rsidP="00682E4B">
      <w:pPr>
        <w:widowControl w:val="0"/>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 xml:space="preserve">Báo cáo tài chính được lập theo </w:t>
      </w:r>
      <w:r w:rsidR="00A51415" w:rsidRPr="00762874">
        <w:rPr>
          <w:rFonts w:ascii="Times New Roman" w:hAnsi="Times New Roman"/>
          <w:sz w:val="20"/>
          <w:szCs w:val="20"/>
          <w:lang w:val="nl-NL"/>
        </w:rPr>
        <w:t>Thông tư số 181/2015/TT-BTC ngày 13/11/2015 của Bộ Tài chính</w:t>
      </w:r>
      <w:r w:rsidRPr="00762874">
        <w:rPr>
          <w:rFonts w:ascii="Times New Roman" w:hAnsi="Times New Roman"/>
          <w:sz w:val="20"/>
          <w:szCs w:val="20"/>
          <w:lang w:val="nl-NL"/>
        </w:rPr>
        <w:t xml:space="preserve">, </w:t>
      </w:r>
      <w:bookmarkStart w:id="2" w:name="_Hlk68767941"/>
      <w:r w:rsidR="00AC16A3" w:rsidRPr="00762874">
        <w:rPr>
          <w:rFonts w:ascii="Times New Roman" w:hAnsi="Times New Roman"/>
          <w:sz w:val="20"/>
          <w:szCs w:val="20"/>
          <w:lang w:val="nl-NL"/>
        </w:rPr>
        <w:t xml:space="preserve">Thông tư 98/2020/TT-BTC ngày 16 tháng 11 năm 2020 </w:t>
      </w:r>
      <w:r w:rsidR="00513862" w:rsidRPr="00762874">
        <w:rPr>
          <w:rFonts w:ascii="Times New Roman" w:hAnsi="Times New Roman"/>
          <w:sz w:val="20"/>
          <w:szCs w:val="20"/>
          <w:lang w:val="nl-NL"/>
        </w:rPr>
        <w:t>của</w:t>
      </w:r>
      <w:r w:rsidR="00A71E04" w:rsidRPr="00762874">
        <w:rPr>
          <w:rFonts w:ascii="Times New Roman" w:hAnsi="Times New Roman"/>
          <w:sz w:val="20"/>
          <w:szCs w:val="20"/>
          <w:lang w:val="nl-NL"/>
        </w:rPr>
        <w:t xml:space="preserve"> </w:t>
      </w:r>
      <w:r w:rsidR="00AC16A3" w:rsidRPr="00762874">
        <w:rPr>
          <w:rFonts w:ascii="Times New Roman" w:hAnsi="Times New Roman"/>
          <w:sz w:val="20"/>
          <w:szCs w:val="20"/>
          <w:lang w:val="nl-NL"/>
        </w:rPr>
        <w:t>Bộ Tài chính ban hành về hướng dẫn hoạt động và quản lý quỹ đầu tư chứng khoán</w:t>
      </w:r>
      <w:bookmarkEnd w:id="2"/>
      <w:r w:rsidRPr="00762874">
        <w:rPr>
          <w:rFonts w:ascii="Times New Roman" w:hAnsi="Times New Roman"/>
          <w:sz w:val="20"/>
          <w:szCs w:val="20"/>
          <w:lang w:val="nl-NL"/>
        </w:rPr>
        <w:t>, các Chuẩn mực Kế toán Việt Nam, Chế độ Kế toán doanh nghiệp Việt Nam và các quy định có liên quan đến việc lập và trình bày báo cáo tài chính</w:t>
      </w:r>
      <w:r w:rsidR="00E03BF4" w:rsidRPr="00762874">
        <w:rPr>
          <w:rFonts w:ascii="Times New Roman" w:hAnsi="Times New Roman"/>
          <w:sz w:val="20"/>
          <w:szCs w:val="20"/>
          <w:lang w:val="nl-NL"/>
        </w:rPr>
        <w:t>.</w:t>
      </w:r>
    </w:p>
    <w:p w14:paraId="2BF0D7D0" w14:textId="40404C75" w:rsidR="004417BD" w:rsidRDefault="004417BD" w:rsidP="00682E4B">
      <w:pPr>
        <w:widowControl w:val="0"/>
        <w:spacing w:after="0" w:line="312" w:lineRule="auto"/>
        <w:ind w:left="502" w:right="260"/>
        <w:jc w:val="both"/>
        <w:rPr>
          <w:rFonts w:ascii="Times New Roman" w:hAnsi="Times New Roman"/>
          <w:i/>
          <w:iCs/>
          <w:sz w:val="20"/>
          <w:szCs w:val="20"/>
          <w:lang w:val="nl-NL"/>
        </w:rPr>
      </w:pPr>
      <w:r w:rsidRPr="004417BD">
        <w:rPr>
          <w:rFonts w:ascii="Times New Roman" w:hAnsi="Times New Roman"/>
          <w:i/>
          <w:iCs/>
          <w:sz w:val="20"/>
          <w:szCs w:val="20"/>
          <w:lang w:val="nl-NL"/>
        </w:rPr>
        <w:t>The financial statements have been prepared in accordance with Vietnamese Accounting Standards, the Vietnamese Accounting System applicable to exchange-traded funds stipulated in Circular 181/2015/TT-BTC issued by the Ministry of Finance on 13 November 2015, Circular 98/2020/TT-BTC issued by the Ministry of Finance on 16 November 2020 providing guidance on the operation and management of securities investment funds and prevailing regulations on preparation and presentation of financial statements.</w:t>
      </w:r>
    </w:p>
    <w:p w14:paraId="024AC12D" w14:textId="77777777" w:rsidR="00193668" w:rsidRPr="004417BD" w:rsidRDefault="00193668" w:rsidP="00682E4B">
      <w:pPr>
        <w:widowControl w:val="0"/>
        <w:spacing w:after="0" w:line="312" w:lineRule="auto"/>
        <w:ind w:left="502" w:right="260"/>
        <w:jc w:val="both"/>
        <w:rPr>
          <w:rFonts w:ascii="Times New Roman" w:hAnsi="Times New Roman"/>
          <w:i/>
          <w:iCs/>
          <w:sz w:val="20"/>
          <w:szCs w:val="20"/>
          <w:lang w:val="nl-NL"/>
        </w:rPr>
      </w:pPr>
    </w:p>
    <w:p w14:paraId="416ECCB8" w14:textId="634D09DA" w:rsidR="004417BD" w:rsidRPr="00193668" w:rsidRDefault="00897749" w:rsidP="00193668">
      <w:pPr>
        <w:pStyle w:val="ListParagraph"/>
        <w:numPr>
          <w:ilvl w:val="1"/>
          <w:numId w:val="39"/>
        </w:numPr>
        <w:shd w:val="clear" w:color="auto" w:fill="FFFFFF"/>
        <w:spacing w:before="60" w:after="120" w:line="312" w:lineRule="auto"/>
        <w:ind w:right="260"/>
        <w:jc w:val="both"/>
        <w:rPr>
          <w:rFonts w:ascii="Times New Roman" w:hAnsi="Times New Roman"/>
          <w:b/>
          <w:sz w:val="20"/>
          <w:szCs w:val="20"/>
          <w:lang w:val="vi-VN"/>
        </w:rPr>
      </w:pPr>
      <w:r w:rsidRPr="00193668">
        <w:rPr>
          <w:rFonts w:ascii="Times New Roman" w:hAnsi="Times New Roman"/>
          <w:b/>
          <w:sz w:val="20"/>
          <w:szCs w:val="20"/>
          <w:lang w:val="nl-NL"/>
        </w:rPr>
        <w:t xml:space="preserve">Hình thức kế toán áp </w:t>
      </w:r>
      <w:r w:rsidR="004417BD" w:rsidRPr="00193668">
        <w:rPr>
          <w:rFonts w:ascii="Times New Roman" w:hAnsi="Times New Roman"/>
          <w:b/>
          <w:sz w:val="20"/>
          <w:szCs w:val="20"/>
          <w:lang w:val="nl-NL"/>
        </w:rPr>
        <w:t>dụng</w:t>
      </w:r>
      <w:r w:rsidR="004417BD" w:rsidRPr="00193668">
        <w:rPr>
          <w:rFonts w:ascii="Times New Roman" w:hAnsi="Times New Roman"/>
          <w:b/>
          <w:sz w:val="20"/>
          <w:szCs w:val="20"/>
          <w:lang w:val="vi-VN"/>
        </w:rPr>
        <w:t>/</w:t>
      </w:r>
      <w:r w:rsidR="004417BD" w:rsidRPr="004417BD">
        <w:t xml:space="preserve"> </w:t>
      </w:r>
      <w:r w:rsidR="004417BD" w:rsidRPr="00193668">
        <w:rPr>
          <w:rFonts w:ascii="Times New Roman" w:hAnsi="Times New Roman"/>
          <w:b/>
          <w:sz w:val="20"/>
          <w:szCs w:val="20"/>
          <w:lang w:val="vi-VN"/>
        </w:rPr>
        <w:t>Registered accounting documentation system</w:t>
      </w:r>
    </w:p>
    <w:p w14:paraId="694A3166" w14:textId="6BE6413A" w:rsidR="00897749" w:rsidRPr="004417BD" w:rsidRDefault="00897749" w:rsidP="006B6126">
      <w:pPr>
        <w:shd w:val="clear" w:color="auto" w:fill="FFFFFF"/>
        <w:spacing w:before="60" w:after="120" w:line="312" w:lineRule="auto"/>
        <w:ind w:left="502" w:right="260"/>
        <w:jc w:val="both"/>
        <w:rPr>
          <w:rFonts w:ascii="Times New Roman" w:hAnsi="Times New Roman"/>
          <w:bCs/>
          <w:sz w:val="20"/>
          <w:szCs w:val="20"/>
          <w:lang w:val="vi-VN"/>
        </w:rPr>
      </w:pPr>
      <w:r w:rsidRPr="004417BD">
        <w:rPr>
          <w:rFonts w:ascii="Times New Roman" w:hAnsi="Times New Roman"/>
          <w:bCs/>
          <w:sz w:val="20"/>
          <w:szCs w:val="20"/>
          <w:lang w:val="nl-NL"/>
        </w:rPr>
        <w:t xml:space="preserve">Nhật ký </w:t>
      </w:r>
      <w:r w:rsidR="004417BD" w:rsidRPr="004417BD">
        <w:rPr>
          <w:rFonts w:ascii="Times New Roman" w:hAnsi="Times New Roman"/>
          <w:bCs/>
          <w:sz w:val="20"/>
          <w:szCs w:val="20"/>
          <w:lang w:val="nl-NL"/>
        </w:rPr>
        <w:t>chung</w:t>
      </w:r>
      <w:r w:rsidR="004417BD" w:rsidRPr="00145404">
        <w:rPr>
          <w:rFonts w:ascii="Times New Roman" w:hAnsi="Times New Roman"/>
          <w:bCs/>
          <w:i/>
          <w:iCs/>
          <w:sz w:val="20"/>
          <w:szCs w:val="20"/>
          <w:lang w:val="vi-VN"/>
        </w:rPr>
        <w:t>/</w:t>
      </w:r>
      <w:r w:rsidR="00145404" w:rsidRPr="00145404">
        <w:rPr>
          <w:rFonts w:ascii="Times New Roman" w:hAnsi="Times New Roman"/>
          <w:bCs/>
          <w:i/>
          <w:iCs/>
          <w:sz w:val="20"/>
          <w:szCs w:val="20"/>
          <w:lang w:val="vi-VN"/>
        </w:rPr>
        <w:t>General Journal Ledger</w:t>
      </w:r>
      <w:r w:rsidR="004417BD" w:rsidRPr="004417BD">
        <w:rPr>
          <w:rFonts w:ascii="Times New Roman" w:hAnsi="Times New Roman"/>
          <w:bCs/>
          <w:sz w:val="20"/>
          <w:szCs w:val="20"/>
          <w:lang w:val="vi-VN"/>
        </w:rPr>
        <w:t xml:space="preserve"> </w:t>
      </w:r>
    </w:p>
    <w:p w14:paraId="5E55F4B0" w14:textId="3FD4DBAF" w:rsidR="00897749" w:rsidRPr="00145404" w:rsidRDefault="00897749" w:rsidP="00145404">
      <w:pPr>
        <w:pStyle w:val="ListParagraph"/>
        <w:keepNext/>
        <w:keepLines/>
        <w:numPr>
          <w:ilvl w:val="0"/>
          <w:numId w:val="39"/>
        </w:numPr>
        <w:shd w:val="clear" w:color="auto" w:fill="FFFFFF"/>
        <w:spacing w:after="120" w:line="312" w:lineRule="auto"/>
        <w:ind w:right="260"/>
        <w:jc w:val="both"/>
        <w:rPr>
          <w:rFonts w:ascii="Times New Roman" w:hAnsi="Times New Roman"/>
          <w:b/>
          <w:sz w:val="20"/>
          <w:szCs w:val="20"/>
          <w:lang w:val="nl-NL"/>
        </w:rPr>
      </w:pPr>
      <w:r w:rsidRPr="00145404">
        <w:rPr>
          <w:rFonts w:ascii="Times New Roman" w:hAnsi="Times New Roman"/>
          <w:b/>
          <w:sz w:val="20"/>
          <w:szCs w:val="20"/>
          <w:lang w:val="nl-NL"/>
        </w:rPr>
        <w:t>Các chính sách kế toán áp dụng</w:t>
      </w:r>
      <w:r w:rsidR="007E0471">
        <w:rPr>
          <w:rFonts w:ascii="Times New Roman" w:hAnsi="Times New Roman"/>
          <w:b/>
          <w:sz w:val="20"/>
          <w:szCs w:val="20"/>
          <w:lang w:val="nl-NL"/>
        </w:rPr>
        <w:t>/</w:t>
      </w:r>
      <w:r w:rsidR="007E0471" w:rsidRPr="007E0471">
        <w:rPr>
          <w:rFonts w:ascii="Times New Roman" w:hAnsi="Times New Roman"/>
          <w:b/>
          <w:i/>
          <w:iCs/>
          <w:sz w:val="20"/>
          <w:szCs w:val="20"/>
          <w:lang w:val="nl-NL"/>
        </w:rPr>
        <w:t>Summery of significant accounting policies</w:t>
      </w:r>
      <w:r w:rsidR="007E0471" w:rsidRPr="007E0471">
        <w:rPr>
          <w:rFonts w:ascii="Times New Roman" w:hAnsi="Times New Roman"/>
          <w:b/>
          <w:sz w:val="20"/>
          <w:szCs w:val="20"/>
          <w:lang w:val="nl-NL"/>
        </w:rPr>
        <w:t>:</w:t>
      </w:r>
    </w:p>
    <w:p w14:paraId="2298ED97" w14:textId="599DC5FE" w:rsidR="00897749" w:rsidRPr="00145404" w:rsidRDefault="00897749" w:rsidP="00145404">
      <w:pPr>
        <w:pStyle w:val="ListParagraph"/>
        <w:keepNext/>
        <w:keepLines/>
        <w:numPr>
          <w:ilvl w:val="1"/>
          <w:numId w:val="39"/>
        </w:numPr>
        <w:shd w:val="clear" w:color="auto" w:fill="FFFFFF"/>
        <w:spacing w:after="120" w:line="312" w:lineRule="auto"/>
        <w:ind w:right="260"/>
        <w:jc w:val="both"/>
        <w:rPr>
          <w:rFonts w:ascii="Times New Roman" w:hAnsi="Times New Roman"/>
          <w:b/>
          <w:sz w:val="20"/>
          <w:szCs w:val="20"/>
          <w:lang w:val="vi-VN"/>
        </w:rPr>
      </w:pPr>
      <w:r w:rsidRPr="00145404">
        <w:rPr>
          <w:rFonts w:ascii="Times New Roman" w:hAnsi="Times New Roman"/>
          <w:b/>
          <w:sz w:val="20"/>
          <w:szCs w:val="20"/>
          <w:lang w:val="nl-NL"/>
        </w:rPr>
        <w:t xml:space="preserve">Tiền gửi ngân hàng và các khoản tương đương </w:t>
      </w:r>
      <w:r w:rsidR="004417BD" w:rsidRPr="00145404">
        <w:rPr>
          <w:rFonts w:ascii="Times New Roman" w:hAnsi="Times New Roman"/>
          <w:b/>
          <w:sz w:val="20"/>
          <w:szCs w:val="20"/>
          <w:lang w:val="nl-NL"/>
        </w:rPr>
        <w:t>tiền</w:t>
      </w:r>
      <w:r w:rsidR="004417BD" w:rsidRPr="00145404">
        <w:rPr>
          <w:rFonts w:ascii="Times New Roman" w:hAnsi="Times New Roman"/>
          <w:b/>
          <w:sz w:val="20"/>
          <w:szCs w:val="20"/>
          <w:lang w:val="vi-VN"/>
        </w:rPr>
        <w:t>/Cash and cash equivalents</w:t>
      </w:r>
    </w:p>
    <w:p w14:paraId="5FDF71AD" w14:textId="77777777" w:rsidR="001212DB" w:rsidRDefault="00EB5911" w:rsidP="00643301">
      <w:pPr>
        <w:keepNext/>
        <w:keepLines/>
        <w:shd w:val="clear" w:color="auto" w:fill="FFFFFF"/>
        <w:spacing w:after="60" w:line="312" w:lineRule="auto"/>
        <w:ind w:left="502" w:right="260"/>
        <w:jc w:val="both"/>
        <w:rPr>
          <w:rFonts w:ascii="Times New Roman" w:hAnsi="Times New Roman"/>
          <w:sz w:val="20"/>
          <w:szCs w:val="20"/>
          <w:lang w:val="nl-NL"/>
        </w:rPr>
      </w:pPr>
      <w:bookmarkStart w:id="3" w:name="_Toc24202934"/>
      <w:bookmarkStart w:id="4" w:name="_Toc118086214"/>
      <w:bookmarkStart w:id="5" w:name="_Toc127268620"/>
      <w:r w:rsidRPr="00762874">
        <w:rPr>
          <w:rFonts w:ascii="Times New Roman" w:hAnsi="Times New Roman"/>
          <w:sz w:val="20"/>
          <w:szCs w:val="20"/>
          <w:lang w:val="nl-NL"/>
        </w:rPr>
        <w:t>Tiền gửi ngân hàng và các khoản tương đương tiền bao gồm tiền gửi không kỳ hạn và tiền gửi có kỳ hạn gốc không quá ba (03) tháng tại ngân hàng kể từ ngày giao dịch. Các khoản tương đương tiền là các khoản đầu tư ngắn hạn có tính thanh khoản cao, có thể dễ dàng chuyển đổi thành một lượng tiền xác định, không có nhiều rủi ro về thay đổi giá trị và được sử dụng cho mục đích đáp ứng các cam kết chi tiền ngắn hạn hơn là cho mục đích đầu tư hay là các mục đích khác.</w:t>
      </w:r>
    </w:p>
    <w:p w14:paraId="2A696081" w14:textId="5DEE0DE8" w:rsidR="00402811" w:rsidRDefault="00402811" w:rsidP="00643301">
      <w:pPr>
        <w:keepNext/>
        <w:keepLines/>
        <w:shd w:val="clear" w:color="auto" w:fill="FFFFFF"/>
        <w:spacing w:after="6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Bank deposits and cash equivalents include demand deposits and deposits with original terms not exceeding three (03) months at the bank from the transaction date. Cash equivalents are short-term highly liquid investments that are readily convertible to known amounts of cash, are subject to an insignificant risk of changes in value, and are held for the purpose of meeting Short-term commitments to spend money rather than for investment or other purposes.</w:t>
      </w:r>
    </w:p>
    <w:p w14:paraId="623CFF80" w14:textId="77777777" w:rsidR="00643301" w:rsidRPr="00402811" w:rsidRDefault="00643301" w:rsidP="00643301">
      <w:pPr>
        <w:keepNext/>
        <w:keepLines/>
        <w:shd w:val="clear" w:color="auto" w:fill="FFFFFF"/>
        <w:spacing w:after="60" w:line="312" w:lineRule="auto"/>
        <w:ind w:left="502" w:right="260"/>
        <w:jc w:val="both"/>
        <w:rPr>
          <w:rFonts w:ascii="Times New Roman" w:hAnsi="Times New Roman"/>
          <w:i/>
          <w:iCs/>
          <w:sz w:val="20"/>
          <w:szCs w:val="20"/>
          <w:lang w:val="nl-NL"/>
        </w:rPr>
      </w:pPr>
    </w:p>
    <w:p w14:paraId="1A18E00D" w14:textId="14C19471" w:rsidR="00897749" w:rsidRPr="00643301" w:rsidRDefault="00897749" w:rsidP="00643301">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643301">
        <w:rPr>
          <w:rFonts w:ascii="Times New Roman" w:hAnsi="Times New Roman"/>
          <w:b/>
          <w:sz w:val="20"/>
          <w:szCs w:val="20"/>
          <w:lang w:val="nl-NL"/>
        </w:rPr>
        <w:t xml:space="preserve">Các khoản đầu tư </w:t>
      </w:r>
      <w:bookmarkEnd w:id="3"/>
      <w:bookmarkEnd w:id="4"/>
      <w:bookmarkEnd w:id="5"/>
      <w:r w:rsidR="00402811" w:rsidRPr="00643301">
        <w:rPr>
          <w:rFonts w:ascii="Times New Roman" w:hAnsi="Times New Roman"/>
          <w:b/>
          <w:sz w:val="20"/>
          <w:szCs w:val="20"/>
          <w:lang w:val="vi-VN"/>
        </w:rPr>
        <w:t>/Investments</w:t>
      </w:r>
    </w:p>
    <w:p w14:paraId="47582345" w14:textId="77777777" w:rsidR="00897749" w:rsidRDefault="00897749" w:rsidP="006A00E7">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 xml:space="preserve">Các khoản đầu tư chứng khoán được ghi nhận ban đầu theo giá gốc, chỉ bao gồm giá mua mà không bao gồm các khoản chi phí liên quan đến việc mua các khoản đầu tư đó kể cả phí môi giới, phí giao dịch và phí ngân hàng, và được đánh giá lại tại ngày của báo cáo tình hình tài chính theo phương pháp xác định giá trị nêu tại mục 4.2 (iii). Các khoản lãi hoặc lỗ do đánh giá lại các khoản đầu tư được ghi nhận vào báo cáo thu nhập. </w:t>
      </w:r>
    </w:p>
    <w:p w14:paraId="2DA70BCF" w14:textId="05568B80" w:rsidR="00402811" w:rsidRDefault="00402811" w:rsidP="006A00E7">
      <w:pPr>
        <w:shd w:val="clear" w:color="auto" w:fill="FFFFFF"/>
        <w:spacing w:after="0" w:line="312" w:lineRule="auto"/>
        <w:ind w:left="502" w:right="260"/>
        <w:jc w:val="both"/>
        <w:rPr>
          <w:rFonts w:ascii="Times New Roman" w:hAnsi="Times New Roman"/>
          <w:i/>
          <w:iCs/>
          <w:sz w:val="20"/>
          <w:szCs w:val="20"/>
          <w:lang w:val="vi-VN"/>
        </w:rPr>
      </w:pPr>
      <w:r w:rsidRPr="00402811">
        <w:rPr>
          <w:rFonts w:ascii="Times New Roman" w:hAnsi="Times New Roman"/>
          <w:i/>
          <w:iCs/>
          <w:sz w:val="20"/>
          <w:szCs w:val="20"/>
          <w:lang w:val="nl-NL"/>
        </w:rPr>
        <w:t>Securities investments are initially recorded at cost, including only the purchase price and excluding costs related to the purchase of those investments, including brokerage fees, transaction fees and bank fees. goods, and are revalued at the date of the statement of financial position according to the valuation method set out in section 4.2 (iii). Gains or losses resulting from revaluation of investments are recognized in the income statement</w:t>
      </w:r>
      <w:r w:rsidRPr="00402811">
        <w:rPr>
          <w:rFonts w:ascii="Times New Roman" w:hAnsi="Times New Roman"/>
          <w:i/>
          <w:iCs/>
          <w:sz w:val="20"/>
          <w:szCs w:val="20"/>
          <w:lang w:val="vi-VN"/>
        </w:rPr>
        <w:t>.</w:t>
      </w:r>
    </w:p>
    <w:p w14:paraId="47799B0F" w14:textId="77777777" w:rsidR="006A00E7" w:rsidRPr="00402811" w:rsidRDefault="006A00E7" w:rsidP="006A00E7">
      <w:pPr>
        <w:shd w:val="clear" w:color="auto" w:fill="FFFFFF"/>
        <w:spacing w:after="0" w:line="312" w:lineRule="auto"/>
        <w:ind w:left="502" w:right="260"/>
        <w:jc w:val="both"/>
        <w:rPr>
          <w:rFonts w:ascii="Times New Roman" w:hAnsi="Times New Roman"/>
          <w:i/>
          <w:iCs/>
          <w:sz w:val="20"/>
          <w:szCs w:val="20"/>
          <w:lang w:val="vi-VN"/>
        </w:rPr>
      </w:pPr>
    </w:p>
    <w:p w14:paraId="1B4DF206" w14:textId="4FC79100" w:rsidR="00897749" w:rsidRPr="006A00E7" w:rsidRDefault="00897749" w:rsidP="006A00E7">
      <w:pPr>
        <w:pStyle w:val="ListParagraph"/>
        <w:numPr>
          <w:ilvl w:val="0"/>
          <w:numId w:val="40"/>
        </w:numPr>
        <w:shd w:val="clear" w:color="auto" w:fill="FFFFFF"/>
        <w:spacing w:before="60" w:after="120" w:line="312" w:lineRule="auto"/>
        <w:ind w:right="260"/>
        <w:jc w:val="both"/>
        <w:rPr>
          <w:rFonts w:ascii="Times New Roman" w:hAnsi="Times New Roman"/>
          <w:b/>
          <w:i/>
          <w:sz w:val="20"/>
          <w:szCs w:val="20"/>
          <w:lang w:val="vi-VN"/>
        </w:rPr>
      </w:pPr>
      <w:r w:rsidRPr="006A00E7">
        <w:rPr>
          <w:rFonts w:ascii="Times New Roman" w:hAnsi="Times New Roman"/>
          <w:b/>
          <w:i/>
          <w:sz w:val="20"/>
          <w:szCs w:val="20"/>
          <w:lang w:val="nl-NL"/>
        </w:rPr>
        <w:t xml:space="preserve">Phân </w:t>
      </w:r>
      <w:r w:rsidR="00402811" w:rsidRPr="006A00E7">
        <w:rPr>
          <w:rFonts w:ascii="Times New Roman" w:hAnsi="Times New Roman"/>
          <w:b/>
          <w:i/>
          <w:sz w:val="20"/>
          <w:szCs w:val="20"/>
          <w:lang w:val="nl-NL"/>
        </w:rPr>
        <w:t>loại</w:t>
      </w:r>
      <w:r w:rsidR="00402811" w:rsidRPr="006A00E7">
        <w:rPr>
          <w:rFonts w:ascii="Times New Roman" w:hAnsi="Times New Roman"/>
          <w:b/>
          <w:i/>
          <w:sz w:val="20"/>
          <w:szCs w:val="20"/>
          <w:lang w:val="vi-VN"/>
        </w:rPr>
        <w:t>/ Reclassification</w:t>
      </w:r>
    </w:p>
    <w:p w14:paraId="184A8F7F" w14:textId="77777777" w:rsidR="0014799C" w:rsidRDefault="00353AA9" w:rsidP="00BF26B2">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Quỹ phân loại các chứng khoán niêm yết và chưa niêm yết được mua với mục đích kinh doanh là chứng khoán kinh doanh</w:t>
      </w:r>
      <w:r w:rsidR="00897749" w:rsidRPr="00762874">
        <w:rPr>
          <w:rFonts w:ascii="Times New Roman" w:hAnsi="Times New Roman"/>
          <w:sz w:val="20"/>
          <w:szCs w:val="20"/>
          <w:lang w:val="nl-NL"/>
        </w:rPr>
        <w:t>.</w:t>
      </w:r>
    </w:p>
    <w:p w14:paraId="03EA715E" w14:textId="4FA614F8" w:rsidR="00402811" w:rsidRPr="00402811" w:rsidRDefault="00402811" w:rsidP="00BF26B2">
      <w:pPr>
        <w:shd w:val="clear" w:color="auto" w:fill="FFFFFF"/>
        <w:spacing w:after="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The Fund classifies listed and unlisted securities purchased for trading purposes as trading securities.</w:t>
      </w:r>
    </w:p>
    <w:p w14:paraId="7F6FC144" w14:textId="77777777" w:rsidR="0027409B" w:rsidRPr="00762874" w:rsidRDefault="0027409B" w:rsidP="005425EE">
      <w:pPr>
        <w:shd w:val="clear" w:color="auto" w:fill="FFFFFF"/>
        <w:spacing w:after="0" w:line="312" w:lineRule="auto"/>
        <w:ind w:left="142" w:right="260"/>
        <w:jc w:val="both"/>
        <w:rPr>
          <w:rFonts w:ascii="Times New Roman" w:hAnsi="Times New Roman"/>
          <w:sz w:val="20"/>
          <w:szCs w:val="20"/>
          <w:lang w:val="nl-NL"/>
        </w:rPr>
      </w:pPr>
    </w:p>
    <w:p w14:paraId="7D564E80" w14:textId="69402C6C" w:rsidR="00897749" w:rsidRPr="007A7B39" w:rsidRDefault="00897749" w:rsidP="007A7B39">
      <w:pPr>
        <w:pStyle w:val="ListParagraph"/>
        <w:numPr>
          <w:ilvl w:val="0"/>
          <w:numId w:val="40"/>
        </w:numPr>
        <w:shd w:val="clear" w:color="auto" w:fill="FFFFFF"/>
        <w:spacing w:after="60" w:line="312" w:lineRule="auto"/>
        <w:ind w:right="260"/>
        <w:jc w:val="both"/>
        <w:rPr>
          <w:rFonts w:ascii="Times New Roman" w:hAnsi="Times New Roman"/>
          <w:b/>
          <w:i/>
          <w:sz w:val="20"/>
          <w:szCs w:val="20"/>
          <w:lang w:val="vi-VN"/>
        </w:rPr>
      </w:pPr>
      <w:r w:rsidRPr="007A7B39">
        <w:rPr>
          <w:rFonts w:ascii="Times New Roman" w:hAnsi="Times New Roman"/>
          <w:b/>
          <w:i/>
          <w:sz w:val="20"/>
          <w:szCs w:val="20"/>
          <w:lang w:val="nl-NL"/>
        </w:rPr>
        <w:t xml:space="preserve">Ghi nhận ban </w:t>
      </w:r>
      <w:r w:rsidR="00402811" w:rsidRPr="007A7B39">
        <w:rPr>
          <w:rFonts w:ascii="Times New Roman" w:hAnsi="Times New Roman"/>
          <w:b/>
          <w:i/>
          <w:sz w:val="20"/>
          <w:szCs w:val="20"/>
          <w:lang w:val="nl-NL"/>
        </w:rPr>
        <w:t>đầu</w:t>
      </w:r>
      <w:r w:rsidR="00402811" w:rsidRPr="007A7B39">
        <w:rPr>
          <w:rFonts w:ascii="Times New Roman" w:hAnsi="Times New Roman"/>
          <w:b/>
          <w:i/>
          <w:sz w:val="20"/>
          <w:szCs w:val="20"/>
          <w:lang w:val="vi-VN"/>
        </w:rPr>
        <w:t>/ Initial recognition</w:t>
      </w:r>
    </w:p>
    <w:p w14:paraId="730E8DFE" w14:textId="77777777" w:rsidR="00353AA9" w:rsidRDefault="00353AA9" w:rsidP="007A7B39">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 xml:space="preserve">Quỹ ghi nhận danh mục chứng khoán cơ cấu được hoán đổi lấy chứng chỉ quỹ tại ngày làm việc thứ </w:t>
      </w:r>
      <w:r w:rsidR="0089529C" w:rsidRPr="00762874">
        <w:rPr>
          <w:rFonts w:ascii="Times New Roman" w:hAnsi="Times New Roman"/>
          <w:sz w:val="20"/>
          <w:szCs w:val="20"/>
          <w:lang w:val="nl-NL"/>
        </w:rPr>
        <w:t>nhất</w:t>
      </w:r>
      <w:r w:rsidRPr="00762874">
        <w:rPr>
          <w:rFonts w:ascii="Times New Roman" w:hAnsi="Times New Roman"/>
          <w:sz w:val="20"/>
          <w:szCs w:val="20"/>
          <w:lang w:val="nl-NL"/>
        </w:rPr>
        <w:t xml:space="preserve"> kể từ ngày giao dịch hoán đổi – ngày xác nhận hoàn tất giao dịch và xác nhận quyền sở hữu cho Quỹ.</w:t>
      </w:r>
    </w:p>
    <w:p w14:paraId="3A858291" w14:textId="77777777" w:rsidR="005C0BB5" w:rsidRPr="00402811" w:rsidRDefault="005C0BB5" w:rsidP="005C0BB5">
      <w:pPr>
        <w:shd w:val="clear" w:color="auto" w:fill="FFFFFF"/>
        <w:spacing w:after="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The Fund records the portfolio of structural securities exchanged for fund certificates on the first working day from the date of the swap transaction - the date of confirmation of transaction completion and ownership for the Fund.</w:t>
      </w:r>
    </w:p>
    <w:p w14:paraId="6D002B2E" w14:textId="77777777" w:rsidR="005C0BB5" w:rsidRPr="00762874" w:rsidRDefault="005C0BB5" w:rsidP="007A7B39">
      <w:pPr>
        <w:shd w:val="clear" w:color="auto" w:fill="FFFFFF"/>
        <w:spacing w:after="0" w:line="312" w:lineRule="auto"/>
        <w:ind w:left="502" w:right="260"/>
        <w:jc w:val="both"/>
        <w:rPr>
          <w:rFonts w:ascii="Times New Roman" w:hAnsi="Times New Roman"/>
          <w:sz w:val="20"/>
          <w:szCs w:val="20"/>
          <w:lang w:val="nl-NL"/>
        </w:rPr>
      </w:pPr>
    </w:p>
    <w:p w14:paraId="106A2F1B" w14:textId="77777777" w:rsidR="00353AA9" w:rsidRDefault="00353AA9" w:rsidP="005C0BB5">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Quỹ ghi nhận danh mục chứng khoán mà Quỹ thực hiện đầu tư tại ngày giao dịch.</w:t>
      </w:r>
    </w:p>
    <w:p w14:paraId="080F64EE" w14:textId="77777777" w:rsidR="005C0BB5" w:rsidRPr="00402811" w:rsidRDefault="005C0BB5" w:rsidP="005C0BB5">
      <w:pPr>
        <w:shd w:val="clear" w:color="auto" w:fill="FFFFFF"/>
        <w:spacing w:after="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The Fund records the portfolio of securities in which the Fund invests at the transaction date.</w:t>
      </w:r>
    </w:p>
    <w:p w14:paraId="0D1209D2" w14:textId="77777777" w:rsidR="005C0BB5" w:rsidRPr="00762874" w:rsidRDefault="005C0BB5" w:rsidP="005C0BB5">
      <w:pPr>
        <w:shd w:val="clear" w:color="auto" w:fill="FFFFFF"/>
        <w:spacing w:after="0" w:line="312" w:lineRule="auto"/>
        <w:ind w:left="502" w:right="260"/>
        <w:jc w:val="both"/>
        <w:rPr>
          <w:rFonts w:ascii="Times New Roman" w:hAnsi="Times New Roman"/>
          <w:sz w:val="20"/>
          <w:szCs w:val="20"/>
          <w:lang w:val="nl-NL"/>
        </w:rPr>
      </w:pPr>
    </w:p>
    <w:p w14:paraId="549DCC97" w14:textId="77777777" w:rsidR="00353AA9" w:rsidRDefault="00353AA9" w:rsidP="005C0BB5">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Cổ phiếu thưởng và cổ tức chia bằng cổ phiếu được hạch toán vào các khoản đầu tư với giá trị bằng không và được đánh giá lại giá trị của các cổ phiếu đó vào ngày lập báo cáo tình hình tài chính.</w:t>
      </w:r>
    </w:p>
    <w:p w14:paraId="3FECD00A" w14:textId="77777777" w:rsidR="005C0BB5" w:rsidRPr="00402811" w:rsidRDefault="005C0BB5" w:rsidP="005C0BB5">
      <w:pPr>
        <w:shd w:val="clear" w:color="auto" w:fill="FFFFFF"/>
        <w:spacing w:after="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Bonus shares and stock dividends are accounted for as investments at zero value and the value of those shares is reassessed at the date of the statement of financial position.</w:t>
      </w:r>
    </w:p>
    <w:p w14:paraId="2C8686C4" w14:textId="77777777" w:rsidR="005C0BB5" w:rsidRPr="00762874" w:rsidRDefault="005C0BB5" w:rsidP="005425EE">
      <w:pPr>
        <w:shd w:val="clear" w:color="auto" w:fill="FFFFFF"/>
        <w:spacing w:after="0" w:line="312" w:lineRule="auto"/>
        <w:ind w:left="142" w:right="260"/>
        <w:jc w:val="both"/>
        <w:rPr>
          <w:rFonts w:ascii="Times New Roman" w:hAnsi="Times New Roman"/>
          <w:sz w:val="20"/>
          <w:szCs w:val="20"/>
          <w:lang w:val="nl-NL"/>
        </w:rPr>
      </w:pPr>
    </w:p>
    <w:p w14:paraId="44BE9605" w14:textId="27DB28B8" w:rsidR="00897749" w:rsidRDefault="00353AA9" w:rsidP="005C0BB5">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 xml:space="preserve">Giá trị của quyền mua cổ phiếu được xác định là phần chênh lệch giữa giá thị trường của cổ phiếu tại ngày lập báo cáo tài chính và số tiền thực hiện quyền mua vào ngày thông báo thực hiện quyền mua nhân với tỷ lệ cần có để mua một cổ phần mới. </w:t>
      </w:r>
    </w:p>
    <w:p w14:paraId="4F1C1850" w14:textId="77777777" w:rsidR="00402811" w:rsidRDefault="00402811" w:rsidP="005C0BB5">
      <w:pPr>
        <w:shd w:val="clear" w:color="auto" w:fill="FFFFFF"/>
        <w:spacing w:after="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 xml:space="preserve">The value of a stock purchase right is determined as the difference between the market price of the stock at the date of the financial statement and the amount of exercise of the purchase right on the announcement date of the purchase multiplied by the ratio required to buy a new share. </w:t>
      </w:r>
    </w:p>
    <w:p w14:paraId="2C45F768" w14:textId="13311C50" w:rsidR="005C0BB5" w:rsidRDefault="005C0BB5" w:rsidP="005C0BB5">
      <w:pPr>
        <w:shd w:val="clear" w:color="auto" w:fill="FFFFFF"/>
        <w:spacing w:after="0" w:line="312" w:lineRule="auto"/>
        <w:ind w:left="502" w:right="260"/>
        <w:jc w:val="both"/>
        <w:rPr>
          <w:rFonts w:ascii="Times New Roman" w:hAnsi="Times New Roman"/>
          <w:sz w:val="20"/>
          <w:szCs w:val="20"/>
          <w:lang w:val="nl-NL"/>
        </w:rPr>
      </w:pPr>
    </w:p>
    <w:p w14:paraId="63BE85B1" w14:textId="06314C3A" w:rsidR="005C0BB5" w:rsidRDefault="005C0BB5" w:rsidP="005C0BB5">
      <w:pPr>
        <w:shd w:val="clear" w:color="auto" w:fill="FFFFFF"/>
        <w:spacing w:after="0" w:line="312" w:lineRule="auto"/>
        <w:ind w:left="502" w:right="260"/>
        <w:jc w:val="both"/>
        <w:rPr>
          <w:rFonts w:ascii="Times New Roman" w:hAnsi="Times New Roman"/>
          <w:i/>
          <w:iCs/>
          <w:sz w:val="20"/>
          <w:szCs w:val="20"/>
          <w:lang w:val="nl-NL"/>
        </w:rPr>
      </w:pPr>
      <w:r w:rsidRPr="00762874">
        <w:rPr>
          <w:rFonts w:ascii="Times New Roman" w:hAnsi="Times New Roman"/>
          <w:sz w:val="20"/>
          <w:szCs w:val="20"/>
          <w:lang w:val="nl-NL"/>
        </w:rPr>
        <w:t>Giá trị của quyền mua sẽ được đánh giá lại vào ngày báo cáo tình hình tài chính.</w:t>
      </w:r>
    </w:p>
    <w:p w14:paraId="214884D4" w14:textId="1DB5D524" w:rsidR="00402811" w:rsidRPr="00402811" w:rsidRDefault="00402811" w:rsidP="005C0BB5">
      <w:pPr>
        <w:shd w:val="clear" w:color="auto" w:fill="FFFFFF"/>
        <w:spacing w:after="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The value of the purchase option will be reassessed at the financial position statement date.</w:t>
      </w:r>
    </w:p>
    <w:p w14:paraId="0D0E8F9E" w14:textId="1C6B6C08" w:rsidR="00897749" w:rsidRPr="008522CD" w:rsidRDefault="00897749" w:rsidP="008522CD">
      <w:pPr>
        <w:pStyle w:val="ListParagraph"/>
        <w:numPr>
          <w:ilvl w:val="0"/>
          <w:numId w:val="40"/>
        </w:numPr>
        <w:shd w:val="clear" w:color="auto" w:fill="FFFFFF"/>
        <w:spacing w:before="60" w:after="60" w:line="312" w:lineRule="auto"/>
        <w:ind w:right="260"/>
        <w:jc w:val="both"/>
        <w:rPr>
          <w:rFonts w:ascii="Times New Roman" w:hAnsi="Times New Roman"/>
          <w:b/>
          <w:i/>
          <w:sz w:val="20"/>
          <w:szCs w:val="20"/>
          <w:lang w:val="vi-VN"/>
        </w:rPr>
      </w:pPr>
      <w:r w:rsidRPr="008522CD">
        <w:rPr>
          <w:rFonts w:ascii="Times New Roman" w:hAnsi="Times New Roman"/>
          <w:b/>
          <w:i/>
          <w:sz w:val="20"/>
          <w:szCs w:val="20"/>
          <w:lang w:val="nl-NL"/>
        </w:rPr>
        <w:t xml:space="preserve">Xác định giá </w:t>
      </w:r>
      <w:r w:rsidR="00402811" w:rsidRPr="008522CD">
        <w:rPr>
          <w:rFonts w:ascii="Times New Roman" w:hAnsi="Times New Roman"/>
          <w:b/>
          <w:i/>
          <w:sz w:val="20"/>
          <w:szCs w:val="20"/>
          <w:lang w:val="nl-NL"/>
        </w:rPr>
        <w:t>trị</w:t>
      </w:r>
      <w:r w:rsidR="00402811" w:rsidRPr="008522CD">
        <w:rPr>
          <w:rFonts w:ascii="Times New Roman" w:hAnsi="Times New Roman"/>
          <w:b/>
          <w:i/>
          <w:sz w:val="20"/>
          <w:szCs w:val="20"/>
          <w:lang w:val="vi-VN"/>
        </w:rPr>
        <w:t>/Valuation</w:t>
      </w:r>
    </w:p>
    <w:p w14:paraId="34407431" w14:textId="03F06046" w:rsidR="00020219" w:rsidRDefault="00897749" w:rsidP="008522CD">
      <w:pPr>
        <w:shd w:val="clear" w:color="auto" w:fill="FFFFFF"/>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 xml:space="preserve">Theo </w:t>
      </w:r>
      <w:r w:rsidR="005E333C" w:rsidRPr="00762874">
        <w:rPr>
          <w:rFonts w:ascii="Times New Roman" w:hAnsi="Times New Roman"/>
          <w:sz w:val="20"/>
          <w:szCs w:val="20"/>
          <w:lang w:val="nl-NL"/>
        </w:rPr>
        <w:t>quy định</w:t>
      </w:r>
      <w:r w:rsidRPr="00762874">
        <w:rPr>
          <w:rFonts w:ascii="Times New Roman" w:hAnsi="Times New Roman"/>
          <w:sz w:val="20"/>
          <w:szCs w:val="20"/>
          <w:lang w:val="nl-NL"/>
        </w:rPr>
        <w:t>, các khoản đầu tư thuộc Danh mục đầu tư của Quỹ được đánh giá lại theo giá thị trường tại ngày của báo cáo tình hình tài chính.</w:t>
      </w:r>
      <w:r w:rsidR="006E6F19" w:rsidRPr="00762874">
        <w:rPr>
          <w:rFonts w:ascii="Times New Roman" w:hAnsi="Times New Roman"/>
          <w:sz w:val="20"/>
          <w:szCs w:val="20"/>
          <w:lang w:val="nl-NL"/>
        </w:rPr>
        <w:t xml:space="preserve"> </w:t>
      </w:r>
      <w:r w:rsidRPr="00762874">
        <w:rPr>
          <w:rFonts w:ascii="Times New Roman" w:hAnsi="Times New Roman"/>
          <w:sz w:val="20"/>
          <w:szCs w:val="20"/>
          <w:lang w:val="nl-NL"/>
        </w:rPr>
        <w:t>Trong trường hợp không có giá thị trường tại ngày giao dịch gần nhất hoặc giá thị trường có nhiều biến động, C</w:t>
      </w:r>
      <w:r w:rsidRPr="00E21368">
        <w:rPr>
          <w:rFonts w:ascii="Times New Roman" w:hAnsi="Times New Roman"/>
          <w:sz w:val="20"/>
          <w:szCs w:val="20"/>
          <w:lang w:val="vi-VN"/>
        </w:rPr>
        <w:t xml:space="preserve">ông ty </w:t>
      </w:r>
      <w:r w:rsidRPr="00762874">
        <w:rPr>
          <w:rFonts w:ascii="Times New Roman" w:hAnsi="Times New Roman"/>
          <w:sz w:val="20"/>
          <w:szCs w:val="20"/>
          <w:lang w:val="nl-NL"/>
        </w:rPr>
        <w:t>Q</w:t>
      </w:r>
      <w:r w:rsidRPr="00E21368">
        <w:rPr>
          <w:rFonts w:ascii="Times New Roman" w:hAnsi="Times New Roman"/>
          <w:sz w:val="20"/>
          <w:szCs w:val="20"/>
          <w:lang w:val="vi-VN"/>
        </w:rPr>
        <w:t xml:space="preserve">uản lý </w:t>
      </w:r>
      <w:r w:rsidRPr="00762874">
        <w:rPr>
          <w:rFonts w:ascii="Times New Roman" w:hAnsi="Times New Roman"/>
          <w:sz w:val="20"/>
          <w:szCs w:val="20"/>
          <w:lang w:val="nl-NL"/>
        </w:rPr>
        <w:t>Q</w:t>
      </w:r>
      <w:r w:rsidRPr="00E21368">
        <w:rPr>
          <w:rFonts w:ascii="Times New Roman" w:hAnsi="Times New Roman"/>
          <w:sz w:val="20"/>
          <w:szCs w:val="20"/>
          <w:lang w:val="vi-VN"/>
        </w:rPr>
        <w:t>uỹ được sử dụng giá trị hợp lý</w:t>
      </w:r>
      <w:r w:rsidRPr="00762874">
        <w:rPr>
          <w:rFonts w:ascii="Times New Roman" w:hAnsi="Times New Roman"/>
          <w:sz w:val="20"/>
          <w:szCs w:val="20"/>
          <w:lang w:val="nl-NL"/>
        </w:rPr>
        <w:t xml:space="preserve"> để đánh giá lại các khoản đầu tư. Giá trị hợp lý được</w:t>
      </w:r>
      <w:r w:rsidRPr="00E21368">
        <w:rPr>
          <w:rFonts w:ascii="Times New Roman" w:hAnsi="Times New Roman"/>
          <w:sz w:val="20"/>
          <w:szCs w:val="20"/>
          <w:lang w:val="vi-VN"/>
        </w:rPr>
        <w:t xml:space="preserve"> xác định theo nguyên tắc, phương pháp hoặc mô hình lý thuyết định giá tài sản</w:t>
      </w:r>
      <w:r w:rsidRPr="00762874">
        <w:rPr>
          <w:rFonts w:ascii="Times New Roman" w:hAnsi="Times New Roman"/>
          <w:sz w:val="20"/>
          <w:szCs w:val="20"/>
          <w:lang w:val="nl-NL"/>
        </w:rPr>
        <w:t xml:space="preserve"> tài chính</w:t>
      </w:r>
      <w:r w:rsidRPr="00E21368">
        <w:rPr>
          <w:rFonts w:ascii="Times New Roman" w:hAnsi="Times New Roman"/>
          <w:sz w:val="20"/>
          <w:szCs w:val="20"/>
          <w:lang w:val="vi-VN"/>
        </w:rPr>
        <w:t xml:space="preserve"> đã được quy định tại điều lệ </w:t>
      </w:r>
      <w:r w:rsidRPr="00762874">
        <w:rPr>
          <w:rFonts w:ascii="Times New Roman" w:hAnsi="Times New Roman"/>
          <w:sz w:val="20"/>
          <w:szCs w:val="20"/>
          <w:lang w:val="nl-NL"/>
        </w:rPr>
        <w:t>Q</w:t>
      </w:r>
      <w:r w:rsidRPr="00E21368">
        <w:rPr>
          <w:rFonts w:ascii="Times New Roman" w:hAnsi="Times New Roman"/>
          <w:sz w:val="20"/>
          <w:szCs w:val="20"/>
          <w:lang w:val="vi-VN"/>
        </w:rPr>
        <w:t xml:space="preserve">uỹ, hoặc sổ tay định giá của </w:t>
      </w:r>
      <w:r w:rsidRPr="00762874">
        <w:rPr>
          <w:rFonts w:ascii="Times New Roman" w:hAnsi="Times New Roman"/>
          <w:sz w:val="20"/>
          <w:szCs w:val="20"/>
          <w:lang w:val="nl-NL"/>
        </w:rPr>
        <w:t>Q</w:t>
      </w:r>
      <w:r w:rsidRPr="00E21368">
        <w:rPr>
          <w:rFonts w:ascii="Times New Roman" w:hAnsi="Times New Roman"/>
          <w:sz w:val="20"/>
          <w:szCs w:val="20"/>
          <w:lang w:val="vi-VN"/>
        </w:rPr>
        <w:t>uỹ</w:t>
      </w:r>
      <w:r w:rsidRPr="00762874">
        <w:rPr>
          <w:rFonts w:ascii="Times New Roman" w:hAnsi="Times New Roman"/>
          <w:sz w:val="20"/>
          <w:szCs w:val="20"/>
          <w:lang w:val="nl-NL"/>
        </w:rPr>
        <w:t xml:space="preserve"> hoặc sau khi đã được Ban Đại diện Quỹ chấp thuận bằng văn bản. </w:t>
      </w:r>
    </w:p>
    <w:p w14:paraId="30DCA2AB" w14:textId="620D6B8F" w:rsidR="00402811" w:rsidRPr="008522CD" w:rsidRDefault="00402811" w:rsidP="008522CD">
      <w:pPr>
        <w:shd w:val="clear" w:color="auto" w:fill="FFFFFF"/>
        <w:spacing w:after="0" w:line="312" w:lineRule="auto"/>
        <w:ind w:left="502" w:right="260"/>
        <w:jc w:val="both"/>
        <w:rPr>
          <w:rFonts w:ascii="Times New Roman" w:hAnsi="Times New Roman"/>
          <w:i/>
          <w:iCs/>
          <w:sz w:val="20"/>
          <w:szCs w:val="20"/>
          <w:lang w:val="nl-NL"/>
        </w:rPr>
      </w:pPr>
      <w:r w:rsidRPr="008522CD">
        <w:rPr>
          <w:rFonts w:ascii="Times New Roman" w:hAnsi="Times New Roman"/>
          <w:i/>
          <w:iCs/>
          <w:sz w:val="20"/>
          <w:szCs w:val="20"/>
          <w:lang w:val="nl-NL"/>
        </w:rPr>
        <w:t xml:space="preserve">According to regulations, investments in the Fund's Investment Portfolio are revalued at market prices at the date of the financial position statement. In case there is no market price at the most recent trading day or the market price is highly volatile, the Fund Management Company may use Fair value to revaluate investments. Fair value is determined according to the principles, methods or theoretical models of financial asset valuation as stipulated in the Fund charter, or the Fund's valuation handbook or after being approved by the Board of </w:t>
      </w:r>
      <w:r w:rsidRPr="008522CD">
        <w:rPr>
          <w:rFonts w:ascii="Times New Roman" w:hAnsi="Times New Roman"/>
          <w:i/>
          <w:iCs/>
          <w:sz w:val="20"/>
          <w:szCs w:val="20"/>
          <w:lang w:val="vi-VN"/>
        </w:rPr>
        <w:t xml:space="preserve"> </w:t>
      </w:r>
      <w:r w:rsidRPr="008522CD">
        <w:rPr>
          <w:rFonts w:ascii="Times New Roman" w:hAnsi="Times New Roman"/>
          <w:i/>
          <w:iCs/>
          <w:sz w:val="20"/>
          <w:szCs w:val="20"/>
          <w:lang w:val="nl-NL"/>
        </w:rPr>
        <w:t>Representatives consent in writing.</w:t>
      </w:r>
    </w:p>
    <w:p w14:paraId="354E1F5E" w14:textId="5B4DCFB7" w:rsidR="00033268" w:rsidRPr="00163E97" w:rsidRDefault="00897749" w:rsidP="00163E97">
      <w:pPr>
        <w:pStyle w:val="ListParagraph"/>
        <w:widowControl w:val="0"/>
        <w:numPr>
          <w:ilvl w:val="0"/>
          <w:numId w:val="40"/>
        </w:numPr>
        <w:spacing w:before="60" w:after="60" w:line="312" w:lineRule="auto"/>
        <w:ind w:right="260"/>
        <w:jc w:val="both"/>
        <w:rPr>
          <w:rFonts w:ascii="Times New Roman" w:hAnsi="Times New Roman"/>
          <w:b/>
          <w:i/>
          <w:sz w:val="20"/>
          <w:szCs w:val="20"/>
          <w:lang w:val="vi-VN"/>
        </w:rPr>
      </w:pPr>
      <w:r w:rsidRPr="00163E97">
        <w:rPr>
          <w:rFonts w:ascii="Times New Roman" w:hAnsi="Times New Roman"/>
          <w:b/>
          <w:i/>
          <w:sz w:val="20"/>
          <w:szCs w:val="20"/>
          <w:lang w:val="nl-NL"/>
        </w:rPr>
        <w:t>Chấm dứt ghi nhận</w:t>
      </w:r>
      <w:r w:rsidR="00402811" w:rsidRPr="00163E97">
        <w:rPr>
          <w:rFonts w:ascii="Times New Roman" w:hAnsi="Times New Roman"/>
          <w:b/>
          <w:i/>
          <w:sz w:val="20"/>
          <w:szCs w:val="20"/>
          <w:lang w:val="vi-VN"/>
        </w:rPr>
        <w:t>/De-recognition</w:t>
      </w:r>
    </w:p>
    <w:p w14:paraId="1116171E" w14:textId="77777777" w:rsidR="00033268" w:rsidRPr="00762874" w:rsidRDefault="00897749" w:rsidP="00163E97">
      <w:pPr>
        <w:widowControl w:val="0"/>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Các khoản đầu tư chứng khoán được chấm dứt ghi nhận khi quyền được nhận dòng tiền từ khoản đầu tư chứng khoán đó đã chấm dứt hoặc Quỹ đã chuyển giao phần lớn rủi ro và lợi ích gắn liền với quyền sở hữu chứng khoán.</w:t>
      </w:r>
    </w:p>
    <w:p w14:paraId="3BAC86F7" w14:textId="77777777" w:rsidR="00163E97" w:rsidRPr="00402811" w:rsidRDefault="00163E97" w:rsidP="00163E97">
      <w:pPr>
        <w:widowControl w:val="0"/>
        <w:spacing w:after="12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Securities investments are derecognised when the right to receive cash flows from that securities investment has ended or the Fund has transferred most of the risks and benefits associated with ownership of securities.</w:t>
      </w:r>
    </w:p>
    <w:p w14:paraId="178195B2" w14:textId="6F6BA1ED" w:rsidR="00BA77A1" w:rsidRDefault="00897749" w:rsidP="00163E97">
      <w:pPr>
        <w:widowControl w:val="0"/>
        <w:spacing w:after="12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Giá vốn của chứng khoán kinh doanh được tính theo phương pháp bình quân gia quyền vào cuối ngày giao dịch.</w:t>
      </w:r>
    </w:p>
    <w:p w14:paraId="7A9D3B98" w14:textId="33BE166E" w:rsidR="00402811" w:rsidRPr="00402811" w:rsidRDefault="00402811" w:rsidP="00163E97">
      <w:pPr>
        <w:widowControl w:val="0"/>
        <w:spacing w:after="12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The cost of trading securities is calculated using the weighted average method at the end of the trading day</w:t>
      </w:r>
      <w:r w:rsidR="00163E97">
        <w:rPr>
          <w:rFonts w:ascii="Times New Roman" w:hAnsi="Times New Roman"/>
          <w:i/>
          <w:iCs/>
          <w:sz w:val="20"/>
          <w:szCs w:val="20"/>
          <w:lang w:val="nl-NL"/>
        </w:rPr>
        <w:t>.</w:t>
      </w:r>
    </w:p>
    <w:p w14:paraId="61587F31" w14:textId="349DBE1E" w:rsidR="00033268" w:rsidRPr="00F83939" w:rsidRDefault="00897749" w:rsidP="00F83939">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F83939">
        <w:rPr>
          <w:rFonts w:ascii="Times New Roman" w:hAnsi="Times New Roman"/>
          <w:b/>
          <w:sz w:val="20"/>
          <w:szCs w:val="20"/>
          <w:lang w:val="nl-NL"/>
        </w:rPr>
        <w:t>Các khoản phải thu</w:t>
      </w:r>
      <w:r w:rsidR="00402811" w:rsidRPr="00F83939">
        <w:rPr>
          <w:rFonts w:ascii="Times New Roman" w:hAnsi="Times New Roman"/>
          <w:b/>
          <w:sz w:val="20"/>
          <w:szCs w:val="20"/>
          <w:lang w:val="vi-VN"/>
        </w:rPr>
        <w:t>/Receviables</w:t>
      </w:r>
    </w:p>
    <w:p w14:paraId="1B14571D" w14:textId="77777777" w:rsidR="004C05D9" w:rsidRDefault="00353AA9" w:rsidP="00F83939">
      <w:pPr>
        <w:widowControl w:val="0"/>
        <w:spacing w:after="12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Các khoản phải thu bao gồm phải thu về bán các khoản đầu tư, phải thu và dự thu cổ tức, tiền lãi các khoản đầu tư, phải thu từ việc quyết toán với nhà đầu tư khi Quỹ mua/bán hộ chứng khoán bị hạn chế, các khoản phải thu từ đơn vị đầu tư trong trường hợp có sự kiện doanh nghiệp (cổ tức bằng tiền, cổ tức bằng cổ phiếu, cổ phiếu thưởng, quyền mua cổ phiếu phát hành thêm) phát sinh liên quan đến danh mục chứng khoán cơ cấu hoán đổi do việc ghi nhận sở hữu chưa được thực hiện giữa Quỹ và nhà đầu tư hoặc liên quan đến chứng khoán bị hạn chế đang trong quá trình mua/bán hộ nhà đầu tư và các khoản phải thu khác liên quan đến hoạt động của Quỹ. Các khoản phải thu được phản ánh theo nguyên giá trừ đi dự phòng phải thu khó đòi</w:t>
      </w:r>
      <w:r w:rsidR="004C05D9" w:rsidRPr="00762874">
        <w:rPr>
          <w:rFonts w:ascii="Times New Roman" w:hAnsi="Times New Roman"/>
          <w:sz w:val="20"/>
          <w:szCs w:val="20"/>
          <w:lang w:val="nl-NL"/>
        </w:rPr>
        <w:t>.</w:t>
      </w:r>
    </w:p>
    <w:p w14:paraId="71225E08" w14:textId="1A1AEDC4" w:rsidR="00402811" w:rsidRPr="00762874" w:rsidRDefault="00402811" w:rsidP="00F83939">
      <w:pPr>
        <w:widowControl w:val="0"/>
        <w:spacing w:after="120" w:line="312" w:lineRule="auto"/>
        <w:ind w:left="502" w:right="260"/>
        <w:jc w:val="both"/>
        <w:rPr>
          <w:rFonts w:ascii="Times New Roman" w:hAnsi="Times New Roman"/>
          <w:sz w:val="20"/>
          <w:szCs w:val="20"/>
          <w:lang w:val="nl-NL"/>
        </w:rPr>
      </w:pPr>
      <w:r w:rsidRPr="00402811">
        <w:rPr>
          <w:rFonts w:ascii="Times New Roman" w:hAnsi="Times New Roman"/>
          <w:i/>
          <w:iCs/>
          <w:sz w:val="20"/>
          <w:szCs w:val="20"/>
          <w:lang w:val="nl-NL"/>
        </w:rPr>
        <w:t xml:space="preserve">Receivables include receivables from the sale of investments, receivables and accruals of dividends, interest on investments, and receivables from settlement with investors when the Fund buys/sells restricted securities on behalf of the Fund. mechanism, receivables from investment units in case of corporate events (cash dividends, stock dividends, bonus shares, rights to buy additional shares issued) arising related to the portfolio. Exchange structured securities because ownership recording has not been done between The Fund and investors or related to restricted securities are in the process of buying/selling on behalf of investors and other receivables related to the Fund's operations. Receivables are </w:t>
      </w:r>
      <w:r w:rsidRPr="00402811">
        <w:rPr>
          <w:rFonts w:ascii="Times New Roman" w:hAnsi="Times New Roman"/>
          <w:i/>
          <w:iCs/>
          <w:sz w:val="20"/>
          <w:szCs w:val="20"/>
          <w:lang w:val="nl-NL"/>
        </w:rPr>
        <w:lastRenderedPageBreak/>
        <w:t>stated at cost less allowance for doubtful debts</w:t>
      </w:r>
      <w:r w:rsidRPr="00402811">
        <w:rPr>
          <w:rFonts w:ascii="Times New Roman" w:hAnsi="Times New Roman"/>
          <w:sz w:val="20"/>
          <w:szCs w:val="20"/>
          <w:lang w:val="nl-NL"/>
        </w:rPr>
        <w:t>.</w:t>
      </w:r>
    </w:p>
    <w:p w14:paraId="765EC4FB" w14:textId="77777777" w:rsidR="00897749" w:rsidRDefault="00353AA9" w:rsidP="00F83939">
      <w:pPr>
        <w:widowControl w:val="0"/>
        <w:spacing w:after="120" w:line="312" w:lineRule="auto"/>
        <w:ind w:left="502" w:right="260"/>
        <w:jc w:val="both"/>
        <w:rPr>
          <w:rFonts w:ascii="Times New Roman" w:hAnsi="Times New Roman"/>
          <w:sz w:val="20"/>
          <w:szCs w:val="20"/>
          <w:lang w:val="nl-NL"/>
        </w:rPr>
      </w:pPr>
      <w:r w:rsidRPr="00351AD1">
        <w:rPr>
          <w:rFonts w:ascii="Times New Roman" w:hAnsi="Times New Roman"/>
          <w:sz w:val="20"/>
          <w:szCs w:val="20"/>
          <w:lang w:val="es-MX"/>
        </w:rPr>
        <w:t xml:space="preserve">Theo </w:t>
      </w:r>
      <w:proofErr w:type="spellStart"/>
      <w:r w:rsidR="005A4A6F" w:rsidRPr="00351AD1">
        <w:rPr>
          <w:rFonts w:ascii="Times New Roman" w:hAnsi="Times New Roman"/>
          <w:sz w:val="20"/>
          <w:szCs w:val="20"/>
          <w:lang w:val="es-MX"/>
        </w:rPr>
        <w:t>Thông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tư</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số</w:t>
      </w:r>
      <w:proofErr w:type="spellEnd"/>
      <w:r w:rsidR="005A4A6F" w:rsidRPr="00351AD1">
        <w:rPr>
          <w:rFonts w:ascii="Times New Roman" w:hAnsi="Times New Roman"/>
          <w:sz w:val="20"/>
          <w:szCs w:val="20"/>
          <w:lang w:val="es-MX"/>
        </w:rPr>
        <w:t xml:space="preserve"> 48/2019/TT-BTC </w:t>
      </w:r>
      <w:proofErr w:type="spellStart"/>
      <w:r w:rsidRPr="00351AD1">
        <w:rPr>
          <w:rFonts w:ascii="Times New Roman" w:hAnsi="Times New Roman"/>
          <w:sz w:val="20"/>
          <w:szCs w:val="20"/>
          <w:lang w:val="es-MX"/>
        </w:rPr>
        <w:t>ngày</w:t>
      </w:r>
      <w:proofErr w:type="spellEnd"/>
      <w:r w:rsidRPr="00351AD1">
        <w:rPr>
          <w:rFonts w:ascii="Times New Roman" w:hAnsi="Times New Roman"/>
          <w:sz w:val="20"/>
          <w:szCs w:val="20"/>
          <w:lang w:val="es-MX"/>
        </w:rPr>
        <w:t xml:space="preserve"> </w:t>
      </w:r>
      <w:r w:rsidR="00450124" w:rsidRPr="00351AD1">
        <w:rPr>
          <w:rFonts w:ascii="Times New Roman" w:hAnsi="Times New Roman"/>
          <w:sz w:val="20"/>
          <w:szCs w:val="20"/>
          <w:lang w:val="es-MX"/>
        </w:rPr>
        <w:t>08</w:t>
      </w:r>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tháng</w:t>
      </w:r>
      <w:proofErr w:type="spellEnd"/>
      <w:r w:rsidRPr="00351AD1">
        <w:rPr>
          <w:rFonts w:ascii="Times New Roman" w:hAnsi="Times New Roman"/>
          <w:sz w:val="20"/>
          <w:szCs w:val="20"/>
          <w:lang w:val="es-MX"/>
        </w:rPr>
        <w:t xml:space="preserve"> </w:t>
      </w:r>
      <w:r w:rsidR="00450124" w:rsidRPr="00351AD1">
        <w:rPr>
          <w:rFonts w:ascii="Times New Roman" w:hAnsi="Times New Roman"/>
          <w:sz w:val="20"/>
          <w:szCs w:val="20"/>
          <w:lang w:val="es-MX"/>
        </w:rPr>
        <w:t>08</w:t>
      </w:r>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năm</w:t>
      </w:r>
      <w:proofErr w:type="spellEnd"/>
      <w:r w:rsidRPr="00351AD1">
        <w:rPr>
          <w:rFonts w:ascii="Times New Roman" w:hAnsi="Times New Roman"/>
          <w:sz w:val="20"/>
          <w:szCs w:val="20"/>
          <w:lang w:val="es-MX"/>
        </w:rPr>
        <w:t xml:space="preserve"> 20</w:t>
      </w:r>
      <w:r w:rsidR="005A4A6F" w:rsidRPr="00351AD1">
        <w:rPr>
          <w:rFonts w:ascii="Times New Roman" w:hAnsi="Times New Roman"/>
          <w:sz w:val="20"/>
          <w:szCs w:val="20"/>
          <w:lang w:val="es-MX"/>
        </w:rPr>
        <w:t>1</w:t>
      </w:r>
      <w:r w:rsidRPr="00351AD1">
        <w:rPr>
          <w:rFonts w:ascii="Times New Roman" w:hAnsi="Times New Roman"/>
          <w:sz w:val="20"/>
          <w:szCs w:val="20"/>
          <w:lang w:val="es-MX"/>
        </w:rPr>
        <w:t xml:space="preserve">9 do </w:t>
      </w:r>
      <w:proofErr w:type="spellStart"/>
      <w:r w:rsidRPr="00351AD1">
        <w:rPr>
          <w:rFonts w:ascii="Times New Roman" w:hAnsi="Times New Roman"/>
          <w:sz w:val="20"/>
          <w:szCs w:val="20"/>
          <w:lang w:val="es-MX"/>
        </w:rPr>
        <w:t>Bộ</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Tài</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chính</w:t>
      </w:r>
      <w:proofErr w:type="spellEnd"/>
      <w:r w:rsidRPr="00351AD1">
        <w:rPr>
          <w:rFonts w:ascii="Times New Roman" w:hAnsi="Times New Roman"/>
          <w:sz w:val="20"/>
          <w:szCs w:val="20"/>
          <w:lang w:val="es-MX"/>
        </w:rPr>
        <w:t xml:space="preserve"> ban </w:t>
      </w:r>
      <w:proofErr w:type="spellStart"/>
      <w:r w:rsidRPr="00351AD1">
        <w:rPr>
          <w:rFonts w:ascii="Times New Roman" w:hAnsi="Times New Roman"/>
          <w:sz w:val="20"/>
          <w:szCs w:val="20"/>
          <w:lang w:val="es-MX"/>
        </w:rPr>
        <w:t>hành</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dự</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phòng</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phải</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thu</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khó</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đòi</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được</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lập</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dựa</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trên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dự</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kiến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tổn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thất</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có</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thể</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xảy</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ra</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trong</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trường</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hợp</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khoản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nợ</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chưa</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đến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hạn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thanh</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toán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nhưng</w:t>
      </w:r>
      <w:proofErr w:type="spellEnd"/>
      <w:r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tổ</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chức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kinh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tế</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phá</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sản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mở</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thủ</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tục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phá</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sản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bỏ</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trốn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khỏi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địa</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điểm</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kinh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doanh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đối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tượng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đang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bị</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các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cơ</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quan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pháp</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luật</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truy</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tố</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giam</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giữ</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xét</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xử</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hoặc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đang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thi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hành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án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hoặc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đang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mắc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bệnh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hiểm</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nghèo</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có</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xác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nhận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của</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bệnh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viện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hoặc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chết</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hoặc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khoản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được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doanh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nghiệp</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yêu</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cầu</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thi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hành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án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nhưng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không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thể</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thực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hiện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được</w:t>
      </w:r>
      <w:proofErr w:type="spellEnd"/>
      <w:r w:rsidR="005A4A6F" w:rsidRPr="00351AD1">
        <w:rPr>
          <w:rFonts w:ascii="Times New Roman" w:hAnsi="Times New Roman"/>
          <w:sz w:val="20"/>
          <w:szCs w:val="20"/>
          <w:lang w:val="es-MX"/>
        </w:rPr>
        <w:t xml:space="preserve"> do </w:t>
      </w:r>
      <w:proofErr w:type="spellStart"/>
      <w:r w:rsidR="005A4A6F" w:rsidRPr="00351AD1">
        <w:rPr>
          <w:rFonts w:ascii="Times New Roman" w:hAnsi="Times New Roman"/>
          <w:sz w:val="20"/>
          <w:szCs w:val="20"/>
          <w:lang w:val="es-MX"/>
        </w:rPr>
        <w:t>đối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tượng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bỏ</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trốn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khỏi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nơi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cư</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trú</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khoản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được</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doanh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nghiệp</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khởi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kiện</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đòi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nợ</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nhưng</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bị</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đình</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chỉ</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giải</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quyết</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vụ</w:t>
      </w:r>
      <w:proofErr w:type="spellEnd"/>
      <w:r w:rsidR="005A4A6F" w:rsidRPr="00351AD1">
        <w:rPr>
          <w:rFonts w:ascii="Times New Roman" w:hAnsi="Times New Roman"/>
          <w:sz w:val="20"/>
          <w:szCs w:val="20"/>
          <w:lang w:val="es-MX"/>
        </w:rPr>
        <w:t xml:space="preserve"> </w:t>
      </w:r>
      <w:proofErr w:type="spellStart"/>
      <w:r w:rsidR="005A4A6F" w:rsidRPr="00351AD1">
        <w:rPr>
          <w:rFonts w:ascii="Times New Roman" w:hAnsi="Times New Roman"/>
          <w:sz w:val="20"/>
          <w:szCs w:val="20"/>
          <w:lang w:val="es-MX"/>
        </w:rPr>
        <w:t>án</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hoặc</w:t>
      </w:r>
      <w:proofErr w:type="spellEnd"/>
      <w:r w:rsidRPr="00351AD1">
        <w:rPr>
          <w:rFonts w:ascii="Times New Roman" w:hAnsi="Times New Roman"/>
          <w:sz w:val="20"/>
          <w:szCs w:val="20"/>
          <w:lang w:val="es-MX"/>
        </w:rPr>
        <w:t xml:space="preserve"> </w:t>
      </w:r>
      <w:proofErr w:type="spellStart"/>
      <w:r w:rsidRPr="00351AD1">
        <w:rPr>
          <w:rFonts w:ascii="Times New Roman" w:hAnsi="Times New Roman"/>
          <w:sz w:val="20"/>
          <w:szCs w:val="20"/>
          <w:lang w:val="es-MX"/>
        </w:rPr>
        <w:t>dựa</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trên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tình</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trạng</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quá</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hạn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của</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các</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khoản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phải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thu</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với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tỉ</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lệ</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trích</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lập</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dự</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phòng</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như</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sau</w:t>
      </w:r>
      <w:proofErr w:type="spellEnd"/>
      <w:r w:rsidR="00897749" w:rsidRPr="00762874">
        <w:rPr>
          <w:rFonts w:ascii="Times New Roman" w:hAnsi="Times New Roman"/>
          <w:sz w:val="20"/>
          <w:szCs w:val="20"/>
          <w:lang w:val="nl-NL"/>
        </w:rPr>
        <w:t>:</w:t>
      </w:r>
    </w:p>
    <w:p w14:paraId="647ABAB9" w14:textId="3757E934" w:rsidR="00402811" w:rsidRPr="00402811" w:rsidRDefault="00402811" w:rsidP="00F83939">
      <w:pPr>
        <w:widowControl w:val="0"/>
        <w:spacing w:after="120" w:line="312" w:lineRule="auto"/>
        <w:ind w:left="502" w:right="260"/>
        <w:jc w:val="both"/>
        <w:rPr>
          <w:rFonts w:ascii="Times New Roman" w:hAnsi="Times New Roman"/>
          <w:i/>
          <w:iCs/>
          <w:sz w:val="20"/>
          <w:szCs w:val="20"/>
          <w:lang w:val="nl-NL"/>
        </w:rPr>
      </w:pPr>
      <w:r w:rsidRPr="00402811">
        <w:rPr>
          <w:rFonts w:ascii="Times New Roman" w:hAnsi="Times New Roman"/>
          <w:i/>
          <w:iCs/>
          <w:sz w:val="20"/>
          <w:szCs w:val="20"/>
          <w:lang w:val="nl-NL"/>
        </w:rPr>
        <w:t>According to Circular No. 48/2019/TT-BTC dated August 8, 2019 issued by the Ministry of Finance, provisions for bad debts are made based on expected losses that may occur in case the debt is not yet due. payment but the economic organization has gone bankrupt, has opened bankruptcy proceedings, and has fled the place of business; The debtor is being prosecuted, detained, tried by law enforcement agencies or is serving a sentence or is suffering from a serious illness (certified by the hospital) or has died or the debt has been requested by the enterprise to be enforced. execute the sentence but cannot execute it because the debtor has fled from his place of residence; The debt has been sued by the enterprise to collect debt but the settlement of the case has been suspended or based on the overdue status of the receivables with the following provisioning rate:</w:t>
      </w:r>
    </w:p>
    <w:tbl>
      <w:tblPr>
        <w:tblW w:w="4428" w:type="pct"/>
        <w:tblInd w:w="817" w:type="dxa"/>
        <w:tblLook w:val="04A0" w:firstRow="1" w:lastRow="0" w:firstColumn="1" w:lastColumn="0" w:noHBand="0" w:noVBand="1"/>
      </w:tblPr>
      <w:tblGrid>
        <w:gridCol w:w="6390"/>
        <w:gridCol w:w="2879"/>
      </w:tblGrid>
      <w:tr w:rsidR="00897749" w:rsidRPr="00E21368" w14:paraId="0B3CE783" w14:textId="77777777" w:rsidTr="002978D2">
        <w:tc>
          <w:tcPr>
            <w:tcW w:w="3447" w:type="pct"/>
          </w:tcPr>
          <w:p w14:paraId="2CB7BC08" w14:textId="198829CD" w:rsidR="00897749" w:rsidRPr="00AE7228" w:rsidRDefault="00897749" w:rsidP="005425EE">
            <w:pPr>
              <w:keepNext/>
              <w:keepLines/>
              <w:spacing w:after="0" w:line="312" w:lineRule="auto"/>
              <w:ind w:left="142" w:right="260"/>
              <w:jc w:val="both"/>
              <w:rPr>
                <w:rFonts w:ascii="Times New Roman" w:hAnsi="Times New Roman"/>
                <w:b/>
                <w:i/>
                <w:sz w:val="20"/>
                <w:szCs w:val="20"/>
                <w:lang w:val="vi-VN"/>
              </w:rPr>
            </w:pPr>
            <w:proofErr w:type="spellStart"/>
            <w:r w:rsidRPr="00E21368">
              <w:rPr>
                <w:rFonts w:ascii="Times New Roman" w:hAnsi="Times New Roman"/>
                <w:b/>
                <w:i/>
                <w:sz w:val="20"/>
                <w:szCs w:val="20"/>
                <w:lang w:val="es-MX"/>
              </w:rPr>
              <w:t>Thời</w:t>
            </w:r>
            <w:proofErr w:type="spellEnd"/>
            <w:r w:rsidRPr="00E21368">
              <w:rPr>
                <w:rFonts w:ascii="Times New Roman" w:hAnsi="Times New Roman"/>
                <w:b/>
                <w:i/>
                <w:sz w:val="20"/>
                <w:szCs w:val="20"/>
                <w:lang w:val="es-MX"/>
              </w:rPr>
              <w:t xml:space="preserve"> </w:t>
            </w:r>
            <w:proofErr w:type="spellStart"/>
            <w:r w:rsidRPr="00E21368">
              <w:rPr>
                <w:rFonts w:ascii="Times New Roman" w:hAnsi="Times New Roman"/>
                <w:b/>
                <w:i/>
                <w:sz w:val="20"/>
                <w:szCs w:val="20"/>
                <w:lang w:val="es-MX"/>
              </w:rPr>
              <w:t>gian</w:t>
            </w:r>
            <w:proofErr w:type="spellEnd"/>
            <w:r w:rsidRPr="00E21368">
              <w:rPr>
                <w:rFonts w:ascii="Times New Roman" w:hAnsi="Times New Roman"/>
                <w:b/>
                <w:i/>
                <w:sz w:val="20"/>
                <w:szCs w:val="20"/>
                <w:lang w:val="es-MX"/>
              </w:rPr>
              <w:t xml:space="preserve"> </w:t>
            </w:r>
            <w:proofErr w:type="spellStart"/>
            <w:r w:rsidRPr="00E21368">
              <w:rPr>
                <w:rFonts w:ascii="Times New Roman" w:hAnsi="Times New Roman"/>
                <w:b/>
                <w:i/>
                <w:sz w:val="20"/>
                <w:szCs w:val="20"/>
                <w:lang w:val="es-MX"/>
              </w:rPr>
              <w:t>quá</w:t>
            </w:r>
            <w:proofErr w:type="spellEnd"/>
            <w:r w:rsidRPr="00E21368">
              <w:rPr>
                <w:rFonts w:ascii="Times New Roman" w:hAnsi="Times New Roman"/>
                <w:b/>
                <w:i/>
                <w:sz w:val="20"/>
                <w:szCs w:val="20"/>
                <w:lang w:val="es-MX"/>
              </w:rPr>
              <w:t xml:space="preserve"> </w:t>
            </w:r>
            <w:proofErr w:type="spellStart"/>
            <w:r w:rsidR="00AE7228">
              <w:rPr>
                <w:rFonts w:ascii="Times New Roman" w:hAnsi="Times New Roman"/>
                <w:b/>
                <w:i/>
                <w:sz w:val="20"/>
                <w:szCs w:val="20"/>
                <w:lang w:val="es-MX"/>
              </w:rPr>
              <w:t>hạn</w:t>
            </w:r>
            <w:proofErr w:type="spellEnd"/>
            <w:r w:rsidR="00AE7228">
              <w:rPr>
                <w:rFonts w:ascii="Times New Roman" w:hAnsi="Times New Roman"/>
                <w:b/>
                <w:i/>
                <w:sz w:val="20"/>
                <w:szCs w:val="20"/>
                <w:lang w:val="vi-VN"/>
              </w:rPr>
              <w:t>/ Due date</w:t>
            </w:r>
          </w:p>
        </w:tc>
        <w:tc>
          <w:tcPr>
            <w:tcW w:w="1553" w:type="pct"/>
          </w:tcPr>
          <w:p w14:paraId="1FB559A6" w14:textId="562D50FD" w:rsidR="00897749" w:rsidRPr="00AE7228" w:rsidRDefault="00897749" w:rsidP="005425EE">
            <w:pPr>
              <w:keepNext/>
              <w:keepLines/>
              <w:spacing w:after="0" w:line="312" w:lineRule="auto"/>
              <w:ind w:left="142" w:right="260"/>
              <w:jc w:val="center"/>
              <w:rPr>
                <w:rFonts w:ascii="Times New Roman" w:hAnsi="Times New Roman"/>
                <w:b/>
                <w:i/>
                <w:sz w:val="20"/>
                <w:szCs w:val="20"/>
                <w:lang w:val="vi-VN"/>
              </w:rPr>
            </w:pPr>
            <w:proofErr w:type="spellStart"/>
            <w:r w:rsidRPr="00E21368">
              <w:rPr>
                <w:rFonts w:ascii="Times New Roman" w:hAnsi="Times New Roman"/>
                <w:b/>
                <w:i/>
                <w:sz w:val="20"/>
                <w:szCs w:val="20"/>
                <w:lang w:val="es-MX"/>
              </w:rPr>
              <w:t>Mức</w:t>
            </w:r>
            <w:proofErr w:type="spellEnd"/>
            <w:r w:rsidRPr="00E21368">
              <w:rPr>
                <w:rFonts w:ascii="Times New Roman" w:hAnsi="Times New Roman"/>
                <w:b/>
                <w:i/>
                <w:sz w:val="20"/>
                <w:szCs w:val="20"/>
                <w:lang w:val="es-MX"/>
              </w:rPr>
              <w:t xml:space="preserve"> </w:t>
            </w:r>
            <w:proofErr w:type="spellStart"/>
            <w:r w:rsidRPr="00E21368">
              <w:rPr>
                <w:rFonts w:ascii="Times New Roman" w:hAnsi="Times New Roman"/>
                <w:b/>
                <w:i/>
                <w:sz w:val="20"/>
                <w:szCs w:val="20"/>
                <w:lang w:val="es-MX"/>
              </w:rPr>
              <w:t>trích</w:t>
            </w:r>
            <w:proofErr w:type="spellEnd"/>
            <w:r w:rsidRPr="00E21368">
              <w:rPr>
                <w:rFonts w:ascii="Times New Roman" w:hAnsi="Times New Roman"/>
                <w:b/>
                <w:i/>
                <w:sz w:val="20"/>
                <w:szCs w:val="20"/>
                <w:lang w:val="vi-VN"/>
              </w:rPr>
              <w:t xml:space="preserve"> </w:t>
            </w:r>
            <w:proofErr w:type="spellStart"/>
            <w:r w:rsidRPr="00E21368">
              <w:rPr>
                <w:rFonts w:ascii="Times New Roman" w:hAnsi="Times New Roman"/>
                <w:b/>
                <w:i/>
                <w:sz w:val="20"/>
                <w:szCs w:val="20"/>
              </w:rPr>
              <w:t>lập</w:t>
            </w:r>
            <w:proofErr w:type="spellEnd"/>
            <w:r w:rsidRPr="00E21368">
              <w:rPr>
                <w:rFonts w:ascii="Times New Roman" w:hAnsi="Times New Roman"/>
                <w:b/>
                <w:i/>
                <w:sz w:val="20"/>
                <w:szCs w:val="20"/>
              </w:rPr>
              <w:t xml:space="preserve"> </w:t>
            </w:r>
            <w:r w:rsidRPr="00E21368">
              <w:rPr>
                <w:rFonts w:ascii="Times New Roman" w:hAnsi="Times New Roman"/>
                <w:b/>
                <w:i/>
                <w:sz w:val="20"/>
                <w:szCs w:val="20"/>
                <w:lang w:val="vi-VN"/>
              </w:rPr>
              <w:t>d</w:t>
            </w:r>
            <w:r w:rsidRPr="00E21368">
              <w:rPr>
                <w:rFonts w:ascii="Times New Roman" w:hAnsi="Times New Roman"/>
                <w:b/>
                <w:i/>
                <w:sz w:val="20"/>
                <w:szCs w:val="20"/>
                <w:lang w:val="es-MX"/>
              </w:rPr>
              <w:t xml:space="preserve">ự </w:t>
            </w:r>
            <w:proofErr w:type="spellStart"/>
            <w:r w:rsidR="00AE7228">
              <w:rPr>
                <w:rFonts w:ascii="Times New Roman" w:hAnsi="Times New Roman"/>
                <w:b/>
                <w:i/>
                <w:sz w:val="20"/>
                <w:szCs w:val="20"/>
                <w:lang w:val="es-MX"/>
              </w:rPr>
              <w:t>phòng</w:t>
            </w:r>
            <w:proofErr w:type="spellEnd"/>
            <w:r w:rsidR="00AE7228">
              <w:rPr>
                <w:rFonts w:ascii="Times New Roman" w:hAnsi="Times New Roman"/>
                <w:b/>
                <w:i/>
                <w:sz w:val="20"/>
                <w:szCs w:val="20"/>
                <w:lang w:val="vi-VN"/>
              </w:rPr>
              <w:t>/ Provision rate</w:t>
            </w:r>
          </w:p>
        </w:tc>
      </w:tr>
      <w:tr w:rsidR="00897749" w:rsidRPr="00E21368" w14:paraId="2900B410" w14:textId="77777777" w:rsidTr="002978D2">
        <w:tc>
          <w:tcPr>
            <w:tcW w:w="3447" w:type="pct"/>
            <w:vAlign w:val="bottom"/>
          </w:tcPr>
          <w:p w14:paraId="3A8A3487" w14:textId="77777777" w:rsidR="00897749" w:rsidRPr="00E21368" w:rsidRDefault="00897749" w:rsidP="005425EE">
            <w:pPr>
              <w:keepNext/>
              <w:widowControl w:val="0"/>
              <w:spacing w:after="0" w:line="312" w:lineRule="auto"/>
              <w:ind w:left="142" w:right="260"/>
              <w:jc w:val="both"/>
              <w:rPr>
                <w:rFonts w:ascii="Times New Roman" w:hAnsi="Times New Roman"/>
                <w:sz w:val="20"/>
                <w:szCs w:val="20"/>
              </w:rPr>
            </w:pPr>
          </w:p>
        </w:tc>
        <w:tc>
          <w:tcPr>
            <w:tcW w:w="1553" w:type="pct"/>
            <w:vAlign w:val="bottom"/>
          </w:tcPr>
          <w:p w14:paraId="630DF1C3" w14:textId="77777777" w:rsidR="00897749" w:rsidRPr="00E21368" w:rsidRDefault="00897749" w:rsidP="005425EE">
            <w:pPr>
              <w:keepNext/>
              <w:widowControl w:val="0"/>
              <w:spacing w:after="0" w:line="312" w:lineRule="auto"/>
              <w:ind w:left="142" w:right="260"/>
              <w:jc w:val="right"/>
              <w:rPr>
                <w:rFonts w:ascii="Times New Roman" w:hAnsi="Times New Roman"/>
                <w:sz w:val="20"/>
                <w:szCs w:val="20"/>
              </w:rPr>
            </w:pPr>
          </w:p>
        </w:tc>
      </w:tr>
      <w:tr w:rsidR="00897749" w:rsidRPr="00E21368" w14:paraId="656F8126" w14:textId="77777777" w:rsidTr="002978D2">
        <w:tc>
          <w:tcPr>
            <w:tcW w:w="3447" w:type="pct"/>
            <w:vAlign w:val="bottom"/>
          </w:tcPr>
          <w:p w14:paraId="1B0884B5" w14:textId="572B540C" w:rsidR="00897749" w:rsidRPr="00AE7228" w:rsidRDefault="00897749" w:rsidP="005425EE">
            <w:pPr>
              <w:keepNext/>
              <w:widowControl w:val="0"/>
              <w:spacing w:after="0" w:line="312" w:lineRule="auto"/>
              <w:ind w:left="142" w:right="260"/>
              <w:jc w:val="both"/>
              <w:rPr>
                <w:rFonts w:ascii="Times New Roman" w:hAnsi="Times New Roman"/>
                <w:sz w:val="20"/>
                <w:szCs w:val="20"/>
                <w:lang w:val="vi-VN"/>
              </w:rPr>
            </w:pPr>
            <w:proofErr w:type="spellStart"/>
            <w:r w:rsidRPr="00E21368">
              <w:rPr>
                <w:rFonts w:ascii="Times New Roman" w:hAnsi="Times New Roman"/>
                <w:sz w:val="20"/>
                <w:szCs w:val="20"/>
                <w:lang w:val="es-MX"/>
              </w:rPr>
              <w:t>Từ</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trên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sáu</w:t>
            </w:r>
            <w:proofErr w:type="spellEnd"/>
            <w:r w:rsidRPr="00E21368">
              <w:rPr>
                <w:rFonts w:ascii="Times New Roman" w:hAnsi="Times New Roman"/>
                <w:sz w:val="20"/>
                <w:szCs w:val="20"/>
                <w:lang w:val="es-MX"/>
              </w:rPr>
              <w:t xml:space="preserve"> (06) </w:t>
            </w:r>
            <w:proofErr w:type="spellStart"/>
            <w:r w:rsidRPr="00E21368">
              <w:rPr>
                <w:rFonts w:ascii="Times New Roman" w:hAnsi="Times New Roman"/>
                <w:sz w:val="20"/>
                <w:szCs w:val="20"/>
                <w:lang w:val="es-MX"/>
              </w:rPr>
              <w:t>tháng</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đến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dưới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một</w:t>
            </w:r>
            <w:proofErr w:type="spellEnd"/>
            <w:r w:rsidRPr="00E21368">
              <w:rPr>
                <w:rFonts w:ascii="Times New Roman" w:hAnsi="Times New Roman"/>
                <w:sz w:val="20"/>
                <w:szCs w:val="20"/>
                <w:lang w:val="es-MX"/>
              </w:rPr>
              <w:t xml:space="preserve"> (01) </w:t>
            </w:r>
            <w:proofErr w:type="spellStart"/>
            <w:r w:rsidRPr="00E21368">
              <w:rPr>
                <w:rFonts w:ascii="Times New Roman" w:hAnsi="Times New Roman"/>
                <w:sz w:val="20"/>
                <w:szCs w:val="20"/>
                <w:lang w:val="es-MX"/>
              </w:rPr>
              <w:t>năm</w:t>
            </w:r>
            <w:proofErr w:type="spellEnd"/>
            <w:r w:rsidR="00AE7228">
              <w:rPr>
                <w:rFonts w:ascii="Times New Roman" w:hAnsi="Times New Roman"/>
                <w:sz w:val="20"/>
                <w:szCs w:val="20"/>
                <w:lang w:val="vi-VN"/>
              </w:rPr>
              <w:t xml:space="preserve"> – from 6 months to less than 1 year</w:t>
            </w:r>
          </w:p>
        </w:tc>
        <w:tc>
          <w:tcPr>
            <w:tcW w:w="1553" w:type="pct"/>
            <w:vAlign w:val="bottom"/>
          </w:tcPr>
          <w:p w14:paraId="30D7E4C1" w14:textId="77777777" w:rsidR="00897749" w:rsidRPr="00E21368" w:rsidRDefault="00897749" w:rsidP="005425EE">
            <w:pPr>
              <w:keepNext/>
              <w:widowControl w:val="0"/>
              <w:spacing w:after="0" w:line="312" w:lineRule="auto"/>
              <w:ind w:left="142" w:right="260"/>
              <w:jc w:val="center"/>
              <w:rPr>
                <w:rFonts w:ascii="Times New Roman" w:hAnsi="Times New Roman"/>
                <w:sz w:val="20"/>
                <w:szCs w:val="20"/>
              </w:rPr>
            </w:pPr>
            <w:r w:rsidRPr="00E21368">
              <w:rPr>
                <w:rFonts w:ascii="Times New Roman" w:hAnsi="Times New Roman"/>
                <w:sz w:val="20"/>
                <w:szCs w:val="20"/>
              </w:rPr>
              <w:t>30%</w:t>
            </w:r>
          </w:p>
        </w:tc>
      </w:tr>
      <w:tr w:rsidR="00897749" w:rsidRPr="00E21368" w14:paraId="12122A41" w14:textId="77777777" w:rsidTr="002978D2">
        <w:tc>
          <w:tcPr>
            <w:tcW w:w="3447" w:type="pct"/>
            <w:vAlign w:val="bottom"/>
          </w:tcPr>
          <w:p w14:paraId="01BA8220" w14:textId="0E68F09E" w:rsidR="00897749" w:rsidRPr="00AE7228" w:rsidRDefault="00897749" w:rsidP="005425EE">
            <w:pPr>
              <w:keepNext/>
              <w:widowControl w:val="0"/>
              <w:spacing w:after="0" w:line="312" w:lineRule="auto"/>
              <w:ind w:left="142" w:right="260"/>
              <w:jc w:val="both"/>
              <w:rPr>
                <w:rFonts w:ascii="Times New Roman" w:hAnsi="Times New Roman"/>
                <w:sz w:val="20"/>
                <w:szCs w:val="20"/>
                <w:lang w:val="vi-VN"/>
              </w:rPr>
            </w:pPr>
            <w:proofErr w:type="spellStart"/>
            <w:r w:rsidRPr="00E21368">
              <w:rPr>
                <w:rFonts w:ascii="Times New Roman" w:hAnsi="Times New Roman"/>
                <w:sz w:val="20"/>
                <w:szCs w:val="20"/>
                <w:lang w:val="es-MX"/>
              </w:rPr>
              <w:t>Từ</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một</w:t>
            </w:r>
            <w:proofErr w:type="spellEnd"/>
            <w:r w:rsidRPr="00E21368">
              <w:rPr>
                <w:rFonts w:ascii="Times New Roman" w:hAnsi="Times New Roman"/>
                <w:sz w:val="20"/>
                <w:szCs w:val="20"/>
                <w:lang w:val="es-MX"/>
              </w:rPr>
              <w:t xml:space="preserve"> (01) </w:t>
            </w:r>
            <w:proofErr w:type="spellStart"/>
            <w:r w:rsidRPr="00E21368">
              <w:rPr>
                <w:rFonts w:ascii="Times New Roman" w:hAnsi="Times New Roman"/>
                <w:sz w:val="20"/>
                <w:szCs w:val="20"/>
                <w:lang w:val="es-MX"/>
              </w:rPr>
              <w:t>năm</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đến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dưới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hai</w:t>
            </w:r>
            <w:proofErr w:type="spellEnd"/>
            <w:r w:rsidRPr="00E21368">
              <w:rPr>
                <w:rFonts w:ascii="Times New Roman" w:hAnsi="Times New Roman"/>
                <w:sz w:val="20"/>
                <w:szCs w:val="20"/>
                <w:lang w:val="es-MX"/>
              </w:rPr>
              <w:t xml:space="preserve"> (02) </w:t>
            </w:r>
            <w:proofErr w:type="spellStart"/>
            <w:r w:rsidRPr="00E21368">
              <w:rPr>
                <w:rFonts w:ascii="Times New Roman" w:hAnsi="Times New Roman"/>
                <w:sz w:val="20"/>
                <w:szCs w:val="20"/>
                <w:lang w:val="es-MX"/>
              </w:rPr>
              <w:t>năm</w:t>
            </w:r>
            <w:proofErr w:type="spellEnd"/>
            <w:r w:rsidR="00AE7228">
              <w:rPr>
                <w:rFonts w:ascii="Times New Roman" w:hAnsi="Times New Roman"/>
                <w:sz w:val="20"/>
                <w:szCs w:val="20"/>
                <w:lang w:val="vi-VN"/>
              </w:rPr>
              <w:t xml:space="preserve"> – from 1 year to 2 years</w:t>
            </w:r>
          </w:p>
        </w:tc>
        <w:tc>
          <w:tcPr>
            <w:tcW w:w="1553" w:type="pct"/>
            <w:vAlign w:val="bottom"/>
          </w:tcPr>
          <w:p w14:paraId="6B1EA7A4" w14:textId="77777777" w:rsidR="00897749" w:rsidRPr="00E21368" w:rsidRDefault="00897749" w:rsidP="005425EE">
            <w:pPr>
              <w:keepNext/>
              <w:widowControl w:val="0"/>
              <w:spacing w:after="0" w:line="312" w:lineRule="auto"/>
              <w:ind w:left="142" w:right="260"/>
              <w:jc w:val="center"/>
              <w:rPr>
                <w:rFonts w:ascii="Times New Roman" w:hAnsi="Times New Roman"/>
                <w:sz w:val="20"/>
                <w:szCs w:val="20"/>
              </w:rPr>
            </w:pPr>
            <w:r w:rsidRPr="00E21368">
              <w:rPr>
                <w:rFonts w:ascii="Times New Roman" w:hAnsi="Times New Roman"/>
                <w:sz w:val="20"/>
                <w:szCs w:val="20"/>
              </w:rPr>
              <w:t>50%</w:t>
            </w:r>
          </w:p>
        </w:tc>
      </w:tr>
      <w:tr w:rsidR="00897749" w:rsidRPr="00E21368" w14:paraId="472FDA62" w14:textId="77777777" w:rsidTr="002978D2">
        <w:tc>
          <w:tcPr>
            <w:tcW w:w="3447" w:type="pct"/>
            <w:vAlign w:val="bottom"/>
          </w:tcPr>
          <w:p w14:paraId="5DEBCAC4" w14:textId="0E9BF37A" w:rsidR="00897749" w:rsidRPr="00AE7228" w:rsidRDefault="00897749" w:rsidP="005425EE">
            <w:pPr>
              <w:keepNext/>
              <w:widowControl w:val="0"/>
              <w:spacing w:after="0" w:line="312" w:lineRule="auto"/>
              <w:ind w:left="142" w:right="260"/>
              <w:jc w:val="both"/>
              <w:rPr>
                <w:rFonts w:ascii="Times New Roman" w:hAnsi="Times New Roman"/>
                <w:sz w:val="20"/>
                <w:szCs w:val="20"/>
                <w:lang w:val="vi-VN"/>
              </w:rPr>
            </w:pPr>
            <w:proofErr w:type="spellStart"/>
            <w:r w:rsidRPr="00E21368">
              <w:rPr>
                <w:rFonts w:ascii="Times New Roman" w:hAnsi="Times New Roman"/>
                <w:sz w:val="20"/>
                <w:szCs w:val="20"/>
                <w:lang w:val="es-MX"/>
              </w:rPr>
              <w:t>Từ</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hai</w:t>
            </w:r>
            <w:proofErr w:type="spellEnd"/>
            <w:r w:rsidRPr="00E21368">
              <w:rPr>
                <w:rFonts w:ascii="Times New Roman" w:hAnsi="Times New Roman"/>
                <w:sz w:val="20"/>
                <w:szCs w:val="20"/>
                <w:lang w:val="es-MX"/>
              </w:rPr>
              <w:t xml:space="preserve"> (02) </w:t>
            </w:r>
            <w:proofErr w:type="spellStart"/>
            <w:r w:rsidRPr="00E21368">
              <w:rPr>
                <w:rFonts w:ascii="Times New Roman" w:hAnsi="Times New Roman"/>
                <w:sz w:val="20"/>
                <w:szCs w:val="20"/>
                <w:lang w:val="es-MX"/>
              </w:rPr>
              <w:t>năm</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đến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dưới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ba</w:t>
            </w:r>
            <w:proofErr w:type="spellEnd"/>
            <w:r w:rsidRPr="00E21368">
              <w:rPr>
                <w:rFonts w:ascii="Times New Roman" w:hAnsi="Times New Roman"/>
                <w:sz w:val="20"/>
                <w:szCs w:val="20"/>
                <w:lang w:val="es-MX"/>
              </w:rPr>
              <w:t xml:space="preserve"> (03) </w:t>
            </w:r>
            <w:proofErr w:type="spellStart"/>
            <w:r w:rsidR="00AE7228">
              <w:rPr>
                <w:rFonts w:ascii="Times New Roman" w:hAnsi="Times New Roman"/>
                <w:sz w:val="20"/>
                <w:szCs w:val="20"/>
                <w:lang w:val="es-MX"/>
              </w:rPr>
              <w:t>năm</w:t>
            </w:r>
            <w:proofErr w:type="spellEnd"/>
            <w:r w:rsidR="00AE7228">
              <w:rPr>
                <w:rFonts w:ascii="Times New Roman" w:hAnsi="Times New Roman"/>
                <w:sz w:val="20"/>
                <w:szCs w:val="20"/>
                <w:lang w:val="vi-VN"/>
              </w:rPr>
              <w:t>- from 2 years to 3 years</w:t>
            </w:r>
          </w:p>
        </w:tc>
        <w:tc>
          <w:tcPr>
            <w:tcW w:w="1553" w:type="pct"/>
            <w:vAlign w:val="bottom"/>
          </w:tcPr>
          <w:p w14:paraId="39CEA229" w14:textId="77777777" w:rsidR="00897749" w:rsidRPr="00E21368" w:rsidRDefault="00897749" w:rsidP="005425EE">
            <w:pPr>
              <w:keepNext/>
              <w:widowControl w:val="0"/>
              <w:spacing w:after="0" w:line="312" w:lineRule="auto"/>
              <w:ind w:left="142" w:right="260"/>
              <w:jc w:val="center"/>
              <w:rPr>
                <w:rFonts w:ascii="Times New Roman" w:hAnsi="Times New Roman"/>
                <w:sz w:val="20"/>
                <w:szCs w:val="20"/>
              </w:rPr>
            </w:pPr>
            <w:r w:rsidRPr="00E21368">
              <w:rPr>
                <w:rFonts w:ascii="Times New Roman" w:hAnsi="Times New Roman"/>
                <w:sz w:val="20"/>
                <w:szCs w:val="20"/>
              </w:rPr>
              <w:t>70%</w:t>
            </w:r>
          </w:p>
        </w:tc>
      </w:tr>
      <w:tr w:rsidR="00897749" w:rsidRPr="00E21368" w14:paraId="56F23BBB" w14:textId="77777777" w:rsidTr="002978D2">
        <w:tc>
          <w:tcPr>
            <w:tcW w:w="3447" w:type="pct"/>
            <w:vAlign w:val="bottom"/>
          </w:tcPr>
          <w:p w14:paraId="11D9B320" w14:textId="1C3E3365" w:rsidR="00897749" w:rsidRPr="00AE7228" w:rsidRDefault="00897749" w:rsidP="005425EE">
            <w:pPr>
              <w:keepNext/>
              <w:widowControl w:val="0"/>
              <w:spacing w:after="0" w:line="312" w:lineRule="auto"/>
              <w:ind w:left="142" w:right="260"/>
              <w:jc w:val="both"/>
              <w:rPr>
                <w:rFonts w:ascii="Times New Roman" w:hAnsi="Times New Roman"/>
                <w:sz w:val="20"/>
                <w:szCs w:val="20"/>
                <w:lang w:val="vi-VN"/>
              </w:rPr>
            </w:pPr>
            <w:proofErr w:type="spellStart"/>
            <w:r w:rsidRPr="00E21368">
              <w:rPr>
                <w:rFonts w:ascii="Times New Roman" w:hAnsi="Times New Roman"/>
                <w:sz w:val="20"/>
                <w:szCs w:val="20"/>
                <w:lang w:val="es-MX"/>
              </w:rPr>
              <w:t>Từ</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ba</w:t>
            </w:r>
            <w:proofErr w:type="spellEnd"/>
            <w:r w:rsidRPr="00E21368">
              <w:rPr>
                <w:rFonts w:ascii="Times New Roman" w:hAnsi="Times New Roman"/>
                <w:sz w:val="20"/>
                <w:szCs w:val="20"/>
                <w:lang w:val="es-MX"/>
              </w:rPr>
              <w:t xml:space="preserve"> (03) </w:t>
            </w:r>
            <w:proofErr w:type="spellStart"/>
            <w:r w:rsidRPr="00E21368">
              <w:rPr>
                <w:rFonts w:ascii="Times New Roman" w:hAnsi="Times New Roman"/>
                <w:sz w:val="20"/>
                <w:szCs w:val="20"/>
                <w:lang w:val="es-MX"/>
              </w:rPr>
              <w:t>năm</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trở</w:t>
            </w:r>
            <w:proofErr w:type="spellEnd"/>
            <w:r w:rsidRPr="00E21368">
              <w:rPr>
                <w:rFonts w:ascii="Times New Roman" w:hAnsi="Times New Roman"/>
                <w:sz w:val="20"/>
                <w:szCs w:val="20"/>
                <w:lang w:val="es-MX"/>
              </w:rPr>
              <w:t xml:space="preserve"> </w:t>
            </w:r>
            <w:proofErr w:type="spellStart"/>
            <w:r w:rsidR="00AE7228">
              <w:rPr>
                <w:rFonts w:ascii="Times New Roman" w:hAnsi="Times New Roman"/>
                <w:sz w:val="20"/>
                <w:szCs w:val="20"/>
                <w:lang w:val="es-MX"/>
              </w:rPr>
              <w:t>lên</w:t>
            </w:r>
            <w:proofErr w:type="spellEnd"/>
            <w:r w:rsidR="00AE7228">
              <w:rPr>
                <w:rFonts w:ascii="Times New Roman" w:hAnsi="Times New Roman"/>
                <w:sz w:val="20"/>
                <w:szCs w:val="20"/>
                <w:lang w:val="vi-VN"/>
              </w:rPr>
              <w:t>- More than 3 years</w:t>
            </w:r>
          </w:p>
        </w:tc>
        <w:tc>
          <w:tcPr>
            <w:tcW w:w="1553" w:type="pct"/>
            <w:vAlign w:val="bottom"/>
          </w:tcPr>
          <w:p w14:paraId="67B99E13" w14:textId="77777777" w:rsidR="00897749" w:rsidRPr="00E21368" w:rsidRDefault="00897749" w:rsidP="005425EE">
            <w:pPr>
              <w:keepNext/>
              <w:widowControl w:val="0"/>
              <w:spacing w:after="0" w:line="312" w:lineRule="auto"/>
              <w:ind w:left="142" w:right="260"/>
              <w:jc w:val="center"/>
              <w:rPr>
                <w:rFonts w:ascii="Times New Roman" w:hAnsi="Times New Roman"/>
                <w:sz w:val="20"/>
                <w:szCs w:val="20"/>
              </w:rPr>
            </w:pPr>
            <w:r w:rsidRPr="00E21368">
              <w:rPr>
                <w:rFonts w:ascii="Times New Roman" w:hAnsi="Times New Roman"/>
                <w:sz w:val="20"/>
                <w:szCs w:val="20"/>
              </w:rPr>
              <w:t>100%</w:t>
            </w:r>
          </w:p>
        </w:tc>
      </w:tr>
      <w:tr w:rsidR="00897749" w:rsidRPr="0091072C" w14:paraId="7D0C7600" w14:textId="77777777" w:rsidTr="002978D2">
        <w:trPr>
          <w:trHeight w:val="131"/>
        </w:trPr>
        <w:tc>
          <w:tcPr>
            <w:tcW w:w="3447" w:type="pct"/>
            <w:vAlign w:val="bottom"/>
          </w:tcPr>
          <w:p w14:paraId="25EA664D" w14:textId="77777777" w:rsidR="00897749" w:rsidRPr="0091072C" w:rsidRDefault="00897749" w:rsidP="005425EE">
            <w:pPr>
              <w:keepNext/>
              <w:widowControl w:val="0"/>
              <w:spacing w:after="0" w:line="312" w:lineRule="auto"/>
              <w:ind w:left="142" w:right="260"/>
              <w:jc w:val="both"/>
              <w:rPr>
                <w:rFonts w:ascii="Times New Roman" w:hAnsi="Times New Roman"/>
                <w:sz w:val="14"/>
                <w:szCs w:val="20"/>
              </w:rPr>
            </w:pPr>
          </w:p>
        </w:tc>
        <w:tc>
          <w:tcPr>
            <w:tcW w:w="1553" w:type="pct"/>
            <w:vAlign w:val="bottom"/>
          </w:tcPr>
          <w:p w14:paraId="2C636AFF" w14:textId="77777777" w:rsidR="00897749" w:rsidRPr="0091072C" w:rsidRDefault="00897749" w:rsidP="005425EE">
            <w:pPr>
              <w:keepNext/>
              <w:widowControl w:val="0"/>
              <w:spacing w:after="0" w:line="312" w:lineRule="auto"/>
              <w:ind w:left="142" w:right="260"/>
              <w:jc w:val="both"/>
              <w:rPr>
                <w:rFonts w:ascii="Times New Roman" w:hAnsi="Times New Roman"/>
                <w:sz w:val="14"/>
                <w:szCs w:val="20"/>
              </w:rPr>
            </w:pPr>
          </w:p>
        </w:tc>
      </w:tr>
    </w:tbl>
    <w:p w14:paraId="6217D522" w14:textId="77777777" w:rsidR="00897749" w:rsidRPr="0091072C" w:rsidRDefault="00897749" w:rsidP="005425EE">
      <w:pPr>
        <w:widowControl w:val="0"/>
        <w:spacing w:after="0" w:line="312" w:lineRule="auto"/>
        <w:ind w:left="142" w:right="260"/>
        <w:jc w:val="both"/>
        <w:rPr>
          <w:rFonts w:ascii="Times New Roman" w:hAnsi="Times New Roman"/>
          <w:sz w:val="12"/>
          <w:szCs w:val="20"/>
        </w:rPr>
      </w:pPr>
    </w:p>
    <w:p w14:paraId="4758725C" w14:textId="77777777" w:rsidR="00897749" w:rsidRDefault="00897749" w:rsidP="00F83939">
      <w:pPr>
        <w:widowControl w:val="0"/>
        <w:spacing w:after="0" w:line="312" w:lineRule="auto"/>
        <w:ind w:left="720" w:right="260"/>
        <w:jc w:val="both"/>
        <w:rPr>
          <w:rFonts w:ascii="Times New Roman" w:hAnsi="Times New Roman"/>
          <w:sz w:val="20"/>
          <w:szCs w:val="20"/>
        </w:rPr>
      </w:pPr>
      <w:proofErr w:type="spellStart"/>
      <w:r w:rsidRPr="00E21368">
        <w:rPr>
          <w:rFonts w:ascii="Times New Roman" w:hAnsi="Times New Roman"/>
          <w:sz w:val="20"/>
          <w:szCs w:val="20"/>
        </w:rPr>
        <w:t>Đối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cũng </w:t>
      </w:r>
      <w:proofErr w:type="spellStart"/>
      <w:r w:rsidRPr="00E21368">
        <w:rPr>
          <w:rFonts w:ascii="Times New Roman" w:hAnsi="Times New Roman"/>
          <w:sz w:val="20"/>
          <w:szCs w:val="20"/>
        </w:rPr>
        <w:t>đánh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thêm</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về</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năng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hồi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dự</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kiến</w:t>
      </w:r>
      <w:proofErr w:type="spellEnd"/>
      <w:r w:rsidRPr="00E21368">
        <w:rPr>
          <w:rFonts w:ascii="Times New Roman" w:hAnsi="Times New Roman"/>
          <w:sz w:val="20"/>
          <w:szCs w:val="20"/>
        </w:rPr>
        <w:t xml:space="preserve"> của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nợ</w:t>
      </w:r>
      <w:proofErr w:type="spellEnd"/>
      <w:r w:rsidRPr="00E21368">
        <w:rPr>
          <w:rFonts w:ascii="Times New Roman" w:hAnsi="Times New Roman"/>
          <w:sz w:val="20"/>
          <w:szCs w:val="20"/>
        </w:rPr>
        <w:t xml:space="preserve"> này để </w:t>
      </w:r>
      <w:proofErr w:type="spellStart"/>
      <w:r w:rsidRPr="00E21368">
        <w:rPr>
          <w:rFonts w:ascii="Times New Roman" w:hAnsi="Times New Roman"/>
          <w:sz w:val="20"/>
          <w:szCs w:val="20"/>
        </w:rPr>
        <w:t>xác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định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thêm</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dự</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phòng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nếu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cần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thiết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ngoài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dự</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phòng</w:t>
      </w:r>
      <w:proofErr w:type="spellEnd"/>
      <w:r w:rsidRPr="00E21368">
        <w:rPr>
          <w:rFonts w:ascii="Times New Roman" w:hAnsi="Times New Roman"/>
          <w:sz w:val="20"/>
          <w:szCs w:val="20"/>
        </w:rPr>
        <w:t xml:space="preserve"> đã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trích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lập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dựa</w:t>
      </w:r>
      <w:proofErr w:type="spellEnd"/>
      <w:r w:rsidRPr="00E21368">
        <w:rPr>
          <w:rFonts w:ascii="Times New Roman" w:hAnsi="Times New Roman"/>
          <w:sz w:val="20"/>
          <w:szCs w:val="20"/>
        </w:rPr>
        <w:t xml:space="preserve"> trên </w:t>
      </w:r>
      <w:proofErr w:type="spellStart"/>
      <w:r w:rsidRPr="00E21368">
        <w:rPr>
          <w:rFonts w:ascii="Times New Roman" w:hAnsi="Times New Roman"/>
          <w:sz w:val="20"/>
          <w:szCs w:val="20"/>
        </w:rPr>
        <w:t>tình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trạng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hạn</w:t>
      </w:r>
      <w:proofErr w:type="spellEnd"/>
      <w:r w:rsidRPr="00E21368">
        <w:rPr>
          <w:rFonts w:ascii="Times New Roman" w:hAnsi="Times New Roman"/>
          <w:sz w:val="20"/>
          <w:szCs w:val="20"/>
        </w:rPr>
        <w:t>.</w:t>
      </w:r>
    </w:p>
    <w:p w14:paraId="0D940498" w14:textId="0280FB49" w:rsidR="00F83939" w:rsidRDefault="00F83939" w:rsidP="00F83939">
      <w:pPr>
        <w:widowControl w:val="0"/>
        <w:spacing w:after="0" w:line="312" w:lineRule="auto"/>
        <w:ind w:left="720" w:right="260"/>
        <w:jc w:val="both"/>
        <w:rPr>
          <w:rFonts w:ascii="Times New Roman" w:hAnsi="Times New Roman"/>
          <w:i/>
          <w:iCs/>
          <w:sz w:val="20"/>
          <w:szCs w:val="20"/>
        </w:rPr>
      </w:pPr>
      <w:r w:rsidRPr="00AE7228">
        <w:rPr>
          <w:rFonts w:ascii="Times New Roman" w:hAnsi="Times New Roman"/>
          <w:i/>
          <w:iCs/>
          <w:sz w:val="20"/>
          <w:szCs w:val="20"/>
        </w:rPr>
        <w:t>For overdue debts, the Fund also further evaluates the expected recovery ability of these debts to determine additional provisions (if necessary) in addition to the provision already set up based on overdue debt term.</w:t>
      </w:r>
    </w:p>
    <w:p w14:paraId="6C4CDE43" w14:textId="77777777" w:rsidR="00F83939" w:rsidRPr="00E21368" w:rsidRDefault="00F83939" w:rsidP="00F83939">
      <w:pPr>
        <w:widowControl w:val="0"/>
        <w:spacing w:after="0" w:line="312" w:lineRule="auto"/>
        <w:ind w:left="720" w:right="260"/>
        <w:jc w:val="both"/>
        <w:rPr>
          <w:rFonts w:ascii="Times New Roman" w:hAnsi="Times New Roman"/>
          <w:sz w:val="20"/>
          <w:szCs w:val="20"/>
        </w:rPr>
      </w:pPr>
    </w:p>
    <w:p w14:paraId="27281AAD" w14:textId="77777777" w:rsidR="00897749" w:rsidRDefault="00897749" w:rsidP="00F83939">
      <w:pPr>
        <w:widowControl w:val="0"/>
        <w:spacing w:after="0" w:line="312" w:lineRule="auto"/>
        <w:ind w:left="720" w:right="260"/>
        <w:jc w:val="both"/>
        <w:rPr>
          <w:rFonts w:ascii="Times New Roman" w:hAnsi="Times New Roman"/>
          <w:sz w:val="20"/>
          <w:szCs w:val="20"/>
        </w:rPr>
      </w:pPr>
      <w:proofErr w:type="spellStart"/>
      <w:r w:rsidRPr="00E21368">
        <w:rPr>
          <w:rFonts w:ascii="Times New Roman" w:hAnsi="Times New Roman"/>
          <w:sz w:val="20"/>
          <w:szCs w:val="20"/>
          <w:lang w:val="es-MX"/>
        </w:rPr>
        <w:t>Dự</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phòng</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nợ</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phải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thu</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khó</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đòi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được</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trích</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lập</w:t>
      </w:r>
      <w:proofErr w:type="spellEnd"/>
      <w:r w:rsidRPr="00E21368">
        <w:rPr>
          <w:rFonts w:ascii="Times New Roman" w:hAnsi="Times New Roman"/>
          <w:sz w:val="20"/>
          <w:szCs w:val="20"/>
          <w:lang w:val="es-MX"/>
        </w:rPr>
        <w:t xml:space="preserve"> cho </w:t>
      </w:r>
      <w:proofErr w:type="spellStart"/>
      <w:r w:rsidRPr="00E21368">
        <w:rPr>
          <w:rFonts w:ascii="Times New Roman" w:hAnsi="Times New Roman"/>
          <w:sz w:val="20"/>
          <w:szCs w:val="20"/>
          <w:lang w:val="es-MX"/>
        </w:rPr>
        <w:t>các</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tổn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thất</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có</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thể</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xảy</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ra</w:t>
      </w:r>
      <w:proofErr w:type="spellEnd"/>
      <w:r w:rsidRPr="00E21368">
        <w:rPr>
          <w:rFonts w:ascii="Times New Roman" w:hAnsi="Times New Roman"/>
          <w:sz w:val="20"/>
          <w:szCs w:val="20"/>
          <w:lang w:val="es-MX"/>
        </w:rPr>
        <w:t xml:space="preserve"> cho </w:t>
      </w:r>
      <w:proofErr w:type="spellStart"/>
      <w:r w:rsidRPr="00E21368">
        <w:rPr>
          <w:rFonts w:ascii="Times New Roman" w:hAnsi="Times New Roman"/>
          <w:sz w:val="20"/>
          <w:szCs w:val="20"/>
          <w:lang w:val="es-MX"/>
        </w:rPr>
        <w:t>các</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khoản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nợ</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chưa</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đến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hạn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thanh</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toán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được</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xác</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định</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bởi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Quỹ</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sau</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khi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xem</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xét</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đến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khả</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năng</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thu</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hồi</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của</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các</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khoản</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nợ</w:t>
      </w:r>
      <w:proofErr w:type="spellEnd"/>
      <w:r w:rsidRPr="00E21368">
        <w:rPr>
          <w:rFonts w:ascii="Times New Roman" w:hAnsi="Times New Roman"/>
          <w:sz w:val="20"/>
          <w:szCs w:val="20"/>
          <w:lang w:val="es-MX"/>
        </w:rPr>
        <w:t xml:space="preserve"> </w:t>
      </w:r>
      <w:proofErr w:type="spellStart"/>
      <w:r w:rsidRPr="00E21368">
        <w:rPr>
          <w:rFonts w:ascii="Times New Roman" w:hAnsi="Times New Roman"/>
          <w:sz w:val="20"/>
          <w:szCs w:val="20"/>
          <w:lang w:val="es-MX"/>
        </w:rPr>
        <w:t>này</w:t>
      </w:r>
      <w:proofErr w:type="spellEnd"/>
      <w:r w:rsidRPr="00E21368">
        <w:rPr>
          <w:rFonts w:ascii="Times New Roman" w:hAnsi="Times New Roman"/>
          <w:sz w:val="20"/>
          <w:szCs w:val="20"/>
        </w:rPr>
        <w:t>.</w:t>
      </w:r>
    </w:p>
    <w:p w14:paraId="487973DC" w14:textId="77777777" w:rsidR="00F83939" w:rsidRPr="00AE7228" w:rsidRDefault="00F83939" w:rsidP="00F83939">
      <w:pPr>
        <w:widowControl w:val="0"/>
        <w:spacing w:after="120" w:line="312" w:lineRule="auto"/>
        <w:ind w:left="720" w:right="260"/>
        <w:jc w:val="both"/>
        <w:rPr>
          <w:rFonts w:ascii="Times New Roman" w:hAnsi="Times New Roman"/>
          <w:i/>
          <w:iCs/>
          <w:sz w:val="20"/>
          <w:szCs w:val="20"/>
        </w:rPr>
      </w:pPr>
      <w:r w:rsidRPr="00AE7228">
        <w:rPr>
          <w:rFonts w:ascii="Times New Roman" w:hAnsi="Times New Roman"/>
          <w:i/>
          <w:iCs/>
          <w:sz w:val="20"/>
          <w:szCs w:val="20"/>
        </w:rPr>
        <w:t>Provision for bad debts is made for possible losses on undue debts determined by the Fund after considering the recoverability of these debts.</w:t>
      </w:r>
    </w:p>
    <w:p w14:paraId="48941DDD" w14:textId="77777777" w:rsidR="00BA77A1" w:rsidRDefault="00897749" w:rsidP="00F83939">
      <w:pPr>
        <w:widowControl w:val="0"/>
        <w:spacing w:after="120" w:line="312" w:lineRule="auto"/>
        <w:ind w:left="142" w:right="260" w:firstLine="578"/>
        <w:jc w:val="both"/>
        <w:rPr>
          <w:rFonts w:ascii="Times New Roman" w:hAnsi="Times New Roman"/>
          <w:sz w:val="20"/>
          <w:szCs w:val="20"/>
        </w:rPr>
      </w:pP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dự</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phòng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khó</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đòi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phát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sinh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vào </w:t>
      </w:r>
      <w:proofErr w:type="spellStart"/>
      <w:r w:rsidRPr="00E21368">
        <w:rPr>
          <w:rFonts w:ascii="Times New Roman" w:hAnsi="Times New Roman"/>
          <w:sz w:val="20"/>
          <w:szCs w:val="20"/>
        </w:rPr>
        <w:t>báo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trong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kỳ</w:t>
      </w:r>
      <w:proofErr w:type="spellEnd"/>
      <w:r w:rsidRPr="00E21368">
        <w:rPr>
          <w:rFonts w:ascii="Times New Roman" w:hAnsi="Times New Roman"/>
          <w:sz w:val="20"/>
          <w:szCs w:val="20"/>
        </w:rPr>
        <w:t>.</w:t>
      </w:r>
    </w:p>
    <w:p w14:paraId="0B7BC8F7" w14:textId="08072E69" w:rsidR="00AE7228" w:rsidRPr="00AE7228" w:rsidRDefault="00AE7228" w:rsidP="00F83939">
      <w:pPr>
        <w:widowControl w:val="0"/>
        <w:spacing w:after="120" w:line="312" w:lineRule="auto"/>
        <w:ind w:left="720" w:right="260"/>
        <w:jc w:val="both"/>
        <w:rPr>
          <w:rFonts w:ascii="Times New Roman" w:hAnsi="Times New Roman"/>
          <w:i/>
          <w:iCs/>
          <w:sz w:val="20"/>
          <w:szCs w:val="20"/>
        </w:rPr>
      </w:pPr>
      <w:r w:rsidRPr="00AE7228">
        <w:rPr>
          <w:rFonts w:ascii="Times New Roman" w:hAnsi="Times New Roman"/>
          <w:i/>
          <w:iCs/>
          <w:sz w:val="20"/>
          <w:szCs w:val="20"/>
        </w:rPr>
        <w:t>Provisions for bad debts arising are recorded in the income statement during the period.</w:t>
      </w:r>
    </w:p>
    <w:p w14:paraId="754A77E8" w14:textId="175366B2" w:rsidR="00BA77A1" w:rsidRPr="008608B2" w:rsidRDefault="00897749" w:rsidP="008608B2">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8608B2">
        <w:rPr>
          <w:rFonts w:ascii="Times New Roman" w:hAnsi="Times New Roman"/>
          <w:b/>
          <w:sz w:val="20"/>
          <w:szCs w:val="20"/>
          <w:lang w:val="nl-NL"/>
        </w:rPr>
        <w:t xml:space="preserve">Các khoản phải </w:t>
      </w:r>
      <w:r w:rsidR="00AE7228" w:rsidRPr="008608B2">
        <w:rPr>
          <w:rFonts w:ascii="Times New Roman" w:hAnsi="Times New Roman"/>
          <w:b/>
          <w:sz w:val="20"/>
          <w:szCs w:val="20"/>
          <w:lang w:val="nl-NL"/>
        </w:rPr>
        <w:t>trả</w:t>
      </w:r>
      <w:r w:rsidR="00AE7228" w:rsidRPr="008608B2">
        <w:rPr>
          <w:rFonts w:ascii="Times New Roman" w:hAnsi="Times New Roman"/>
          <w:b/>
          <w:sz w:val="20"/>
          <w:szCs w:val="20"/>
          <w:lang w:val="vi-VN"/>
        </w:rPr>
        <w:t>/</w:t>
      </w:r>
      <w:r w:rsidR="00AE7228" w:rsidRPr="008608B2">
        <w:rPr>
          <w:rFonts w:ascii="Times New Roman" w:hAnsi="Times New Roman"/>
          <w:b/>
          <w:i/>
          <w:iCs/>
          <w:sz w:val="20"/>
          <w:szCs w:val="20"/>
          <w:lang w:val="vi-VN"/>
        </w:rPr>
        <w:t>Payables</w:t>
      </w:r>
    </w:p>
    <w:p w14:paraId="44E6EA34" w14:textId="77777777" w:rsidR="00BA77A1" w:rsidRDefault="001B56C5" w:rsidP="008608B2">
      <w:pPr>
        <w:spacing w:after="120" w:line="312" w:lineRule="auto"/>
        <w:ind w:left="502" w:right="260"/>
        <w:jc w:val="both"/>
        <w:rPr>
          <w:rFonts w:ascii="Times New Roman" w:hAnsi="Times New Roman"/>
          <w:sz w:val="20"/>
          <w:szCs w:val="20"/>
        </w:rPr>
      </w:pP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trả</w:t>
      </w:r>
      <w:proofErr w:type="spellEnd"/>
      <w:r w:rsidRPr="00E21368">
        <w:rPr>
          <w:rFonts w:ascii="Times New Roman" w:hAnsi="Times New Roman"/>
          <w:sz w:val="20"/>
          <w:szCs w:val="20"/>
        </w:rPr>
        <w:t xml:space="preserve"> bao </w:t>
      </w:r>
      <w:proofErr w:type="spellStart"/>
      <w:r w:rsidRPr="00E21368">
        <w:rPr>
          <w:rFonts w:ascii="Times New Roman" w:hAnsi="Times New Roman"/>
          <w:sz w:val="20"/>
          <w:szCs w:val="20"/>
        </w:rPr>
        <w:t>gồm</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về</w:t>
      </w:r>
      <w:proofErr w:type="spellEnd"/>
      <w:r w:rsidRPr="00E21368">
        <w:rPr>
          <w:rFonts w:ascii="Times New Roman" w:hAnsi="Times New Roman"/>
          <w:sz w:val="20"/>
          <w:szCs w:val="20"/>
        </w:rPr>
        <w:t xml:space="preserve"> mua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đầu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dịch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vụ</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lý</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từ</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việc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quyết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đầu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mua/</w:t>
      </w:r>
      <w:proofErr w:type="spellStart"/>
      <w:r w:rsidRPr="00E21368">
        <w:rPr>
          <w:rFonts w:ascii="Times New Roman" w:hAnsi="Times New Roman"/>
          <w:sz w:val="20"/>
          <w:szCs w:val="20"/>
        </w:rPr>
        <w:t>bán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hộ</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bị</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chế</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đầu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trong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trường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hợp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có</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sự</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kiện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doanh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nghiệp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cổ</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tức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bằng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tiền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cổ</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tức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bằng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cổ</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phiếu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cổ</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phiếu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thưởng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quyền</w:t>
      </w:r>
      <w:proofErr w:type="spellEnd"/>
      <w:r w:rsidRPr="00E21368">
        <w:rPr>
          <w:rFonts w:ascii="Times New Roman" w:hAnsi="Times New Roman"/>
          <w:sz w:val="20"/>
          <w:szCs w:val="20"/>
        </w:rPr>
        <w:t xml:space="preserve"> mua </w:t>
      </w:r>
      <w:proofErr w:type="spellStart"/>
      <w:r w:rsidRPr="00E21368">
        <w:rPr>
          <w:rFonts w:ascii="Times New Roman" w:hAnsi="Times New Roman"/>
          <w:sz w:val="20"/>
          <w:szCs w:val="20"/>
        </w:rPr>
        <w:t>cổ</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phiếu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phát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hành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thêm</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phát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sinh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liên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quan</w:t>
      </w:r>
      <w:proofErr w:type="spellEnd"/>
      <w:r w:rsidRPr="00E21368">
        <w:rPr>
          <w:rFonts w:ascii="Times New Roman" w:hAnsi="Times New Roman"/>
          <w:sz w:val="20"/>
          <w:szCs w:val="20"/>
        </w:rPr>
        <w:t xml:space="preserve"> đến </w:t>
      </w:r>
      <w:proofErr w:type="spellStart"/>
      <w:r w:rsidRPr="00E21368">
        <w:rPr>
          <w:rFonts w:ascii="Times New Roman" w:hAnsi="Times New Roman"/>
          <w:sz w:val="20"/>
          <w:szCs w:val="20"/>
        </w:rPr>
        <w:t>danh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mục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cấu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đổi</w:t>
      </w:r>
      <w:proofErr w:type="spellEnd"/>
      <w:r w:rsidRPr="00E21368">
        <w:rPr>
          <w:rFonts w:ascii="Times New Roman" w:hAnsi="Times New Roman"/>
          <w:sz w:val="20"/>
          <w:szCs w:val="20"/>
        </w:rPr>
        <w:t xml:space="preserve"> do </w:t>
      </w:r>
      <w:proofErr w:type="spellStart"/>
      <w:r w:rsidRPr="00E21368">
        <w:rPr>
          <w:rFonts w:ascii="Times New Roman" w:hAnsi="Times New Roman"/>
          <w:sz w:val="20"/>
          <w:szCs w:val="20"/>
        </w:rPr>
        <w:t>việc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sở</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hữu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chưa</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thực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hiện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giữa</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đầu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hoặc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liên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quan</w:t>
      </w:r>
      <w:proofErr w:type="spellEnd"/>
      <w:r w:rsidRPr="00E21368">
        <w:rPr>
          <w:rFonts w:ascii="Times New Roman" w:hAnsi="Times New Roman"/>
          <w:sz w:val="20"/>
          <w:szCs w:val="20"/>
        </w:rPr>
        <w:t xml:space="preserve"> đến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bị</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chế</w:t>
      </w:r>
      <w:proofErr w:type="spellEnd"/>
      <w:r w:rsidRPr="00E21368">
        <w:rPr>
          <w:rFonts w:ascii="Times New Roman" w:hAnsi="Times New Roman"/>
          <w:sz w:val="20"/>
          <w:szCs w:val="20"/>
        </w:rPr>
        <w:t xml:space="preserve"> đang </w:t>
      </w:r>
      <w:proofErr w:type="spellStart"/>
      <w:r w:rsidRPr="00E21368">
        <w:rPr>
          <w:rFonts w:ascii="Times New Roman" w:hAnsi="Times New Roman"/>
          <w:sz w:val="20"/>
          <w:szCs w:val="20"/>
        </w:rPr>
        <w:t>trong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trình</w:t>
      </w:r>
      <w:proofErr w:type="spellEnd"/>
      <w:r w:rsidRPr="00E21368">
        <w:rPr>
          <w:rFonts w:ascii="Times New Roman" w:hAnsi="Times New Roman"/>
          <w:sz w:val="20"/>
          <w:szCs w:val="20"/>
        </w:rPr>
        <w:t xml:space="preserve"> mua/</w:t>
      </w:r>
      <w:proofErr w:type="spellStart"/>
      <w:r w:rsidRPr="00E21368">
        <w:rPr>
          <w:rFonts w:ascii="Times New Roman" w:hAnsi="Times New Roman"/>
          <w:sz w:val="20"/>
          <w:szCs w:val="20"/>
        </w:rPr>
        <w:t>bán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hộ</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đầu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thể</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hiện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theo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gốc</w:t>
      </w:r>
      <w:proofErr w:type="spellEnd"/>
      <w:r w:rsidR="00897749" w:rsidRPr="00E21368">
        <w:rPr>
          <w:rFonts w:ascii="Times New Roman" w:hAnsi="Times New Roman"/>
          <w:sz w:val="20"/>
          <w:szCs w:val="20"/>
        </w:rPr>
        <w:t>.</w:t>
      </w:r>
    </w:p>
    <w:p w14:paraId="0C273C16" w14:textId="5AA77906" w:rsidR="00AE7228" w:rsidRPr="00AE7228" w:rsidRDefault="00AE7228" w:rsidP="008608B2">
      <w:pPr>
        <w:spacing w:after="120" w:line="312" w:lineRule="auto"/>
        <w:ind w:left="502" w:right="260"/>
        <w:jc w:val="both"/>
        <w:rPr>
          <w:rFonts w:ascii="Times New Roman" w:hAnsi="Times New Roman"/>
          <w:i/>
          <w:iCs/>
          <w:sz w:val="20"/>
          <w:szCs w:val="20"/>
        </w:rPr>
      </w:pPr>
      <w:r w:rsidRPr="00AE7228">
        <w:rPr>
          <w:rFonts w:ascii="Times New Roman" w:hAnsi="Times New Roman"/>
          <w:i/>
          <w:iCs/>
          <w:sz w:val="20"/>
          <w:szCs w:val="20"/>
        </w:rPr>
        <w:t xml:space="preserve">Payables include payables for purchasing investments, payables for Fund management services, payables from settlement with investors when the Fund buys/sells restricted securities on behalf of, and payables for investors in case of corporate events (cash dividends, stock dividends, bonus shares, rights to buy additional shares issued) arising related to the </w:t>
      </w:r>
      <w:r w:rsidRPr="00AE7228">
        <w:rPr>
          <w:rFonts w:ascii="Times New Roman" w:hAnsi="Times New Roman"/>
          <w:i/>
          <w:iCs/>
          <w:sz w:val="20"/>
          <w:szCs w:val="20"/>
        </w:rPr>
        <w:lastRenderedPageBreak/>
        <w:t>exchange structure securities portfolio due to the record unrealized ownership between the Fund and investors or related parties to restricted securities that are in the process of being purchased/sold on behalf of investors and other payables. Accounts payable are stated at cost.</w:t>
      </w:r>
    </w:p>
    <w:p w14:paraId="69B3AE85" w14:textId="50605B23" w:rsidR="00897749" w:rsidRPr="003C5D35" w:rsidRDefault="00897749" w:rsidP="003C5D35">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3C5D35">
        <w:rPr>
          <w:rFonts w:ascii="Times New Roman" w:hAnsi="Times New Roman"/>
          <w:b/>
          <w:sz w:val="20"/>
          <w:szCs w:val="20"/>
          <w:lang w:val="nl-NL"/>
        </w:rPr>
        <w:t xml:space="preserve">Dự </w:t>
      </w:r>
      <w:r w:rsidR="00AE7228" w:rsidRPr="003C5D35">
        <w:rPr>
          <w:rFonts w:ascii="Times New Roman" w:hAnsi="Times New Roman"/>
          <w:b/>
          <w:sz w:val="20"/>
          <w:szCs w:val="20"/>
          <w:lang w:val="nl-NL"/>
        </w:rPr>
        <w:t>phòng</w:t>
      </w:r>
      <w:r w:rsidR="00AE7228" w:rsidRPr="003C5D35">
        <w:rPr>
          <w:rFonts w:ascii="Times New Roman" w:hAnsi="Times New Roman"/>
          <w:b/>
          <w:sz w:val="20"/>
          <w:szCs w:val="20"/>
          <w:lang w:val="vi-VN"/>
        </w:rPr>
        <w:t>/</w:t>
      </w:r>
      <w:r w:rsidR="00AE7228" w:rsidRPr="003C5D35">
        <w:rPr>
          <w:rFonts w:ascii="Times New Roman" w:hAnsi="Times New Roman"/>
          <w:b/>
          <w:i/>
          <w:iCs/>
          <w:sz w:val="20"/>
          <w:szCs w:val="20"/>
          <w:lang w:val="vi-VN"/>
        </w:rPr>
        <w:t xml:space="preserve"> Provison</w:t>
      </w:r>
    </w:p>
    <w:p w14:paraId="2D3B1828" w14:textId="77777777" w:rsidR="0027409B" w:rsidRDefault="00897749" w:rsidP="003C5D35">
      <w:pPr>
        <w:pStyle w:val="BodyText"/>
        <w:keepLines w:val="0"/>
        <w:spacing w:after="120" w:line="312" w:lineRule="auto"/>
        <w:ind w:left="502" w:right="260"/>
        <w:rPr>
          <w:sz w:val="20"/>
          <w:lang w:val="en-US"/>
        </w:rPr>
      </w:pPr>
      <w:proofErr w:type="spellStart"/>
      <w:r w:rsidRPr="00E21368">
        <w:rPr>
          <w:sz w:val="20"/>
          <w:lang w:val="en-US"/>
        </w:rPr>
        <w:t>Dự</w:t>
      </w:r>
      <w:proofErr w:type="spellEnd"/>
      <w:r w:rsidRPr="00E21368">
        <w:rPr>
          <w:sz w:val="20"/>
          <w:lang w:val="en-US"/>
        </w:rPr>
        <w:t xml:space="preserve"> </w:t>
      </w:r>
      <w:proofErr w:type="spellStart"/>
      <w:r w:rsidRPr="00E21368">
        <w:rPr>
          <w:sz w:val="20"/>
          <w:lang w:val="en-US"/>
        </w:rPr>
        <w:t>phòng</w:t>
      </w:r>
      <w:proofErr w:type="spellEnd"/>
      <w:r w:rsidRPr="00E21368">
        <w:rPr>
          <w:sz w:val="20"/>
          <w:lang w:val="en-US"/>
        </w:rPr>
        <w:t xml:space="preserve"> </w:t>
      </w:r>
      <w:proofErr w:type="spellStart"/>
      <w:r w:rsidRPr="00E21368">
        <w:rPr>
          <w:sz w:val="20"/>
          <w:lang w:val="en-US"/>
        </w:rPr>
        <w:t>được</w:t>
      </w:r>
      <w:proofErr w:type="spellEnd"/>
      <w:r w:rsidRPr="00E21368">
        <w:rPr>
          <w:sz w:val="20"/>
          <w:lang w:val="en-US"/>
        </w:rPr>
        <w:t xml:space="preserve"> </w:t>
      </w:r>
      <w:proofErr w:type="spellStart"/>
      <w:r w:rsidRPr="00E21368">
        <w:rPr>
          <w:sz w:val="20"/>
          <w:lang w:val="en-US"/>
        </w:rPr>
        <w:t>ghi</w:t>
      </w:r>
      <w:proofErr w:type="spellEnd"/>
      <w:r w:rsidRPr="00E21368">
        <w:rPr>
          <w:sz w:val="20"/>
          <w:lang w:val="en-US"/>
        </w:rPr>
        <w:t xml:space="preserve"> </w:t>
      </w:r>
      <w:proofErr w:type="spellStart"/>
      <w:r w:rsidRPr="00E21368">
        <w:rPr>
          <w:sz w:val="20"/>
          <w:lang w:val="en-US"/>
        </w:rPr>
        <w:t>nhận</w:t>
      </w:r>
      <w:proofErr w:type="spellEnd"/>
      <w:r w:rsidRPr="00E21368">
        <w:rPr>
          <w:sz w:val="20"/>
          <w:lang w:val="en-US"/>
        </w:rPr>
        <w:t xml:space="preserve"> </w:t>
      </w:r>
      <w:proofErr w:type="spellStart"/>
      <w:r w:rsidRPr="00E21368">
        <w:rPr>
          <w:sz w:val="20"/>
          <w:lang w:val="en-US"/>
        </w:rPr>
        <w:t>nếu</w:t>
      </w:r>
      <w:proofErr w:type="spellEnd"/>
      <w:r w:rsidRPr="00E21368">
        <w:rPr>
          <w:sz w:val="20"/>
          <w:lang w:val="en-US"/>
        </w:rPr>
        <w:t xml:space="preserve">, do </w:t>
      </w:r>
      <w:proofErr w:type="spellStart"/>
      <w:r w:rsidRPr="00E21368">
        <w:rPr>
          <w:sz w:val="20"/>
          <w:lang w:val="en-US"/>
        </w:rPr>
        <w:t>kết</w:t>
      </w:r>
      <w:proofErr w:type="spellEnd"/>
      <w:r w:rsidRPr="00E21368">
        <w:rPr>
          <w:sz w:val="20"/>
          <w:lang w:val="en-US"/>
        </w:rPr>
        <w:t xml:space="preserve"> </w:t>
      </w:r>
      <w:proofErr w:type="spellStart"/>
      <w:r w:rsidRPr="00E21368">
        <w:rPr>
          <w:sz w:val="20"/>
          <w:lang w:val="en-US"/>
        </w:rPr>
        <w:t>quả</w:t>
      </w:r>
      <w:proofErr w:type="spellEnd"/>
      <w:r w:rsidRPr="00E21368">
        <w:rPr>
          <w:sz w:val="20"/>
          <w:lang w:val="en-US"/>
        </w:rPr>
        <w:t xml:space="preserve"> của </w:t>
      </w:r>
      <w:proofErr w:type="spellStart"/>
      <w:r w:rsidRPr="00E21368">
        <w:rPr>
          <w:sz w:val="20"/>
          <w:lang w:val="en-US"/>
        </w:rPr>
        <w:t>một</w:t>
      </w:r>
      <w:proofErr w:type="spellEnd"/>
      <w:r w:rsidRPr="00E21368">
        <w:rPr>
          <w:sz w:val="20"/>
          <w:lang w:val="en-US"/>
        </w:rPr>
        <w:t xml:space="preserve"> </w:t>
      </w:r>
      <w:proofErr w:type="spellStart"/>
      <w:r w:rsidRPr="00E21368">
        <w:rPr>
          <w:sz w:val="20"/>
          <w:lang w:val="en-US"/>
        </w:rPr>
        <w:t>sự</w:t>
      </w:r>
      <w:proofErr w:type="spellEnd"/>
      <w:r w:rsidRPr="00E21368">
        <w:rPr>
          <w:sz w:val="20"/>
          <w:lang w:val="en-US"/>
        </w:rPr>
        <w:t xml:space="preserve"> </w:t>
      </w:r>
      <w:proofErr w:type="spellStart"/>
      <w:r w:rsidRPr="00E21368">
        <w:rPr>
          <w:sz w:val="20"/>
          <w:lang w:val="en-US"/>
        </w:rPr>
        <w:t>kiện</w:t>
      </w:r>
      <w:proofErr w:type="spellEnd"/>
      <w:r w:rsidRPr="00E21368">
        <w:rPr>
          <w:sz w:val="20"/>
          <w:lang w:val="en-US"/>
        </w:rPr>
        <w:t xml:space="preserve"> </w:t>
      </w:r>
      <w:proofErr w:type="spellStart"/>
      <w:r w:rsidRPr="00E21368">
        <w:rPr>
          <w:sz w:val="20"/>
          <w:lang w:val="en-US"/>
        </w:rPr>
        <w:t>trong</w:t>
      </w:r>
      <w:proofErr w:type="spellEnd"/>
      <w:r w:rsidRPr="00E21368">
        <w:rPr>
          <w:sz w:val="20"/>
          <w:lang w:val="en-US"/>
        </w:rPr>
        <w:t xml:space="preserve"> </w:t>
      </w:r>
      <w:proofErr w:type="spellStart"/>
      <w:r w:rsidRPr="00E21368">
        <w:rPr>
          <w:sz w:val="20"/>
          <w:lang w:val="en-US"/>
        </w:rPr>
        <w:t>quá</w:t>
      </w:r>
      <w:proofErr w:type="spellEnd"/>
      <w:r w:rsidRPr="00E21368">
        <w:rPr>
          <w:sz w:val="20"/>
          <w:lang w:val="en-US"/>
        </w:rPr>
        <w:t xml:space="preserve"> </w:t>
      </w:r>
      <w:proofErr w:type="spellStart"/>
      <w:r w:rsidRPr="00E21368">
        <w:rPr>
          <w:sz w:val="20"/>
          <w:lang w:val="en-US"/>
        </w:rPr>
        <w:t>khứ</w:t>
      </w:r>
      <w:proofErr w:type="spellEnd"/>
      <w:r w:rsidRPr="00E21368">
        <w:rPr>
          <w:sz w:val="20"/>
          <w:lang w:val="en-US"/>
        </w:rPr>
        <w:t xml:space="preserve">, </w:t>
      </w:r>
      <w:proofErr w:type="spellStart"/>
      <w:r w:rsidRPr="00E21368">
        <w:rPr>
          <w:sz w:val="20"/>
          <w:lang w:val="en-US"/>
        </w:rPr>
        <w:t>Quỹ</w:t>
      </w:r>
      <w:proofErr w:type="spellEnd"/>
      <w:r w:rsidRPr="00E21368">
        <w:rPr>
          <w:sz w:val="20"/>
          <w:lang w:val="en-US"/>
        </w:rPr>
        <w:t xml:space="preserve"> </w:t>
      </w:r>
      <w:proofErr w:type="spellStart"/>
      <w:r w:rsidRPr="00E21368">
        <w:rPr>
          <w:sz w:val="20"/>
          <w:lang w:val="en-US"/>
        </w:rPr>
        <w:t>có</w:t>
      </w:r>
      <w:proofErr w:type="spellEnd"/>
      <w:r w:rsidRPr="00E21368">
        <w:rPr>
          <w:sz w:val="20"/>
          <w:lang w:val="en-US"/>
        </w:rPr>
        <w:t xml:space="preserve"> </w:t>
      </w:r>
      <w:proofErr w:type="spellStart"/>
      <w:r w:rsidRPr="00E21368">
        <w:rPr>
          <w:sz w:val="20"/>
          <w:lang w:val="en-US"/>
        </w:rPr>
        <w:t>nghĩa</w:t>
      </w:r>
      <w:proofErr w:type="spellEnd"/>
      <w:r w:rsidRPr="00E21368">
        <w:rPr>
          <w:sz w:val="20"/>
          <w:lang w:val="en-US"/>
        </w:rPr>
        <w:t xml:space="preserve"> </w:t>
      </w:r>
      <w:proofErr w:type="spellStart"/>
      <w:r w:rsidRPr="00E21368">
        <w:rPr>
          <w:sz w:val="20"/>
          <w:lang w:val="en-US"/>
        </w:rPr>
        <w:t>vụ</w:t>
      </w:r>
      <w:proofErr w:type="spellEnd"/>
      <w:r w:rsidRPr="00E21368">
        <w:rPr>
          <w:sz w:val="20"/>
          <w:lang w:val="en-US"/>
        </w:rPr>
        <w:t xml:space="preserve"> </w:t>
      </w:r>
      <w:proofErr w:type="spellStart"/>
      <w:r w:rsidRPr="00E21368">
        <w:rPr>
          <w:sz w:val="20"/>
          <w:lang w:val="en-US"/>
        </w:rPr>
        <w:t>pháp</w:t>
      </w:r>
      <w:proofErr w:type="spellEnd"/>
      <w:r w:rsidRPr="00E21368">
        <w:rPr>
          <w:sz w:val="20"/>
          <w:lang w:val="en-US"/>
        </w:rPr>
        <w:t xml:space="preserve"> </w:t>
      </w:r>
      <w:proofErr w:type="spellStart"/>
      <w:r w:rsidRPr="00E21368">
        <w:rPr>
          <w:sz w:val="20"/>
          <w:lang w:val="en-US"/>
        </w:rPr>
        <w:t>lý</w:t>
      </w:r>
      <w:proofErr w:type="spellEnd"/>
      <w:r w:rsidRPr="00E21368">
        <w:rPr>
          <w:sz w:val="20"/>
          <w:lang w:val="en-US"/>
        </w:rPr>
        <w:t xml:space="preserve"> </w:t>
      </w:r>
      <w:proofErr w:type="spellStart"/>
      <w:r w:rsidRPr="00E21368">
        <w:rPr>
          <w:sz w:val="20"/>
          <w:lang w:val="en-US"/>
        </w:rPr>
        <w:t>hiện</w:t>
      </w:r>
      <w:proofErr w:type="spellEnd"/>
      <w:r w:rsidRPr="00E21368">
        <w:rPr>
          <w:sz w:val="20"/>
          <w:lang w:val="en-US"/>
        </w:rPr>
        <w:t xml:space="preserve"> </w:t>
      </w:r>
      <w:proofErr w:type="spellStart"/>
      <w:r w:rsidRPr="00E21368">
        <w:rPr>
          <w:sz w:val="20"/>
          <w:lang w:val="en-US"/>
        </w:rPr>
        <w:t>tại</w:t>
      </w:r>
      <w:proofErr w:type="spellEnd"/>
      <w:r w:rsidRPr="00E21368">
        <w:rPr>
          <w:sz w:val="20"/>
          <w:lang w:val="en-US"/>
        </w:rPr>
        <w:t xml:space="preserve"> </w:t>
      </w:r>
      <w:proofErr w:type="spellStart"/>
      <w:r w:rsidRPr="00E21368">
        <w:rPr>
          <w:sz w:val="20"/>
          <w:lang w:val="en-US"/>
        </w:rPr>
        <w:t>hoặc</w:t>
      </w:r>
      <w:proofErr w:type="spellEnd"/>
      <w:r w:rsidRPr="00E21368">
        <w:rPr>
          <w:sz w:val="20"/>
          <w:lang w:val="en-US"/>
        </w:rPr>
        <w:t xml:space="preserve"> </w:t>
      </w:r>
      <w:proofErr w:type="spellStart"/>
      <w:r w:rsidRPr="00E21368">
        <w:rPr>
          <w:sz w:val="20"/>
          <w:lang w:val="en-US"/>
        </w:rPr>
        <w:t>liên</w:t>
      </w:r>
      <w:proofErr w:type="spellEnd"/>
      <w:r w:rsidRPr="00E21368">
        <w:rPr>
          <w:sz w:val="20"/>
          <w:lang w:val="en-US"/>
        </w:rPr>
        <w:t xml:space="preserve"> </w:t>
      </w:r>
      <w:proofErr w:type="spellStart"/>
      <w:r w:rsidRPr="00E21368">
        <w:rPr>
          <w:sz w:val="20"/>
          <w:lang w:val="en-US"/>
        </w:rPr>
        <w:t>đới</w:t>
      </w:r>
      <w:proofErr w:type="spellEnd"/>
      <w:r w:rsidRPr="00E21368">
        <w:rPr>
          <w:sz w:val="20"/>
          <w:lang w:val="en-US"/>
        </w:rPr>
        <w:t xml:space="preserve"> </w:t>
      </w:r>
      <w:proofErr w:type="spellStart"/>
      <w:r w:rsidRPr="00E21368">
        <w:rPr>
          <w:sz w:val="20"/>
          <w:lang w:val="en-US"/>
        </w:rPr>
        <w:t>có</w:t>
      </w:r>
      <w:proofErr w:type="spellEnd"/>
      <w:r w:rsidRPr="00E21368">
        <w:rPr>
          <w:sz w:val="20"/>
          <w:lang w:val="en-US"/>
        </w:rPr>
        <w:t xml:space="preserve"> </w:t>
      </w:r>
      <w:proofErr w:type="spellStart"/>
      <w:r w:rsidRPr="00E21368">
        <w:rPr>
          <w:sz w:val="20"/>
          <w:lang w:val="en-US"/>
        </w:rPr>
        <w:t>thể</w:t>
      </w:r>
      <w:proofErr w:type="spellEnd"/>
      <w:r w:rsidRPr="00E21368">
        <w:rPr>
          <w:sz w:val="20"/>
          <w:lang w:val="en-US"/>
        </w:rPr>
        <w:t xml:space="preserve"> </w:t>
      </w:r>
      <w:proofErr w:type="spellStart"/>
      <w:r w:rsidRPr="00E21368">
        <w:rPr>
          <w:sz w:val="20"/>
          <w:lang w:val="en-US"/>
        </w:rPr>
        <w:t>ước</w:t>
      </w:r>
      <w:proofErr w:type="spellEnd"/>
      <w:r w:rsidRPr="00E21368">
        <w:rPr>
          <w:sz w:val="20"/>
          <w:lang w:val="en-US"/>
        </w:rPr>
        <w:t xml:space="preserve"> </w:t>
      </w:r>
      <w:proofErr w:type="spellStart"/>
      <w:r w:rsidRPr="00E21368">
        <w:rPr>
          <w:sz w:val="20"/>
          <w:lang w:val="en-US"/>
        </w:rPr>
        <w:t>tính</w:t>
      </w:r>
      <w:proofErr w:type="spellEnd"/>
      <w:r w:rsidRPr="00E21368">
        <w:rPr>
          <w:sz w:val="20"/>
          <w:lang w:val="en-US"/>
        </w:rPr>
        <w:t xml:space="preserve"> </w:t>
      </w:r>
      <w:proofErr w:type="spellStart"/>
      <w:r w:rsidRPr="00E21368">
        <w:rPr>
          <w:sz w:val="20"/>
          <w:lang w:val="en-US"/>
        </w:rPr>
        <w:t>một</w:t>
      </w:r>
      <w:proofErr w:type="spellEnd"/>
      <w:r w:rsidRPr="00E21368">
        <w:rPr>
          <w:sz w:val="20"/>
          <w:lang w:val="en-US"/>
        </w:rPr>
        <w:t xml:space="preserve"> </w:t>
      </w:r>
      <w:proofErr w:type="spellStart"/>
      <w:r w:rsidRPr="00E21368">
        <w:rPr>
          <w:sz w:val="20"/>
          <w:lang w:val="en-US"/>
        </w:rPr>
        <w:t>cách</w:t>
      </w:r>
      <w:proofErr w:type="spellEnd"/>
      <w:r w:rsidRPr="00E21368">
        <w:rPr>
          <w:sz w:val="20"/>
          <w:lang w:val="en-US"/>
        </w:rPr>
        <w:t xml:space="preserve"> </w:t>
      </w:r>
      <w:proofErr w:type="spellStart"/>
      <w:r w:rsidRPr="00E21368">
        <w:rPr>
          <w:sz w:val="20"/>
          <w:lang w:val="en-US"/>
        </w:rPr>
        <w:t>đáng</w:t>
      </w:r>
      <w:proofErr w:type="spellEnd"/>
      <w:r w:rsidRPr="00E21368">
        <w:rPr>
          <w:sz w:val="20"/>
          <w:lang w:val="en-US"/>
        </w:rPr>
        <w:t xml:space="preserve"> tin </w:t>
      </w:r>
      <w:proofErr w:type="spellStart"/>
      <w:r w:rsidRPr="00E21368">
        <w:rPr>
          <w:sz w:val="20"/>
          <w:lang w:val="en-US"/>
        </w:rPr>
        <w:t>cậy</w:t>
      </w:r>
      <w:proofErr w:type="spellEnd"/>
      <w:r w:rsidRPr="00E21368">
        <w:rPr>
          <w:sz w:val="20"/>
          <w:lang w:val="en-US"/>
        </w:rPr>
        <w:t xml:space="preserve">, </w:t>
      </w:r>
      <w:proofErr w:type="spellStart"/>
      <w:r w:rsidRPr="00E21368">
        <w:rPr>
          <w:sz w:val="20"/>
          <w:lang w:val="en-US"/>
        </w:rPr>
        <w:t>và</w:t>
      </w:r>
      <w:proofErr w:type="spellEnd"/>
      <w:r w:rsidRPr="00E21368">
        <w:rPr>
          <w:sz w:val="20"/>
          <w:lang w:val="en-US"/>
        </w:rPr>
        <w:t xml:space="preserve"> </w:t>
      </w:r>
      <w:proofErr w:type="spellStart"/>
      <w:r w:rsidRPr="00E21368">
        <w:rPr>
          <w:sz w:val="20"/>
          <w:lang w:val="en-US"/>
        </w:rPr>
        <w:t>chắc</w:t>
      </w:r>
      <w:proofErr w:type="spellEnd"/>
      <w:r w:rsidRPr="00E21368">
        <w:rPr>
          <w:sz w:val="20"/>
          <w:lang w:val="en-US"/>
        </w:rPr>
        <w:t xml:space="preserve"> </w:t>
      </w:r>
      <w:proofErr w:type="spellStart"/>
      <w:r w:rsidRPr="00E21368">
        <w:rPr>
          <w:sz w:val="20"/>
          <w:lang w:val="en-US"/>
        </w:rPr>
        <w:t>chắn</w:t>
      </w:r>
      <w:proofErr w:type="spellEnd"/>
      <w:r w:rsidRPr="00E21368">
        <w:rPr>
          <w:sz w:val="20"/>
          <w:lang w:val="en-US"/>
        </w:rPr>
        <w:t xml:space="preserve"> sẽ làm </w:t>
      </w:r>
      <w:proofErr w:type="spellStart"/>
      <w:r w:rsidRPr="00E21368">
        <w:rPr>
          <w:sz w:val="20"/>
          <w:lang w:val="en-US"/>
        </w:rPr>
        <w:t>giảm</w:t>
      </w:r>
      <w:proofErr w:type="spellEnd"/>
      <w:r w:rsidRPr="00E21368">
        <w:rPr>
          <w:sz w:val="20"/>
          <w:lang w:val="en-US"/>
        </w:rPr>
        <w:t xml:space="preserve"> </w:t>
      </w:r>
      <w:proofErr w:type="spellStart"/>
      <w:r w:rsidRPr="00E21368">
        <w:rPr>
          <w:sz w:val="20"/>
          <w:lang w:val="en-US"/>
        </w:rPr>
        <w:t>sút</w:t>
      </w:r>
      <w:proofErr w:type="spellEnd"/>
      <w:r w:rsidRPr="00E21368">
        <w:rPr>
          <w:sz w:val="20"/>
          <w:lang w:val="en-US"/>
        </w:rPr>
        <w:t xml:space="preserve"> </w:t>
      </w:r>
      <w:proofErr w:type="spellStart"/>
      <w:r w:rsidRPr="00E21368">
        <w:rPr>
          <w:sz w:val="20"/>
          <w:lang w:val="en-US"/>
        </w:rPr>
        <w:t>các</w:t>
      </w:r>
      <w:proofErr w:type="spellEnd"/>
      <w:r w:rsidRPr="00E21368">
        <w:rPr>
          <w:sz w:val="20"/>
          <w:lang w:val="en-US"/>
        </w:rPr>
        <w:t xml:space="preserve"> </w:t>
      </w:r>
      <w:proofErr w:type="spellStart"/>
      <w:r w:rsidRPr="00E21368">
        <w:rPr>
          <w:sz w:val="20"/>
          <w:lang w:val="en-US"/>
        </w:rPr>
        <w:t>lợi</w:t>
      </w:r>
      <w:proofErr w:type="spellEnd"/>
      <w:r w:rsidRPr="00E21368">
        <w:rPr>
          <w:sz w:val="20"/>
          <w:lang w:val="en-US"/>
        </w:rPr>
        <w:t xml:space="preserve"> </w:t>
      </w:r>
      <w:proofErr w:type="spellStart"/>
      <w:r w:rsidRPr="00E21368">
        <w:rPr>
          <w:sz w:val="20"/>
          <w:lang w:val="en-US"/>
        </w:rPr>
        <w:t>ích</w:t>
      </w:r>
      <w:proofErr w:type="spellEnd"/>
      <w:r w:rsidRPr="00E21368">
        <w:rPr>
          <w:sz w:val="20"/>
          <w:lang w:val="en-US"/>
        </w:rPr>
        <w:t xml:space="preserve"> </w:t>
      </w:r>
      <w:proofErr w:type="spellStart"/>
      <w:r w:rsidRPr="00E21368">
        <w:rPr>
          <w:sz w:val="20"/>
          <w:lang w:val="en-US"/>
        </w:rPr>
        <w:t>kinh</w:t>
      </w:r>
      <w:proofErr w:type="spellEnd"/>
      <w:r w:rsidRPr="00E21368">
        <w:rPr>
          <w:sz w:val="20"/>
          <w:lang w:val="en-US"/>
        </w:rPr>
        <w:t xml:space="preserve"> </w:t>
      </w:r>
      <w:proofErr w:type="spellStart"/>
      <w:r w:rsidRPr="00E21368">
        <w:rPr>
          <w:sz w:val="20"/>
          <w:lang w:val="en-US"/>
        </w:rPr>
        <w:t>tế</w:t>
      </w:r>
      <w:proofErr w:type="spellEnd"/>
      <w:r w:rsidRPr="00E21368">
        <w:rPr>
          <w:sz w:val="20"/>
          <w:lang w:val="en-US"/>
        </w:rPr>
        <w:t xml:space="preserve"> </w:t>
      </w:r>
      <w:proofErr w:type="spellStart"/>
      <w:r w:rsidRPr="00E21368">
        <w:rPr>
          <w:sz w:val="20"/>
          <w:lang w:val="en-US"/>
        </w:rPr>
        <w:t>trong</w:t>
      </w:r>
      <w:proofErr w:type="spellEnd"/>
      <w:r w:rsidRPr="00E21368">
        <w:rPr>
          <w:sz w:val="20"/>
          <w:lang w:val="en-US"/>
        </w:rPr>
        <w:t xml:space="preserve"> </w:t>
      </w:r>
      <w:proofErr w:type="spellStart"/>
      <w:r w:rsidRPr="00E21368">
        <w:rPr>
          <w:sz w:val="20"/>
          <w:lang w:val="en-US"/>
        </w:rPr>
        <w:t>tương</w:t>
      </w:r>
      <w:proofErr w:type="spellEnd"/>
      <w:r w:rsidRPr="00E21368">
        <w:rPr>
          <w:sz w:val="20"/>
          <w:lang w:val="en-US"/>
        </w:rPr>
        <w:t xml:space="preserve"> </w:t>
      </w:r>
      <w:proofErr w:type="spellStart"/>
      <w:r w:rsidRPr="00E21368">
        <w:rPr>
          <w:sz w:val="20"/>
          <w:lang w:val="en-US"/>
        </w:rPr>
        <w:t>lai</w:t>
      </w:r>
      <w:proofErr w:type="spellEnd"/>
      <w:r w:rsidRPr="00E21368">
        <w:rPr>
          <w:sz w:val="20"/>
          <w:lang w:val="en-US"/>
        </w:rPr>
        <w:t xml:space="preserve"> để </w:t>
      </w:r>
      <w:proofErr w:type="spellStart"/>
      <w:r w:rsidRPr="00E21368">
        <w:rPr>
          <w:sz w:val="20"/>
          <w:lang w:val="en-US"/>
        </w:rPr>
        <w:t>thanh</w:t>
      </w:r>
      <w:proofErr w:type="spellEnd"/>
      <w:r w:rsidRPr="00E21368">
        <w:rPr>
          <w:sz w:val="20"/>
          <w:lang w:val="en-US"/>
        </w:rPr>
        <w:t xml:space="preserve"> </w:t>
      </w:r>
      <w:proofErr w:type="spellStart"/>
      <w:r w:rsidRPr="00E21368">
        <w:rPr>
          <w:sz w:val="20"/>
          <w:lang w:val="en-US"/>
        </w:rPr>
        <w:t>toán</w:t>
      </w:r>
      <w:proofErr w:type="spellEnd"/>
      <w:r w:rsidRPr="00E21368">
        <w:rPr>
          <w:sz w:val="20"/>
          <w:lang w:val="en-US"/>
        </w:rPr>
        <w:t xml:space="preserve"> </w:t>
      </w:r>
      <w:proofErr w:type="spellStart"/>
      <w:r w:rsidRPr="00E21368">
        <w:rPr>
          <w:sz w:val="20"/>
          <w:lang w:val="en-US"/>
        </w:rPr>
        <w:t>các</w:t>
      </w:r>
      <w:proofErr w:type="spellEnd"/>
      <w:r w:rsidRPr="00E21368">
        <w:rPr>
          <w:sz w:val="20"/>
          <w:lang w:val="en-US"/>
        </w:rPr>
        <w:t xml:space="preserve"> </w:t>
      </w:r>
      <w:proofErr w:type="spellStart"/>
      <w:r w:rsidRPr="00E21368">
        <w:rPr>
          <w:sz w:val="20"/>
          <w:lang w:val="en-US"/>
        </w:rPr>
        <w:t>nghĩa</w:t>
      </w:r>
      <w:proofErr w:type="spellEnd"/>
      <w:r w:rsidRPr="00E21368">
        <w:rPr>
          <w:sz w:val="20"/>
          <w:lang w:val="en-US"/>
        </w:rPr>
        <w:t xml:space="preserve"> </w:t>
      </w:r>
      <w:proofErr w:type="spellStart"/>
      <w:r w:rsidRPr="00E21368">
        <w:rPr>
          <w:sz w:val="20"/>
          <w:lang w:val="en-US"/>
        </w:rPr>
        <w:t>vụ</w:t>
      </w:r>
      <w:proofErr w:type="spellEnd"/>
      <w:r w:rsidRPr="00E21368">
        <w:rPr>
          <w:sz w:val="20"/>
          <w:lang w:val="en-US"/>
        </w:rPr>
        <w:t xml:space="preserve"> </w:t>
      </w:r>
      <w:proofErr w:type="spellStart"/>
      <w:r w:rsidRPr="00E21368">
        <w:rPr>
          <w:sz w:val="20"/>
          <w:lang w:val="en-US"/>
        </w:rPr>
        <w:t>về</w:t>
      </w:r>
      <w:proofErr w:type="spellEnd"/>
      <w:r w:rsidRPr="00E21368">
        <w:rPr>
          <w:sz w:val="20"/>
          <w:lang w:val="en-US"/>
        </w:rPr>
        <w:t xml:space="preserve"> </w:t>
      </w:r>
      <w:proofErr w:type="spellStart"/>
      <w:r w:rsidRPr="00E21368">
        <w:rPr>
          <w:sz w:val="20"/>
          <w:lang w:val="en-US"/>
        </w:rPr>
        <w:t>khoản</w:t>
      </w:r>
      <w:proofErr w:type="spellEnd"/>
      <w:r w:rsidRPr="00E21368">
        <w:rPr>
          <w:sz w:val="20"/>
          <w:lang w:val="en-US"/>
        </w:rPr>
        <w:t xml:space="preserve"> </w:t>
      </w:r>
      <w:proofErr w:type="spellStart"/>
      <w:r w:rsidRPr="00E21368">
        <w:rPr>
          <w:sz w:val="20"/>
          <w:lang w:val="en-US"/>
        </w:rPr>
        <w:t>nợ</w:t>
      </w:r>
      <w:proofErr w:type="spellEnd"/>
      <w:r w:rsidRPr="00E21368">
        <w:rPr>
          <w:sz w:val="20"/>
          <w:lang w:val="en-US"/>
        </w:rPr>
        <w:t xml:space="preserve"> </w:t>
      </w:r>
      <w:proofErr w:type="spellStart"/>
      <w:r w:rsidRPr="00E21368">
        <w:rPr>
          <w:sz w:val="20"/>
          <w:lang w:val="en-US"/>
        </w:rPr>
        <w:t>phải</w:t>
      </w:r>
      <w:proofErr w:type="spellEnd"/>
      <w:r w:rsidRPr="00E21368">
        <w:rPr>
          <w:sz w:val="20"/>
          <w:lang w:val="en-US"/>
        </w:rPr>
        <w:t xml:space="preserve"> </w:t>
      </w:r>
      <w:proofErr w:type="spellStart"/>
      <w:r w:rsidRPr="00E21368">
        <w:rPr>
          <w:sz w:val="20"/>
          <w:lang w:val="en-US"/>
        </w:rPr>
        <w:t>trả</w:t>
      </w:r>
      <w:proofErr w:type="spellEnd"/>
      <w:r w:rsidRPr="00E21368">
        <w:rPr>
          <w:sz w:val="20"/>
          <w:lang w:val="en-US"/>
        </w:rPr>
        <w:t xml:space="preserve"> </w:t>
      </w:r>
      <w:proofErr w:type="spellStart"/>
      <w:r w:rsidRPr="00E21368">
        <w:rPr>
          <w:sz w:val="20"/>
          <w:lang w:val="en-US"/>
        </w:rPr>
        <w:t>đó</w:t>
      </w:r>
      <w:proofErr w:type="spellEnd"/>
      <w:r w:rsidRPr="00E21368">
        <w:rPr>
          <w:sz w:val="20"/>
          <w:lang w:val="en-US"/>
        </w:rPr>
        <w:t>.</w:t>
      </w:r>
      <w:r w:rsidR="00E3736F">
        <w:rPr>
          <w:sz w:val="20"/>
          <w:lang w:val="en-US"/>
        </w:rPr>
        <w:t xml:space="preserve"> </w:t>
      </w:r>
      <w:proofErr w:type="spellStart"/>
      <w:r w:rsidRPr="00E21368">
        <w:rPr>
          <w:sz w:val="20"/>
          <w:lang w:val="en-US"/>
        </w:rPr>
        <w:t>Khoản</w:t>
      </w:r>
      <w:proofErr w:type="spellEnd"/>
      <w:r w:rsidRPr="00E21368">
        <w:rPr>
          <w:sz w:val="20"/>
          <w:lang w:val="en-US"/>
        </w:rPr>
        <w:t xml:space="preserve"> </w:t>
      </w:r>
      <w:proofErr w:type="spellStart"/>
      <w:r w:rsidRPr="00E21368">
        <w:rPr>
          <w:sz w:val="20"/>
          <w:lang w:val="en-US"/>
        </w:rPr>
        <w:t>dự</w:t>
      </w:r>
      <w:proofErr w:type="spellEnd"/>
      <w:r w:rsidRPr="00E21368">
        <w:rPr>
          <w:sz w:val="20"/>
          <w:lang w:val="en-US"/>
        </w:rPr>
        <w:t xml:space="preserve"> </w:t>
      </w:r>
      <w:proofErr w:type="spellStart"/>
      <w:r w:rsidRPr="00E21368">
        <w:rPr>
          <w:sz w:val="20"/>
          <w:lang w:val="en-US"/>
        </w:rPr>
        <w:t>phòng</w:t>
      </w:r>
      <w:proofErr w:type="spellEnd"/>
      <w:r w:rsidRPr="00E21368">
        <w:rPr>
          <w:sz w:val="20"/>
          <w:lang w:val="en-US"/>
        </w:rPr>
        <w:t xml:space="preserve"> </w:t>
      </w:r>
      <w:proofErr w:type="spellStart"/>
      <w:r w:rsidRPr="00E21368">
        <w:rPr>
          <w:sz w:val="20"/>
          <w:lang w:val="en-US"/>
        </w:rPr>
        <w:t>được</w:t>
      </w:r>
      <w:proofErr w:type="spellEnd"/>
      <w:r w:rsidRPr="00E21368">
        <w:rPr>
          <w:sz w:val="20"/>
          <w:lang w:val="en-US"/>
        </w:rPr>
        <w:t xml:space="preserve"> </w:t>
      </w:r>
      <w:proofErr w:type="spellStart"/>
      <w:r w:rsidRPr="00E21368">
        <w:rPr>
          <w:sz w:val="20"/>
          <w:lang w:val="en-US"/>
        </w:rPr>
        <w:t>xác</w:t>
      </w:r>
      <w:proofErr w:type="spellEnd"/>
      <w:r w:rsidRPr="00E21368">
        <w:rPr>
          <w:sz w:val="20"/>
          <w:lang w:val="en-US"/>
        </w:rPr>
        <w:t xml:space="preserve"> </w:t>
      </w:r>
      <w:proofErr w:type="spellStart"/>
      <w:r w:rsidRPr="00E21368">
        <w:rPr>
          <w:sz w:val="20"/>
          <w:lang w:val="en-US"/>
        </w:rPr>
        <w:t>định</w:t>
      </w:r>
      <w:proofErr w:type="spellEnd"/>
      <w:r w:rsidRPr="00E21368">
        <w:rPr>
          <w:sz w:val="20"/>
          <w:lang w:val="en-US"/>
        </w:rPr>
        <w:t xml:space="preserve"> </w:t>
      </w:r>
      <w:proofErr w:type="spellStart"/>
      <w:r w:rsidRPr="00E21368">
        <w:rPr>
          <w:sz w:val="20"/>
          <w:lang w:val="en-US"/>
        </w:rPr>
        <w:t>bằng</w:t>
      </w:r>
      <w:proofErr w:type="spellEnd"/>
      <w:r w:rsidRPr="00E21368">
        <w:rPr>
          <w:sz w:val="20"/>
          <w:lang w:val="en-US"/>
        </w:rPr>
        <w:t xml:space="preserve"> </w:t>
      </w:r>
      <w:proofErr w:type="spellStart"/>
      <w:r w:rsidRPr="00E21368">
        <w:rPr>
          <w:sz w:val="20"/>
          <w:lang w:val="en-US"/>
        </w:rPr>
        <w:t>cách</w:t>
      </w:r>
      <w:proofErr w:type="spellEnd"/>
      <w:r w:rsidRPr="00E21368">
        <w:rPr>
          <w:sz w:val="20"/>
          <w:lang w:val="en-US"/>
        </w:rPr>
        <w:t xml:space="preserve"> </w:t>
      </w:r>
      <w:proofErr w:type="spellStart"/>
      <w:r w:rsidRPr="00E21368">
        <w:rPr>
          <w:sz w:val="20"/>
          <w:lang w:val="en-US"/>
        </w:rPr>
        <w:t>chiết</w:t>
      </w:r>
      <w:proofErr w:type="spellEnd"/>
      <w:r w:rsidRPr="00E21368">
        <w:rPr>
          <w:sz w:val="20"/>
          <w:lang w:val="en-US"/>
        </w:rPr>
        <w:t xml:space="preserve"> </w:t>
      </w:r>
      <w:proofErr w:type="spellStart"/>
      <w:r w:rsidRPr="00E21368">
        <w:rPr>
          <w:sz w:val="20"/>
          <w:lang w:val="en-US"/>
        </w:rPr>
        <w:t>khấu</w:t>
      </w:r>
      <w:proofErr w:type="spellEnd"/>
      <w:r w:rsidRPr="00E21368">
        <w:rPr>
          <w:sz w:val="20"/>
          <w:lang w:val="en-US"/>
        </w:rPr>
        <w:t xml:space="preserve"> </w:t>
      </w:r>
      <w:proofErr w:type="spellStart"/>
      <w:r w:rsidRPr="00E21368">
        <w:rPr>
          <w:sz w:val="20"/>
          <w:lang w:val="en-US"/>
        </w:rPr>
        <w:t>dòng</w:t>
      </w:r>
      <w:proofErr w:type="spellEnd"/>
      <w:r w:rsidRPr="00E21368">
        <w:rPr>
          <w:sz w:val="20"/>
          <w:lang w:val="en-US"/>
        </w:rPr>
        <w:t xml:space="preserve"> </w:t>
      </w:r>
      <w:proofErr w:type="spellStart"/>
      <w:r w:rsidRPr="00E21368">
        <w:rPr>
          <w:sz w:val="20"/>
          <w:lang w:val="en-US"/>
        </w:rPr>
        <w:t>tiền</w:t>
      </w:r>
      <w:proofErr w:type="spellEnd"/>
      <w:r w:rsidRPr="00E21368">
        <w:rPr>
          <w:sz w:val="20"/>
          <w:lang w:val="en-US"/>
        </w:rPr>
        <w:t xml:space="preserve"> </w:t>
      </w:r>
      <w:proofErr w:type="spellStart"/>
      <w:r w:rsidRPr="00E21368">
        <w:rPr>
          <w:sz w:val="20"/>
          <w:lang w:val="en-US"/>
        </w:rPr>
        <w:t>dự</w:t>
      </w:r>
      <w:proofErr w:type="spellEnd"/>
      <w:r w:rsidRPr="00E21368">
        <w:rPr>
          <w:sz w:val="20"/>
          <w:lang w:val="en-US"/>
        </w:rPr>
        <w:t xml:space="preserve"> </w:t>
      </w:r>
      <w:proofErr w:type="spellStart"/>
      <w:r w:rsidRPr="00E21368">
        <w:rPr>
          <w:sz w:val="20"/>
          <w:lang w:val="en-US"/>
        </w:rPr>
        <w:t>kiến</w:t>
      </w:r>
      <w:proofErr w:type="spellEnd"/>
      <w:r w:rsidRPr="00E21368">
        <w:rPr>
          <w:sz w:val="20"/>
          <w:lang w:val="en-US"/>
        </w:rPr>
        <w:t xml:space="preserve"> </w:t>
      </w:r>
      <w:proofErr w:type="spellStart"/>
      <w:r w:rsidRPr="00E21368">
        <w:rPr>
          <w:sz w:val="20"/>
          <w:lang w:val="en-US"/>
        </w:rPr>
        <w:t>có</w:t>
      </w:r>
      <w:proofErr w:type="spellEnd"/>
      <w:r w:rsidRPr="00E21368">
        <w:rPr>
          <w:sz w:val="20"/>
          <w:lang w:val="en-US"/>
        </w:rPr>
        <w:t xml:space="preserve"> </w:t>
      </w:r>
      <w:proofErr w:type="spellStart"/>
      <w:r w:rsidRPr="00E21368">
        <w:rPr>
          <w:sz w:val="20"/>
          <w:lang w:val="en-US"/>
        </w:rPr>
        <w:t>thể</w:t>
      </w:r>
      <w:proofErr w:type="spellEnd"/>
      <w:r w:rsidRPr="00E21368">
        <w:rPr>
          <w:sz w:val="20"/>
          <w:lang w:val="en-US"/>
        </w:rPr>
        <w:t xml:space="preserve"> </w:t>
      </w:r>
      <w:proofErr w:type="spellStart"/>
      <w:r w:rsidRPr="00E21368">
        <w:rPr>
          <w:sz w:val="20"/>
          <w:lang w:val="en-US"/>
        </w:rPr>
        <w:t>phải</w:t>
      </w:r>
      <w:proofErr w:type="spellEnd"/>
      <w:r w:rsidRPr="00E21368">
        <w:rPr>
          <w:sz w:val="20"/>
          <w:lang w:val="en-US"/>
        </w:rPr>
        <w:t xml:space="preserve"> </w:t>
      </w:r>
      <w:proofErr w:type="spellStart"/>
      <w:r w:rsidRPr="00E21368">
        <w:rPr>
          <w:sz w:val="20"/>
          <w:lang w:val="en-US"/>
        </w:rPr>
        <w:t>trả</w:t>
      </w:r>
      <w:proofErr w:type="spellEnd"/>
      <w:r w:rsidRPr="00E21368">
        <w:rPr>
          <w:sz w:val="20"/>
          <w:lang w:val="en-US"/>
        </w:rPr>
        <w:t xml:space="preserve"> </w:t>
      </w:r>
      <w:proofErr w:type="spellStart"/>
      <w:r w:rsidRPr="00E21368">
        <w:rPr>
          <w:sz w:val="20"/>
          <w:lang w:val="en-US"/>
        </w:rPr>
        <w:t>trong</w:t>
      </w:r>
      <w:proofErr w:type="spellEnd"/>
      <w:r w:rsidRPr="00E21368">
        <w:rPr>
          <w:sz w:val="20"/>
          <w:lang w:val="en-US"/>
        </w:rPr>
        <w:t xml:space="preserve"> </w:t>
      </w:r>
      <w:proofErr w:type="spellStart"/>
      <w:r w:rsidRPr="00E21368">
        <w:rPr>
          <w:sz w:val="20"/>
          <w:lang w:val="en-US"/>
        </w:rPr>
        <w:t>tương</w:t>
      </w:r>
      <w:proofErr w:type="spellEnd"/>
      <w:r w:rsidRPr="00E21368">
        <w:rPr>
          <w:sz w:val="20"/>
          <w:lang w:val="en-US"/>
        </w:rPr>
        <w:t xml:space="preserve"> </w:t>
      </w:r>
      <w:proofErr w:type="spellStart"/>
      <w:r w:rsidRPr="00E21368">
        <w:rPr>
          <w:sz w:val="20"/>
          <w:lang w:val="en-US"/>
        </w:rPr>
        <w:t>lai</w:t>
      </w:r>
      <w:proofErr w:type="spellEnd"/>
      <w:r w:rsidRPr="00E21368">
        <w:rPr>
          <w:sz w:val="20"/>
          <w:lang w:val="en-US"/>
        </w:rPr>
        <w:t xml:space="preserve"> </w:t>
      </w:r>
      <w:proofErr w:type="spellStart"/>
      <w:r w:rsidRPr="00E21368">
        <w:rPr>
          <w:sz w:val="20"/>
          <w:lang w:val="en-US"/>
        </w:rPr>
        <w:t>với</w:t>
      </w:r>
      <w:proofErr w:type="spellEnd"/>
      <w:r w:rsidRPr="00E21368">
        <w:rPr>
          <w:sz w:val="20"/>
          <w:lang w:val="en-US"/>
        </w:rPr>
        <w:t xml:space="preserve"> </w:t>
      </w:r>
      <w:proofErr w:type="spellStart"/>
      <w:r w:rsidRPr="00E21368">
        <w:rPr>
          <w:sz w:val="20"/>
          <w:lang w:val="en-US"/>
        </w:rPr>
        <w:t>tỷ</w:t>
      </w:r>
      <w:proofErr w:type="spellEnd"/>
      <w:r w:rsidRPr="00E21368">
        <w:rPr>
          <w:sz w:val="20"/>
          <w:lang w:val="en-US"/>
        </w:rPr>
        <w:t xml:space="preserve"> </w:t>
      </w:r>
      <w:proofErr w:type="spellStart"/>
      <w:r w:rsidRPr="00E21368">
        <w:rPr>
          <w:sz w:val="20"/>
          <w:lang w:val="en-US"/>
        </w:rPr>
        <w:t>lệ</w:t>
      </w:r>
      <w:proofErr w:type="spellEnd"/>
      <w:r w:rsidRPr="00E21368">
        <w:rPr>
          <w:sz w:val="20"/>
          <w:lang w:val="en-US"/>
        </w:rPr>
        <w:t xml:space="preserve"> </w:t>
      </w:r>
      <w:proofErr w:type="spellStart"/>
      <w:r w:rsidRPr="00E21368">
        <w:rPr>
          <w:sz w:val="20"/>
          <w:lang w:val="en-US"/>
        </w:rPr>
        <w:t>chiết</w:t>
      </w:r>
      <w:proofErr w:type="spellEnd"/>
      <w:r w:rsidRPr="00E21368">
        <w:rPr>
          <w:sz w:val="20"/>
          <w:lang w:val="en-US"/>
        </w:rPr>
        <w:t xml:space="preserve"> </w:t>
      </w:r>
      <w:proofErr w:type="spellStart"/>
      <w:r w:rsidRPr="00E21368">
        <w:rPr>
          <w:sz w:val="20"/>
          <w:lang w:val="en-US"/>
        </w:rPr>
        <w:t>khấu</w:t>
      </w:r>
      <w:proofErr w:type="spellEnd"/>
      <w:r w:rsidRPr="00E21368">
        <w:rPr>
          <w:sz w:val="20"/>
          <w:lang w:val="en-US"/>
        </w:rPr>
        <w:t xml:space="preserve"> </w:t>
      </w:r>
      <w:proofErr w:type="spellStart"/>
      <w:r w:rsidRPr="00E21368">
        <w:rPr>
          <w:sz w:val="20"/>
          <w:lang w:val="en-US"/>
        </w:rPr>
        <w:t>trước</w:t>
      </w:r>
      <w:proofErr w:type="spellEnd"/>
      <w:r w:rsidRPr="00E21368">
        <w:rPr>
          <w:sz w:val="20"/>
          <w:lang w:val="en-US"/>
        </w:rPr>
        <w:t xml:space="preserve"> </w:t>
      </w:r>
      <w:proofErr w:type="spellStart"/>
      <w:r w:rsidRPr="00E21368">
        <w:rPr>
          <w:sz w:val="20"/>
          <w:lang w:val="en-US"/>
        </w:rPr>
        <w:t>thuế</w:t>
      </w:r>
      <w:proofErr w:type="spellEnd"/>
      <w:r w:rsidRPr="00E21368">
        <w:rPr>
          <w:sz w:val="20"/>
          <w:lang w:val="en-US"/>
        </w:rPr>
        <w:t xml:space="preserve"> </w:t>
      </w:r>
      <w:proofErr w:type="spellStart"/>
      <w:r w:rsidRPr="00E21368">
        <w:rPr>
          <w:sz w:val="20"/>
          <w:lang w:val="en-US"/>
        </w:rPr>
        <w:t>phản</w:t>
      </w:r>
      <w:proofErr w:type="spellEnd"/>
      <w:r w:rsidRPr="00E21368">
        <w:rPr>
          <w:sz w:val="20"/>
          <w:lang w:val="en-US"/>
        </w:rPr>
        <w:t xml:space="preserve"> </w:t>
      </w:r>
      <w:proofErr w:type="spellStart"/>
      <w:r w:rsidRPr="00E21368">
        <w:rPr>
          <w:sz w:val="20"/>
          <w:lang w:val="en-US"/>
        </w:rPr>
        <w:t>ánh</w:t>
      </w:r>
      <w:proofErr w:type="spellEnd"/>
      <w:r w:rsidRPr="00E21368">
        <w:rPr>
          <w:sz w:val="20"/>
          <w:lang w:val="en-US"/>
        </w:rPr>
        <w:t xml:space="preserve"> </w:t>
      </w:r>
      <w:proofErr w:type="spellStart"/>
      <w:r w:rsidRPr="00E21368">
        <w:rPr>
          <w:sz w:val="20"/>
          <w:lang w:val="en-US"/>
        </w:rPr>
        <w:t>đánh</w:t>
      </w:r>
      <w:proofErr w:type="spellEnd"/>
      <w:r w:rsidRPr="00E21368">
        <w:rPr>
          <w:sz w:val="20"/>
          <w:lang w:val="en-US"/>
        </w:rPr>
        <w:t xml:space="preserve"> </w:t>
      </w:r>
      <w:proofErr w:type="spellStart"/>
      <w:r w:rsidRPr="00E21368">
        <w:rPr>
          <w:sz w:val="20"/>
          <w:lang w:val="en-US"/>
        </w:rPr>
        <w:t>giá</w:t>
      </w:r>
      <w:proofErr w:type="spellEnd"/>
      <w:r w:rsidRPr="00E21368">
        <w:rPr>
          <w:sz w:val="20"/>
          <w:lang w:val="en-US"/>
        </w:rPr>
        <w:t xml:space="preserve"> </w:t>
      </w:r>
      <w:proofErr w:type="spellStart"/>
      <w:r w:rsidRPr="00E21368">
        <w:rPr>
          <w:sz w:val="20"/>
          <w:lang w:val="en-US"/>
        </w:rPr>
        <w:t>hiện</w:t>
      </w:r>
      <w:proofErr w:type="spellEnd"/>
      <w:r w:rsidRPr="00E21368">
        <w:rPr>
          <w:sz w:val="20"/>
          <w:lang w:val="en-US"/>
        </w:rPr>
        <w:t xml:space="preserve"> </w:t>
      </w:r>
      <w:proofErr w:type="spellStart"/>
      <w:r w:rsidRPr="00E21368">
        <w:rPr>
          <w:sz w:val="20"/>
          <w:lang w:val="en-US"/>
        </w:rPr>
        <w:t>tại</w:t>
      </w:r>
      <w:proofErr w:type="spellEnd"/>
      <w:r w:rsidRPr="00E21368">
        <w:rPr>
          <w:sz w:val="20"/>
          <w:lang w:val="en-US"/>
        </w:rPr>
        <w:t xml:space="preserve"> của </w:t>
      </w:r>
      <w:proofErr w:type="spellStart"/>
      <w:r w:rsidRPr="00E21368">
        <w:rPr>
          <w:sz w:val="20"/>
          <w:lang w:val="en-US"/>
        </w:rPr>
        <w:t>thị</w:t>
      </w:r>
      <w:proofErr w:type="spellEnd"/>
      <w:r w:rsidRPr="00E21368">
        <w:rPr>
          <w:sz w:val="20"/>
          <w:lang w:val="en-US"/>
        </w:rPr>
        <w:t xml:space="preserve"> </w:t>
      </w:r>
      <w:proofErr w:type="spellStart"/>
      <w:r w:rsidRPr="00E21368">
        <w:rPr>
          <w:sz w:val="20"/>
          <w:lang w:val="en-US"/>
        </w:rPr>
        <w:t>trường</w:t>
      </w:r>
      <w:proofErr w:type="spellEnd"/>
      <w:r w:rsidRPr="00E21368">
        <w:rPr>
          <w:sz w:val="20"/>
          <w:lang w:val="en-US"/>
        </w:rPr>
        <w:t xml:space="preserve"> </w:t>
      </w:r>
      <w:proofErr w:type="spellStart"/>
      <w:r w:rsidRPr="00E21368">
        <w:rPr>
          <w:sz w:val="20"/>
          <w:lang w:val="en-US"/>
        </w:rPr>
        <w:t>về</w:t>
      </w:r>
      <w:proofErr w:type="spellEnd"/>
      <w:r w:rsidRPr="00E21368">
        <w:rPr>
          <w:sz w:val="20"/>
          <w:lang w:val="en-US"/>
        </w:rPr>
        <w:t xml:space="preserve"> </w:t>
      </w:r>
      <w:proofErr w:type="spellStart"/>
      <w:r w:rsidRPr="00E21368">
        <w:rPr>
          <w:sz w:val="20"/>
          <w:lang w:val="en-US"/>
        </w:rPr>
        <w:t>giá</w:t>
      </w:r>
      <w:proofErr w:type="spellEnd"/>
      <w:r w:rsidRPr="00E21368">
        <w:rPr>
          <w:sz w:val="20"/>
          <w:lang w:val="en-US"/>
        </w:rPr>
        <w:t xml:space="preserve"> </w:t>
      </w:r>
      <w:proofErr w:type="spellStart"/>
      <w:r w:rsidRPr="00E21368">
        <w:rPr>
          <w:sz w:val="20"/>
          <w:lang w:val="en-US"/>
        </w:rPr>
        <w:t>trị</w:t>
      </w:r>
      <w:proofErr w:type="spellEnd"/>
      <w:r w:rsidRPr="00E21368">
        <w:rPr>
          <w:sz w:val="20"/>
          <w:lang w:val="en-US"/>
        </w:rPr>
        <w:t xml:space="preserve"> </w:t>
      </w:r>
      <w:proofErr w:type="spellStart"/>
      <w:r w:rsidRPr="00E21368">
        <w:rPr>
          <w:sz w:val="20"/>
          <w:lang w:val="en-US"/>
        </w:rPr>
        <w:t>thời</w:t>
      </w:r>
      <w:proofErr w:type="spellEnd"/>
      <w:r w:rsidRPr="00E21368">
        <w:rPr>
          <w:sz w:val="20"/>
          <w:lang w:val="en-US"/>
        </w:rPr>
        <w:t xml:space="preserve"> </w:t>
      </w:r>
      <w:proofErr w:type="spellStart"/>
      <w:r w:rsidRPr="00E21368">
        <w:rPr>
          <w:sz w:val="20"/>
          <w:lang w:val="en-US"/>
        </w:rPr>
        <w:t>gian</w:t>
      </w:r>
      <w:proofErr w:type="spellEnd"/>
      <w:r w:rsidRPr="00E21368">
        <w:rPr>
          <w:sz w:val="20"/>
          <w:lang w:val="en-US"/>
        </w:rPr>
        <w:t xml:space="preserve"> của </w:t>
      </w:r>
      <w:proofErr w:type="spellStart"/>
      <w:r w:rsidRPr="00E21368">
        <w:rPr>
          <w:sz w:val="20"/>
          <w:lang w:val="en-US"/>
        </w:rPr>
        <w:t>tiền</w:t>
      </w:r>
      <w:proofErr w:type="spellEnd"/>
      <w:r w:rsidRPr="00E21368">
        <w:rPr>
          <w:sz w:val="20"/>
          <w:lang w:val="en-US"/>
        </w:rPr>
        <w:t xml:space="preserve"> </w:t>
      </w:r>
      <w:proofErr w:type="spellStart"/>
      <w:r w:rsidRPr="00E21368">
        <w:rPr>
          <w:sz w:val="20"/>
          <w:lang w:val="en-US"/>
        </w:rPr>
        <w:t>và</w:t>
      </w:r>
      <w:proofErr w:type="spellEnd"/>
      <w:r w:rsidRPr="00E21368">
        <w:rPr>
          <w:sz w:val="20"/>
          <w:lang w:val="en-US"/>
        </w:rPr>
        <w:t xml:space="preserve"> </w:t>
      </w:r>
      <w:proofErr w:type="spellStart"/>
      <w:r w:rsidRPr="00E21368">
        <w:rPr>
          <w:sz w:val="20"/>
          <w:lang w:val="en-US"/>
        </w:rPr>
        <w:t>rủi</w:t>
      </w:r>
      <w:proofErr w:type="spellEnd"/>
      <w:r w:rsidRPr="00E21368">
        <w:rPr>
          <w:sz w:val="20"/>
          <w:lang w:val="en-US"/>
        </w:rPr>
        <w:t xml:space="preserve"> </w:t>
      </w:r>
      <w:proofErr w:type="spellStart"/>
      <w:r w:rsidRPr="00E21368">
        <w:rPr>
          <w:sz w:val="20"/>
          <w:lang w:val="en-US"/>
        </w:rPr>
        <w:t>ro</w:t>
      </w:r>
      <w:proofErr w:type="spellEnd"/>
      <w:r w:rsidRPr="00E21368">
        <w:rPr>
          <w:sz w:val="20"/>
          <w:lang w:val="en-US"/>
        </w:rPr>
        <w:t xml:space="preserve"> </w:t>
      </w:r>
      <w:proofErr w:type="spellStart"/>
      <w:r w:rsidRPr="00E21368">
        <w:rPr>
          <w:sz w:val="20"/>
          <w:lang w:val="en-US"/>
        </w:rPr>
        <w:t>cụ</w:t>
      </w:r>
      <w:proofErr w:type="spellEnd"/>
      <w:r w:rsidRPr="00E21368">
        <w:rPr>
          <w:sz w:val="20"/>
          <w:lang w:val="en-US"/>
        </w:rPr>
        <w:t xml:space="preserve"> </w:t>
      </w:r>
      <w:proofErr w:type="spellStart"/>
      <w:r w:rsidRPr="00E21368">
        <w:rPr>
          <w:sz w:val="20"/>
          <w:lang w:val="en-US"/>
        </w:rPr>
        <w:t>thể</w:t>
      </w:r>
      <w:proofErr w:type="spellEnd"/>
      <w:r w:rsidRPr="00E21368">
        <w:rPr>
          <w:sz w:val="20"/>
          <w:lang w:val="en-US"/>
        </w:rPr>
        <w:t xml:space="preserve"> của </w:t>
      </w:r>
      <w:proofErr w:type="spellStart"/>
      <w:r w:rsidRPr="00E21368">
        <w:rPr>
          <w:sz w:val="20"/>
          <w:lang w:val="en-US"/>
        </w:rPr>
        <w:t>khoản</w:t>
      </w:r>
      <w:proofErr w:type="spellEnd"/>
      <w:r w:rsidRPr="00E21368">
        <w:rPr>
          <w:sz w:val="20"/>
          <w:lang w:val="en-US"/>
        </w:rPr>
        <w:t xml:space="preserve"> </w:t>
      </w:r>
      <w:proofErr w:type="spellStart"/>
      <w:r w:rsidRPr="00E21368">
        <w:rPr>
          <w:sz w:val="20"/>
          <w:lang w:val="en-US"/>
        </w:rPr>
        <w:t>nợ</w:t>
      </w:r>
      <w:proofErr w:type="spellEnd"/>
      <w:r w:rsidRPr="00E21368">
        <w:rPr>
          <w:sz w:val="20"/>
          <w:lang w:val="en-US"/>
        </w:rPr>
        <w:t xml:space="preserve"> </w:t>
      </w:r>
      <w:proofErr w:type="spellStart"/>
      <w:r w:rsidRPr="00E21368">
        <w:rPr>
          <w:sz w:val="20"/>
          <w:lang w:val="en-US"/>
        </w:rPr>
        <w:t>đó</w:t>
      </w:r>
      <w:proofErr w:type="spellEnd"/>
      <w:r w:rsidRPr="00E21368">
        <w:rPr>
          <w:sz w:val="20"/>
          <w:lang w:val="en-US"/>
        </w:rPr>
        <w:t>.</w:t>
      </w:r>
    </w:p>
    <w:p w14:paraId="117F080D" w14:textId="35D7C7EF" w:rsidR="00AE7228" w:rsidRPr="00AE7228" w:rsidRDefault="00AE7228" w:rsidP="003C5D35">
      <w:pPr>
        <w:pStyle w:val="BodyText"/>
        <w:keepLines w:val="0"/>
        <w:spacing w:after="120" w:line="312" w:lineRule="auto"/>
        <w:ind w:left="502" w:right="260"/>
        <w:rPr>
          <w:i/>
          <w:iCs/>
          <w:sz w:val="20"/>
          <w:lang w:val="en-US"/>
        </w:rPr>
      </w:pPr>
      <w:r w:rsidRPr="00AE7228">
        <w:rPr>
          <w:i/>
          <w:iCs/>
          <w:sz w:val="20"/>
          <w:lang w:val="en-US"/>
        </w:rPr>
        <w:t xml:space="preserve">A provision is recognized if, </w:t>
      </w:r>
      <w:proofErr w:type="gramStart"/>
      <w:r w:rsidRPr="00AE7228">
        <w:rPr>
          <w:i/>
          <w:iCs/>
          <w:sz w:val="20"/>
          <w:lang w:val="en-US"/>
        </w:rPr>
        <w:t>as a result of</w:t>
      </w:r>
      <w:proofErr w:type="gramEnd"/>
      <w:r w:rsidRPr="00AE7228">
        <w:rPr>
          <w:i/>
          <w:iCs/>
          <w:sz w:val="20"/>
          <w:lang w:val="en-US"/>
        </w:rPr>
        <w:t xml:space="preserve"> a past event, the Fund has a present legal or constructive obligation that can be estimated reliably, and it is probable that an outflow of economic benefits will be required. future economic conditions to pay the debt obligations. Provisions are determined by discounting the expected future cash flows at a pre-tax rate that reflects current market assessments of the time value of money and the risks specific to that debt.</w:t>
      </w:r>
    </w:p>
    <w:p w14:paraId="4F1A8954" w14:textId="40BD0816" w:rsidR="00897749" w:rsidRPr="00383B0C" w:rsidRDefault="00897749" w:rsidP="00383B0C">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383B0C">
        <w:rPr>
          <w:rFonts w:ascii="Times New Roman" w:hAnsi="Times New Roman"/>
          <w:b/>
          <w:sz w:val="20"/>
          <w:szCs w:val="20"/>
          <w:lang w:val="nl-NL"/>
        </w:rPr>
        <w:t xml:space="preserve">Phân loại các công cụ tài </w:t>
      </w:r>
      <w:r w:rsidR="00AE7228" w:rsidRPr="00383B0C">
        <w:rPr>
          <w:rFonts w:ascii="Times New Roman" w:hAnsi="Times New Roman"/>
          <w:b/>
          <w:sz w:val="20"/>
          <w:szCs w:val="20"/>
          <w:lang w:val="nl-NL"/>
        </w:rPr>
        <w:t>chính</w:t>
      </w:r>
      <w:r w:rsidR="00AE7228" w:rsidRPr="00383B0C">
        <w:rPr>
          <w:rFonts w:ascii="Times New Roman" w:hAnsi="Times New Roman"/>
          <w:b/>
          <w:sz w:val="20"/>
          <w:szCs w:val="20"/>
          <w:lang w:val="vi-VN"/>
        </w:rPr>
        <w:t xml:space="preserve">/ </w:t>
      </w:r>
      <w:r w:rsidR="00AE7228" w:rsidRPr="00383B0C">
        <w:rPr>
          <w:rFonts w:ascii="Times New Roman" w:hAnsi="Times New Roman"/>
          <w:b/>
          <w:i/>
          <w:iCs/>
          <w:sz w:val="20"/>
          <w:szCs w:val="20"/>
          <w:lang w:val="vi-VN"/>
        </w:rPr>
        <w:t>Financial instruments reclassification</w:t>
      </w:r>
    </w:p>
    <w:p w14:paraId="48132A57" w14:textId="13AC1FA5" w:rsidR="00897749" w:rsidRDefault="00897749" w:rsidP="00383B0C">
      <w:pPr>
        <w:spacing w:after="0" w:line="312" w:lineRule="auto"/>
        <w:ind w:left="502" w:right="259"/>
        <w:jc w:val="both"/>
        <w:rPr>
          <w:rFonts w:ascii="Times New Roman" w:hAnsi="Times New Roman"/>
          <w:sz w:val="20"/>
          <w:szCs w:val="20"/>
          <w:lang w:val="nl-NL"/>
        </w:rPr>
      </w:pPr>
      <w:r w:rsidRPr="00762874">
        <w:rPr>
          <w:rFonts w:ascii="Times New Roman" w:hAnsi="Times New Roman"/>
          <w:sz w:val="20"/>
          <w:szCs w:val="20"/>
          <w:lang w:val="nl-NL"/>
        </w:rPr>
        <w:t>Nhằm mục đích duy nhất là cung cấp các thông tin thuyết minh về tầm quan trọng của các công cụ tài chính đối với tình hình tài chính và kết quả hoạt động kinh doanh của Quỹ và tính chất và mức độ rủi ro phát sinh từ các công cụ tài chính, Quỹ phân loại các công cụ tài chính như sau:</w:t>
      </w:r>
    </w:p>
    <w:p w14:paraId="1DDE6EAF" w14:textId="630A7D11" w:rsidR="00AE7228" w:rsidRPr="00AE7228" w:rsidRDefault="00213FE8" w:rsidP="008E162F">
      <w:pPr>
        <w:spacing w:after="0" w:line="312" w:lineRule="auto"/>
        <w:ind w:left="502" w:right="259"/>
        <w:jc w:val="both"/>
        <w:rPr>
          <w:rFonts w:ascii="Times New Roman" w:hAnsi="Times New Roman"/>
          <w:i/>
          <w:iCs/>
          <w:sz w:val="20"/>
          <w:szCs w:val="20"/>
          <w:lang w:val="nl-NL"/>
        </w:rPr>
      </w:pPr>
      <w:r w:rsidRPr="00213FE8">
        <w:rPr>
          <w:rFonts w:ascii="Times New Roman" w:hAnsi="Times New Roman"/>
          <w:i/>
          <w:iCs/>
          <w:sz w:val="20"/>
          <w:szCs w:val="20"/>
          <w:lang w:val="nl-NL"/>
        </w:rPr>
        <w:t>Solely for the purpose of providing disclosures about the significance of financial instruments to the Fund’s financial position and results of operations and the nature and extent of risk arising from financial instruments, financial instruments are classified as follows:</w:t>
      </w:r>
    </w:p>
    <w:p w14:paraId="7DEFD260" w14:textId="77777777" w:rsidR="00213FE8" w:rsidRDefault="00897749" w:rsidP="00213FE8">
      <w:pPr>
        <w:pStyle w:val="ListParagraph"/>
        <w:keepLines/>
        <w:numPr>
          <w:ilvl w:val="0"/>
          <w:numId w:val="41"/>
        </w:numPr>
        <w:shd w:val="clear" w:color="auto" w:fill="FFFFFF"/>
        <w:tabs>
          <w:tab w:val="left" w:pos="142"/>
          <w:tab w:val="left" w:pos="426"/>
        </w:tabs>
        <w:spacing w:before="60" w:after="60" w:line="312" w:lineRule="auto"/>
        <w:ind w:right="259"/>
        <w:jc w:val="both"/>
        <w:rPr>
          <w:rFonts w:ascii="Times New Roman" w:hAnsi="Times New Roman"/>
          <w:b/>
          <w:i/>
          <w:sz w:val="20"/>
          <w:szCs w:val="20"/>
          <w:lang w:val="nl-NL"/>
        </w:rPr>
      </w:pPr>
      <w:r w:rsidRPr="00213FE8">
        <w:rPr>
          <w:rFonts w:ascii="Times New Roman" w:hAnsi="Times New Roman"/>
          <w:b/>
          <w:i/>
          <w:sz w:val="20"/>
          <w:szCs w:val="20"/>
          <w:lang w:val="nl-NL"/>
        </w:rPr>
        <w:t>Tài sản tài chính</w:t>
      </w:r>
      <w:r w:rsidRPr="00213FE8" w:rsidDel="007B39D6">
        <w:rPr>
          <w:rFonts w:ascii="Times New Roman" w:hAnsi="Times New Roman"/>
          <w:b/>
          <w:i/>
          <w:sz w:val="20"/>
          <w:szCs w:val="20"/>
          <w:lang w:val="nl-NL"/>
        </w:rPr>
        <w:t xml:space="preserve"> </w:t>
      </w:r>
    </w:p>
    <w:p w14:paraId="1CE37C3B" w14:textId="1E28FCD5" w:rsidR="00AE7228" w:rsidRPr="00213FE8" w:rsidRDefault="00897749" w:rsidP="00213FE8">
      <w:pPr>
        <w:keepLines/>
        <w:shd w:val="clear" w:color="auto" w:fill="FFFFFF"/>
        <w:tabs>
          <w:tab w:val="left" w:pos="142"/>
          <w:tab w:val="left" w:pos="426"/>
        </w:tabs>
        <w:spacing w:before="60" w:after="60" w:line="312" w:lineRule="auto"/>
        <w:ind w:left="426" w:right="259"/>
        <w:jc w:val="both"/>
        <w:rPr>
          <w:rFonts w:ascii="Times New Roman" w:hAnsi="Times New Roman"/>
          <w:b/>
          <w:i/>
          <w:sz w:val="20"/>
          <w:szCs w:val="20"/>
          <w:lang w:val="nl-NL"/>
        </w:rPr>
      </w:pPr>
      <w:r w:rsidRPr="00213FE8">
        <w:rPr>
          <w:rFonts w:ascii="Times New Roman" w:hAnsi="Times New Roman"/>
          <w:i/>
          <w:iCs/>
          <w:sz w:val="20"/>
          <w:szCs w:val="20"/>
          <w:lang w:val="nb-NO"/>
        </w:rPr>
        <w:t>Tài sản tài chính được xác định theo giá trị hợp lý thông qua Báo cáo thu nhập là một tài sản tài chính thỏa mãn một tron</w:t>
      </w:r>
      <w:r w:rsidR="00213FE8">
        <w:rPr>
          <w:rFonts w:ascii="Times New Roman" w:hAnsi="Times New Roman"/>
          <w:i/>
          <w:iCs/>
          <w:sz w:val="20"/>
          <w:szCs w:val="20"/>
          <w:lang w:val="nb-NO"/>
        </w:rPr>
        <w:t xml:space="preserve"> </w:t>
      </w:r>
      <w:r w:rsidRPr="00213FE8">
        <w:rPr>
          <w:rFonts w:ascii="Times New Roman" w:hAnsi="Times New Roman"/>
          <w:i/>
          <w:iCs/>
          <w:sz w:val="20"/>
          <w:szCs w:val="20"/>
          <w:lang w:val="nb-NO"/>
        </w:rPr>
        <w:t xml:space="preserve">các điều kiện </w:t>
      </w:r>
      <w:r w:rsidR="00AE7228" w:rsidRPr="00213FE8">
        <w:rPr>
          <w:rFonts w:ascii="Times New Roman" w:hAnsi="Times New Roman"/>
          <w:i/>
          <w:iCs/>
          <w:sz w:val="20"/>
          <w:szCs w:val="20"/>
          <w:lang w:val="nb-NO"/>
        </w:rPr>
        <w:t>sau</w:t>
      </w:r>
    </w:p>
    <w:p w14:paraId="7D1953A5" w14:textId="329518C1" w:rsidR="00AE7228" w:rsidRPr="00AE7228" w:rsidRDefault="00AE7228" w:rsidP="00213FE8">
      <w:pPr>
        <w:pStyle w:val="Heading5"/>
        <w:keepNext w:val="0"/>
        <w:numPr>
          <w:ilvl w:val="4"/>
          <w:numId w:val="0"/>
        </w:numPr>
        <w:overflowPunct w:val="0"/>
        <w:autoSpaceDE w:val="0"/>
        <w:autoSpaceDN w:val="0"/>
        <w:adjustRightInd w:val="0"/>
        <w:spacing w:before="0" w:line="312" w:lineRule="auto"/>
        <w:ind w:left="426" w:right="259"/>
        <w:jc w:val="both"/>
        <w:textAlignment w:val="baseline"/>
        <w:rPr>
          <w:rFonts w:ascii="Times New Roman" w:hAnsi="Times New Roman" w:cs="Times New Roman"/>
          <w:i/>
          <w:iCs/>
          <w:color w:val="auto"/>
          <w:sz w:val="20"/>
          <w:szCs w:val="20"/>
          <w:lang w:val="vi-VN"/>
        </w:rPr>
      </w:pPr>
      <w:r w:rsidRPr="00AE7228">
        <w:rPr>
          <w:rFonts w:ascii="Times New Roman" w:hAnsi="Times New Roman" w:cs="Times New Roman"/>
          <w:i/>
          <w:iCs/>
          <w:color w:val="auto"/>
          <w:sz w:val="20"/>
          <w:szCs w:val="20"/>
          <w:lang w:val="vi-VN"/>
        </w:rPr>
        <w:t>The principal asset measured at fair value through the income statement is a chronic financial asset under the following conditions:</w:t>
      </w:r>
      <w:r>
        <w:rPr>
          <w:rFonts w:ascii="Times New Roman" w:hAnsi="Times New Roman" w:cs="Times New Roman"/>
          <w:i/>
          <w:iCs/>
          <w:color w:val="auto"/>
          <w:sz w:val="20"/>
          <w:szCs w:val="20"/>
          <w:lang w:val="vi-VN"/>
        </w:rPr>
        <w:t>:</w:t>
      </w:r>
    </w:p>
    <w:p w14:paraId="196B5093" w14:textId="77777777" w:rsidR="00897749" w:rsidRPr="00762874" w:rsidRDefault="00897749" w:rsidP="005425EE">
      <w:pPr>
        <w:pStyle w:val="BodyText"/>
        <w:numPr>
          <w:ilvl w:val="0"/>
          <w:numId w:val="11"/>
        </w:numPr>
        <w:spacing w:after="0" w:line="312" w:lineRule="auto"/>
        <w:ind w:left="142" w:right="259" w:firstLine="0"/>
        <w:rPr>
          <w:sz w:val="20"/>
          <w:lang w:val="nl-NL"/>
        </w:rPr>
      </w:pPr>
      <w:r w:rsidRPr="00762874">
        <w:rPr>
          <w:sz w:val="20"/>
          <w:lang w:val="nl-NL"/>
        </w:rPr>
        <w:t xml:space="preserve">Tài sản tài chính được Quỹ phân loại vào nhóm nắm giữ để kinh doanh. Tài sản tài chính được phân loại vào nhóm nắm giữ để kinh doanh, nếu: </w:t>
      </w:r>
    </w:p>
    <w:p w14:paraId="44FECFC0" w14:textId="77777777" w:rsidR="00897749" w:rsidRPr="00A96A82" w:rsidRDefault="00897749" w:rsidP="005425EE">
      <w:pPr>
        <w:keepNext/>
        <w:keepLines/>
        <w:spacing w:after="0" w:line="312" w:lineRule="auto"/>
        <w:ind w:left="142" w:right="260"/>
        <w:jc w:val="both"/>
        <w:rPr>
          <w:rFonts w:ascii="Times New Roman" w:hAnsi="Times New Roman"/>
          <w:sz w:val="20"/>
          <w:szCs w:val="20"/>
          <w:lang w:val="nl-NL"/>
        </w:rPr>
      </w:pPr>
      <w:r w:rsidRPr="00A96A82">
        <w:rPr>
          <w:rFonts w:ascii="Times New Roman" w:hAnsi="Times New Roman"/>
          <w:sz w:val="20"/>
          <w:szCs w:val="20"/>
          <w:lang w:val="nl-NL"/>
        </w:rPr>
        <w:t>-</w:t>
      </w:r>
      <w:r w:rsidRPr="00A96A82">
        <w:rPr>
          <w:rFonts w:ascii="Times New Roman" w:hAnsi="Times New Roman"/>
          <w:sz w:val="20"/>
          <w:szCs w:val="20"/>
          <w:lang w:val="nl-NL"/>
        </w:rPr>
        <w:tab/>
        <w:t xml:space="preserve">tài sản </w:t>
      </w:r>
      <w:r w:rsidRPr="00E21368">
        <w:rPr>
          <w:rFonts w:ascii="Times New Roman" w:hAnsi="Times New Roman"/>
          <w:sz w:val="20"/>
          <w:szCs w:val="20"/>
          <w:lang w:val="nb-NO"/>
        </w:rPr>
        <w:t>được mua chủ yếu cho mục đích bán lại trong thời gian ngắn</w:t>
      </w:r>
      <w:r w:rsidRPr="00A96A82">
        <w:rPr>
          <w:rFonts w:ascii="Times New Roman" w:hAnsi="Times New Roman"/>
          <w:sz w:val="20"/>
          <w:szCs w:val="20"/>
          <w:lang w:val="nl-NL"/>
        </w:rPr>
        <w:t>;</w:t>
      </w:r>
    </w:p>
    <w:p w14:paraId="7E74C300" w14:textId="77777777" w:rsidR="00897749" w:rsidRPr="00A96A82" w:rsidRDefault="00897749" w:rsidP="005425EE">
      <w:pPr>
        <w:keepNext/>
        <w:keepLines/>
        <w:spacing w:after="0" w:line="312" w:lineRule="auto"/>
        <w:ind w:left="142" w:right="260"/>
        <w:jc w:val="both"/>
        <w:rPr>
          <w:rFonts w:ascii="Times New Roman" w:hAnsi="Times New Roman"/>
          <w:sz w:val="20"/>
          <w:szCs w:val="20"/>
          <w:lang w:val="nl-NL"/>
        </w:rPr>
      </w:pPr>
      <w:r w:rsidRPr="00A96A82">
        <w:rPr>
          <w:rFonts w:ascii="Times New Roman" w:hAnsi="Times New Roman"/>
          <w:sz w:val="20"/>
          <w:szCs w:val="20"/>
          <w:lang w:val="nl-NL"/>
        </w:rPr>
        <w:t>-</w:t>
      </w:r>
      <w:r w:rsidRPr="00A96A82">
        <w:rPr>
          <w:rFonts w:ascii="Times New Roman" w:hAnsi="Times New Roman"/>
          <w:sz w:val="20"/>
          <w:szCs w:val="20"/>
          <w:lang w:val="nl-NL"/>
        </w:rPr>
        <w:tab/>
      </w:r>
      <w:r w:rsidRPr="00E21368">
        <w:rPr>
          <w:rFonts w:ascii="Times New Roman" w:hAnsi="Times New Roman"/>
          <w:sz w:val="20"/>
          <w:szCs w:val="20"/>
          <w:lang w:val="nb-NO"/>
        </w:rPr>
        <w:t xml:space="preserve">có bằng chứng về việc kinh doanh công cụ đó nhằm mục đích thu lợi ngắn hạn; hoặc </w:t>
      </w:r>
    </w:p>
    <w:p w14:paraId="6069D76D" w14:textId="77777777" w:rsidR="00897749" w:rsidRDefault="00897749" w:rsidP="005425EE">
      <w:pPr>
        <w:pStyle w:val="BodyText"/>
        <w:keepNext/>
        <w:spacing w:after="0" w:line="312" w:lineRule="auto"/>
        <w:ind w:left="142" w:right="260"/>
        <w:rPr>
          <w:sz w:val="20"/>
          <w:lang w:val="nl-NL"/>
        </w:rPr>
      </w:pPr>
      <w:r w:rsidRPr="00A96A82">
        <w:rPr>
          <w:sz w:val="20"/>
          <w:lang w:val="nl-NL"/>
        </w:rPr>
        <w:t>-</w:t>
      </w:r>
      <w:r w:rsidRPr="00A96A82">
        <w:rPr>
          <w:sz w:val="20"/>
          <w:lang w:val="nl-NL"/>
        </w:rPr>
        <w:tab/>
      </w:r>
      <w:r w:rsidRPr="00E21368">
        <w:rPr>
          <w:sz w:val="20"/>
          <w:lang w:val="nb-NO"/>
        </w:rPr>
        <w:t xml:space="preserve">công cụ tài chính phái sinh (ngoại trừ các công cụ tài chính </w:t>
      </w:r>
      <w:r w:rsidR="006F2D45" w:rsidRPr="00E21368">
        <w:rPr>
          <w:sz w:val="20"/>
          <w:lang w:val="nb-NO"/>
        </w:rPr>
        <w:t xml:space="preserve">phái sinh được xác định là một </w:t>
      </w:r>
      <w:r w:rsidRPr="00E21368">
        <w:rPr>
          <w:sz w:val="20"/>
          <w:lang w:val="nb-NO"/>
        </w:rPr>
        <w:t>hợp đồng bảo lãnh tài chính hoặc một công cụ phòng ngừa rủi ro hiệu quả</w:t>
      </w:r>
      <w:r w:rsidRPr="00A96A82">
        <w:rPr>
          <w:sz w:val="20"/>
          <w:lang w:val="nl-NL"/>
        </w:rPr>
        <w:t>).</w:t>
      </w:r>
    </w:p>
    <w:p w14:paraId="6562DAA0" w14:textId="77777777" w:rsidR="00AE7228" w:rsidRPr="00AE7228" w:rsidRDefault="00AE7228" w:rsidP="00AE7228">
      <w:pPr>
        <w:pStyle w:val="BodyText"/>
        <w:numPr>
          <w:ilvl w:val="0"/>
          <w:numId w:val="11"/>
        </w:numPr>
        <w:spacing w:after="0" w:line="312" w:lineRule="auto"/>
        <w:ind w:left="142" w:right="259" w:firstLine="0"/>
        <w:rPr>
          <w:i/>
          <w:iCs/>
          <w:sz w:val="20"/>
          <w:lang w:val="nl-NL"/>
        </w:rPr>
      </w:pPr>
      <w:r w:rsidRPr="00AE7228">
        <w:rPr>
          <w:i/>
          <w:iCs/>
          <w:sz w:val="20"/>
          <w:lang w:val="nl-NL"/>
        </w:rPr>
        <w:t xml:space="preserve">Financial assets are classified by the Fund into the group held for business. Financial assets are classified as held for trading if: </w:t>
      </w:r>
    </w:p>
    <w:p w14:paraId="1C6A19E6" w14:textId="58EBC74E" w:rsidR="00AE7228" w:rsidRPr="00AE7228" w:rsidRDefault="00AE7228" w:rsidP="00AE7228">
      <w:pPr>
        <w:pStyle w:val="BodyText"/>
        <w:spacing w:after="0" w:line="312" w:lineRule="auto"/>
        <w:ind w:left="142" w:right="259"/>
        <w:rPr>
          <w:rFonts w:eastAsia="Calibri"/>
          <w:i/>
          <w:iCs/>
          <w:sz w:val="20"/>
          <w:lang w:val="nl-NL"/>
        </w:rPr>
      </w:pPr>
      <w:r w:rsidRPr="00AE7228">
        <w:rPr>
          <w:rFonts w:eastAsia="Calibri"/>
          <w:i/>
          <w:iCs/>
          <w:sz w:val="20"/>
          <w:lang w:val="nl-NL"/>
        </w:rPr>
        <w:t xml:space="preserve">- </w:t>
      </w:r>
      <w:r w:rsidRPr="00AE7228">
        <w:rPr>
          <w:rFonts w:eastAsia="Calibri"/>
          <w:i/>
          <w:iCs/>
          <w:sz w:val="20"/>
          <w:lang w:val="nl-NL"/>
        </w:rPr>
        <w:tab/>
        <w:t>assets are purchased primarily for the purpose of resale in the short term;</w:t>
      </w:r>
    </w:p>
    <w:p w14:paraId="2D704401" w14:textId="40F8F176" w:rsidR="00AE7228" w:rsidRPr="00AE7228" w:rsidRDefault="00AE7228" w:rsidP="00AE7228">
      <w:pPr>
        <w:pStyle w:val="BodyText"/>
        <w:spacing w:after="0" w:line="312" w:lineRule="auto"/>
        <w:ind w:left="142" w:right="259"/>
        <w:rPr>
          <w:i/>
          <w:iCs/>
          <w:sz w:val="20"/>
          <w:lang w:val="nl-NL"/>
        </w:rPr>
      </w:pPr>
      <w:r w:rsidRPr="00AE7228">
        <w:rPr>
          <w:i/>
          <w:iCs/>
          <w:sz w:val="20"/>
          <w:lang w:val="nl-NL"/>
        </w:rPr>
        <w:t>-</w:t>
      </w:r>
      <w:r w:rsidRPr="00AE7228">
        <w:rPr>
          <w:i/>
          <w:iCs/>
          <w:sz w:val="20"/>
          <w:lang w:val="vi-VN"/>
        </w:rPr>
        <w:t xml:space="preserve">         </w:t>
      </w:r>
      <w:r w:rsidRPr="00AE7228">
        <w:rPr>
          <w:i/>
          <w:iCs/>
          <w:sz w:val="20"/>
          <w:lang w:val="nl-NL"/>
        </w:rPr>
        <w:t xml:space="preserve"> there is evidence of trading in that instrument for short-term profit; or </w:t>
      </w:r>
    </w:p>
    <w:p w14:paraId="7635EEAE" w14:textId="2611087C" w:rsidR="00AE7228" w:rsidRDefault="00AE7228" w:rsidP="00AE7228">
      <w:pPr>
        <w:pStyle w:val="BodyText"/>
        <w:spacing w:after="0" w:line="312" w:lineRule="auto"/>
        <w:ind w:left="720" w:right="259" w:hanging="578"/>
        <w:rPr>
          <w:i/>
          <w:iCs/>
          <w:sz w:val="20"/>
          <w:lang w:val="nl-NL"/>
        </w:rPr>
      </w:pPr>
      <w:r w:rsidRPr="00AE7228">
        <w:rPr>
          <w:i/>
          <w:iCs/>
          <w:sz w:val="20"/>
          <w:lang w:val="nl-NL"/>
        </w:rPr>
        <w:t xml:space="preserve">- </w:t>
      </w:r>
      <w:r w:rsidRPr="00AE7228">
        <w:rPr>
          <w:i/>
          <w:iCs/>
          <w:sz w:val="20"/>
          <w:lang w:val="vi-VN"/>
        </w:rPr>
        <w:t xml:space="preserve">          </w:t>
      </w:r>
      <w:r w:rsidRPr="00AE7228">
        <w:rPr>
          <w:i/>
          <w:iCs/>
          <w:sz w:val="20"/>
          <w:lang w:val="nl-NL"/>
        </w:rPr>
        <w:t>derivative financial instruments (except derivative financial instruments defined as a financial guarantee contract or an effective risk hedging instrument)</w:t>
      </w:r>
    </w:p>
    <w:p w14:paraId="5C00A8CB" w14:textId="77777777" w:rsidR="00051187" w:rsidRPr="00AE7228" w:rsidRDefault="00051187" w:rsidP="00051187">
      <w:pPr>
        <w:pStyle w:val="BodyText"/>
        <w:spacing w:after="0" w:line="312" w:lineRule="auto"/>
        <w:ind w:right="259"/>
        <w:rPr>
          <w:i/>
          <w:iCs/>
          <w:sz w:val="20"/>
          <w:lang w:val="nl-NL"/>
        </w:rPr>
      </w:pPr>
    </w:p>
    <w:p w14:paraId="577A5753" w14:textId="77777777" w:rsidR="00897749" w:rsidRDefault="00897749" w:rsidP="005425EE">
      <w:pPr>
        <w:keepNext/>
        <w:keepLines/>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l-NL"/>
        </w:rPr>
      </w:pPr>
      <w:r w:rsidRPr="00E21368">
        <w:rPr>
          <w:rFonts w:ascii="Times New Roman" w:hAnsi="Times New Roman"/>
          <w:sz w:val="20"/>
          <w:szCs w:val="20"/>
          <w:lang w:val="nb-NO"/>
        </w:rPr>
        <w:t xml:space="preserve">Tại thời điểm ghi nhận ban đầu, </w:t>
      </w:r>
      <w:r w:rsidRPr="00A96A82">
        <w:rPr>
          <w:rFonts w:ascii="Times New Roman" w:hAnsi="Times New Roman"/>
          <w:sz w:val="20"/>
          <w:szCs w:val="20"/>
          <w:lang w:val="nl-NL"/>
        </w:rPr>
        <w:t>Quỹ</w:t>
      </w:r>
      <w:r w:rsidRPr="00E21368">
        <w:rPr>
          <w:rFonts w:ascii="Times New Roman" w:hAnsi="Times New Roman"/>
          <w:sz w:val="20"/>
          <w:szCs w:val="20"/>
          <w:lang w:val="nb-NO"/>
        </w:rPr>
        <w:t xml:space="preserve"> xếp tài sản tài chính vào nhóm xác định theo giá trị hợp lý thông qua Báo cáo thu nhập</w:t>
      </w:r>
      <w:r w:rsidRPr="00A96A82">
        <w:rPr>
          <w:rFonts w:ascii="Times New Roman" w:hAnsi="Times New Roman"/>
          <w:sz w:val="20"/>
          <w:szCs w:val="20"/>
          <w:lang w:val="nl-NL"/>
        </w:rPr>
        <w:t>.</w:t>
      </w:r>
    </w:p>
    <w:p w14:paraId="29BB4337" w14:textId="49094A25" w:rsidR="00AE7228" w:rsidRDefault="00AE7228" w:rsidP="00AE7228">
      <w:pPr>
        <w:keepNext/>
        <w:keepLines/>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b-NO"/>
        </w:rPr>
      </w:pPr>
      <w:r w:rsidRPr="00AE7228">
        <w:rPr>
          <w:rFonts w:ascii="Times New Roman" w:hAnsi="Times New Roman"/>
          <w:i/>
          <w:iCs/>
          <w:sz w:val="20"/>
          <w:szCs w:val="20"/>
          <w:lang w:val="nb-NO"/>
        </w:rPr>
        <w:t>At the time of initial recognition, the Fund classifies financial assets into groups determined by fair value through the Income Statement.</w:t>
      </w:r>
    </w:p>
    <w:p w14:paraId="3C950327" w14:textId="77777777" w:rsidR="001E0634" w:rsidRPr="00AE7228" w:rsidRDefault="001E0634" w:rsidP="001E0634">
      <w:pPr>
        <w:keepNext/>
        <w:keepLines/>
        <w:overflowPunct w:val="0"/>
        <w:autoSpaceDE w:val="0"/>
        <w:autoSpaceDN w:val="0"/>
        <w:adjustRightInd w:val="0"/>
        <w:spacing w:after="0" w:line="312" w:lineRule="auto"/>
        <w:ind w:left="142" w:right="260"/>
        <w:jc w:val="both"/>
        <w:textAlignment w:val="baseline"/>
        <w:rPr>
          <w:rFonts w:ascii="Times New Roman" w:hAnsi="Times New Roman"/>
          <w:i/>
          <w:iCs/>
          <w:sz w:val="20"/>
          <w:szCs w:val="20"/>
          <w:lang w:val="nb-NO"/>
        </w:rPr>
      </w:pPr>
    </w:p>
    <w:p w14:paraId="33963E74" w14:textId="77777777" w:rsidR="001E0634" w:rsidRPr="00AE7228" w:rsidRDefault="00897749" w:rsidP="00D733C6">
      <w:pPr>
        <w:keepLines/>
        <w:widowControl w:val="0"/>
        <w:overflowPunct w:val="0"/>
        <w:autoSpaceDE w:val="0"/>
        <w:autoSpaceDN w:val="0"/>
        <w:adjustRightInd w:val="0"/>
        <w:spacing w:after="0" w:line="312" w:lineRule="auto"/>
        <w:ind w:left="720" w:right="260"/>
        <w:jc w:val="both"/>
        <w:textAlignment w:val="baseline"/>
        <w:rPr>
          <w:rFonts w:ascii="Times New Roman" w:hAnsi="Times New Roman"/>
          <w:i/>
          <w:iCs/>
          <w:sz w:val="20"/>
          <w:szCs w:val="20"/>
          <w:lang w:val="nl-NL"/>
        </w:rPr>
      </w:pPr>
      <w:r w:rsidRPr="00A96A82">
        <w:rPr>
          <w:rFonts w:ascii="Times New Roman" w:hAnsi="Times New Roman"/>
          <w:sz w:val="20"/>
          <w:szCs w:val="20"/>
          <w:lang w:val="nl-NL"/>
        </w:rPr>
        <w:t xml:space="preserve">Các khoản đầu tư nắm giữ đến ngày đáo </w:t>
      </w:r>
      <w:r w:rsidR="001E0634">
        <w:rPr>
          <w:rFonts w:ascii="Times New Roman" w:hAnsi="Times New Roman"/>
          <w:sz w:val="20"/>
          <w:szCs w:val="20"/>
          <w:lang w:val="nl-NL"/>
        </w:rPr>
        <w:t>hạn</w:t>
      </w:r>
      <w:r w:rsidR="001E0634">
        <w:rPr>
          <w:rFonts w:ascii="Times New Roman" w:hAnsi="Times New Roman"/>
          <w:sz w:val="20"/>
          <w:szCs w:val="20"/>
          <w:lang w:val="vi-VN"/>
        </w:rPr>
        <w:t xml:space="preserve">/ </w:t>
      </w:r>
      <w:r w:rsidR="001E0634" w:rsidRPr="00AE7228">
        <w:rPr>
          <w:rFonts w:ascii="Times New Roman" w:hAnsi="Times New Roman"/>
          <w:i/>
          <w:iCs/>
          <w:sz w:val="20"/>
          <w:szCs w:val="20"/>
          <w:lang w:val="nl-NL"/>
        </w:rPr>
        <w:t xml:space="preserve">Investments held until maturity </w:t>
      </w:r>
    </w:p>
    <w:p w14:paraId="1EACD402" w14:textId="77777777" w:rsidR="00897749" w:rsidRPr="00A96A82" w:rsidRDefault="00897749" w:rsidP="00D733C6">
      <w:pPr>
        <w:widowControl w:val="0"/>
        <w:spacing w:after="0" w:line="312" w:lineRule="auto"/>
        <w:ind w:left="720" w:right="260"/>
        <w:jc w:val="both"/>
        <w:rPr>
          <w:rFonts w:ascii="Times New Roman" w:hAnsi="Times New Roman"/>
          <w:sz w:val="20"/>
          <w:szCs w:val="20"/>
          <w:lang w:val="nl-NL"/>
        </w:rPr>
      </w:pPr>
      <w:r w:rsidRPr="00E21368">
        <w:rPr>
          <w:rFonts w:ascii="Times New Roman" w:hAnsi="Times New Roman"/>
          <w:iCs/>
          <w:sz w:val="20"/>
          <w:szCs w:val="20"/>
          <w:lang w:val="nb-NO"/>
        </w:rPr>
        <w:t xml:space="preserve">Các khoản đầu tư nắm giữ đến ngày đáo hạn là </w:t>
      </w:r>
      <w:r w:rsidRPr="00A96A82">
        <w:rPr>
          <w:rFonts w:ascii="Times New Roman" w:hAnsi="Times New Roman"/>
          <w:sz w:val="20"/>
          <w:szCs w:val="20"/>
          <w:lang w:val="nl-NL"/>
        </w:rPr>
        <w:t>các tài sản tài chính phi phái sinh với các khoản thanh toán cố định hoặc có thể xác định và có kỳ đáo hạn cố định mà Quỹ có ý định và có khả năng giữ đến ngày đáo hạn, ngoại trừ:</w:t>
      </w:r>
    </w:p>
    <w:p w14:paraId="674E12A9" w14:textId="77777777" w:rsidR="00897749" w:rsidRPr="00A96A82" w:rsidRDefault="00897749" w:rsidP="005425EE">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l-NL"/>
        </w:rPr>
      </w:pPr>
      <w:r w:rsidRPr="00E21368">
        <w:rPr>
          <w:rFonts w:ascii="Times New Roman" w:hAnsi="Times New Roman"/>
          <w:sz w:val="20"/>
          <w:szCs w:val="20"/>
          <w:lang w:val="nb-NO"/>
        </w:rPr>
        <w:lastRenderedPageBreak/>
        <w:t xml:space="preserve">các tài sản tài chính mà tại thời điểm ghi nhận ban đầu đã được </w:t>
      </w:r>
      <w:r w:rsidRPr="00A96A82">
        <w:rPr>
          <w:rFonts w:ascii="Times New Roman" w:hAnsi="Times New Roman"/>
          <w:sz w:val="20"/>
          <w:szCs w:val="20"/>
          <w:lang w:val="nl-NL"/>
        </w:rPr>
        <w:t xml:space="preserve">Quỹ </w:t>
      </w:r>
      <w:r w:rsidRPr="00E21368">
        <w:rPr>
          <w:rFonts w:ascii="Times New Roman" w:hAnsi="Times New Roman"/>
          <w:sz w:val="20"/>
          <w:szCs w:val="20"/>
          <w:lang w:val="nb-NO"/>
        </w:rPr>
        <w:t>xếp vào nhóm xác định theo giá trị hợp lý thông qua Báo cáo thu nhập</w:t>
      </w:r>
      <w:r w:rsidRPr="00A96A82">
        <w:rPr>
          <w:rFonts w:ascii="Times New Roman" w:hAnsi="Times New Roman"/>
          <w:sz w:val="20"/>
          <w:szCs w:val="20"/>
          <w:lang w:val="nl-NL"/>
        </w:rPr>
        <w:t>;</w:t>
      </w:r>
    </w:p>
    <w:p w14:paraId="392ED79A" w14:textId="77777777" w:rsidR="00897749" w:rsidRPr="00A96A82" w:rsidRDefault="00897749" w:rsidP="005425EE">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l-NL"/>
        </w:rPr>
      </w:pPr>
      <w:r w:rsidRPr="00A96A82">
        <w:rPr>
          <w:rFonts w:ascii="Times New Roman" w:hAnsi="Times New Roman"/>
          <w:sz w:val="20"/>
          <w:szCs w:val="20"/>
          <w:lang w:val="nl-NL"/>
        </w:rPr>
        <w:t>các tài sản tài chính đã được Quỹ xếp vào nhóm sẵn sàng để bán; và</w:t>
      </w:r>
      <w:r w:rsidRPr="00A96A82" w:rsidDel="00803F9B">
        <w:rPr>
          <w:rFonts w:ascii="Times New Roman" w:hAnsi="Times New Roman"/>
          <w:sz w:val="20"/>
          <w:szCs w:val="20"/>
          <w:lang w:val="nl-NL"/>
        </w:rPr>
        <w:t xml:space="preserve"> </w:t>
      </w:r>
      <w:r w:rsidRPr="00A96A82">
        <w:rPr>
          <w:rFonts w:ascii="Times New Roman" w:hAnsi="Times New Roman"/>
          <w:sz w:val="20"/>
          <w:szCs w:val="20"/>
          <w:lang w:val="nl-NL"/>
        </w:rPr>
        <w:t xml:space="preserve"> </w:t>
      </w:r>
    </w:p>
    <w:p w14:paraId="55121299" w14:textId="77777777" w:rsidR="00897749" w:rsidRDefault="00897749" w:rsidP="00AE7228">
      <w:pPr>
        <w:keepNext/>
        <w:keepLines/>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l-NL"/>
        </w:rPr>
      </w:pPr>
      <w:r w:rsidRPr="00AE7228">
        <w:rPr>
          <w:rFonts w:ascii="Times New Roman" w:hAnsi="Times New Roman"/>
          <w:sz w:val="20"/>
          <w:szCs w:val="20"/>
          <w:lang w:val="nb-NO"/>
        </w:rPr>
        <w:t>các tài sản tài chính thỏa mãn định nghĩa về các khoản cho vay và phải thu.</w:t>
      </w:r>
    </w:p>
    <w:p w14:paraId="3E4274FD" w14:textId="611CC52C" w:rsidR="00AE7228" w:rsidRPr="00AE7228" w:rsidRDefault="00AE7228" w:rsidP="00D733C6">
      <w:pPr>
        <w:keepLines/>
        <w:widowControl w:val="0"/>
        <w:overflowPunct w:val="0"/>
        <w:autoSpaceDE w:val="0"/>
        <w:autoSpaceDN w:val="0"/>
        <w:adjustRightInd w:val="0"/>
        <w:spacing w:after="0" w:line="312" w:lineRule="auto"/>
        <w:ind w:left="720" w:right="260"/>
        <w:jc w:val="both"/>
        <w:textAlignment w:val="baseline"/>
        <w:rPr>
          <w:rFonts w:ascii="Times New Roman" w:hAnsi="Times New Roman"/>
          <w:i/>
          <w:iCs/>
          <w:sz w:val="20"/>
          <w:szCs w:val="20"/>
          <w:lang w:val="nl-NL"/>
        </w:rPr>
      </w:pPr>
      <w:r w:rsidRPr="00AE7228">
        <w:rPr>
          <w:rFonts w:ascii="Times New Roman" w:hAnsi="Times New Roman"/>
          <w:i/>
          <w:iCs/>
          <w:sz w:val="20"/>
          <w:szCs w:val="20"/>
          <w:lang w:val="nl-NL"/>
        </w:rPr>
        <w:t>Held-to-maturity investments are non-derivative financial assets with fixed or determinable payments and a fixed maturity that the Fund has the intention and ability to hold to maturity, except:</w:t>
      </w:r>
    </w:p>
    <w:p w14:paraId="168EDA91" w14:textId="27C52165" w:rsidR="00AE7228" w:rsidRPr="00AE7228" w:rsidRDefault="00AE7228" w:rsidP="00AE7228">
      <w:pPr>
        <w:keepNext/>
        <w:keepLines/>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l-NL"/>
        </w:rPr>
      </w:pPr>
      <w:r w:rsidRPr="00AE7228">
        <w:rPr>
          <w:rFonts w:ascii="Times New Roman" w:hAnsi="Times New Roman"/>
          <w:i/>
          <w:iCs/>
          <w:sz w:val="20"/>
          <w:szCs w:val="20"/>
          <w:lang w:val="nl-NL"/>
        </w:rPr>
        <w:t xml:space="preserve"> </w:t>
      </w:r>
      <w:r w:rsidRPr="00AE7228">
        <w:rPr>
          <w:rFonts w:ascii="Times New Roman" w:hAnsi="Times New Roman"/>
          <w:i/>
          <w:iCs/>
          <w:sz w:val="20"/>
          <w:szCs w:val="20"/>
          <w:lang w:val="nb-NO"/>
        </w:rPr>
        <w:t>financial assets that at the time of initial recognition were classified by the Fund as determined by fair value through the Income Statement;</w:t>
      </w:r>
    </w:p>
    <w:p w14:paraId="01639930" w14:textId="3B8DF060" w:rsidR="00AE7228" w:rsidRPr="00AE7228" w:rsidRDefault="00AE7228" w:rsidP="00AE7228">
      <w:pPr>
        <w:keepNext/>
        <w:keepLines/>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l-NL"/>
        </w:rPr>
      </w:pPr>
      <w:r w:rsidRPr="00AE7228">
        <w:rPr>
          <w:rFonts w:ascii="Times New Roman" w:hAnsi="Times New Roman"/>
          <w:i/>
          <w:iCs/>
          <w:sz w:val="20"/>
          <w:szCs w:val="20"/>
          <w:lang w:val="nl-NL"/>
        </w:rPr>
        <w:t xml:space="preserve">financial assets that have been classified by the Fund as available for sale; and  </w:t>
      </w:r>
    </w:p>
    <w:p w14:paraId="7AA84C1B" w14:textId="2A7F28A1" w:rsidR="00AE7228" w:rsidRDefault="00AE7228" w:rsidP="00AE7228">
      <w:pPr>
        <w:keepNext/>
        <w:keepLines/>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l-NL"/>
        </w:rPr>
      </w:pPr>
      <w:r w:rsidRPr="00AE7228">
        <w:rPr>
          <w:rFonts w:ascii="Times New Roman" w:hAnsi="Times New Roman"/>
          <w:i/>
          <w:iCs/>
          <w:sz w:val="20"/>
          <w:szCs w:val="20"/>
          <w:lang w:val="nl-NL"/>
        </w:rPr>
        <w:t>financial assets that meet the definition of loans and receivables.</w:t>
      </w:r>
    </w:p>
    <w:p w14:paraId="7E6224D7" w14:textId="77777777" w:rsidR="001E0634" w:rsidRPr="00AE7228" w:rsidRDefault="001E0634" w:rsidP="001E0634">
      <w:pPr>
        <w:keepNext/>
        <w:keepLines/>
        <w:overflowPunct w:val="0"/>
        <w:autoSpaceDE w:val="0"/>
        <w:autoSpaceDN w:val="0"/>
        <w:adjustRightInd w:val="0"/>
        <w:spacing w:after="0" w:line="312" w:lineRule="auto"/>
        <w:ind w:left="142" w:right="260"/>
        <w:jc w:val="both"/>
        <w:textAlignment w:val="baseline"/>
        <w:rPr>
          <w:rFonts w:ascii="Times New Roman" w:hAnsi="Times New Roman"/>
          <w:i/>
          <w:iCs/>
          <w:sz w:val="20"/>
          <w:szCs w:val="20"/>
          <w:lang w:val="nl-NL"/>
        </w:rPr>
      </w:pPr>
    </w:p>
    <w:p w14:paraId="316067C0" w14:textId="7F4E96F5" w:rsidR="00897749" w:rsidRPr="001E0634" w:rsidRDefault="00897749" w:rsidP="005425EE">
      <w:pPr>
        <w:pStyle w:val="Heading5"/>
        <w:keepNext w:val="0"/>
        <w:widowControl w:val="0"/>
        <w:spacing w:before="0" w:line="312" w:lineRule="auto"/>
        <w:ind w:left="142" w:right="260"/>
        <w:jc w:val="both"/>
        <w:rPr>
          <w:rFonts w:ascii="Times New Roman" w:hAnsi="Times New Roman" w:cs="Times New Roman"/>
          <w:color w:val="auto"/>
          <w:sz w:val="20"/>
          <w:szCs w:val="20"/>
          <w:lang w:val="vi-VN"/>
        </w:rPr>
      </w:pPr>
      <w:proofErr w:type="spellStart"/>
      <w:r w:rsidRPr="00E21368">
        <w:rPr>
          <w:rFonts w:ascii="Times New Roman" w:hAnsi="Times New Roman" w:cs="Times New Roman"/>
          <w:color w:val="auto"/>
          <w:sz w:val="20"/>
          <w:szCs w:val="20"/>
        </w:rPr>
        <w:t>Các</w:t>
      </w:r>
      <w:proofErr w:type="spellEnd"/>
      <w:r w:rsidRPr="00E21368">
        <w:rPr>
          <w:rFonts w:ascii="Times New Roman" w:hAnsi="Times New Roman" w:cs="Times New Roman"/>
          <w:color w:val="auto"/>
          <w:sz w:val="20"/>
          <w:szCs w:val="20"/>
        </w:rPr>
        <w:t xml:space="preserve"> </w:t>
      </w:r>
      <w:proofErr w:type="spellStart"/>
      <w:r w:rsidRPr="00E21368">
        <w:rPr>
          <w:rFonts w:ascii="Times New Roman" w:hAnsi="Times New Roman" w:cs="Times New Roman"/>
          <w:color w:val="auto"/>
          <w:sz w:val="20"/>
          <w:szCs w:val="20"/>
        </w:rPr>
        <w:t>khoản</w:t>
      </w:r>
      <w:proofErr w:type="spellEnd"/>
      <w:r w:rsidRPr="00E21368">
        <w:rPr>
          <w:rFonts w:ascii="Times New Roman" w:hAnsi="Times New Roman" w:cs="Times New Roman"/>
          <w:color w:val="auto"/>
          <w:sz w:val="20"/>
          <w:szCs w:val="20"/>
        </w:rPr>
        <w:t xml:space="preserve"> </w:t>
      </w:r>
      <w:proofErr w:type="spellStart"/>
      <w:r w:rsidRPr="00E21368">
        <w:rPr>
          <w:rFonts w:ascii="Times New Roman" w:hAnsi="Times New Roman" w:cs="Times New Roman"/>
          <w:color w:val="auto"/>
          <w:sz w:val="20"/>
          <w:szCs w:val="20"/>
        </w:rPr>
        <w:t>cho</w:t>
      </w:r>
      <w:proofErr w:type="spellEnd"/>
      <w:r w:rsidRPr="00E21368">
        <w:rPr>
          <w:rFonts w:ascii="Times New Roman" w:hAnsi="Times New Roman" w:cs="Times New Roman"/>
          <w:color w:val="auto"/>
          <w:sz w:val="20"/>
          <w:szCs w:val="20"/>
        </w:rPr>
        <w:t xml:space="preserve"> </w:t>
      </w:r>
      <w:proofErr w:type="spellStart"/>
      <w:r w:rsidRPr="00E21368">
        <w:rPr>
          <w:rFonts w:ascii="Times New Roman" w:hAnsi="Times New Roman" w:cs="Times New Roman"/>
          <w:color w:val="auto"/>
          <w:sz w:val="20"/>
          <w:szCs w:val="20"/>
        </w:rPr>
        <w:t>vay</w:t>
      </w:r>
      <w:proofErr w:type="spellEnd"/>
      <w:r w:rsidRPr="00E21368">
        <w:rPr>
          <w:rFonts w:ascii="Times New Roman" w:hAnsi="Times New Roman" w:cs="Times New Roman"/>
          <w:color w:val="auto"/>
          <w:sz w:val="20"/>
          <w:szCs w:val="20"/>
        </w:rPr>
        <w:t xml:space="preserve"> </w:t>
      </w:r>
      <w:proofErr w:type="spellStart"/>
      <w:r w:rsidRPr="00E21368">
        <w:rPr>
          <w:rFonts w:ascii="Times New Roman" w:hAnsi="Times New Roman" w:cs="Times New Roman"/>
          <w:color w:val="auto"/>
          <w:sz w:val="20"/>
          <w:szCs w:val="20"/>
        </w:rPr>
        <w:t>và</w:t>
      </w:r>
      <w:proofErr w:type="spellEnd"/>
      <w:r w:rsidRPr="00E21368">
        <w:rPr>
          <w:rFonts w:ascii="Times New Roman" w:hAnsi="Times New Roman" w:cs="Times New Roman"/>
          <w:color w:val="auto"/>
          <w:sz w:val="20"/>
          <w:szCs w:val="20"/>
        </w:rPr>
        <w:t xml:space="preserve"> </w:t>
      </w:r>
      <w:proofErr w:type="spellStart"/>
      <w:r w:rsidRPr="00E21368">
        <w:rPr>
          <w:rFonts w:ascii="Times New Roman" w:hAnsi="Times New Roman" w:cs="Times New Roman"/>
          <w:color w:val="auto"/>
          <w:sz w:val="20"/>
          <w:szCs w:val="20"/>
        </w:rPr>
        <w:t>phải</w:t>
      </w:r>
      <w:proofErr w:type="spellEnd"/>
      <w:r w:rsidRPr="00E21368">
        <w:rPr>
          <w:rFonts w:ascii="Times New Roman" w:hAnsi="Times New Roman" w:cs="Times New Roman"/>
          <w:color w:val="auto"/>
          <w:sz w:val="20"/>
          <w:szCs w:val="20"/>
        </w:rPr>
        <w:t xml:space="preserve"> </w:t>
      </w:r>
      <w:proofErr w:type="spellStart"/>
      <w:r w:rsidR="001E0634">
        <w:rPr>
          <w:rFonts w:ascii="Times New Roman" w:hAnsi="Times New Roman" w:cs="Times New Roman"/>
          <w:color w:val="auto"/>
          <w:sz w:val="20"/>
          <w:szCs w:val="20"/>
        </w:rPr>
        <w:t>thu</w:t>
      </w:r>
      <w:proofErr w:type="spellEnd"/>
      <w:r w:rsidR="001E0634">
        <w:rPr>
          <w:rFonts w:ascii="Times New Roman" w:hAnsi="Times New Roman" w:cs="Times New Roman"/>
          <w:color w:val="auto"/>
          <w:sz w:val="20"/>
          <w:szCs w:val="20"/>
          <w:lang w:val="vi-VN"/>
        </w:rPr>
        <w:t xml:space="preserve">/ </w:t>
      </w:r>
      <w:r w:rsidR="001E0634" w:rsidRPr="001E0634">
        <w:rPr>
          <w:rFonts w:ascii="Times New Roman" w:hAnsi="Times New Roman" w:cs="Times New Roman"/>
          <w:color w:val="auto"/>
          <w:sz w:val="20"/>
          <w:szCs w:val="20"/>
          <w:lang w:val="vi-VN"/>
        </w:rPr>
        <w:t>Loans and receivables</w:t>
      </w:r>
    </w:p>
    <w:p w14:paraId="5A79075E" w14:textId="77777777" w:rsidR="00897749" w:rsidRPr="00E21368" w:rsidRDefault="00897749" w:rsidP="005425EE">
      <w:pPr>
        <w:widowControl w:val="0"/>
        <w:spacing w:after="0" w:line="312" w:lineRule="auto"/>
        <w:ind w:left="142" w:right="260"/>
        <w:jc w:val="both"/>
        <w:rPr>
          <w:rFonts w:ascii="Times New Roman" w:hAnsi="Times New Roman"/>
          <w:sz w:val="20"/>
          <w:szCs w:val="20"/>
        </w:rPr>
      </w:pPr>
      <w:r w:rsidRPr="00E21368">
        <w:rPr>
          <w:rFonts w:ascii="Times New Roman" w:hAnsi="Times New Roman"/>
          <w:iCs/>
          <w:sz w:val="20"/>
          <w:szCs w:val="20"/>
          <w:lang w:val="nb-NO"/>
        </w:rPr>
        <w:t xml:space="preserve">Các khoản cho vay và phải thu là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tài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tài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chính</w:t>
      </w:r>
      <w:proofErr w:type="spellEnd"/>
      <w:r w:rsidRPr="00E21368">
        <w:rPr>
          <w:rFonts w:ascii="Times New Roman" w:hAnsi="Times New Roman"/>
          <w:sz w:val="20"/>
          <w:szCs w:val="20"/>
        </w:rPr>
        <w:t xml:space="preserve"> phi </w:t>
      </w:r>
      <w:proofErr w:type="spellStart"/>
      <w:r w:rsidRPr="00E21368">
        <w:rPr>
          <w:rFonts w:ascii="Times New Roman" w:hAnsi="Times New Roman"/>
          <w:sz w:val="20"/>
          <w:szCs w:val="20"/>
        </w:rPr>
        <w:t>phái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sinh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cố</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định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hoặc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có</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thể</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xác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định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không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niêm</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yết</w:t>
      </w:r>
      <w:proofErr w:type="spellEnd"/>
      <w:r w:rsidRPr="00E21368">
        <w:rPr>
          <w:rFonts w:ascii="Times New Roman" w:hAnsi="Times New Roman"/>
          <w:sz w:val="20"/>
          <w:szCs w:val="20"/>
        </w:rPr>
        <w:t xml:space="preserve"> trên </w:t>
      </w:r>
      <w:proofErr w:type="spellStart"/>
      <w:r w:rsidRPr="00E21368">
        <w:rPr>
          <w:rFonts w:ascii="Times New Roman" w:hAnsi="Times New Roman"/>
          <w:sz w:val="20"/>
          <w:szCs w:val="20"/>
        </w:rPr>
        <w:t>thị</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trường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ngoại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trừ</w:t>
      </w:r>
      <w:proofErr w:type="spellEnd"/>
      <w:r w:rsidRPr="00E21368">
        <w:rPr>
          <w:rFonts w:ascii="Times New Roman" w:hAnsi="Times New Roman"/>
          <w:sz w:val="20"/>
          <w:szCs w:val="20"/>
        </w:rPr>
        <w:t>:</w:t>
      </w:r>
    </w:p>
    <w:p w14:paraId="701C7A16" w14:textId="77777777" w:rsidR="00897749" w:rsidRPr="00E21368" w:rsidRDefault="00897749" w:rsidP="005425EE">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b-NO"/>
        </w:rPr>
      </w:pPr>
      <w:r w:rsidRPr="00E21368">
        <w:rPr>
          <w:rFonts w:ascii="Times New Roman" w:hAnsi="Times New Roman"/>
          <w:sz w:val="20"/>
          <w:szCs w:val="20"/>
          <w:lang w:val="nb-NO"/>
        </w:rPr>
        <w:t>các khoản mà Quỹ có ý định bán ngay hoặc sẽ bán trong tương lai gần được phân loại là tài sản nắm giữ vì mục đích kinh doanh, và các loại mà tại thời điểm ghi nhận ban đầu được Quỹ xếp vào nhóm xác định theo giá trị hợp lý thông qua Báo cáo thu nhập;</w:t>
      </w:r>
    </w:p>
    <w:p w14:paraId="0F848F23" w14:textId="77777777" w:rsidR="0091072C" w:rsidRDefault="00897749" w:rsidP="005425EE">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b-NO"/>
        </w:rPr>
      </w:pPr>
      <w:r w:rsidRPr="00E21368">
        <w:rPr>
          <w:rFonts w:ascii="Times New Roman" w:hAnsi="Times New Roman"/>
          <w:sz w:val="20"/>
          <w:szCs w:val="20"/>
          <w:lang w:val="nb-NO"/>
        </w:rPr>
        <w:t>các khoản được Quỹ xếp vào nhóm sẵn sàng để bán tại thời điểm ghi nhận ban đầu; hoặc</w:t>
      </w:r>
    </w:p>
    <w:p w14:paraId="6B73EFFA" w14:textId="77777777" w:rsidR="0025230D" w:rsidRDefault="00897749" w:rsidP="005425EE">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b-NO"/>
        </w:rPr>
      </w:pPr>
      <w:r w:rsidRPr="0091072C">
        <w:rPr>
          <w:rFonts w:ascii="Times New Roman" w:hAnsi="Times New Roman"/>
          <w:sz w:val="20"/>
          <w:szCs w:val="20"/>
          <w:lang w:val="nb-NO"/>
        </w:rPr>
        <w:t>các khoản mà người nắm giữ có thể không thu hồi được phần lớn giá trị đầu tư ban đầu, không phải do suy giảm chất lượng tín dụng, và được phân loại vào nhóm sẵn sàng để bán.</w:t>
      </w:r>
    </w:p>
    <w:p w14:paraId="732BF71B" w14:textId="77777777" w:rsidR="001E0634" w:rsidRPr="001E0634" w:rsidRDefault="001E0634" w:rsidP="001E0634">
      <w:pPr>
        <w:keepLines/>
        <w:widowControl w:val="0"/>
        <w:overflowPunct w:val="0"/>
        <w:autoSpaceDE w:val="0"/>
        <w:autoSpaceDN w:val="0"/>
        <w:adjustRightInd w:val="0"/>
        <w:spacing w:after="0" w:line="312" w:lineRule="auto"/>
        <w:ind w:left="142" w:right="26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Loans and receivables are non-derivative financial assets with fixed or determinable payments and are not quoted on a market, except:</w:t>
      </w:r>
    </w:p>
    <w:p w14:paraId="78B3BCD1" w14:textId="6B1B4EE3" w:rsidR="001E0634" w:rsidRPr="001E0634" w:rsidRDefault="001E0634" w:rsidP="001E0634">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 xml:space="preserve"> items that the Fund intends to sell immediately or will sell in the near future are classified as assets held for trading purposes, and those that at the time of initial recognition are classified by the Fund in groups determined by fair value through Income Statement;</w:t>
      </w:r>
    </w:p>
    <w:p w14:paraId="4232D33E" w14:textId="679CF217" w:rsidR="001E0634" w:rsidRPr="001E0634" w:rsidRDefault="001E0634" w:rsidP="001E0634">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items classified by the Fund as available for sale at the time of initial recognition; or</w:t>
      </w:r>
    </w:p>
    <w:p w14:paraId="363750FC" w14:textId="2CA3B93C" w:rsidR="001E0634" w:rsidRDefault="001E0634" w:rsidP="001E0634">
      <w:pPr>
        <w:keepLines/>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items for which the holder may not recover substantially all of the initial investment, other than due to deterioration in credit quality, and are classified as available for sale.</w:t>
      </w:r>
    </w:p>
    <w:p w14:paraId="1E992F02" w14:textId="77777777" w:rsidR="001E0634" w:rsidRPr="001E0634" w:rsidRDefault="001E0634" w:rsidP="001E0634">
      <w:pPr>
        <w:keepLines/>
        <w:widowControl w:val="0"/>
        <w:overflowPunct w:val="0"/>
        <w:autoSpaceDE w:val="0"/>
        <w:autoSpaceDN w:val="0"/>
        <w:adjustRightInd w:val="0"/>
        <w:spacing w:after="0" w:line="312" w:lineRule="auto"/>
        <w:ind w:left="142" w:right="260"/>
        <w:jc w:val="both"/>
        <w:textAlignment w:val="baseline"/>
        <w:rPr>
          <w:rFonts w:ascii="Times New Roman" w:hAnsi="Times New Roman"/>
          <w:i/>
          <w:iCs/>
          <w:sz w:val="20"/>
          <w:szCs w:val="20"/>
          <w:lang w:val="nb-NO"/>
        </w:rPr>
      </w:pPr>
    </w:p>
    <w:p w14:paraId="59CA47D9" w14:textId="77777777" w:rsidR="00E70229" w:rsidRPr="00762874" w:rsidRDefault="00E70229" w:rsidP="005425EE">
      <w:pPr>
        <w:widowControl w:val="0"/>
        <w:spacing w:after="0" w:line="312" w:lineRule="auto"/>
        <w:ind w:left="142" w:right="260"/>
        <w:jc w:val="both"/>
        <w:rPr>
          <w:rFonts w:ascii="Times New Roman" w:hAnsi="Times New Roman"/>
          <w:sz w:val="20"/>
          <w:szCs w:val="20"/>
          <w:lang w:val="nb-NO"/>
        </w:rPr>
      </w:pPr>
      <w:r w:rsidRPr="00E21368">
        <w:rPr>
          <w:rFonts w:ascii="Times New Roman" w:hAnsi="Times New Roman"/>
          <w:iCs/>
          <w:sz w:val="20"/>
          <w:szCs w:val="20"/>
          <w:lang w:val="nb-NO"/>
        </w:rPr>
        <w:t xml:space="preserve">Tài sản sẵn sàng để </w:t>
      </w:r>
      <w:r w:rsidRPr="00E21368">
        <w:rPr>
          <w:rFonts w:ascii="Times New Roman" w:hAnsi="Times New Roman"/>
          <w:bCs/>
          <w:iCs/>
          <w:sz w:val="20"/>
          <w:szCs w:val="20"/>
          <w:lang w:val="nb-NO"/>
        </w:rPr>
        <w:t xml:space="preserve">bán là </w:t>
      </w:r>
      <w:r w:rsidRPr="00E21368">
        <w:rPr>
          <w:rFonts w:ascii="Times New Roman" w:hAnsi="Times New Roman"/>
          <w:sz w:val="20"/>
          <w:szCs w:val="20"/>
          <w:lang w:val="nb-NO"/>
        </w:rPr>
        <w:t>các tài sản tài chính phi phái sinh được xác định là sẵn sàng để bán hoặc không được phân loại là</w:t>
      </w:r>
      <w:r w:rsidRPr="00762874">
        <w:rPr>
          <w:rFonts w:ascii="Times New Roman" w:hAnsi="Times New Roman"/>
          <w:sz w:val="20"/>
          <w:szCs w:val="20"/>
          <w:lang w:val="nb-NO"/>
        </w:rPr>
        <w:t>:</w:t>
      </w:r>
    </w:p>
    <w:p w14:paraId="40333DC1" w14:textId="77777777" w:rsidR="00E70229" w:rsidRPr="00762874" w:rsidRDefault="00E70229" w:rsidP="005425EE">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b-NO"/>
        </w:rPr>
      </w:pPr>
      <w:r w:rsidRPr="00E21368">
        <w:rPr>
          <w:rFonts w:ascii="Times New Roman" w:hAnsi="Times New Roman"/>
          <w:sz w:val="20"/>
          <w:szCs w:val="20"/>
          <w:lang w:val="nb-NO"/>
        </w:rPr>
        <w:t>các tài sản tài chính xác định theo giá trị hợp lý thông qua Báo cáo thu nhập</w:t>
      </w:r>
      <w:r w:rsidRPr="00762874">
        <w:rPr>
          <w:rFonts w:ascii="Times New Roman" w:hAnsi="Times New Roman"/>
          <w:sz w:val="20"/>
          <w:szCs w:val="20"/>
          <w:lang w:val="nb-NO"/>
        </w:rPr>
        <w:t>;</w:t>
      </w:r>
    </w:p>
    <w:p w14:paraId="08D4DA80" w14:textId="77777777" w:rsidR="00E70229" w:rsidRPr="00762874" w:rsidRDefault="00E70229" w:rsidP="005425EE">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b-NO"/>
        </w:rPr>
      </w:pPr>
      <w:r w:rsidRPr="00E21368">
        <w:rPr>
          <w:rFonts w:ascii="Times New Roman" w:hAnsi="Times New Roman"/>
          <w:sz w:val="20"/>
          <w:szCs w:val="20"/>
          <w:lang w:val="nb-NO"/>
        </w:rPr>
        <w:t>các khoản đầu tư giữ đến ngày đáo hạn</w:t>
      </w:r>
      <w:r w:rsidRPr="00762874">
        <w:rPr>
          <w:rFonts w:ascii="Times New Roman" w:hAnsi="Times New Roman"/>
          <w:sz w:val="20"/>
          <w:szCs w:val="20"/>
          <w:lang w:val="nb-NO"/>
        </w:rPr>
        <w:t>; hoặc</w:t>
      </w:r>
      <w:r w:rsidRPr="00762874" w:rsidDel="00676580">
        <w:rPr>
          <w:rFonts w:ascii="Times New Roman" w:hAnsi="Times New Roman"/>
          <w:sz w:val="20"/>
          <w:szCs w:val="20"/>
          <w:lang w:val="nb-NO"/>
        </w:rPr>
        <w:t xml:space="preserve"> </w:t>
      </w:r>
    </w:p>
    <w:p w14:paraId="68CF1B9E" w14:textId="77777777" w:rsidR="00E70229" w:rsidRDefault="00E70229" w:rsidP="005425EE">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b-NO"/>
        </w:rPr>
      </w:pPr>
      <w:r w:rsidRPr="00E21368">
        <w:rPr>
          <w:rFonts w:ascii="Times New Roman" w:hAnsi="Times New Roman"/>
          <w:sz w:val="20"/>
          <w:szCs w:val="20"/>
          <w:lang w:val="nb-NO"/>
        </w:rPr>
        <w:t>các khoản cho vay và các khoản phải thu</w:t>
      </w:r>
      <w:r w:rsidRPr="00762874">
        <w:rPr>
          <w:rFonts w:ascii="Times New Roman" w:hAnsi="Times New Roman"/>
          <w:sz w:val="20"/>
          <w:szCs w:val="20"/>
          <w:lang w:val="nb-NO"/>
        </w:rPr>
        <w:t>.</w:t>
      </w:r>
    </w:p>
    <w:p w14:paraId="1FE602A7" w14:textId="77777777" w:rsidR="001E0634" w:rsidRPr="001E0634" w:rsidRDefault="001E0634" w:rsidP="001E0634">
      <w:pPr>
        <w:widowControl w:val="0"/>
        <w:overflowPunct w:val="0"/>
        <w:autoSpaceDE w:val="0"/>
        <w:autoSpaceDN w:val="0"/>
        <w:adjustRightInd w:val="0"/>
        <w:spacing w:after="0" w:line="312" w:lineRule="auto"/>
        <w:ind w:left="142" w:right="26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Available-for-sale assets are non-derivative financial assets that are identified as available-for-sale or are not classified as:</w:t>
      </w:r>
    </w:p>
    <w:p w14:paraId="56007B56" w14:textId="35993AE4" w:rsidR="001E0634" w:rsidRPr="001E0634" w:rsidRDefault="001E0634" w:rsidP="001E0634">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 xml:space="preserve"> financial assets determined at fair value through Income Statement;</w:t>
      </w:r>
    </w:p>
    <w:p w14:paraId="6B8874B2" w14:textId="52751F5C" w:rsidR="001E0634" w:rsidRPr="001E0634" w:rsidRDefault="001E0634" w:rsidP="001E0634">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 xml:space="preserve"> held-to-maturity investments; or </w:t>
      </w:r>
    </w:p>
    <w:p w14:paraId="7DA36FEE" w14:textId="3DFC9374" w:rsidR="001E0634" w:rsidRPr="001E0634" w:rsidRDefault="001E0634" w:rsidP="001E0634">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b-NO"/>
        </w:rPr>
      </w:pPr>
      <w:r w:rsidRPr="001E0634">
        <w:rPr>
          <w:rFonts w:ascii="Times New Roman" w:hAnsi="Times New Roman"/>
          <w:i/>
          <w:iCs/>
          <w:sz w:val="20"/>
          <w:szCs w:val="20"/>
          <w:lang w:val="nb-NO"/>
        </w:rPr>
        <w:t>loans and accounts receivable.</w:t>
      </w:r>
    </w:p>
    <w:p w14:paraId="6C63624C" w14:textId="5F9935C0" w:rsidR="00E70229" w:rsidRPr="001E0634" w:rsidRDefault="00E70229" w:rsidP="005425EE">
      <w:pPr>
        <w:shd w:val="clear" w:color="auto" w:fill="FFFFFF"/>
        <w:spacing w:before="60" w:after="60" w:line="312" w:lineRule="auto"/>
        <w:ind w:left="142" w:right="260"/>
        <w:jc w:val="both"/>
        <w:rPr>
          <w:rFonts w:ascii="Times New Roman" w:hAnsi="Times New Roman"/>
          <w:b/>
          <w:i/>
          <w:sz w:val="20"/>
          <w:szCs w:val="20"/>
          <w:lang w:val="vi-VN"/>
        </w:rPr>
      </w:pPr>
      <w:r w:rsidRPr="00E21368">
        <w:rPr>
          <w:rFonts w:ascii="Times New Roman" w:hAnsi="Times New Roman"/>
          <w:b/>
          <w:i/>
          <w:sz w:val="20"/>
          <w:szCs w:val="20"/>
          <w:lang w:val="nl-NL"/>
        </w:rPr>
        <w:t>ii)</w:t>
      </w:r>
      <w:r w:rsidRPr="00E21368">
        <w:rPr>
          <w:rFonts w:ascii="Times New Roman" w:hAnsi="Times New Roman"/>
          <w:b/>
          <w:i/>
          <w:sz w:val="20"/>
          <w:szCs w:val="20"/>
          <w:lang w:val="nl-NL"/>
        </w:rPr>
        <w:tab/>
        <w:t>Nợ phải trả tài chính</w:t>
      </w:r>
      <w:r w:rsidRPr="00E21368" w:rsidDel="00676580">
        <w:rPr>
          <w:rFonts w:ascii="Times New Roman" w:hAnsi="Times New Roman"/>
          <w:b/>
          <w:i/>
          <w:sz w:val="20"/>
          <w:szCs w:val="20"/>
          <w:lang w:val="nl-NL"/>
        </w:rPr>
        <w:t xml:space="preserve"> </w:t>
      </w:r>
      <w:r w:rsidRPr="00E21368">
        <w:rPr>
          <w:rFonts w:ascii="Times New Roman" w:hAnsi="Times New Roman"/>
          <w:b/>
          <w:i/>
          <w:sz w:val="20"/>
          <w:szCs w:val="20"/>
          <w:lang w:val="nl-NL"/>
        </w:rPr>
        <w:t xml:space="preserve">được xác định theo giá trị hợp lý thông qua Báo cáo thu </w:t>
      </w:r>
      <w:r w:rsidR="001E0634">
        <w:rPr>
          <w:rFonts w:ascii="Times New Roman" w:hAnsi="Times New Roman"/>
          <w:b/>
          <w:i/>
          <w:sz w:val="20"/>
          <w:szCs w:val="20"/>
          <w:lang w:val="nl-NL"/>
        </w:rPr>
        <w:t>nhập</w:t>
      </w:r>
      <w:r w:rsidR="001E0634">
        <w:rPr>
          <w:rFonts w:ascii="Times New Roman" w:hAnsi="Times New Roman"/>
          <w:b/>
          <w:i/>
          <w:sz w:val="20"/>
          <w:szCs w:val="20"/>
          <w:lang w:val="vi-VN"/>
        </w:rPr>
        <w:t xml:space="preserve">/ </w:t>
      </w:r>
      <w:r w:rsidR="001E0634" w:rsidRPr="001E0634">
        <w:rPr>
          <w:rFonts w:ascii="Times New Roman" w:hAnsi="Times New Roman"/>
          <w:b/>
          <w:i/>
          <w:sz w:val="20"/>
          <w:szCs w:val="20"/>
          <w:lang w:val="vi-VN"/>
        </w:rPr>
        <w:t>Financial liabilities are determined at fair value through the Income Statement</w:t>
      </w:r>
    </w:p>
    <w:p w14:paraId="3BBEFF03" w14:textId="77777777" w:rsidR="00E70229" w:rsidRDefault="00E70229" w:rsidP="005425EE">
      <w:pPr>
        <w:widowControl w:val="0"/>
        <w:spacing w:after="0" w:line="312" w:lineRule="auto"/>
        <w:ind w:left="142" w:right="260"/>
        <w:jc w:val="both"/>
        <w:rPr>
          <w:rFonts w:ascii="Times New Roman" w:hAnsi="Times New Roman"/>
          <w:i/>
          <w:iCs/>
          <w:sz w:val="20"/>
          <w:szCs w:val="20"/>
          <w:lang w:val="nl-NL"/>
        </w:rPr>
      </w:pPr>
      <w:r w:rsidRPr="003921F0">
        <w:rPr>
          <w:rFonts w:ascii="Times New Roman" w:hAnsi="Times New Roman"/>
          <w:i/>
          <w:sz w:val="20"/>
          <w:szCs w:val="20"/>
          <w:lang w:val="nb-NO"/>
        </w:rPr>
        <w:t xml:space="preserve">Nợ phải trả tài chính </w:t>
      </w:r>
      <w:r w:rsidRPr="003921F0">
        <w:rPr>
          <w:rFonts w:ascii="Times New Roman" w:hAnsi="Times New Roman"/>
          <w:bCs/>
          <w:i/>
          <w:sz w:val="20"/>
          <w:szCs w:val="20"/>
          <w:lang w:val="nb-NO"/>
        </w:rPr>
        <w:t xml:space="preserve">được xác định theo giá trị hợp lý thông qua Báo cáo thu nhập là </w:t>
      </w:r>
      <w:r w:rsidRPr="003921F0">
        <w:rPr>
          <w:rFonts w:ascii="Times New Roman" w:hAnsi="Times New Roman"/>
          <w:i/>
          <w:sz w:val="20"/>
          <w:szCs w:val="20"/>
          <w:lang w:val="nb-NO"/>
        </w:rPr>
        <w:t>một khoản nợ phải trả tài chính</w:t>
      </w:r>
      <w:r w:rsidRPr="00E21368">
        <w:rPr>
          <w:rFonts w:ascii="Times New Roman" w:hAnsi="Times New Roman"/>
          <w:sz w:val="20"/>
          <w:szCs w:val="20"/>
          <w:lang w:val="nb-NO"/>
        </w:rPr>
        <w:t xml:space="preserve"> </w:t>
      </w:r>
      <w:r w:rsidRPr="003921F0">
        <w:rPr>
          <w:rFonts w:ascii="Times New Roman" w:hAnsi="Times New Roman"/>
          <w:i/>
          <w:iCs/>
          <w:sz w:val="20"/>
          <w:szCs w:val="20"/>
          <w:lang w:val="nb-NO"/>
        </w:rPr>
        <w:t>thỏa mãn một trong các điều kiện sau</w:t>
      </w:r>
      <w:r w:rsidRPr="00762874">
        <w:rPr>
          <w:rFonts w:ascii="Times New Roman" w:hAnsi="Times New Roman"/>
          <w:i/>
          <w:iCs/>
          <w:sz w:val="20"/>
          <w:szCs w:val="20"/>
          <w:lang w:val="nl-NL"/>
        </w:rPr>
        <w:t>:</w:t>
      </w:r>
    </w:p>
    <w:p w14:paraId="37F0D2DA" w14:textId="0CF4C261" w:rsidR="001E0634" w:rsidRPr="001E0634" w:rsidRDefault="001E0634" w:rsidP="005425EE">
      <w:pPr>
        <w:widowControl w:val="0"/>
        <w:spacing w:after="0" w:line="312" w:lineRule="auto"/>
        <w:ind w:left="142" w:right="260"/>
        <w:jc w:val="both"/>
        <w:rPr>
          <w:rFonts w:ascii="Times New Roman" w:hAnsi="Times New Roman"/>
          <w:i/>
          <w:iCs/>
          <w:sz w:val="20"/>
          <w:szCs w:val="20"/>
          <w:lang w:val="nl-NL"/>
        </w:rPr>
      </w:pPr>
      <w:r w:rsidRPr="001E0634">
        <w:rPr>
          <w:rFonts w:ascii="Times New Roman" w:hAnsi="Times New Roman"/>
          <w:i/>
          <w:iCs/>
          <w:sz w:val="20"/>
          <w:szCs w:val="20"/>
          <w:lang w:val="nl-NL"/>
        </w:rPr>
        <w:t>A financial liability determined at fair value through the Income Statement is a financial liability that satisfies one of the following conditions:</w:t>
      </w:r>
    </w:p>
    <w:p w14:paraId="2949E43E" w14:textId="77777777" w:rsidR="00E70229" w:rsidRPr="00762874" w:rsidRDefault="00E70229" w:rsidP="005425EE">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l-NL"/>
        </w:rPr>
      </w:pPr>
      <w:r w:rsidRPr="00762874">
        <w:rPr>
          <w:rFonts w:ascii="Times New Roman" w:hAnsi="Times New Roman"/>
          <w:sz w:val="20"/>
          <w:szCs w:val="20"/>
          <w:lang w:val="nl-NL"/>
        </w:rPr>
        <w:t>Nợ phải trả tài chính được Quỹ phân loại vào nhóm nắm giữ để kinh doanh.  Một khoản nợ phải trả tài chính được phân loại vào nhóm nắm giữ để kinh doanh nếu thỏa mãn một trong các điều kiện sau:</w:t>
      </w:r>
    </w:p>
    <w:p w14:paraId="12C5E350" w14:textId="77777777" w:rsidR="00E70229" w:rsidRPr="00A96A82" w:rsidRDefault="00E70229" w:rsidP="005425EE">
      <w:pPr>
        <w:widowControl w:val="0"/>
        <w:spacing w:after="0" w:line="312" w:lineRule="auto"/>
        <w:ind w:left="142" w:right="260"/>
        <w:jc w:val="both"/>
        <w:rPr>
          <w:rFonts w:ascii="Times New Roman" w:hAnsi="Times New Roman"/>
          <w:sz w:val="20"/>
          <w:szCs w:val="20"/>
          <w:lang w:val="nl-NL"/>
        </w:rPr>
      </w:pPr>
      <w:r w:rsidRPr="00A96A82">
        <w:rPr>
          <w:rFonts w:ascii="Times New Roman" w:hAnsi="Times New Roman"/>
          <w:sz w:val="20"/>
          <w:szCs w:val="20"/>
          <w:lang w:val="nl-NL"/>
        </w:rPr>
        <w:t>-</w:t>
      </w:r>
      <w:r w:rsidRPr="00A96A82">
        <w:rPr>
          <w:rFonts w:ascii="Times New Roman" w:hAnsi="Times New Roman"/>
          <w:sz w:val="20"/>
          <w:szCs w:val="20"/>
          <w:lang w:val="nl-NL"/>
        </w:rPr>
        <w:tab/>
        <w:t>được tạo ra chủ yếu cho mục đích mua lại trong thời gian ngắn;</w:t>
      </w:r>
    </w:p>
    <w:p w14:paraId="4CAE1DCC" w14:textId="77777777" w:rsidR="00E70229" w:rsidRPr="00A96A82" w:rsidRDefault="00E70229" w:rsidP="005425EE">
      <w:pPr>
        <w:widowControl w:val="0"/>
        <w:spacing w:after="0" w:line="312" w:lineRule="auto"/>
        <w:ind w:left="142" w:right="260"/>
        <w:jc w:val="both"/>
        <w:rPr>
          <w:rFonts w:ascii="Times New Roman" w:hAnsi="Times New Roman"/>
          <w:sz w:val="20"/>
          <w:szCs w:val="20"/>
          <w:lang w:val="nl-NL"/>
        </w:rPr>
      </w:pPr>
      <w:r w:rsidRPr="00A96A82">
        <w:rPr>
          <w:rFonts w:ascii="Times New Roman" w:hAnsi="Times New Roman"/>
          <w:sz w:val="20"/>
          <w:szCs w:val="20"/>
          <w:lang w:val="nl-NL"/>
        </w:rPr>
        <w:t>-</w:t>
      </w:r>
      <w:r w:rsidRPr="00A96A82">
        <w:rPr>
          <w:rFonts w:ascii="Times New Roman" w:hAnsi="Times New Roman"/>
          <w:sz w:val="20"/>
          <w:szCs w:val="20"/>
          <w:lang w:val="nl-NL"/>
        </w:rPr>
        <w:tab/>
      </w:r>
      <w:r w:rsidRPr="00E21368">
        <w:rPr>
          <w:rFonts w:ascii="Times New Roman" w:hAnsi="Times New Roman"/>
          <w:sz w:val="20"/>
          <w:szCs w:val="20"/>
          <w:lang w:val="nb-NO"/>
        </w:rPr>
        <w:t>có bằng chứng về việc kinh doanh công cụ đó nhằm mục đích thu lợi ngắn hạn; hoặc</w:t>
      </w:r>
      <w:r w:rsidRPr="00A96A82" w:rsidDel="005B014C">
        <w:rPr>
          <w:rFonts w:ascii="Times New Roman" w:hAnsi="Times New Roman"/>
          <w:sz w:val="20"/>
          <w:szCs w:val="20"/>
          <w:lang w:val="nl-NL"/>
        </w:rPr>
        <w:t xml:space="preserve"> </w:t>
      </w:r>
    </w:p>
    <w:p w14:paraId="4EB9FB9E" w14:textId="77777777" w:rsidR="00803943" w:rsidRDefault="00E70229" w:rsidP="005425EE">
      <w:pPr>
        <w:widowControl w:val="0"/>
        <w:spacing w:after="0" w:line="312" w:lineRule="auto"/>
        <w:ind w:left="142" w:right="260"/>
        <w:jc w:val="both"/>
        <w:rPr>
          <w:rFonts w:ascii="Times New Roman" w:hAnsi="Times New Roman"/>
          <w:sz w:val="20"/>
          <w:szCs w:val="20"/>
          <w:lang w:val="nl-NL"/>
        </w:rPr>
      </w:pPr>
      <w:r w:rsidRPr="00A96A82">
        <w:rPr>
          <w:rFonts w:ascii="Times New Roman" w:hAnsi="Times New Roman"/>
          <w:sz w:val="20"/>
          <w:szCs w:val="20"/>
          <w:lang w:val="nl-NL"/>
        </w:rPr>
        <w:t>-</w:t>
      </w:r>
      <w:r w:rsidRPr="00A96A82">
        <w:rPr>
          <w:rFonts w:ascii="Times New Roman" w:hAnsi="Times New Roman"/>
          <w:sz w:val="20"/>
          <w:szCs w:val="20"/>
          <w:lang w:val="nl-NL"/>
        </w:rPr>
        <w:tab/>
        <w:t>công cụ tài chính phái sinh (ngoại trừ các công cụ tài chính phái sinh được xác định là một hợp đồng bảo lãnh tài chính hoặc một công cụ phòng ngừa rủi ro hiệu quả).</w:t>
      </w:r>
    </w:p>
    <w:p w14:paraId="2608BCB0" w14:textId="77777777" w:rsidR="001E0634" w:rsidRPr="001E0634" w:rsidRDefault="001E0634" w:rsidP="001E0634">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l-NL"/>
        </w:rPr>
      </w:pPr>
      <w:r w:rsidRPr="001E0634">
        <w:rPr>
          <w:rFonts w:ascii="Times New Roman" w:hAnsi="Times New Roman"/>
          <w:i/>
          <w:iCs/>
          <w:sz w:val="20"/>
          <w:szCs w:val="20"/>
          <w:lang w:val="nl-NL"/>
        </w:rPr>
        <w:lastRenderedPageBreak/>
        <w:t>Financial liabilities are classified by the Fund into the group held for business purposes.  A financial liability is classified as held for business if it satisfies one of the following conditions:</w:t>
      </w:r>
    </w:p>
    <w:p w14:paraId="383B6CFA" w14:textId="0E743D6A" w:rsidR="001E0634" w:rsidRPr="001E0634" w:rsidRDefault="001E0634" w:rsidP="001E0634">
      <w:pPr>
        <w:widowControl w:val="0"/>
        <w:spacing w:after="0" w:line="312" w:lineRule="auto"/>
        <w:ind w:left="142" w:right="260"/>
        <w:jc w:val="both"/>
        <w:rPr>
          <w:rFonts w:ascii="Times New Roman" w:hAnsi="Times New Roman"/>
          <w:i/>
          <w:iCs/>
          <w:sz w:val="20"/>
          <w:szCs w:val="20"/>
          <w:lang w:val="nl-NL"/>
        </w:rPr>
      </w:pPr>
      <w:r w:rsidRPr="001E0634">
        <w:rPr>
          <w:rFonts w:ascii="Times New Roman" w:hAnsi="Times New Roman"/>
          <w:i/>
          <w:iCs/>
          <w:sz w:val="20"/>
          <w:szCs w:val="20"/>
          <w:lang w:val="nl-NL"/>
        </w:rPr>
        <w:t xml:space="preserve">- </w:t>
      </w:r>
      <w:r w:rsidRPr="001E0634">
        <w:rPr>
          <w:rFonts w:ascii="Times New Roman" w:hAnsi="Times New Roman"/>
          <w:i/>
          <w:iCs/>
          <w:sz w:val="20"/>
          <w:szCs w:val="20"/>
          <w:lang w:val="nl-NL"/>
        </w:rPr>
        <w:tab/>
        <w:t>created primarily for short-term acquisition purposes;</w:t>
      </w:r>
    </w:p>
    <w:p w14:paraId="5AD07FC5" w14:textId="1C64B180" w:rsidR="001E0634" w:rsidRPr="001E0634" w:rsidRDefault="001E0634" w:rsidP="001E0634">
      <w:pPr>
        <w:widowControl w:val="0"/>
        <w:spacing w:after="0" w:line="312" w:lineRule="auto"/>
        <w:ind w:left="142" w:right="260"/>
        <w:jc w:val="both"/>
        <w:rPr>
          <w:rFonts w:ascii="Times New Roman" w:hAnsi="Times New Roman"/>
          <w:i/>
          <w:iCs/>
          <w:sz w:val="20"/>
          <w:szCs w:val="20"/>
          <w:lang w:val="nl-NL"/>
        </w:rPr>
      </w:pPr>
      <w:r w:rsidRPr="001E0634">
        <w:rPr>
          <w:rFonts w:ascii="Times New Roman" w:hAnsi="Times New Roman"/>
          <w:i/>
          <w:iCs/>
          <w:sz w:val="20"/>
          <w:szCs w:val="20"/>
          <w:lang w:val="nl-NL"/>
        </w:rPr>
        <w:t xml:space="preserve">- </w:t>
      </w:r>
      <w:r w:rsidRPr="001E0634">
        <w:rPr>
          <w:rFonts w:ascii="Times New Roman" w:hAnsi="Times New Roman"/>
          <w:i/>
          <w:iCs/>
          <w:sz w:val="20"/>
          <w:szCs w:val="20"/>
          <w:lang w:val="nl-NL"/>
        </w:rPr>
        <w:tab/>
        <w:t xml:space="preserve">there is evidence of trading in that instrument for short-term profit; or </w:t>
      </w:r>
    </w:p>
    <w:p w14:paraId="5E4DF077" w14:textId="5DFA327F" w:rsidR="001E0634" w:rsidRPr="001E0634" w:rsidRDefault="001E0634" w:rsidP="001E0634">
      <w:pPr>
        <w:widowControl w:val="0"/>
        <w:spacing w:after="0" w:line="312" w:lineRule="auto"/>
        <w:ind w:left="142" w:right="260"/>
        <w:jc w:val="both"/>
        <w:rPr>
          <w:rFonts w:ascii="Times New Roman" w:hAnsi="Times New Roman"/>
          <w:i/>
          <w:iCs/>
          <w:sz w:val="20"/>
          <w:szCs w:val="20"/>
          <w:lang w:val="nl-NL"/>
        </w:rPr>
      </w:pPr>
      <w:r w:rsidRPr="001E0634">
        <w:rPr>
          <w:rFonts w:ascii="Times New Roman" w:hAnsi="Times New Roman"/>
          <w:i/>
          <w:iCs/>
          <w:sz w:val="20"/>
          <w:szCs w:val="20"/>
          <w:lang w:val="nl-NL"/>
        </w:rPr>
        <w:t xml:space="preserve">- </w:t>
      </w:r>
      <w:r w:rsidRPr="001E0634">
        <w:rPr>
          <w:rFonts w:ascii="Times New Roman" w:hAnsi="Times New Roman"/>
          <w:i/>
          <w:iCs/>
          <w:sz w:val="20"/>
          <w:szCs w:val="20"/>
          <w:lang w:val="nl-NL"/>
        </w:rPr>
        <w:tab/>
        <w:t>derivative financial instruments (except derivative financial instruments defined as a financial guarantee contract or an effective risk hedging instrument)</w:t>
      </w:r>
    </w:p>
    <w:p w14:paraId="4FF6B470" w14:textId="77777777" w:rsidR="00803943" w:rsidRDefault="00E70229" w:rsidP="005425EE">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sz w:val="20"/>
          <w:szCs w:val="20"/>
          <w:lang w:val="nl-NL"/>
        </w:rPr>
      </w:pPr>
      <w:r w:rsidRPr="00A96A82">
        <w:rPr>
          <w:rFonts w:ascii="Times New Roman" w:hAnsi="Times New Roman"/>
          <w:sz w:val="20"/>
          <w:szCs w:val="20"/>
          <w:lang w:val="nl-NL"/>
        </w:rPr>
        <w:t>Tại thời điểm ghi nhận ban đầu, Quỹ xếp nợ phải trả tài chính vào nhóm xác định theo giá trị hợp lý thông qua Báo cáo thu nhập.</w:t>
      </w:r>
    </w:p>
    <w:p w14:paraId="0642C926" w14:textId="1A52F94A" w:rsidR="001E0634" w:rsidRDefault="001E0634" w:rsidP="005425EE">
      <w:pPr>
        <w:widowControl w:val="0"/>
        <w:numPr>
          <w:ilvl w:val="0"/>
          <w:numId w:val="10"/>
        </w:numPr>
        <w:overflowPunct w:val="0"/>
        <w:autoSpaceDE w:val="0"/>
        <w:autoSpaceDN w:val="0"/>
        <w:adjustRightInd w:val="0"/>
        <w:spacing w:after="0" w:line="312" w:lineRule="auto"/>
        <w:ind w:left="142" w:right="260" w:firstLine="0"/>
        <w:jc w:val="both"/>
        <w:textAlignment w:val="baseline"/>
        <w:rPr>
          <w:rFonts w:ascii="Times New Roman" w:hAnsi="Times New Roman"/>
          <w:i/>
          <w:iCs/>
          <w:sz w:val="20"/>
          <w:szCs w:val="20"/>
          <w:lang w:val="nl-NL"/>
        </w:rPr>
      </w:pPr>
      <w:r w:rsidRPr="001E0634">
        <w:rPr>
          <w:rFonts w:ascii="Times New Roman" w:hAnsi="Times New Roman"/>
          <w:i/>
          <w:iCs/>
          <w:sz w:val="20"/>
          <w:szCs w:val="20"/>
          <w:lang w:val="nl-NL"/>
        </w:rPr>
        <w:t>At the initial recognition, the Fund classifies financial liabilities into the group determined by fair value through the Income Statement.</w:t>
      </w:r>
    </w:p>
    <w:p w14:paraId="30AF6755" w14:textId="77777777" w:rsidR="001E0634" w:rsidRPr="001E0634" w:rsidRDefault="001E0634" w:rsidP="001E0634">
      <w:pPr>
        <w:widowControl w:val="0"/>
        <w:overflowPunct w:val="0"/>
        <w:autoSpaceDE w:val="0"/>
        <w:autoSpaceDN w:val="0"/>
        <w:adjustRightInd w:val="0"/>
        <w:spacing w:after="0" w:line="312" w:lineRule="auto"/>
        <w:ind w:left="142" w:right="260"/>
        <w:jc w:val="both"/>
        <w:textAlignment w:val="baseline"/>
        <w:rPr>
          <w:rFonts w:ascii="Times New Roman" w:hAnsi="Times New Roman"/>
          <w:i/>
          <w:iCs/>
          <w:sz w:val="20"/>
          <w:szCs w:val="20"/>
          <w:lang w:val="nl-NL"/>
        </w:rPr>
      </w:pPr>
    </w:p>
    <w:p w14:paraId="467516F0" w14:textId="63CA33A1" w:rsidR="00803943" w:rsidRPr="001E0634" w:rsidRDefault="00E70229" w:rsidP="008A60EC">
      <w:pPr>
        <w:widowControl w:val="0"/>
        <w:spacing w:after="0" w:line="312" w:lineRule="auto"/>
        <w:ind w:left="720" w:right="260"/>
        <w:jc w:val="both"/>
        <w:rPr>
          <w:rFonts w:ascii="Times New Roman" w:hAnsi="Times New Roman"/>
          <w:sz w:val="20"/>
          <w:szCs w:val="20"/>
          <w:lang w:val="vi-VN"/>
        </w:rPr>
      </w:pPr>
      <w:r w:rsidRPr="00A96A82">
        <w:rPr>
          <w:rFonts w:ascii="Times New Roman" w:hAnsi="Times New Roman"/>
          <w:sz w:val="20"/>
          <w:szCs w:val="20"/>
          <w:lang w:val="nl-NL"/>
        </w:rPr>
        <w:t xml:space="preserve">Nợ phải trả tài chính được xác định theo giá trị phân </w:t>
      </w:r>
      <w:r w:rsidR="001E0634">
        <w:rPr>
          <w:rFonts w:ascii="Times New Roman" w:hAnsi="Times New Roman"/>
          <w:sz w:val="20"/>
          <w:szCs w:val="20"/>
          <w:lang w:val="nl-NL"/>
        </w:rPr>
        <w:t>bổ</w:t>
      </w:r>
      <w:r w:rsidR="001E0634">
        <w:rPr>
          <w:rFonts w:ascii="Times New Roman" w:hAnsi="Times New Roman"/>
          <w:sz w:val="20"/>
          <w:szCs w:val="20"/>
          <w:lang w:val="vi-VN"/>
        </w:rPr>
        <w:t xml:space="preserve">/ </w:t>
      </w:r>
      <w:r w:rsidR="001E0634" w:rsidRPr="001E0634">
        <w:rPr>
          <w:rFonts w:ascii="Times New Roman" w:hAnsi="Times New Roman"/>
          <w:sz w:val="20"/>
          <w:szCs w:val="20"/>
          <w:lang w:val="vi-VN"/>
        </w:rPr>
        <w:t>Financial liabilities are determined at amortized cost</w:t>
      </w:r>
    </w:p>
    <w:p w14:paraId="14FDBE65" w14:textId="77777777" w:rsidR="00803943" w:rsidRPr="00A96A82" w:rsidRDefault="00803943" w:rsidP="008A60EC">
      <w:pPr>
        <w:widowControl w:val="0"/>
        <w:spacing w:after="0" w:line="312" w:lineRule="auto"/>
        <w:ind w:left="720" w:right="260"/>
        <w:jc w:val="both"/>
        <w:rPr>
          <w:rFonts w:ascii="Times New Roman" w:hAnsi="Times New Roman"/>
          <w:sz w:val="20"/>
          <w:szCs w:val="20"/>
          <w:lang w:val="nl-NL"/>
        </w:rPr>
      </w:pPr>
      <w:r w:rsidRPr="00A96A82">
        <w:rPr>
          <w:rFonts w:ascii="Times New Roman" w:hAnsi="Times New Roman"/>
          <w:sz w:val="20"/>
          <w:szCs w:val="20"/>
          <w:lang w:val="nl-NL"/>
        </w:rPr>
        <w:t xml:space="preserve">Các khoản nợ phải trả tài chính không được phân loại là </w:t>
      </w:r>
      <w:r w:rsidRPr="00E21368">
        <w:rPr>
          <w:rFonts w:ascii="Times New Roman" w:hAnsi="Times New Roman"/>
          <w:iCs/>
          <w:sz w:val="20"/>
          <w:szCs w:val="20"/>
          <w:lang w:val="nb-NO"/>
        </w:rPr>
        <w:t>nợ phải trả tài chính</w:t>
      </w:r>
      <w:r w:rsidRPr="00E21368">
        <w:rPr>
          <w:rFonts w:ascii="Times New Roman" w:hAnsi="Times New Roman"/>
          <w:sz w:val="20"/>
          <w:szCs w:val="20"/>
          <w:lang w:val="nb-NO"/>
        </w:rPr>
        <w:t xml:space="preserve"> </w:t>
      </w:r>
      <w:r w:rsidRPr="00E21368">
        <w:rPr>
          <w:rFonts w:ascii="Times New Roman" w:hAnsi="Times New Roman"/>
          <w:bCs/>
          <w:iCs/>
          <w:sz w:val="20"/>
          <w:szCs w:val="20"/>
          <w:lang w:val="nb-NO"/>
        </w:rPr>
        <w:t>được xác định theo giá trị hợp lý thông qua Báo cáo thu nhập</w:t>
      </w:r>
      <w:r w:rsidRPr="00A96A82">
        <w:rPr>
          <w:rFonts w:ascii="Times New Roman" w:hAnsi="Times New Roman"/>
          <w:sz w:val="20"/>
          <w:szCs w:val="20"/>
          <w:lang w:val="nl-NL"/>
        </w:rPr>
        <w:t xml:space="preserve"> sẽ được phân loại là nợ phải trả tài chính được xác định theo giá trị phân bổ.</w:t>
      </w:r>
    </w:p>
    <w:p w14:paraId="0A9B1AC3" w14:textId="001CC66F" w:rsidR="00063CE6" w:rsidRDefault="00803943" w:rsidP="008A60EC">
      <w:pPr>
        <w:keepNext/>
        <w:spacing w:after="120" w:line="312" w:lineRule="auto"/>
        <w:ind w:left="720" w:right="260"/>
        <w:jc w:val="both"/>
        <w:rPr>
          <w:rFonts w:ascii="Times New Roman" w:hAnsi="Times New Roman"/>
          <w:sz w:val="20"/>
          <w:szCs w:val="20"/>
          <w:lang w:val="nl-NL"/>
        </w:rPr>
      </w:pPr>
      <w:r w:rsidRPr="00A96A82">
        <w:rPr>
          <w:rFonts w:ascii="Times New Roman" w:hAnsi="Times New Roman"/>
          <w:sz w:val="20"/>
          <w:szCs w:val="20"/>
          <w:lang w:val="nl-NL"/>
        </w:rPr>
        <w:t>Việc phân loại các công cụ tài chính kể trên chỉ nhằm mục đích trình bày và thuyết minh và không nhằm mục đích mô tả phương pháp xác định giá trị của các công cụ tài chính.  Các chính sách kế toán về xác định giá trị của các công cụ tài chính được trình bày trong các thuyết minh liên quan khác.</w:t>
      </w:r>
    </w:p>
    <w:p w14:paraId="22125B88" w14:textId="77777777" w:rsidR="001E0634" w:rsidRPr="001E0634" w:rsidRDefault="001E0634" w:rsidP="008A60EC">
      <w:pPr>
        <w:keepNext/>
        <w:spacing w:after="120" w:line="312" w:lineRule="auto"/>
        <w:ind w:left="720" w:right="260"/>
        <w:jc w:val="both"/>
        <w:rPr>
          <w:rFonts w:ascii="Times New Roman" w:hAnsi="Times New Roman"/>
          <w:i/>
          <w:iCs/>
          <w:sz w:val="20"/>
          <w:szCs w:val="20"/>
          <w:lang w:val="nl-NL"/>
        </w:rPr>
      </w:pPr>
      <w:r w:rsidRPr="001E0634">
        <w:rPr>
          <w:rFonts w:ascii="Times New Roman" w:hAnsi="Times New Roman"/>
          <w:i/>
          <w:iCs/>
          <w:sz w:val="20"/>
          <w:szCs w:val="20"/>
          <w:lang w:val="nl-NL"/>
        </w:rPr>
        <w:t>Financial liabilities that are not classified as financial liabilities measured at fair value through the Income Statement will be classified as financial liabilities measured at amortized cost.</w:t>
      </w:r>
    </w:p>
    <w:p w14:paraId="413152D9" w14:textId="354E4766" w:rsidR="001E0634" w:rsidRPr="001E0634" w:rsidRDefault="001E0634" w:rsidP="008A60EC">
      <w:pPr>
        <w:keepNext/>
        <w:spacing w:after="120" w:line="312" w:lineRule="auto"/>
        <w:ind w:left="720" w:right="260"/>
        <w:jc w:val="both"/>
        <w:rPr>
          <w:rFonts w:ascii="Times New Roman" w:hAnsi="Times New Roman"/>
          <w:i/>
          <w:iCs/>
          <w:sz w:val="20"/>
          <w:szCs w:val="20"/>
          <w:lang w:val="nl-NL"/>
        </w:rPr>
      </w:pPr>
      <w:r w:rsidRPr="001E0634">
        <w:rPr>
          <w:rFonts w:ascii="Times New Roman" w:hAnsi="Times New Roman"/>
          <w:i/>
          <w:iCs/>
          <w:sz w:val="20"/>
          <w:szCs w:val="20"/>
          <w:lang w:val="nl-NL"/>
        </w:rPr>
        <w:t>The above classification of financial instruments is for presentation and explanation purposes only and is not intended to describe methods for determining the value of financial instruments.  Accounting policies regarding the valuation of financial instruments are presented in other relevant notes.</w:t>
      </w:r>
    </w:p>
    <w:p w14:paraId="6AF546B8" w14:textId="77777777" w:rsidR="0042787E" w:rsidRPr="00A96A82" w:rsidRDefault="0042787E" w:rsidP="0042787E">
      <w:pPr>
        <w:keepNext/>
        <w:spacing w:after="120" w:line="312" w:lineRule="auto"/>
        <w:ind w:left="142" w:right="260"/>
        <w:jc w:val="both"/>
        <w:rPr>
          <w:rFonts w:ascii="Times New Roman" w:hAnsi="Times New Roman"/>
          <w:sz w:val="20"/>
          <w:szCs w:val="20"/>
          <w:lang w:val="nl-NL"/>
        </w:rPr>
      </w:pPr>
    </w:p>
    <w:p w14:paraId="2B1D70A5" w14:textId="0F61ED31" w:rsidR="00E70229" w:rsidRPr="00D733C6" w:rsidRDefault="001E0634" w:rsidP="00D733C6">
      <w:pPr>
        <w:pStyle w:val="ListParagraph"/>
        <w:numPr>
          <w:ilvl w:val="1"/>
          <w:numId w:val="39"/>
        </w:numPr>
        <w:shd w:val="clear" w:color="auto" w:fill="FFFFFF"/>
        <w:tabs>
          <w:tab w:val="left" w:pos="142"/>
        </w:tabs>
        <w:spacing w:after="120" w:line="312" w:lineRule="auto"/>
        <w:ind w:right="260"/>
        <w:jc w:val="both"/>
        <w:rPr>
          <w:rFonts w:ascii="Times New Roman" w:hAnsi="Times New Roman"/>
          <w:b/>
          <w:sz w:val="20"/>
          <w:szCs w:val="20"/>
          <w:lang w:val="vi-VN"/>
        </w:rPr>
      </w:pPr>
      <w:r w:rsidRPr="00D733C6">
        <w:rPr>
          <w:rFonts w:ascii="Times New Roman" w:hAnsi="Times New Roman"/>
          <w:b/>
          <w:sz w:val="20"/>
          <w:szCs w:val="20"/>
          <w:lang w:val="nl-NL"/>
        </w:rPr>
        <w:t>Thuế</w:t>
      </w:r>
      <w:r w:rsidRPr="00D733C6">
        <w:rPr>
          <w:rFonts w:ascii="Times New Roman" w:hAnsi="Times New Roman"/>
          <w:b/>
          <w:sz w:val="20"/>
          <w:szCs w:val="20"/>
          <w:lang w:val="vi-VN"/>
        </w:rPr>
        <w:t>/ Tax</w:t>
      </w:r>
    </w:p>
    <w:p w14:paraId="6571BD41" w14:textId="51D428A2" w:rsidR="00E70229" w:rsidRDefault="00E70229" w:rsidP="008A60EC">
      <w:pPr>
        <w:spacing w:after="0" w:line="312" w:lineRule="auto"/>
        <w:ind w:left="720" w:right="260"/>
        <w:jc w:val="both"/>
        <w:rPr>
          <w:rFonts w:ascii="Times New Roman" w:hAnsi="Times New Roman"/>
          <w:sz w:val="20"/>
          <w:szCs w:val="20"/>
          <w:lang w:val="nl-NL"/>
        </w:rPr>
      </w:pPr>
      <w:r w:rsidRPr="00762874">
        <w:rPr>
          <w:rFonts w:ascii="Times New Roman" w:hAnsi="Times New Roman"/>
          <w:sz w:val="20"/>
          <w:szCs w:val="20"/>
          <w:lang w:val="nl-NL"/>
        </w:rPr>
        <w:t>Theo các quy định thuế hiện hành tại Việt Nam, Quỹ không thuộc đối tượng chịu thuế thu nhập doanh nghiệp.</w:t>
      </w:r>
      <w:r w:rsidR="00DB7A39" w:rsidRPr="00762874">
        <w:rPr>
          <w:rFonts w:ascii="Times New Roman" w:hAnsi="Times New Roman"/>
          <w:sz w:val="20"/>
          <w:szCs w:val="20"/>
          <w:lang w:val="nl-NL"/>
        </w:rPr>
        <w:t xml:space="preserve"> </w:t>
      </w:r>
      <w:r w:rsidRPr="00762874">
        <w:rPr>
          <w:rFonts w:ascii="Times New Roman" w:hAnsi="Times New Roman"/>
          <w:sz w:val="20"/>
          <w:szCs w:val="20"/>
          <w:lang w:val="nl-NL"/>
        </w:rPr>
        <w:t xml:space="preserve">Tuy nhiên công ty Quản lý Quỹ có trách nhiệm khấu trừ thuế của các cá nhân và tổ chức tham gia các giao dịch với Quỹ như sau: </w:t>
      </w:r>
    </w:p>
    <w:p w14:paraId="36A96387" w14:textId="2ADC2AEE" w:rsidR="001E0634" w:rsidRPr="001E0634" w:rsidRDefault="001E0634" w:rsidP="008A60EC">
      <w:pPr>
        <w:spacing w:after="0" w:line="312" w:lineRule="auto"/>
        <w:ind w:left="720" w:right="260"/>
        <w:jc w:val="both"/>
        <w:rPr>
          <w:rFonts w:ascii="Times New Roman" w:hAnsi="Times New Roman"/>
          <w:i/>
          <w:iCs/>
          <w:sz w:val="20"/>
          <w:szCs w:val="20"/>
          <w:lang w:val="nl-NL"/>
        </w:rPr>
      </w:pPr>
      <w:r w:rsidRPr="001E0634">
        <w:rPr>
          <w:rFonts w:ascii="Times New Roman" w:hAnsi="Times New Roman"/>
          <w:i/>
          <w:iCs/>
          <w:sz w:val="20"/>
          <w:szCs w:val="20"/>
          <w:lang w:val="nl-NL"/>
        </w:rPr>
        <w:t>Under the applicable Vietnamese tax regulations, the Fund is not subject to corporate income tax (“CIT”). However, the Fund Management Company is responsible for withholding and paying tax on behalf of individual and corporate investors in the following cases:</w:t>
      </w:r>
    </w:p>
    <w:p w14:paraId="57764DA3" w14:textId="6057D8A7" w:rsidR="00E70229" w:rsidRPr="001E0634" w:rsidRDefault="00E70229" w:rsidP="008A60EC">
      <w:pPr>
        <w:overflowPunct w:val="0"/>
        <w:autoSpaceDE w:val="0"/>
        <w:autoSpaceDN w:val="0"/>
        <w:adjustRightInd w:val="0"/>
        <w:spacing w:before="120" w:after="120" w:line="312" w:lineRule="auto"/>
        <w:ind w:left="720" w:right="259"/>
        <w:jc w:val="both"/>
        <w:textAlignment w:val="baseline"/>
        <w:outlineLvl w:val="2"/>
        <w:rPr>
          <w:rFonts w:ascii="Times New Roman" w:hAnsi="Times New Roman"/>
          <w:b/>
          <w:i/>
          <w:sz w:val="20"/>
          <w:szCs w:val="20"/>
          <w:lang w:val="vi-VN"/>
        </w:rPr>
      </w:pPr>
      <w:r w:rsidRPr="00762874">
        <w:rPr>
          <w:rFonts w:ascii="Times New Roman" w:hAnsi="Times New Roman"/>
          <w:b/>
          <w:i/>
          <w:sz w:val="20"/>
          <w:szCs w:val="20"/>
          <w:lang w:val="nl-NL"/>
        </w:rPr>
        <w:t xml:space="preserve">Giao dịch mua lại chứng chỉ </w:t>
      </w:r>
      <w:r w:rsidR="001E0634">
        <w:rPr>
          <w:rFonts w:ascii="Times New Roman" w:hAnsi="Times New Roman"/>
          <w:b/>
          <w:i/>
          <w:sz w:val="20"/>
          <w:szCs w:val="20"/>
          <w:lang w:val="nl-NL"/>
        </w:rPr>
        <w:t>quỹ</w:t>
      </w:r>
      <w:r w:rsidR="001E0634">
        <w:rPr>
          <w:rFonts w:ascii="Times New Roman" w:hAnsi="Times New Roman"/>
          <w:b/>
          <w:i/>
          <w:sz w:val="20"/>
          <w:szCs w:val="20"/>
          <w:lang w:val="vi-VN"/>
        </w:rPr>
        <w:t xml:space="preserve">/ </w:t>
      </w:r>
      <w:r w:rsidR="001E0634" w:rsidRPr="001E0634">
        <w:rPr>
          <w:rFonts w:ascii="Times New Roman" w:hAnsi="Times New Roman"/>
          <w:b/>
          <w:i/>
          <w:sz w:val="20"/>
          <w:szCs w:val="20"/>
          <w:lang w:val="vi-VN"/>
        </w:rPr>
        <w:t>Transaction to buy back fund certificates</w:t>
      </w:r>
    </w:p>
    <w:p w14:paraId="708D5D0C" w14:textId="77777777" w:rsidR="00FD18F7" w:rsidRPr="00762874" w:rsidRDefault="00FD18F7" w:rsidP="008A60EC">
      <w:pPr>
        <w:spacing w:after="0" w:line="312" w:lineRule="auto"/>
        <w:ind w:left="720" w:right="260"/>
        <w:jc w:val="both"/>
        <w:rPr>
          <w:rFonts w:ascii="Times New Roman" w:hAnsi="Times New Roman"/>
          <w:sz w:val="20"/>
          <w:szCs w:val="20"/>
          <w:lang w:val="nl-NL"/>
        </w:rPr>
      </w:pPr>
      <w:r w:rsidRPr="00762874">
        <w:rPr>
          <w:rFonts w:ascii="Times New Roman" w:hAnsi="Times New Roman"/>
          <w:sz w:val="20"/>
          <w:szCs w:val="20"/>
          <w:lang w:val="nl-NL"/>
        </w:rPr>
        <w:t>Công ty Quản lý Quỹ có nghĩa vụ khấu trừ, kê khai và nộp thuế đối với giao dịch mua lại chứng chỉ quỹ từ nhà đầu tư cá nhân (trong nước và nước ngoài) và tổ chức đầu tư nước ngoài theo hướng dẫn của công văn số 2331/TCT-CS ngày 15 tháng 6 năm 2015 do Tổng Cục Thuế ban hành, Thông tư 111 được sửa đổi và bổ sung bở</w:t>
      </w:r>
      <w:r w:rsidR="000E074E" w:rsidRPr="00762874">
        <w:rPr>
          <w:rFonts w:ascii="Times New Roman" w:hAnsi="Times New Roman"/>
          <w:sz w:val="20"/>
          <w:szCs w:val="20"/>
          <w:lang w:val="nl-NL"/>
        </w:rPr>
        <w:t>i Thông tư 92</w:t>
      </w:r>
      <w:r w:rsidR="006064E9" w:rsidRPr="00762874">
        <w:rPr>
          <w:rFonts w:ascii="Times New Roman" w:hAnsi="Times New Roman"/>
          <w:sz w:val="20"/>
          <w:szCs w:val="20"/>
          <w:lang w:val="nl-NL"/>
        </w:rPr>
        <w:t xml:space="preserve"> và Thông tư 25/2018/TT-BTC ngày 16 tháng 3 năm 2018</w:t>
      </w:r>
      <w:r w:rsidR="000E074E" w:rsidRPr="00762874">
        <w:rPr>
          <w:rFonts w:ascii="Times New Roman" w:hAnsi="Times New Roman"/>
          <w:sz w:val="20"/>
          <w:szCs w:val="20"/>
          <w:lang w:val="nl-NL"/>
        </w:rPr>
        <w:t>,</w:t>
      </w:r>
      <w:r w:rsidRPr="00762874">
        <w:rPr>
          <w:rFonts w:ascii="Times New Roman" w:hAnsi="Times New Roman"/>
          <w:sz w:val="20"/>
          <w:szCs w:val="20"/>
          <w:lang w:val="nl-NL"/>
        </w:rPr>
        <w:t xml:space="preserve"> Thông tư 103/2014/TT-BTC ngày 6 tháng 8 năm 2014</w:t>
      </w:r>
      <w:r w:rsidR="000E074E" w:rsidRPr="00762874">
        <w:rPr>
          <w:rFonts w:ascii="Times New Roman" w:hAnsi="Times New Roman"/>
          <w:sz w:val="20"/>
          <w:szCs w:val="20"/>
          <w:lang w:val="nl-NL"/>
        </w:rPr>
        <w:t xml:space="preserve"> </w:t>
      </w:r>
      <w:r w:rsidRPr="00762874">
        <w:rPr>
          <w:rFonts w:ascii="Times New Roman" w:hAnsi="Times New Roman"/>
          <w:sz w:val="20"/>
          <w:szCs w:val="20"/>
          <w:lang w:val="nl-NL"/>
        </w:rPr>
        <w:t>do Bộ</w:t>
      </w:r>
      <w:r w:rsidR="008D1897" w:rsidRPr="00762874">
        <w:rPr>
          <w:rFonts w:ascii="Times New Roman" w:hAnsi="Times New Roman"/>
          <w:sz w:val="20"/>
          <w:szCs w:val="20"/>
          <w:lang w:val="nl-NL"/>
        </w:rPr>
        <w:t xml:space="preserve"> Tài chính ban hành.</w:t>
      </w:r>
      <w:r w:rsidRPr="00762874">
        <w:rPr>
          <w:rFonts w:ascii="Times New Roman" w:hAnsi="Times New Roman"/>
          <w:sz w:val="20"/>
          <w:szCs w:val="20"/>
          <w:lang w:val="nl-NL"/>
        </w:rPr>
        <w:t xml:space="preserve"> Mức thuế áp dụng là mức theo quy định của pháp luật hiện hành trên giá chuyển nhượng.</w:t>
      </w:r>
    </w:p>
    <w:p w14:paraId="0CA1B3F7" w14:textId="6C7005FD" w:rsidR="001E0634" w:rsidRPr="001E0634" w:rsidRDefault="001E0634" w:rsidP="008A60EC">
      <w:pPr>
        <w:spacing w:after="120" w:line="312" w:lineRule="auto"/>
        <w:ind w:left="720" w:right="260"/>
        <w:jc w:val="both"/>
        <w:rPr>
          <w:rFonts w:ascii="Times New Roman" w:hAnsi="Times New Roman"/>
          <w:i/>
          <w:iCs/>
          <w:sz w:val="20"/>
          <w:szCs w:val="20"/>
          <w:lang w:val="nl-NL"/>
        </w:rPr>
      </w:pPr>
      <w:r w:rsidRPr="001E0634">
        <w:rPr>
          <w:rFonts w:ascii="Times New Roman" w:hAnsi="Times New Roman"/>
          <w:i/>
          <w:iCs/>
          <w:sz w:val="20"/>
          <w:szCs w:val="20"/>
          <w:lang w:val="nl-NL"/>
        </w:rPr>
        <w:t xml:space="preserve">The Fund Management Company is </w:t>
      </w:r>
      <w:r w:rsidR="008A1595">
        <w:rPr>
          <w:rFonts w:ascii="Times New Roman" w:hAnsi="Times New Roman"/>
          <w:i/>
          <w:iCs/>
          <w:sz w:val="20"/>
          <w:szCs w:val="20"/>
          <w:lang w:val="nl-NL"/>
        </w:rPr>
        <w:t>required</w:t>
      </w:r>
      <w:r w:rsidRPr="001E0634">
        <w:rPr>
          <w:rFonts w:ascii="Times New Roman" w:hAnsi="Times New Roman"/>
          <w:i/>
          <w:iCs/>
          <w:sz w:val="20"/>
          <w:szCs w:val="20"/>
          <w:lang w:val="nl-NL"/>
        </w:rPr>
        <w:t xml:space="preserve"> to withhold, declare and pay taxes on transactions to buy back fund certificates from individual investors (domestic and foreign) and foreign investment organizations according to public instructions. Document No. 2331/TCT-CS dated June 15, 2015 issued by the General Department of Taxation, Circular 111 amended and supplemented by Circular 92 and Circular 25/2018/TT-BTC dated March 16, 2018, Circular 103/2014/TT-BTC dated August 6, 2014 issued by the Ministry of Finance. The applicable tax rate is the rate prescribed by current law on the transfer price.</w:t>
      </w:r>
    </w:p>
    <w:p w14:paraId="67701E24" w14:textId="77777777" w:rsidR="008A60EC" w:rsidRDefault="008A60EC" w:rsidP="008A60EC">
      <w:pPr>
        <w:spacing w:after="120" w:line="312" w:lineRule="auto"/>
        <w:ind w:left="720" w:right="260"/>
        <w:jc w:val="both"/>
        <w:rPr>
          <w:rFonts w:ascii="Times New Roman" w:hAnsi="Times New Roman"/>
          <w:sz w:val="20"/>
          <w:szCs w:val="20"/>
          <w:lang w:val="nl-NL"/>
        </w:rPr>
      </w:pPr>
      <w:r w:rsidRPr="00762874">
        <w:rPr>
          <w:rFonts w:ascii="Times New Roman" w:hAnsi="Times New Roman"/>
          <w:sz w:val="20"/>
          <w:szCs w:val="20"/>
          <w:lang w:val="nl-NL"/>
        </w:rPr>
        <w:t>Quỹ sẽ không khấu trừ thuế đối với các giao dịch mua lại chứng chỉ quỹ từ nhà đầu tư là tổ chức trong nước. Các nhà đầu tư này phải chịu trách nhiệm tự kê khai và nộp thuế cho Nhà nước theo Thông tư 78/2014/TT-BTC ngày 18 tháng 6 năm 2014.</w:t>
      </w:r>
    </w:p>
    <w:p w14:paraId="3FE24B50" w14:textId="77777777" w:rsidR="008A60EC" w:rsidRDefault="008A60EC" w:rsidP="00C513D3">
      <w:pPr>
        <w:spacing w:after="120" w:line="312" w:lineRule="auto"/>
        <w:ind w:left="502" w:right="260"/>
        <w:jc w:val="both"/>
        <w:rPr>
          <w:rFonts w:ascii="Times New Roman" w:hAnsi="Times New Roman"/>
          <w:i/>
          <w:iCs/>
          <w:sz w:val="20"/>
          <w:szCs w:val="20"/>
          <w:lang w:val="nl-NL"/>
        </w:rPr>
      </w:pPr>
    </w:p>
    <w:p w14:paraId="36F3A83E" w14:textId="0E752A3E" w:rsidR="001E0634" w:rsidRPr="001E0634" w:rsidRDefault="001E0634" w:rsidP="00C513D3">
      <w:pPr>
        <w:spacing w:after="120" w:line="312" w:lineRule="auto"/>
        <w:ind w:left="502" w:right="260"/>
        <w:jc w:val="both"/>
        <w:rPr>
          <w:rFonts w:ascii="Times New Roman" w:hAnsi="Times New Roman"/>
          <w:i/>
          <w:iCs/>
          <w:sz w:val="20"/>
          <w:szCs w:val="20"/>
          <w:lang w:val="nl-NL"/>
        </w:rPr>
      </w:pPr>
      <w:r w:rsidRPr="001E0634">
        <w:rPr>
          <w:rFonts w:ascii="Times New Roman" w:hAnsi="Times New Roman"/>
          <w:i/>
          <w:iCs/>
          <w:sz w:val="20"/>
          <w:szCs w:val="20"/>
          <w:lang w:val="nl-NL"/>
        </w:rPr>
        <w:lastRenderedPageBreak/>
        <w:t>The Fund will not deduct tax for transactions repurchasing fund certificates from domestic institutional investors. These investors are responsible for self-declaring and paying taxes to the State according to Circular 78/2014/TT-BTC dated June 18, 2014.</w:t>
      </w:r>
    </w:p>
    <w:p w14:paraId="41EA41A1" w14:textId="62DD1D08" w:rsidR="00E70229" w:rsidRPr="008A60EC" w:rsidRDefault="00E70229" w:rsidP="008A60EC">
      <w:pPr>
        <w:pStyle w:val="ListParagraph"/>
        <w:numPr>
          <w:ilvl w:val="1"/>
          <w:numId w:val="39"/>
        </w:numPr>
        <w:shd w:val="clear" w:color="auto" w:fill="FFFFFF"/>
        <w:spacing w:after="120" w:line="312" w:lineRule="auto"/>
        <w:ind w:right="260"/>
        <w:jc w:val="both"/>
        <w:rPr>
          <w:rFonts w:ascii="Times New Roman" w:hAnsi="Times New Roman"/>
          <w:b/>
          <w:sz w:val="20"/>
          <w:szCs w:val="20"/>
          <w:lang w:val="nl-NL"/>
        </w:rPr>
      </w:pPr>
      <w:r w:rsidRPr="008A60EC">
        <w:rPr>
          <w:rFonts w:ascii="Times New Roman" w:hAnsi="Times New Roman"/>
          <w:b/>
          <w:sz w:val="20"/>
          <w:szCs w:val="20"/>
          <w:lang w:val="nl-NL"/>
        </w:rPr>
        <w:t xml:space="preserve">Chứng chỉ quỹ và Giá trị tài sản ròng có thể phân phối cho nhà đầu tư nắm giữ chứng chỉ </w:t>
      </w:r>
      <w:r w:rsidR="002A3BC8" w:rsidRPr="008A60EC">
        <w:rPr>
          <w:rFonts w:ascii="Times New Roman" w:hAnsi="Times New Roman"/>
          <w:b/>
          <w:sz w:val="20"/>
          <w:szCs w:val="20"/>
          <w:lang w:val="nl-NL"/>
        </w:rPr>
        <w:t>quỹ</w:t>
      </w:r>
      <w:r w:rsidR="002A3BC8" w:rsidRPr="008A60EC">
        <w:rPr>
          <w:rFonts w:ascii="Times New Roman" w:hAnsi="Times New Roman"/>
          <w:b/>
          <w:sz w:val="20"/>
          <w:szCs w:val="20"/>
          <w:lang w:val="vi-VN"/>
        </w:rPr>
        <w:t>/ Fund certificates and Net Asset Value that can be distributed to investors holding fund certificates</w:t>
      </w:r>
      <w:r w:rsidRPr="008A60EC">
        <w:rPr>
          <w:rFonts w:ascii="Times New Roman" w:hAnsi="Times New Roman"/>
          <w:b/>
          <w:sz w:val="20"/>
          <w:szCs w:val="20"/>
          <w:lang w:val="nl-NL"/>
        </w:rPr>
        <w:t xml:space="preserve"> </w:t>
      </w:r>
    </w:p>
    <w:p w14:paraId="52E48A4A" w14:textId="789A2199" w:rsidR="00E70229" w:rsidRPr="00E21368" w:rsidRDefault="00E70229" w:rsidP="005425EE">
      <w:pPr>
        <w:numPr>
          <w:ilvl w:val="0"/>
          <w:numId w:val="13"/>
        </w:numPr>
        <w:overflowPunct w:val="0"/>
        <w:autoSpaceDE w:val="0"/>
        <w:autoSpaceDN w:val="0"/>
        <w:adjustRightInd w:val="0"/>
        <w:spacing w:after="120" w:line="312" w:lineRule="auto"/>
        <w:ind w:left="142" w:right="260" w:firstLine="0"/>
        <w:jc w:val="both"/>
        <w:textAlignment w:val="baseline"/>
        <w:outlineLvl w:val="2"/>
        <w:rPr>
          <w:rFonts w:ascii="Times New Roman" w:hAnsi="Times New Roman"/>
          <w:b/>
          <w:sz w:val="20"/>
          <w:szCs w:val="20"/>
        </w:rPr>
      </w:pPr>
      <w:proofErr w:type="spellStart"/>
      <w:r w:rsidRPr="00E21368">
        <w:rPr>
          <w:rFonts w:ascii="Times New Roman" w:hAnsi="Times New Roman"/>
          <w:b/>
          <w:i/>
          <w:sz w:val="20"/>
          <w:szCs w:val="20"/>
        </w:rPr>
        <w:t>Vốn</w:t>
      </w:r>
      <w:proofErr w:type="spellEnd"/>
      <w:r w:rsidRPr="00E21368">
        <w:rPr>
          <w:rFonts w:ascii="Times New Roman" w:hAnsi="Times New Roman"/>
          <w:b/>
          <w:i/>
          <w:sz w:val="20"/>
          <w:szCs w:val="20"/>
        </w:rPr>
        <w:t xml:space="preserve"> </w:t>
      </w:r>
      <w:proofErr w:type="spellStart"/>
      <w:r w:rsidRPr="00E21368">
        <w:rPr>
          <w:rFonts w:ascii="Times New Roman" w:hAnsi="Times New Roman"/>
          <w:b/>
          <w:i/>
          <w:sz w:val="20"/>
          <w:szCs w:val="20"/>
        </w:rPr>
        <w:t>góp</w:t>
      </w:r>
      <w:proofErr w:type="spellEnd"/>
      <w:r w:rsidRPr="00E21368">
        <w:rPr>
          <w:rFonts w:ascii="Times New Roman" w:hAnsi="Times New Roman"/>
          <w:b/>
          <w:i/>
          <w:sz w:val="20"/>
          <w:szCs w:val="20"/>
        </w:rPr>
        <w:t xml:space="preserve"> </w:t>
      </w:r>
      <w:proofErr w:type="spellStart"/>
      <w:r w:rsidRPr="00E21368">
        <w:rPr>
          <w:rFonts w:ascii="Times New Roman" w:hAnsi="Times New Roman"/>
          <w:b/>
          <w:i/>
          <w:sz w:val="20"/>
          <w:szCs w:val="20"/>
        </w:rPr>
        <w:t>phát</w:t>
      </w:r>
      <w:proofErr w:type="spellEnd"/>
      <w:r w:rsidRPr="00E21368">
        <w:rPr>
          <w:rFonts w:ascii="Times New Roman" w:hAnsi="Times New Roman"/>
          <w:b/>
          <w:i/>
          <w:sz w:val="20"/>
          <w:szCs w:val="20"/>
        </w:rPr>
        <w:t xml:space="preserve"> </w:t>
      </w:r>
      <w:proofErr w:type="spellStart"/>
      <w:r w:rsidR="002A3BC8">
        <w:rPr>
          <w:rFonts w:ascii="Times New Roman" w:hAnsi="Times New Roman"/>
          <w:b/>
          <w:i/>
          <w:sz w:val="20"/>
          <w:szCs w:val="20"/>
        </w:rPr>
        <w:t>hành</w:t>
      </w:r>
      <w:proofErr w:type="spellEnd"/>
      <w:r w:rsidR="002A3BC8">
        <w:rPr>
          <w:rFonts w:ascii="Times New Roman" w:hAnsi="Times New Roman"/>
          <w:b/>
          <w:i/>
          <w:sz w:val="20"/>
          <w:szCs w:val="20"/>
          <w:lang w:val="vi-VN"/>
        </w:rPr>
        <w:t xml:space="preserve">/ </w:t>
      </w:r>
      <w:r w:rsidR="00B059DC" w:rsidRPr="00B059DC">
        <w:rPr>
          <w:rFonts w:ascii="Times New Roman" w:hAnsi="Times New Roman"/>
          <w:b/>
          <w:i/>
          <w:sz w:val="20"/>
          <w:szCs w:val="20"/>
          <w:lang w:val="vi-VN"/>
        </w:rPr>
        <w:t>Subscription capital</w:t>
      </w:r>
    </w:p>
    <w:p w14:paraId="249A19B1" w14:textId="77777777" w:rsidR="00E70229" w:rsidRPr="00E21368" w:rsidRDefault="00E70229" w:rsidP="00B059DC">
      <w:pPr>
        <w:spacing w:after="0" w:line="312" w:lineRule="auto"/>
        <w:ind w:left="720" w:right="260"/>
        <w:jc w:val="both"/>
        <w:rPr>
          <w:rFonts w:ascii="Times New Roman" w:hAnsi="Times New Roman"/>
          <w:sz w:val="20"/>
          <w:szCs w:val="20"/>
        </w:rPr>
      </w:pP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quyền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hưởng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cổ</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tức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phân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loại</w:t>
      </w:r>
      <w:proofErr w:type="spellEnd"/>
      <w:r w:rsidRPr="00E21368">
        <w:rPr>
          <w:rFonts w:ascii="Times New Roman" w:hAnsi="Times New Roman"/>
          <w:sz w:val="20"/>
          <w:szCs w:val="20"/>
        </w:rPr>
        <w:t xml:space="preserve"> là </w:t>
      </w: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chủ</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sở</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hữu</w:t>
      </w:r>
      <w:proofErr w:type="spellEnd"/>
      <w:r w:rsidRPr="00E21368">
        <w:rPr>
          <w:rFonts w:ascii="Times New Roman" w:hAnsi="Times New Roman"/>
          <w:sz w:val="20"/>
          <w:szCs w:val="20"/>
        </w:rPr>
        <w:t>.</w:t>
      </w:r>
      <w:r w:rsidR="001620FB">
        <w:rPr>
          <w:rFonts w:ascii="Times New Roman" w:hAnsi="Times New Roman"/>
          <w:sz w:val="20"/>
          <w:szCs w:val="20"/>
        </w:rPr>
        <w:t xml:space="preserve"> </w:t>
      </w:r>
      <w:proofErr w:type="spellStart"/>
      <w:r w:rsidRPr="00E21368">
        <w:rPr>
          <w:rFonts w:ascii="Times New Roman" w:hAnsi="Times New Roman"/>
          <w:sz w:val="20"/>
          <w:szCs w:val="20"/>
        </w:rPr>
        <w:t>Mỗi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có</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mệnh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là 10.000 </w:t>
      </w:r>
      <w:proofErr w:type="spellStart"/>
      <w:r w:rsidRPr="00E21368">
        <w:rPr>
          <w:rFonts w:ascii="Times New Roman" w:hAnsi="Times New Roman"/>
          <w:sz w:val="20"/>
          <w:szCs w:val="20"/>
        </w:rPr>
        <w:t>đồng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Việt</w:t>
      </w:r>
      <w:proofErr w:type="spellEnd"/>
      <w:r w:rsidRPr="00E21368">
        <w:rPr>
          <w:rFonts w:ascii="Times New Roman" w:hAnsi="Times New Roman"/>
          <w:sz w:val="20"/>
          <w:szCs w:val="20"/>
        </w:rPr>
        <w:t xml:space="preserve"> Nam, </w:t>
      </w:r>
      <w:proofErr w:type="spellStart"/>
      <w:r w:rsidRPr="00E21368">
        <w:rPr>
          <w:rFonts w:ascii="Times New Roman" w:hAnsi="Times New Roman"/>
          <w:sz w:val="20"/>
          <w:szCs w:val="20"/>
        </w:rPr>
        <w:t>một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lô</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tương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100.000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w:t>
      </w:r>
    </w:p>
    <w:p w14:paraId="67F7A50E" w14:textId="77777777" w:rsidR="00B059DC" w:rsidRDefault="00E70229" w:rsidP="00B059DC">
      <w:pPr>
        <w:spacing w:after="0" w:line="312" w:lineRule="auto"/>
        <w:ind w:left="720" w:right="260"/>
        <w:jc w:val="both"/>
        <w:rPr>
          <w:rFonts w:ascii="Times New Roman" w:hAnsi="Times New Roman"/>
          <w:sz w:val="20"/>
          <w:szCs w:val="20"/>
        </w:rPr>
      </w:pPr>
      <w:r w:rsidRPr="00E21368">
        <w:rPr>
          <w:rFonts w:ascii="Times New Roman" w:hAnsi="Times New Roman"/>
          <w:sz w:val="20"/>
          <w:szCs w:val="20"/>
        </w:rPr>
        <w:t xml:space="preserve">Số </w:t>
      </w:r>
      <w:proofErr w:type="spellStart"/>
      <w:r w:rsidRPr="00E21368">
        <w:rPr>
          <w:rFonts w:ascii="Times New Roman" w:hAnsi="Times New Roman"/>
          <w:sz w:val="20"/>
          <w:szCs w:val="20"/>
        </w:rPr>
        <w:t>lượng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giao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dịch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đổi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tối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thiểu</w:t>
      </w:r>
      <w:proofErr w:type="spellEnd"/>
      <w:r w:rsidRPr="00E21368">
        <w:rPr>
          <w:rFonts w:ascii="Times New Roman" w:hAnsi="Times New Roman"/>
          <w:sz w:val="20"/>
          <w:szCs w:val="20"/>
        </w:rPr>
        <w:t xml:space="preserve"> là </w:t>
      </w:r>
      <w:proofErr w:type="spellStart"/>
      <w:r w:rsidRPr="00E21368">
        <w:rPr>
          <w:rFonts w:ascii="Times New Roman" w:hAnsi="Times New Roman"/>
          <w:sz w:val="20"/>
          <w:szCs w:val="20"/>
        </w:rPr>
        <w:t>một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lô</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tương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một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trăm</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nghìn</w:t>
      </w:r>
      <w:proofErr w:type="spellEnd"/>
      <w:r w:rsidRPr="00E21368">
        <w:rPr>
          <w:rFonts w:ascii="Times New Roman" w:hAnsi="Times New Roman"/>
          <w:sz w:val="20"/>
          <w:szCs w:val="20"/>
        </w:rPr>
        <w:t xml:space="preserve"> (100.000)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
    <w:p w14:paraId="3D4C78E9" w14:textId="1002C69C" w:rsidR="00B059DC" w:rsidRPr="002A0497" w:rsidRDefault="002A0497" w:rsidP="00B059DC">
      <w:pPr>
        <w:spacing w:after="0" w:line="312" w:lineRule="auto"/>
        <w:ind w:left="720" w:right="260"/>
        <w:jc w:val="both"/>
        <w:rPr>
          <w:rFonts w:ascii="Times New Roman" w:hAnsi="Times New Roman"/>
          <w:i/>
          <w:iCs/>
          <w:sz w:val="20"/>
          <w:szCs w:val="20"/>
        </w:rPr>
      </w:pPr>
      <w:r w:rsidRPr="002A0497">
        <w:rPr>
          <w:rFonts w:ascii="Times New Roman" w:hAnsi="Times New Roman"/>
          <w:i/>
          <w:iCs/>
          <w:sz w:val="20"/>
          <w:szCs w:val="20"/>
        </w:rPr>
        <w:t xml:space="preserve">Fund unit with right to dividend is classified as equity. Par value of each fund unit is VND 10.000. 1 lot of </w:t>
      </w:r>
      <w:proofErr w:type="spellStart"/>
      <w:r w:rsidRPr="002A0497">
        <w:rPr>
          <w:rFonts w:ascii="Times New Roman" w:hAnsi="Times New Roman"/>
          <w:i/>
          <w:iCs/>
          <w:sz w:val="20"/>
          <w:szCs w:val="20"/>
        </w:rPr>
        <w:t>fund</w:t>
      </w:r>
      <w:proofErr w:type="spellEnd"/>
      <w:r w:rsidRPr="002A0497">
        <w:rPr>
          <w:rFonts w:ascii="Times New Roman" w:hAnsi="Times New Roman"/>
          <w:i/>
          <w:iCs/>
          <w:sz w:val="20"/>
          <w:szCs w:val="20"/>
        </w:rPr>
        <w:t xml:space="preserve"> unit is equivalent to 100.000 fund certificates.  </w:t>
      </w:r>
    </w:p>
    <w:p w14:paraId="6A5C9A49" w14:textId="77777777" w:rsidR="002A0497" w:rsidRDefault="002A0497" w:rsidP="00B059DC">
      <w:pPr>
        <w:spacing w:after="0" w:line="312" w:lineRule="auto"/>
        <w:ind w:left="720" w:right="260"/>
        <w:jc w:val="both"/>
        <w:rPr>
          <w:rFonts w:ascii="Times New Roman" w:hAnsi="Times New Roman"/>
          <w:sz w:val="20"/>
          <w:szCs w:val="20"/>
        </w:rPr>
      </w:pPr>
    </w:p>
    <w:p w14:paraId="46D868DA" w14:textId="6596EF06" w:rsidR="00E70229" w:rsidRDefault="00E70229" w:rsidP="00B059DC">
      <w:pPr>
        <w:spacing w:after="0" w:line="312" w:lineRule="auto"/>
        <w:ind w:left="720" w:right="260"/>
        <w:jc w:val="both"/>
        <w:rPr>
          <w:rFonts w:ascii="Times New Roman" w:hAnsi="Times New Roman"/>
          <w:sz w:val="20"/>
          <w:szCs w:val="20"/>
        </w:rPr>
      </w:pP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trị</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tài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ròng</w:t>
      </w:r>
      <w:proofErr w:type="spellEnd"/>
      <w:r w:rsidRPr="00E21368">
        <w:rPr>
          <w:rFonts w:ascii="Times New Roman" w:hAnsi="Times New Roman"/>
          <w:sz w:val="20"/>
          <w:szCs w:val="20"/>
        </w:rPr>
        <w:t xml:space="preserve"> trên </w:t>
      </w:r>
      <w:proofErr w:type="spellStart"/>
      <w:r w:rsidRPr="00E21368">
        <w:rPr>
          <w:rFonts w:ascii="Times New Roman" w:hAnsi="Times New Roman"/>
          <w:sz w:val="20"/>
          <w:szCs w:val="20"/>
        </w:rPr>
        <w:t>một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lô</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bằng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trị</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tài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ròng</w:t>
      </w:r>
      <w:proofErr w:type="spellEnd"/>
      <w:r w:rsidRPr="00E21368">
        <w:rPr>
          <w:rFonts w:ascii="Times New Roman" w:hAnsi="Times New Roman"/>
          <w:sz w:val="20"/>
          <w:szCs w:val="20"/>
        </w:rPr>
        <w:t xml:space="preserve"> của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chia </w:t>
      </w:r>
      <w:proofErr w:type="spellStart"/>
      <w:r w:rsidRPr="00E21368">
        <w:rPr>
          <w:rFonts w:ascii="Times New Roman" w:hAnsi="Times New Roman"/>
          <w:sz w:val="20"/>
          <w:szCs w:val="20"/>
        </w:rPr>
        <w:t>cho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tổng</w:t>
      </w:r>
      <w:proofErr w:type="spellEnd"/>
      <w:r w:rsidRPr="00E21368">
        <w:rPr>
          <w:rFonts w:ascii="Times New Roman" w:hAnsi="Times New Roman"/>
          <w:sz w:val="20"/>
          <w:szCs w:val="20"/>
        </w:rPr>
        <w:t xml:space="preserve"> số </w:t>
      </w:r>
      <w:proofErr w:type="spellStart"/>
      <w:r w:rsidRPr="00E21368">
        <w:rPr>
          <w:rFonts w:ascii="Times New Roman" w:hAnsi="Times New Roman"/>
          <w:sz w:val="20"/>
          <w:szCs w:val="20"/>
        </w:rPr>
        <w:t>lô</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làm </w:t>
      </w:r>
      <w:proofErr w:type="spellStart"/>
      <w:r w:rsidRPr="00E21368">
        <w:rPr>
          <w:rFonts w:ascii="Times New Roman" w:hAnsi="Times New Roman"/>
          <w:sz w:val="20"/>
          <w:szCs w:val="20"/>
        </w:rPr>
        <w:t>tròn</w:t>
      </w:r>
      <w:proofErr w:type="spellEnd"/>
      <w:r w:rsidRPr="00E21368">
        <w:rPr>
          <w:rFonts w:ascii="Times New Roman" w:hAnsi="Times New Roman"/>
          <w:sz w:val="20"/>
          <w:szCs w:val="20"/>
        </w:rPr>
        <w:t xml:space="preserve"> đến </w:t>
      </w:r>
      <w:proofErr w:type="spellStart"/>
      <w:r w:rsidRPr="00E21368">
        <w:rPr>
          <w:rFonts w:ascii="Times New Roman" w:hAnsi="Times New Roman"/>
          <w:sz w:val="20"/>
          <w:szCs w:val="20"/>
        </w:rPr>
        <w:t>hàng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vị</w:t>
      </w:r>
      <w:proofErr w:type="spellEnd"/>
      <w:r w:rsidRPr="00E21368">
        <w:rPr>
          <w:rFonts w:ascii="Times New Roman" w:hAnsi="Times New Roman"/>
          <w:sz w:val="20"/>
          <w:szCs w:val="20"/>
        </w:rPr>
        <w:t>.</w:t>
      </w:r>
      <w:r w:rsidR="00004334" w:rsidRPr="00E21368">
        <w:rPr>
          <w:rFonts w:ascii="Times New Roman" w:hAnsi="Times New Roman"/>
          <w:sz w:val="20"/>
          <w:szCs w:val="20"/>
        </w:rPr>
        <w:t xml:space="preserve"> </w:t>
      </w:r>
      <w:proofErr w:type="spellStart"/>
      <w:r w:rsidR="00004334" w:rsidRPr="00E21368">
        <w:rPr>
          <w:rFonts w:ascii="Times New Roman" w:hAnsi="Times New Roman"/>
          <w:color w:val="000000"/>
          <w:sz w:val="20"/>
          <w:szCs w:val="20"/>
        </w:rPr>
        <w:t>Giá</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trị</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tài</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sản</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ròng</w:t>
      </w:r>
      <w:proofErr w:type="spellEnd"/>
      <w:r w:rsidR="00004334" w:rsidRPr="00E21368">
        <w:rPr>
          <w:rFonts w:ascii="Times New Roman" w:hAnsi="Times New Roman"/>
          <w:color w:val="000000"/>
          <w:sz w:val="20"/>
          <w:szCs w:val="20"/>
        </w:rPr>
        <w:t xml:space="preserve"> trên </w:t>
      </w:r>
      <w:proofErr w:type="spellStart"/>
      <w:r w:rsidR="00004334" w:rsidRPr="00E21368">
        <w:rPr>
          <w:rFonts w:ascii="Times New Roman" w:hAnsi="Times New Roman"/>
          <w:color w:val="000000"/>
          <w:sz w:val="20"/>
          <w:szCs w:val="20"/>
        </w:rPr>
        <w:t>một</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chứng</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chỉ</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quỹ</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bằng</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giá</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trị</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tài</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sản</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ròng</w:t>
      </w:r>
      <w:proofErr w:type="spellEnd"/>
      <w:r w:rsidR="00004334" w:rsidRPr="00E21368">
        <w:rPr>
          <w:rFonts w:ascii="Times New Roman" w:hAnsi="Times New Roman"/>
          <w:color w:val="000000"/>
          <w:sz w:val="20"/>
          <w:szCs w:val="20"/>
        </w:rPr>
        <w:t xml:space="preserve"> của </w:t>
      </w:r>
      <w:proofErr w:type="spellStart"/>
      <w:r w:rsidR="00004334" w:rsidRPr="00E21368">
        <w:rPr>
          <w:rFonts w:ascii="Times New Roman" w:hAnsi="Times New Roman"/>
          <w:color w:val="000000"/>
          <w:sz w:val="20"/>
          <w:szCs w:val="20"/>
        </w:rPr>
        <w:t>Quỹ</w:t>
      </w:r>
      <w:proofErr w:type="spellEnd"/>
      <w:r w:rsidR="00004334" w:rsidRPr="00E21368">
        <w:rPr>
          <w:rFonts w:ascii="Times New Roman" w:hAnsi="Times New Roman"/>
          <w:color w:val="000000"/>
          <w:sz w:val="20"/>
          <w:szCs w:val="20"/>
        </w:rPr>
        <w:t xml:space="preserve"> chia </w:t>
      </w:r>
      <w:proofErr w:type="spellStart"/>
      <w:r w:rsidR="00004334" w:rsidRPr="00E21368">
        <w:rPr>
          <w:rFonts w:ascii="Times New Roman" w:hAnsi="Times New Roman"/>
          <w:color w:val="000000"/>
          <w:sz w:val="20"/>
          <w:szCs w:val="20"/>
        </w:rPr>
        <w:t>cho</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tổng</w:t>
      </w:r>
      <w:proofErr w:type="spellEnd"/>
      <w:r w:rsidR="00004334" w:rsidRPr="00E21368">
        <w:rPr>
          <w:rFonts w:ascii="Times New Roman" w:hAnsi="Times New Roman"/>
          <w:color w:val="000000"/>
          <w:sz w:val="20"/>
          <w:szCs w:val="20"/>
        </w:rPr>
        <w:t xml:space="preserve"> số </w:t>
      </w:r>
      <w:proofErr w:type="spellStart"/>
      <w:r w:rsidR="00004334" w:rsidRPr="00E21368">
        <w:rPr>
          <w:rFonts w:ascii="Times New Roman" w:hAnsi="Times New Roman"/>
          <w:color w:val="000000"/>
          <w:sz w:val="20"/>
          <w:szCs w:val="20"/>
        </w:rPr>
        <w:t>chứng</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chỉ</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quỹ</w:t>
      </w:r>
      <w:proofErr w:type="spellEnd"/>
      <w:r w:rsidR="00004334" w:rsidRPr="00E21368">
        <w:rPr>
          <w:rFonts w:ascii="Times New Roman" w:hAnsi="Times New Roman"/>
          <w:color w:val="000000"/>
          <w:sz w:val="20"/>
          <w:szCs w:val="20"/>
        </w:rPr>
        <w:t xml:space="preserve"> đang </w:t>
      </w:r>
      <w:proofErr w:type="spellStart"/>
      <w:r w:rsidR="00004334" w:rsidRPr="00E21368">
        <w:rPr>
          <w:rFonts w:ascii="Times New Roman" w:hAnsi="Times New Roman"/>
          <w:color w:val="000000"/>
          <w:sz w:val="20"/>
          <w:szCs w:val="20"/>
        </w:rPr>
        <w:t>lưu</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hành</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và</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lấy</w:t>
      </w:r>
      <w:proofErr w:type="spellEnd"/>
      <w:r w:rsidR="00004334" w:rsidRPr="00E21368">
        <w:rPr>
          <w:rFonts w:ascii="Times New Roman" w:hAnsi="Times New Roman"/>
          <w:color w:val="000000"/>
          <w:sz w:val="20"/>
          <w:szCs w:val="20"/>
        </w:rPr>
        <w:t xml:space="preserve"> đến (02) số </w:t>
      </w:r>
      <w:proofErr w:type="spellStart"/>
      <w:r w:rsidR="00004334" w:rsidRPr="00E21368">
        <w:rPr>
          <w:rFonts w:ascii="Times New Roman" w:hAnsi="Times New Roman"/>
          <w:color w:val="000000"/>
          <w:sz w:val="20"/>
          <w:szCs w:val="20"/>
        </w:rPr>
        <w:t>thập</w:t>
      </w:r>
      <w:proofErr w:type="spellEnd"/>
      <w:r w:rsidR="00004334" w:rsidRPr="00E21368">
        <w:rPr>
          <w:rFonts w:ascii="Times New Roman" w:hAnsi="Times New Roman"/>
          <w:color w:val="000000"/>
          <w:sz w:val="20"/>
          <w:szCs w:val="20"/>
        </w:rPr>
        <w:t xml:space="preserve"> </w:t>
      </w:r>
      <w:proofErr w:type="spellStart"/>
      <w:r w:rsidR="00004334" w:rsidRPr="00E21368">
        <w:rPr>
          <w:rFonts w:ascii="Times New Roman" w:hAnsi="Times New Roman"/>
          <w:color w:val="000000"/>
          <w:sz w:val="20"/>
          <w:szCs w:val="20"/>
        </w:rPr>
        <w:t>phân</w:t>
      </w:r>
      <w:proofErr w:type="spellEnd"/>
      <w:r w:rsidRPr="00E21368">
        <w:rPr>
          <w:rFonts w:ascii="Times New Roman" w:hAnsi="Times New Roman"/>
          <w:sz w:val="20"/>
          <w:szCs w:val="20"/>
        </w:rPr>
        <w:t>.</w:t>
      </w:r>
    </w:p>
    <w:p w14:paraId="1326B351" w14:textId="040F34F4" w:rsidR="002A0497" w:rsidRDefault="002A0497" w:rsidP="00B059DC">
      <w:pPr>
        <w:spacing w:after="0" w:line="312" w:lineRule="auto"/>
        <w:ind w:left="720" w:right="260"/>
        <w:jc w:val="both"/>
        <w:rPr>
          <w:rFonts w:ascii="Times New Roman" w:hAnsi="Times New Roman"/>
          <w:i/>
          <w:iCs/>
          <w:sz w:val="20"/>
          <w:szCs w:val="20"/>
        </w:rPr>
      </w:pPr>
      <w:r w:rsidRPr="002A3BC8">
        <w:rPr>
          <w:rFonts w:ascii="Times New Roman" w:hAnsi="Times New Roman"/>
          <w:i/>
          <w:iCs/>
          <w:sz w:val="20"/>
          <w:szCs w:val="20"/>
        </w:rPr>
        <w:t xml:space="preserve">The minimum number of swap transactions is one lot of </w:t>
      </w:r>
      <w:proofErr w:type="spellStart"/>
      <w:r w:rsidRPr="002A3BC8">
        <w:rPr>
          <w:rFonts w:ascii="Times New Roman" w:hAnsi="Times New Roman"/>
          <w:i/>
          <w:iCs/>
          <w:sz w:val="20"/>
          <w:szCs w:val="20"/>
        </w:rPr>
        <w:t>fund</w:t>
      </w:r>
      <w:proofErr w:type="spellEnd"/>
      <w:r w:rsidRPr="002A3BC8">
        <w:rPr>
          <w:rFonts w:ascii="Times New Roman" w:hAnsi="Times New Roman"/>
          <w:i/>
          <w:iCs/>
          <w:sz w:val="20"/>
          <w:szCs w:val="20"/>
        </w:rPr>
        <w:t xml:space="preserve"> certificates corresponding to one hundred thousand (100,000) fund certificates.</w:t>
      </w:r>
      <w:r w:rsidR="00B10773">
        <w:rPr>
          <w:rFonts w:ascii="Times New Roman" w:hAnsi="Times New Roman"/>
          <w:i/>
          <w:iCs/>
          <w:sz w:val="20"/>
          <w:szCs w:val="20"/>
        </w:rPr>
        <w:t xml:space="preserve"> </w:t>
      </w:r>
      <w:r w:rsidRPr="002A3BC8">
        <w:rPr>
          <w:rFonts w:ascii="Times New Roman" w:hAnsi="Times New Roman"/>
          <w:i/>
          <w:iCs/>
          <w:sz w:val="20"/>
          <w:szCs w:val="20"/>
        </w:rPr>
        <w:t xml:space="preserve">The net asset value per lot of </w:t>
      </w:r>
      <w:proofErr w:type="spellStart"/>
      <w:r w:rsidRPr="002A3BC8">
        <w:rPr>
          <w:rFonts w:ascii="Times New Roman" w:hAnsi="Times New Roman"/>
          <w:i/>
          <w:iCs/>
          <w:sz w:val="20"/>
          <w:szCs w:val="20"/>
        </w:rPr>
        <w:t>fund</w:t>
      </w:r>
      <w:proofErr w:type="spellEnd"/>
      <w:r w:rsidRPr="002A3BC8">
        <w:rPr>
          <w:rFonts w:ascii="Times New Roman" w:hAnsi="Times New Roman"/>
          <w:i/>
          <w:iCs/>
          <w:sz w:val="20"/>
          <w:szCs w:val="20"/>
        </w:rPr>
        <w:t xml:space="preserve"> certificates is equal to the net asset value of the Fund divided by the total number of lots of fund certificates rounded to the nearest unit. The net asset value on a fund certificate is equal to the net asset value of the Fund divided by the total number of fund certificates in circulation to (02) decimal</w:t>
      </w:r>
      <w:r w:rsidR="00B10773">
        <w:rPr>
          <w:rFonts w:ascii="Times New Roman" w:hAnsi="Times New Roman"/>
          <w:i/>
          <w:iCs/>
          <w:sz w:val="20"/>
          <w:szCs w:val="20"/>
        </w:rPr>
        <w:t>s</w:t>
      </w:r>
      <w:r w:rsidRPr="002A3BC8">
        <w:rPr>
          <w:rFonts w:ascii="Times New Roman" w:hAnsi="Times New Roman"/>
          <w:i/>
          <w:iCs/>
          <w:sz w:val="20"/>
          <w:szCs w:val="20"/>
        </w:rPr>
        <w:t>.</w:t>
      </w:r>
    </w:p>
    <w:p w14:paraId="2ABB2A26" w14:textId="77777777" w:rsidR="002A0497" w:rsidRPr="00E21368" w:rsidRDefault="002A0497" w:rsidP="00B059DC">
      <w:pPr>
        <w:spacing w:after="0" w:line="312" w:lineRule="auto"/>
        <w:ind w:left="720" w:right="260"/>
        <w:jc w:val="both"/>
        <w:rPr>
          <w:rFonts w:ascii="Times New Roman" w:hAnsi="Times New Roman"/>
          <w:sz w:val="20"/>
          <w:szCs w:val="20"/>
        </w:rPr>
      </w:pPr>
    </w:p>
    <w:p w14:paraId="773B4CF5" w14:textId="77777777" w:rsidR="00AD07CC" w:rsidRDefault="00E70229" w:rsidP="00B059DC">
      <w:pPr>
        <w:spacing w:after="0" w:line="312" w:lineRule="auto"/>
        <w:ind w:left="720" w:right="260"/>
        <w:jc w:val="both"/>
        <w:rPr>
          <w:rFonts w:ascii="Times New Roman" w:hAnsi="Times New Roman"/>
          <w:sz w:val="20"/>
          <w:szCs w:val="20"/>
        </w:rPr>
      </w:pP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góp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phát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hành</w:t>
      </w:r>
      <w:proofErr w:type="spellEnd"/>
      <w:r w:rsidRPr="00E21368">
        <w:rPr>
          <w:rFonts w:ascii="Times New Roman" w:hAnsi="Times New Roman"/>
          <w:sz w:val="20"/>
          <w:szCs w:val="20"/>
        </w:rPr>
        <w:t xml:space="preserve"> là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góp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từ</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việc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đổi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lô</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lấy</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mục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cấu</w:t>
      </w:r>
      <w:proofErr w:type="spellEnd"/>
      <w:r w:rsidRPr="00E21368">
        <w:rPr>
          <w:rFonts w:ascii="Times New Roman" w:hAnsi="Times New Roman"/>
          <w:sz w:val="20"/>
          <w:szCs w:val="20"/>
        </w:rPr>
        <w:t>.</w:t>
      </w:r>
      <w:r w:rsidR="001620FB">
        <w:rPr>
          <w:rFonts w:ascii="Times New Roman" w:hAnsi="Times New Roman"/>
          <w:sz w:val="20"/>
          <w:szCs w:val="20"/>
        </w:rPr>
        <w:t xml:space="preserve"> </w:t>
      </w: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góp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phát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hành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ánh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theo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mệnh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của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tại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ngày</w:t>
      </w:r>
      <w:proofErr w:type="spellEnd"/>
      <w:r w:rsidRPr="00E21368">
        <w:rPr>
          <w:rFonts w:ascii="Times New Roman" w:hAnsi="Times New Roman"/>
          <w:sz w:val="20"/>
          <w:szCs w:val="20"/>
        </w:rPr>
        <w:t xml:space="preserve"> làm </w:t>
      </w:r>
      <w:proofErr w:type="spellStart"/>
      <w:r w:rsidRPr="00E21368">
        <w:rPr>
          <w:rFonts w:ascii="Times New Roman" w:hAnsi="Times New Roman"/>
          <w:sz w:val="20"/>
          <w:szCs w:val="20"/>
        </w:rPr>
        <w:t>việc</w:t>
      </w:r>
      <w:proofErr w:type="spellEnd"/>
      <w:r w:rsidRPr="00E21368">
        <w:rPr>
          <w:rFonts w:ascii="Times New Roman" w:hAnsi="Times New Roman"/>
          <w:sz w:val="20"/>
          <w:szCs w:val="20"/>
        </w:rPr>
        <w:t xml:space="preserve"> </w:t>
      </w:r>
      <w:proofErr w:type="spellStart"/>
      <w:r w:rsidR="00856C59">
        <w:rPr>
          <w:rFonts w:ascii="Times New Roman" w:hAnsi="Times New Roman"/>
          <w:sz w:val="20"/>
          <w:szCs w:val="20"/>
        </w:rPr>
        <w:t>đầu</w:t>
      </w:r>
      <w:proofErr w:type="spellEnd"/>
      <w:r w:rsidR="00856C59">
        <w:rPr>
          <w:rFonts w:ascii="Times New Roman" w:hAnsi="Times New Roman"/>
          <w:sz w:val="20"/>
          <w:szCs w:val="20"/>
        </w:rPr>
        <w:t xml:space="preserve"> </w:t>
      </w:r>
      <w:proofErr w:type="spellStart"/>
      <w:r w:rsidR="00856C59">
        <w:rPr>
          <w:rFonts w:ascii="Times New Roman" w:hAnsi="Times New Roman"/>
          <w:sz w:val="20"/>
          <w:szCs w:val="20"/>
        </w:rPr>
        <w:t>tiên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kể</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từ</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ngày</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giao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dịch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đổi</w:t>
      </w:r>
      <w:proofErr w:type="spellEnd"/>
      <w:r w:rsidRPr="00E21368">
        <w:rPr>
          <w:rFonts w:ascii="Times New Roman" w:hAnsi="Times New Roman"/>
          <w:sz w:val="20"/>
          <w:szCs w:val="20"/>
        </w:rPr>
        <w:t xml:space="preserve"> – </w:t>
      </w:r>
      <w:proofErr w:type="spellStart"/>
      <w:r w:rsidRPr="00E21368">
        <w:rPr>
          <w:rFonts w:ascii="Times New Roman" w:hAnsi="Times New Roman"/>
          <w:sz w:val="20"/>
          <w:szCs w:val="20"/>
        </w:rPr>
        <w:t>ngày</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xác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hoàn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tất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giao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dịch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xác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quyền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sở</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hữu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w:t>
      </w:r>
    </w:p>
    <w:p w14:paraId="24E00B98" w14:textId="76D562E1" w:rsidR="002A3BC8" w:rsidRDefault="003D7168" w:rsidP="00B059DC">
      <w:pPr>
        <w:spacing w:after="0" w:line="312" w:lineRule="auto"/>
        <w:ind w:left="720" w:right="260"/>
        <w:jc w:val="both"/>
        <w:rPr>
          <w:rFonts w:ascii="Times New Roman" w:hAnsi="Times New Roman"/>
          <w:i/>
          <w:iCs/>
          <w:sz w:val="20"/>
          <w:szCs w:val="20"/>
        </w:rPr>
      </w:pPr>
      <w:r w:rsidRPr="003D7168">
        <w:rPr>
          <w:rFonts w:ascii="Times New Roman" w:hAnsi="Times New Roman"/>
          <w:i/>
          <w:iCs/>
          <w:sz w:val="20"/>
          <w:szCs w:val="20"/>
        </w:rPr>
        <w:t xml:space="preserve">Subscription </w:t>
      </w:r>
      <w:r w:rsidR="005D63FB" w:rsidRPr="005D63FB">
        <w:rPr>
          <w:rFonts w:ascii="Times New Roman" w:hAnsi="Times New Roman"/>
          <w:i/>
          <w:iCs/>
          <w:sz w:val="20"/>
          <w:szCs w:val="20"/>
        </w:rPr>
        <w:t xml:space="preserve">capital represents the capital from exchange of a lot of </w:t>
      </w:r>
      <w:proofErr w:type="spellStart"/>
      <w:r w:rsidR="005D63FB" w:rsidRPr="005D63FB">
        <w:rPr>
          <w:rFonts w:ascii="Times New Roman" w:hAnsi="Times New Roman"/>
          <w:i/>
          <w:iCs/>
          <w:sz w:val="20"/>
          <w:szCs w:val="20"/>
        </w:rPr>
        <w:t>fund</w:t>
      </w:r>
      <w:proofErr w:type="spellEnd"/>
      <w:r w:rsidR="005D63FB" w:rsidRPr="005D63FB">
        <w:rPr>
          <w:rFonts w:ascii="Times New Roman" w:hAnsi="Times New Roman"/>
          <w:i/>
          <w:iCs/>
          <w:sz w:val="20"/>
          <w:szCs w:val="20"/>
        </w:rPr>
        <w:t xml:space="preserve"> certificates for a basket of component securities and cash contribution (if any). Created capital is recorded as par value on the working day after the exchange date – the date on which the exchange and ownership transfer are confirmed.</w:t>
      </w:r>
    </w:p>
    <w:p w14:paraId="05566236" w14:textId="77777777" w:rsidR="003D7168" w:rsidRPr="002A3BC8" w:rsidRDefault="003D7168" w:rsidP="00B059DC">
      <w:pPr>
        <w:spacing w:after="0" w:line="312" w:lineRule="auto"/>
        <w:ind w:left="720" w:right="260"/>
        <w:jc w:val="both"/>
        <w:rPr>
          <w:rFonts w:ascii="Times New Roman" w:hAnsi="Times New Roman"/>
          <w:i/>
          <w:iCs/>
          <w:sz w:val="20"/>
          <w:szCs w:val="20"/>
        </w:rPr>
      </w:pPr>
    </w:p>
    <w:p w14:paraId="39044412" w14:textId="4327D985" w:rsidR="00E70229" w:rsidRPr="003D7168" w:rsidRDefault="00E70229" w:rsidP="003D7168">
      <w:pPr>
        <w:pStyle w:val="ListParagraph"/>
        <w:numPr>
          <w:ilvl w:val="0"/>
          <w:numId w:val="41"/>
        </w:numPr>
        <w:overflowPunct w:val="0"/>
        <w:autoSpaceDE w:val="0"/>
        <w:autoSpaceDN w:val="0"/>
        <w:adjustRightInd w:val="0"/>
        <w:spacing w:before="60" w:after="60" w:line="312" w:lineRule="auto"/>
        <w:ind w:right="260"/>
        <w:jc w:val="both"/>
        <w:textAlignment w:val="baseline"/>
        <w:outlineLvl w:val="2"/>
        <w:rPr>
          <w:rFonts w:ascii="Times New Roman" w:hAnsi="Times New Roman"/>
          <w:b/>
          <w:i/>
          <w:sz w:val="20"/>
          <w:szCs w:val="20"/>
        </w:rPr>
      </w:pPr>
      <w:proofErr w:type="spellStart"/>
      <w:r w:rsidRPr="003D7168">
        <w:rPr>
          <w:rFonts w:ascii="Times New Roman" w:hAnsi="Times New Roman"/>
          <w:b/>
          <w:i/>
          <w:sz w:val="20"/>
          <w:szCs w:val="20"/>
        </w:rPr>
        <w:t>Vốn</w:t>
      </w:r>
      <w:proofErr w:type="spellEnd"/>
      <w:r w:rsidRPr="003D7168">
        <w:rPr>
          <w:rFonts w:ascii="Times New Roman" w:hAnsi="Times New Roman"/>
          <w:b/>
          <w:i/>
          <w:sz w:val="20"/>
          <w:szCs w:val="20"/>
        </w:rPr>
        <w:t xml:space="preserve"> </w:t>
      </w:r>
      <w:proofErr w:type="spellStart"/>
      <w:r w:rsidRPr="003D7168">
        <w:rPr>
          <w:rFonts w:ascii="Times New Roman" w:hAnsi="Times New Roman"/>
          <w:b/>
          <w:i/>
          <w:sz w:val="20"/>
          <w:szCs w:val="20"/>
        </w:rPr>
        <w:t>góp</w:t>
      </w:r>
      <w:proofErr w:type="spellEnd"/>
      <w:r w:rsidRPr="003D7168">
        <w:rPr>
          <w:rFonts w:ascii="Times New Roman" w:hAnsi="Times New Roman"/>
          <w:b/>
          <w:i/>
          <w:sz w:val="20"/>
          <w:szCs w:val="20"/>
        </w:rPr>
        <w:t xml:space="preserve"> mua </w:t>
      </w:r>
      <w:proofErr w:type="spellStart"/>
      <w:r w:rsidR="002A3BC8" w:rsidRPr="003D7168">
        <w:rPr>
          <w:rFonts w:ascii="Times New Roman" w:hAnsi="Times New Roman"/>
          <w:b/>
          <w:i/>
          <w:sz w:val="20"/>
          <w:szCs w:val="20"/>
        </w:rPr>
        <w:t>lại</w:t>
      </w:r>
      <w:proofErr w:type="spellEnd"/>
      <w:r w:rsidR="002A3BC8" w:rsidRPr="003D7168">
        <w:rPr>
          <w:rFonts w:ascii="Times New Roman" w:hAnsi="Times New Roman"/>
          <w:b/>
          <w:i/>
          <w:sz w:val="20"/>
          <w:szCs w:val="20"/>
          <w:lang w:val="vi-VN"/>
        </w:rPr>
        <w:t>/ Redeemed capital</w:t>
      </w:r>
    </w:p>
    <w:p w14:paraId="73B4441F" w14:textId="77777777" w:rsidR="00D66577" w:rsidRDefault="00E70229" w:rsidP="00ED7F1A">
      <w:pPr>
        <w:widowControl w:val="0"/>
        <w:spacing w:after="0" w:line="312" w:lineRule="auto"/>
        <w:ind w:left="720" w:right="260"/>
        <w:jc w:val="both"/>
        <w:rPr>
          <w:rFonts w:ascii="Times New Roman" w:hAnsi="Times New Roman"/>
          <w:sz w:val="20"/>
          <w:szCs w:val="20"/>
        </w:rPr>
      </w:pP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góp</w:t>
      </w:r>
      <w:proofErr w:type="spellEnd"/>
      <w:r w:rsidRPr="00E21368">
        <w:rPr>
          <w:rFonts w:ascii="Times New Roman" w:hAnsi="Times New Roman"/>
          <w:sz w:val="20"/>
          <w:szCs w:val="20"/>
        </w:rPr>
        <w:t xml:space="preserve"> mua </w:t>
      </w:r>
      <w:proofErr w:type="spellStart"/>
      <w:r w:rsidRPr="00E21368">
        <w:rPr>
          <w:rFonts w:ascii="Times New Roman" w:hAnsi="Times New Roman"/>
          <w:sz w:val="20"/>
          <w:szCs w:val="20"/>
        </w:rPr>
        <w:t>lại</w:t>
      </w:r>
      <w:proofErr w:type="spellEnd"/>
      <w:r w:rsidRPr="00E21368">
        <w:rPr>
          <w:rFonts w:ascii="Times New Roman" w:hAnsi="Times New Roman"/>
          <w:sz w:val="20"/>
          <w:szCs w:val="20"/>
        </w:rPr>
        <w:t xml:space="preserve"> là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góp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từ</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việc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đổi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mục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cấu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lấy</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lô</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góp</w:t>
      </w:r>
      <w:proofErr w:type="spellEnd"/>
      <w:r w:rsidRPr="00E21368">
        <w:rPr>
          <w:rFonts w:ascii="Times New Roman" w:hAnsi="Times New Roman"/>
          <w:sz w:val="20"/>
          <w:szCs w:val="20"/>
        </w:rPr>
        <w:t xml:space="preserve"> mua </w:t>
      </w:r>
      <w:proofErr w:type="spellStart"/>
      <w:r w:rsidRPr="00E21368">
        <w:rPr>
          <w:rFonts w:ascii="Times New Roman" w:hAnsi="Times New Roman"/>
          <w:sz w:val="20"/>
          <w:szCs w:val="20"/>
        </w:rPr>
        <w:t>lại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ánh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theo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mệnh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góp</w:t>
      </w:r>
      <w:proofErr w:type="spellEnd"/>
      <w:r w:rsidRPr="00E21368">
        <w:rPr>
          <w:rFonts w:ascii="Times New Roman" w:hAnsi="Times New Roman"/>
          <w:sz w:val="20"/>
          <w:szCs w:val="20"/>
        </w:rPr>
        <w:t xml:space="preserve"> mua </w:t>
      </w:r>
      <w:proofErr w:type="spellStart"/>
      <w:r w:rsidRPr="00E21368">
        <w:rPr>
          <w:rFonts w:ascii="Times New Roman" w:hAnsi="Times New Roman"/>
          <w:sz w:val="20"/>
          <w:szCs w:val="20"/>
        </w:rPr>
        <w:t>lại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ánh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theo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mệnh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tại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ngày</w:t>
      </w:r>
      <w:proofErr w:type="spellEnd"/>
      <w:r w:rsidRPr="00E21368">
        <w:rPr>
          <w:rFonts w:ascii="Times New Roman" w:hAnsi="Times New Roman"/>
          <w:sz w:val="20"/>
          <w:szCs w:val="20"/>
        </w:rPr>
        <w:t xml:space="preserve"> làm </w:t>
      </w:r>
      <w:proofErr w:type="spellStart"/>
      <w:r w:rsidRPr="00E21368">
        <w:rPr>
          <w:rFonts w:ascii="Times New Roman" w:hAnsi="Times New Roman"/>
          <w:sz w:val="20"/>
          <w:szCs w:val="20"/>
        </w:rPr>
        <w:t>việc</w:t>
      </w:r>
      <w:proofErr w:type="spellEnd"/>
      <w:r w:rsidRPr="00E21368">
        <w:rPr>
          <w:rFonts w:ascii="Times New Roman" w:hAnsi="Times New Roman"/>
          <w:sz w:val="20"/>
          <w:szCs w:val="20"/>
        </w:rPr>
        <w:t xml:space="preserve"> </w:t>
      </w:r>
      <w:proofErr w:type="spellStart"/>
      <w:r w:rsidR="00856C59">
        <w:rPr>
          <w:rFonts w:ascii="Times New Roman" w:hAnsi="Times New Roman"/>
          <w:sz w:val="20"/>
          <w:szCs w:val="20"/>
        </w:rPr>
        <w:t>đầu</w:t>
      </w:r>
      <w:proofErr w:type="spellEnd"/>
      <w:r w:rsidR="00856C59">
        <w:rPr>
          <w:rFonts w:ascii="Times New Roman" w:hAnsi="Times New Roman"/>
          <w:sz w:val="20"/>
          <w:szCs w:val="20"/>
        </w:rPr>
        <w:t xml:space="preserve"> </w:t>
      </w:r>
      <w:proofErr w:type="spellStart"/>
      <w:r w:rsidR="00856C59">
        <w:rPr>
          <w:rFonts w:ascii="Times New Roman" w:hAnsi="Times New Roman"/>
          <w:sz w:val="20"/>
          <w:szCs w:val="20"/>
        </w:rPr>
        <w:t>tiên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kể</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từ</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ngày</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giao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dịch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đổi</w:t>
      </w:r>
      <w:proofErr w:type="spellEnd"/>
      <w:r w:rsidRPr="00E21368">
        <w:rPr>
          <w:rFonts w:ascii="Times New Roman" w:hAnsi="Times New Roman"/>
          <w:sz w:val="20"/>
          <w:szCs w:val="20"/>
        </w:rPr>
        <w:t xml:space="preserve"> – </w:t>
      </w:r>
      <w:proofErr w:type="spellStart"/>
      <w:r w:rsidRPr="00E21368">
        <w:rPr>
          <w:rFonts w:ascii="Times New Roman" w:hAnsi="Times New Roman"/>
          <w:sz w:val="20"/>
          <w:szCs w:val="20"/>
        </w:rPr>
        <w:t>ngày</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xác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hoàn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tất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giao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dịch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xác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quyền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sở</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hữu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cho</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w:t>
      </w:r>
    </w:p>
    <w:p w14:paraId="42637CEF" w14:textId="4DEDC1E1" w:rsidR="002A3BC8" w:rsidRDefault="008727D2" w:rsidP="00ED7F1A">
      <w:pPr>
        <w:widowControl w:val="0"/>
        <w:spacing w:after="0" w:line="312" w:lineRule="auto"/>
        <w:ind w:left="720" w:right="260"/>
        <w:jc w:val="both"/>
        <w:rPr>
          <w:rFonts w:ascii="Times New Roman" w:hAnsi="Times New Roman"/>
          <w:i/>
          <w:iCs/>
          <w:sz w:val="20"/>
          <w:szCs w:val="20"/>
        </w:rPr>
      </w:pPr>
      <w:r w:rsidRPr="008727D2">
        <w:rPr>
          <w:rFonts w:ascii="Times New Roman" w:hAnsi="Times New Roman"/>
          <w:i/>
          <w:iCs/>
          <w:sz w:val="20"/>
          <w:szCs w:val="20"/>
        </w:rPr>
        <w:t xml:space="preserve">Redeemed capital represents the capital from exchange of a basket of component securities and cash payment (if any) for a lot of </w:t>
      </w:r>
      <w:proofErr w:type="spellStart"/>
      <w:r w:rsidRPr="008727D2">
        <w:rPr>
          <w:rFonts w:ascii="Times New Roman" w:hAnsi="Times New Roman"/>
          <w:i/>
          <w:iCs/>
          <w:sz w:val="20"/>
          <w:szCs w:val="20"/>
        </w:rPr>
        <w:t>fund</w:t>
      </w:r>
      <w:proofErr w:type="spellEnd"/>
      <w:r w:rsidRPr="008727D2">
        <w:rPr>
          <w:rFonts w:ascii="Times New Roman" w:hAnsi="Times New Roman"/>
          <w:i/>
          <w:iCs/>
          <w:sz w:val="20"/>
          <w:szCs w:val="20"/>
        </w:rPr>
        <w:t xml:space="preserve"> certificates from the fund certificate holders at the exchange date. Redeemed capital is recorded as par value on the working day after the exchange date – the date on which the exchange and ownership transfer are confirmed.</w:t>
      </w:r>
    </w:p>
    <w:p w14:paraId="5F753B8C" w14:textId="77777777" w:rsidR="00ED7F1A" w:rsidRPr="002A3BC8" w:rsidRDefault="00ED7F1A" w:rsidP="00ED7F1A">
      <w:pPr>
        <w:widowControl w:val="0"/>
        <w:spacing w:after="0" w:line="312" w:lineRule="auto"/>
        <w:ind w:left="720" w:right="260"/>
        <w:jc w:val="both"/>
        <w:rPr>
          <w:rFonts w:ascii="Times New Roman" w:hAnsi="Times New Roman"/>
          <w:i/>
          <w:iCs/>
          <w:sz w:val="20"/>
          <w:szCs w:val="20"/>
        </w:rPr>
      </w:pPr>
    </w:p>
    <w:p w14:paraId="65A65471" w14:textId="4283261C" w:rsidR="00E70229" w:rsidRPr="00ED7F1A" w:rsidRDefault="00E70229" w:rsidP="00ED7F1A">
      <w:pPr>
        <w:pStyle w:val="ListParagraph"/>
        <w:numPr>
          <w:ilvl w:val="0"/>
          <w:numId w:val="41"/>
        </w:numPr>
        <w:overflowPunct w:val="0"/>
        <w:autoSpaceDE w:val="0"/>
        <w:autoSpaceDN w:val="0"/>
        <w:adjustRightInd w:val="0"/>
        <w:spacing w:before="60" w:after="60" w:line="312" w:lineRule="auto"/>
        <w:ind w:right="260"/>
        <w:jc w:val="both"/>
        <w:textAlignment w:val="baseline"/>
        <w:outlineLvl w:val="2"/>
        <w:rPr>
          <w:rFonts w:ascii="Times New Roman" w:hAnsi="Times New Roman"/>
          <w:b/>
          <w:i/>
          <w:sz w:val="20"/>
          <w:szCs w:val="20"/>
        </w:rPr>
      </w:pPr>
      <w:proofErr w:type="spellStart"/>
      <w:r w:rsidRPr="00ED7F1A">
        <w:rPr>
          <w:rFonts w:ascii="Times New Roman" w:hAnsi="Times New Roman"/>
          <w:b/>
          <w:i/>
          <w:sz w:val="20"/>
          <w:szCs w:val="20"/>
        </w:rPr>
        <w:t>Thặng</w:t>
      </w:r>
      <w:proofErr w:type="spellEnd"/>
      <w:r w:rsidRPr="00ED7F1A">
        <w:rPr>
          <w:rFonts w:ascii="Times New Roman" w:hAnsi="Times New Roman"/>
          <w:b/>
          <w:i/>
          <w:sz w:val="20"/>
          <w:szCs w:val="20"/>
        </w:rPr>
        <w:t xml:space="preserve"> </w:t>
      </w:r>
      <w:proofErr w:type="spellStart"/>
      <w:r w:rsidRPr="00ED7F1A">
        <w:rPr>
          <w:rFonts w:ascii="Times New Roman" w:hAnsi="Times New Roman"/>
          <w:b/>
          <w:i/>
          <w:sz w:val="20"/>
          <w:szCs w:val="20"/>
        </w:rPr>
        <w:t>dư</w:t>
      </w:r>
      <w:proofErr w:type="spellEnd"/>
      <w:r w:rsidRPr="00ED7F1A">
        <w:rPr>
          <w:rFonts w:ascii="Times New Roman" w:hAnsi="Times New Roman"/>
          <w:b/>
          <w:i/>
          <w:sz w:val="20"/>
          <w:szCs w:val="20"/>
        </w:rPr>
        <w:t xml:space="preserve"> </w:t>
      </w:r>
      <w:proofErr w:type="spellStart"/>
      <w:r w:rsidRPr="00ED7F1A">
        <w:rPr>
          <w:rFonts w:ascii="Times New Roman" w:hAnsi="Times New Roman"/>
          <w:b/>
          <w:i/>
          <w:sz w:val="20"/>
          <w:szCs w:val="20"/>
        </w:rPr>
        <w:t>vốn</w:t>
      </w:r>
      <w:proofErr w:type="spellEnd"/>
      <w:r w:rsidRPr="00ED7F1A">
        <w:rPr>
          <w:rFonts w:ascii="Times New Roman" w:hAnsi="Times New Roman"/>
          <w:b/>
          <w:i/>
          <w:sz w:val="20"/>
          <w:szCs w:val="20"/>
        </w:rPr>
        <w:t xml:space="preserve"> </w:t>
      </w:r>
      <w:proofErr w:type="spellStart"/>
      <w:r w:rsidRPr="00ED7F1A">
        <w:rPr>
          <w:rFonts w:ascii="Times New Roman" w:hAnsi="Times New Roman"/>
          <w:b/>
          <w:i/>
          <w:sz w:val="20"/>
          <w:szCs w:val="20"/>
        </w:rPr>
        <w:t>góp</w:t>
      </w:r>
      <w:proofErr w:type="spellEnd"/>
      <w:r w:rsidRPr="00ED7F1A">
        <w:rPr>
          <w:rFonts w:ascii="Times New Roman" w:hAnsi="Times New Roman"/>
          <w:b/>
          <w:i/>
          <w:sz w:val="20"/>
          <w:szCs w:val="20"/>
        </w:rPr>
        <w:t xml:space="preserve"> của </w:t>
      </w:r>
      <w:proofErr w:type="spellStart"/>
      <w:r w:rsidRPr="00ED7F1A">
        <w:rPr>
          <w:rFonts w:ascii="Times New Roman" w:hAnsi="Times New Roman"/>
          <w:b/>
          <w:i/>
          <w:sz w:val="20"/>
          <w:szCs w:val="20"/>
        </w:rPr>
        <w:t>nhà</w:t>
      </w:r>
      <w:proofErr w:type="spellEnd"/>
      <w:r w:rsidRPr="00ED7F1A">
        <w:rPr>
          <w:rFonts w:ascii="Times New Roman" w:hAnsi="Times New Roman"/>
          <w:b/>
          <w:i/>
          <w:sz w:val="20"/>
          <w:szCs w:val="20"/>
        </w:rPr>
        <w:t xml:space="preserve"> </w:t>
      </w:r>
      <w:proofErr w:type="spellStart"/>
      <w:r w:rsidRPr="00ED7F1A">
        <w:rPr>
          <w:rFonts w:ascii="Times New Roman" w:hAnsi="Times New Roman"/>
          <w:b/>
          <w:i/>
          <w:sz w:val="20"/>
          <w:szCs w:val="20"/>
        </w:rPr>
        <w:t>đầu</w:t>
      </w:r>
      <w:proofErr w:type="spellEnd"/>
      <w:r w:rsidRPr="00ED7F1A">
        <w:rPr>
          <w:rFonts w:ascii="Times New Roman" w:hAnsi="Times New Roman"/>
          <w:b/>
          <w:i/>
          <w:sz w:val="20"/>
          <w:szCs w:val="20"/>
        </w:rPr>
        <w:t xml:space="preserve"> </w:t>
      </w:r>
      <w:proofErr w:type="spellStart"/>
      <w:r w:rsidR="002A3BC8" w:rsidRPr="00ED7F1A">
        <w:rPr>
          <w:rFonts w:ascii="Times New Roman" w:hAnsi="Times New Roman"/>
          <w:b/>
          <w:i/>
          <w:sz w:val="20"/>
          <w:szCs w:val="20"/>
        </w:rPr>
        <w:t>tư</w:t>
      </w:r>
      <w:proofErr w:type="spellEnd"/>
      <w:r w:rsidR="002A3BC8" w:rsidRPr="00ED7F1A">
        <w:rPr>
          <w:rFonts w:ascii="Times New Roman" w:hAnsi="Times New Roman"/>
          <w:b/>
          <w:i/>
          <w:sz w:val="20"/>
          <w:szCs w:val="20"/>
          <w:lang w:val="vi-VN"/>
        </w:rPr>
        <w:t>/ Share premium</w:t>
      </w:r>
    </w:p>
    <w:p w14:paraId="39026491" w14:textId="77777777" w:rsidR="00E70229" w:rsidRDefault="00E70229" w:rsidP="002952C8">
      <w:pPr>
        <w:widowControl w:val="0"/>
        <w:spacing w:after="0" w:line="312" w:lineRule="auto"/>
        <w:ind w:left="720" w:right="259"/>
        <w:jc w:val="both"/>
        <w:rPr>
          <w:rFonts w:ascii="Times New Roman" w:hAnsi="Times New Roman"/>
          <w:sz w:val="20"/>
          <w:szCs w:val="20"/>
        </w:rPr>
      </w:pPr>
      <w:proofErr w:type="spellStart"/>
      <w:r w:rsidRPr="00E21368">
        <w:rPr>
          <w:rFonts w:ascii="Times New Roman" w:hAnsi="Times New Roman"/>
          <w:sz w:val="20"/>
          <w:szCs w:val="20"/>
        </w:rPr>
        <w:t>Thặng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dư</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vốn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thể</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hiện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chênh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lệch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giữa</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trị</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tài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ròng</w:t>
      </w:r>
      <w:proofErr w:type="spellEnd"/>
      <w:r w:rsidRPr="00E21368">
        <w:rPr>
          <w:rFonts w:ascii="Times New Roman" w:hAnsi="Times New Roman"/>
          <w:sz w:val="20"/>
          <w:szCs w:val="20"/>
        </w:rPr>
        <w:t xml:space="preserve"> trên </w:t>
      </w:r>
      <w:proofErr w:type="spellStart"/>
      <w:r w:rsidRPr="00E21368">
        <w:rPr>
          <w:rFonts w:ascii="Times New Roman" w:hAnsi="Times New Roman"/>
          <w:sz w:val="20"/>
          <w:szCs w:val="20"/>
        </w:rPr>
        <w:t>một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dùng</w:t>
      </w:r>
      <w:proofErr w:type="spellEnd"/>
      <w:r w:rsidRPr="00E21368">
        <w:rPr>
          <w:rFonts w:ascii="Times New Roman" w:hAnsi="Times New Roman"/>
          <w:sz w:val="20"/>
          <w:szCs w:val="20"/>
        </w:rPr>
        <w:t xml:space="preserve"> để </w:t>
      </w:r>
      <w:proofErr w:type="spellStart"/>
      <w:r w:rsidRPr="00E21368">
        <w:rPr>
          <w:rFonts w:ascii="Times New Roman" w:hAnsi="Times New Roman"/>
          <w:sz w:val="20"/>
          <w:szCs w:val="20"/>
        </w:rPr>
        <w:t>hoán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đổi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mệnh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đối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với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chỉ</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phát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hành</w:t>
      </w:r>
      <w:proofErr w:type="spellEnd"/>
      <w:r w:rsidRPr="00E21368">
        <w:rPr>
          <w:rFonts w:ascii="Times New Roman" w:hAnsi="Times New Roman"/>
          <w:sz w:val="20"/>
          <w:szCs w:val="20"/>
        </w:rPr>
        <w:t xml:space="preserve">/mua </w:t>
      </w:r>
      <w:proofErr w:type="spellStart"/>
      <w:r w:rsidRPr="00E21368">
        <w:rPr>
          <w:rFonts w:ascii="Times New Roman" w:hAnsi="Times New Roman"/>
          <w:sz w:val="20"/>
          <w:szCs w:val="20"/>
        </w:rPr>
        <w:t>lại</w:t>
      </w:r>
      <w:proofErr w:type="spellEnd"/>
      <w:r w:rsidRPr="00E21368">
        <w:rPr>
          <w:rFonts w:ascii="Times New Roman" w:hAnsi="Times New Roman"/>
          <w:sz w:val="20"/>
          <w:szCs w:val="20"/>
        </w:rPr>
        <w:t xml:space="preserve">. </w:t>
      </w:r>
    </w:p>
    <w:p w14:paraId="20E4DCF5" w14:textId="5B052898" w:rsidR="002A3BC8" w:rsidRDefault="0044138F" w:rsidP="002952C8">
      <w:pPr>
        <w:widowControl w:val="0"/>
        <w:spacing w:after="0" w:line="312" w:lineRule="auto"/>
        <w:ind w:left="720" w:right="259"/>
        <w:jc w:val="both"/>
        <w:rPr>
          <w:rFonts w:ascii="Times New Roman" w:hAnsi="Times New Roman"/>
          <w:i/>
          <w:iCs/>
          <w:sz w:val="20"/>
          <w:szCs w:val="20"/>
        </w:rPr>
      </w:pPr>
      <w:r w:rsidRPr="0044138F">
        <w:rPr>
          <w:rFonts w:ascii="Times New Roman" w:hAnsi="Times New Roman"/>
          <w:i/>
          <w:iCs/>
          <w:sz w:val="20"/>
          <w:szCs w:val="20"/>
        </w:rPr>
        <w:t>Share premium represents the difference between the par value and the creation value or redemption value in exchange transactions.</w:t>
      </w:r>
    </w:p>
    <w:p w14:paraId="1EAF94B9" w14:textId="77777777" w:rsidR="00F954CC" w:rsidRPr="002A3BC8" w:rsidRDefault="00F954CC" w:rsidP="002952C8">
      <w:pPr>
        <w:widowControl w:val="0"/>
        <w:spacing w:after="0" w:line="312" w:lineRule="auto"/>
        <w:ind w:left="720" w:right="259"/>
        <w:jc w:val="both"/>
        <w:rPr>
          <w:rFonts w:ascii="Times New Roman" w:hAnsi="Times New Roman"/>
          <w:i/>
          <w:iCs/>
          <w:sz w:val="20"/>
          <w:szCs w:val="20"/>
        </w:rPr>
      </w:pPr>
    </w:p>
    <w:p w14:paraId="1F957D60" w14:textId="77777777" w:rsidR="00F954CC" w:rsidRDefault="00F954CC">
      <w:pPr>
        <w:spacing w:after="160" w:line="259" w:lineRule="auto"/>
        <w:rPr>
          <w:rFonts w:ascii="Times New Roman" w:hAnsi="Times New Roman"/>
          <w:b/>
          <w:i/>
          <w:sz w:val="20"/>
          <w:szCs w:val="20"/>
        </w:rPr>
      </w:pPr>
      <w:r>
        <w:rPr>
          <w:rFonts w:ascii="Times New Roman" w:hAnsi="Times New Roman"/>
          <w:b/>
          <w:i/>
          <w:sz w:val="20"/>
          <w:szCs w:val="20"/>
        </w:rPr>
        <w:br w:type="page"/>
      </w:r>
    </w:p>
    <w:p w14:paraId="2BD8EFA2" w14:textId="0DEE86D2" w:rsidR="00E70229" w:rsidRPr="00F954CC" w:rsidRDefault="00E70229" w:rsidP="00F954CC">
      <w:pPr>
        <w:pStyle w:val="ListParagraph"/>
        <w:numPr>
          <w:ilvl w:val="0"/>
          <w:numId w:val="41"/>
        </w:numPr>
        <w:overflowPunct w:val="0"/>
        <w:autoSpaceDE w:val="0"/>
        <w:autoSpaceDN w:val="0"/>
        <w:adjustRightInd w:val="0"/>
        <w:spacing w:before="60" w:after="60" w:line="312" w:lineRule="auto"/>
        <w:ind w:right="259"/>
        <w:jc w:val="both"/>
        <w:textAlignment w:val="baseline"/>
        <w:outlineLvl w:val="2"/>
        <w:rPr>
          <w:rFonts w:ascii="Times New Roman" w:hAnsi="Times New Roman"/>
          <w:b/>
          <w:i/>
          <w:sz w:val="20"/>
          <w:szCs w:val="20"/>
        </w:rPr>
      </w:pPr>
      <w:proofErr w:type="spellStart"/>
      <w:r w:rsidRPr="00F954CC">
        <w:rPr>
          <w:rFonts w:ascii="Times New Roman" w:hAnsi="Times New Roman"/>
          <w:b/>
          <w:i/>
          <w:sz w:val="20"/>
          <w:szCs w:val="20"/>
        </w:rPr>
        <w:lastRenderedPageBreak/>
        <w:t>Phân</w:t>
      </w:r>
      <w:proofErr w:type="spellEnd"/>
      <w:r w:rsidRPr="00F954CC">
        <w:rPr>
          <w:rFonts w:ascii="Times New Roman" w:hAnsi="Times New Roman"/>
          <w:b/>
          <w:i/>
          <w:sz w:val="20"/>
          <w:szCs w:val="20"/>
        </w:rPr>
        <w:t xml:space="preserve"> </w:t>
      </w:r>
      <w:proofErr w:type="spellStart"/>
      <w:r w:rsidRPr="00F954CC">
        <w:rPr>
          <w:rFonts w:ascii="Times New Roman" w:hAnsi="Times New Roman"/>
          <w:b/>
          <w:i/>
          <w:sz w:val="20"/>
          <w:szCs w:val="20"/>
        </w:rPr>
        <w:t>phối</w:t>
      </w:r>
      <w:proofErr w:type="spellEnd"/>
      <w:r w:rsidRPr="00F954CC">
        <w:rPr>
          <w:rFonts w:ascii="Times New Roman" w:hAnsi="Times New Roman"/>
          <w:b/>
          <w:i/>
          <w:sz w:val="20"/>
          <w:szCs w:val="20"/>
        </w:rPr>
        <w:t xml:space="preserve"> </w:t>
      </w:r>
      <w:proofErr w:type="spellStart"/>
      <w:r w:rsidRPr="00F954CC">
        <w:rPr>
          <w:rFonts w:ascii="Times New Roman" w:hAnsi="Times New Roman"/>
          <w:b/>
          <w:i/>
          <w:sz w:val="20"/>
          <w:szCs w:val="20"/>
        </w:rPr>
        <w:t>thu</w:t>
      </w:r>
      <w:proofErr w:type="spellEnd"/>
      <w:r w:rsidRPr="00F954CC">
        <w:rPr>
          <w:rFonts w:ascii="Times New Roman" w:hAnsi="Times New Roman"/>
          <w:b/>
          <w:i/>
          <w:sz w:val="20"/>
          <w:szCs w:val="20"/>
        </w:rPr>
        <w:t xml:space="preserve"> </w:t>
      </w:r>
      <w:proofErr w:type="spellStart"/>
      <w:r w:rsidRPr="00F954CC">
        <w:rPr>
          <w:rFonts w:ascii="Times New Roman" w:hAnsi="Times New Roman"/>
          <w:b/>
          <w:i/>
          <w:sz w:val="20"/>
          <w:szCs w:val="20"/>
        </w:rPr>
        <w:t>nhập</w:t>
      </w:r>
      <w:proofErr w:type="spellEnd"/>
      <w:r w:rsidRPr="00F954CC">
        <w:rPr>
          <w:rFonts w:ascii="Times New Roman" w:hAnsi="Times New Roman"/>
          <w:b/>
          <w:i/>
          <w:sz w:val="20"/>
          <w:szCs w:val="20"/>
        </w:rPr>
        <w:t xml:space="preserve"> của </w:t>
      </w:r>
      <w:proofErr w:type="spellStart"/>
      <w:r w:rsidR="002A3BC8" w:rsidRPr="00F954CC">
        <w:rPr>
          <w:rFonts w:ascii="Times New Roman" w:hAnsi="Times New Roman"/>
          <w:b/>
          <w:i/>
          <w:sz w:val="20"/>
          <w:szCs w:val="20"/>
        </w:rPr>
        <w:t>Quỹ</w:t>
      </w:r>
      <w:proofErr w:type="spellEnd"/>
      <w:r w:rsidR="002A3BC8" w:rsidRPr="00F954CC">
        <w:rPr>
          <w:rFonts w:ascii="Times New Roman" w:hAnsi="Times New Roman"/>
          <w:b/>
          <w:i/>
          <w:sz w:val="20"/>
          <w:szCs w:val="20"/>
          <w:lang w:val="vi-VN"/>
        </w:rPr>
        <w:t>/Distribution of the Fund's income</w:t>
      </w:r>
    </w:p>
    <w:p w14:paraId="3C6DF557" w14:textId="77777777" w:rsidR="00E73401" w:rsidRDefault="00E70229" w:rsidP="00F954CC">
      <w:pPr>
        <w:keepLines/>
        <w:overflowPunct w:val="0"/>
        <w:autoSpaceDE w:val="0"/>
        <w:autoSpaceDN w:val="0"/>
        <w:adjustRightInd w:val="0"/>
        <w:spacing w:after="120" w:line="312" w:lineRule="auto"/>
        <w:ind w:left="720" w:right="259"/>
        <w:jc w:val="both"/>
        <w:textAlignment w:val="baseline"/>
        <w:outlineLvl w:val="2"/>
        <w:rPr>
          <w:rFonts w:ascii="Times New Roman" w:hAnsi="Times New Roman"/>
          <w:sz w:val="20"/>
          <w:szCs w:val="20"/>
        </w:rPr>
      </w:pPr>
      <w:r w:rsidRPr="00351AD1">
        <w:rPr>
          <w:rFonts w:ascii="Times New Roman" w:hAnsi="Times New Roman"/>
          <w:sz w:val="20"/>
          <w:szCs w:val="20"/>
        </w:rPr>
        <w:t xml:space="preserve">Theo </w:t>
      </w:r>
      <w:proofErr w:type="spellStart"/>
      <w:r w:rsidRPr="00351AD1">
        <w:rPr>
          <w:rFonts w:ascii="Times New Roman" w:hAnsi="Times New Roman"/>
          <w:sz w:val="20"/>
          <w:szCs w:val="20"/>
        </w:rPr>
        <w:t>Điều</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lệ</w:t>
      </w:r>
      <w:proofErr w:type="spellEnd"/>
      <w:r w:rsidRPr="00351AD1">
        <w:rPr>
          <w:rFonts w:ascii="Times New Roman" w:hAnsi="Times New Roman"/>
          <w:sz w:val="20"/>
          <w:szCs w:val="20"/>
        </w:rPr>
        <w:t xml:space="preserve"> của </w:t>
      </w:r>
      <w:proofErr w:type="spellStart"/>
      <w:r w:rsidRPr="00351AD1">
        <w:rPr>
          <w:rFonts w:ascii="Times New Roman" w:hAnsi="Times New Roman"/>
          <w:sz w:val="20"/>
          <w:szCs w:val="20"/>
        </w:rPr>
        <w:t>Quỹ</w:t>
      </w:r>
      <w:proofErr w:type="spellEnd"/>
      <w:r w:rsidRPr="00351AD1">
        <w:rPr>
          <w:rFonts w:ascii="Times New Roman" w:hAnsi="Times New Roman"/>
          <w:sz w:val="20"/>
          <w:szCs w:val="20"/>
        </w:rPr>
        <w:t xml:space="preserve">, </w:t>
      </w:r>
      <w:r w:rsidR="00865616" w:rsidRPr="00351AD1">
        <w:rPr>
          <w:rFonts w:ascii="Times New Roman" w:hAnsi="Times New Roman"/>
          <w:sz w:val="20"/>
          <w:szCs w:val="20"/>
        </w:rPr>
        <w:t xml:space="preserve">để </w:t>
      </w:r>
      <w:proofErr w:type="spellStart"/>
      <w:r w:rsidR="00865616" w:rsidRPr="00351AD1">
        <w:rPr>
          <w:rFonts w:ascii="Times New Roman" w:hAnsi="Times New Roman"/>
          <w:sz w:val="20"/>
          <w:szCs w:val="20"/>
        </w:rPr>
        <w:t>hạn</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chế</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tối</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đa</w:t>
      </w:r>
      <w:proofErr w:type="spellEnd"/>
      <w:r w:rsidR="00865616" w:rsidRPr="00351AD1">
        <w:rPr>
          <w:rFonts w:ascii="Times New Roman" w:hAnsi="Times New Roman"/>
          <w:sz w:val="20"/>
          <w:szCs w:val="20"/>
        </w:rPr>
        <w:t xml:space="preserve"> chi </w:t>
      </w:r>
      <w:proofErr w:type="spellStart"/>
      <w:r w:rsidR="00865616" w:rsidRPr="00351AD1">
        <w:rPr>
          <w:rFonts w:ascii="Times New Roman" w:hAnsi="Times New Roman"/>
          <w:sz w:val="20"/>
          <w:szCs w:val="20"/>
        </w:rPr>
        <w:t>phí</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phát</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sinh</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Quỹ</w:t>
      </w:r>
      <w:proofErr w:type="spellEnd"/>
      <w:r w:rsidR="00865616" w:rsidRPr="00351AD1">
        <w:rPr>
          <w:rFonts w:ascii="Times New Roman" w:hAnsi="Times New Roman"/>
          <w:sz w:val="20"/>
          <w:szCs w:val="20"/>
        </w:rPr>
        <w:t xml:space="preserve"> sẽ </w:t>
      </w:r>
      <w:proofErr w:type="spellStart"/>
      <w:r w:rsidR="00865616" w:rsidRPr="00351AD1">
        <w:rPr>
          <w:rFonts w:ascii="Times New Roman" w:hAnsi="Times New Roman"/>
          <w:sz w:val="20"/>
          <w:szCs w:val="20"/>
        </w:rPr>
        <w:t>không</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phân</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phối</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lợi</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nhuận</w:t>
      </w:r>
      <w:proofErr w:type="spellEnd"/>
      <w:r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Toàn</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bộ</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lợi</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nhuận</w:t>
      </w:r>
      <w:proofErr w:type="spellEnd"/>
      <w:r w:rsidR="00865616" w:rsidRPr="00351AD1">
        <w:rPr>
          <w:rFonts w:ascii="Times New Roman" w:hAnsi="Times New Roman"/>
          <w:sz w:val="20"/>
          <w:szCs w:val="20"/>
        </w:rPr>
        <w:t xml:space="preserve"> của </w:t>
      </w:r>
      <w:proofErr w:type="spellStart"/>
      <w:r w:rsidR="00865616" w:rsidRPr="00351AD1">
        <w:rPr>
          <w:rFonts w:ascii="Times New Roman" w:hAnsi="Times New Roman"/>
          <w:sz w:val="20"/>
          <w:szCs w:val="20"/>
        </w:rPr>
        <w:t>Quỹ</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phát</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sinh</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trong</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quá</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trình</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hoạt</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động</w:t>
      </w:r>
      <w:proofErr w:type="spellEnd"/>
      <w:r w:rsidR="00865616" w:rsidRPr="00351AD1">
        <w:rPr>
          <w:rFonts w:ascii="Times New Roman" w:hAnsi="Times New Roman"/>
          <w:sz w:val="20"/>
          <w:szCs w:val="20"/>
        </w:rPr>
        <w:t xml:space="preserve"> sẽ </w:t>
      </w:r>
      <w:proofErr w:type="spellStart"/>
      <w:r w:rsidR="00865616" w:rsidRPr="00351AD1">
        <w:rPr>
          <w:rFonts w:ascii="Times New Roman" w:hAnsi="Times New Roman"/>
          <w:sz w:val="20"/>
          <w:szCs w:val="20"/>
        </w:rPr>
        <w:t>được</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tích</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lũy</w:t>
      </w:r>
      <w:proofErr w:type="spellEnd"/>
      <w:r w:rsidR="00865616" w:rsidRPr="00351AD1">
        <w:rPr>
          <w:rFonts w:ascii="Times New Roman" w:hAnsi="Times New Roman"/>
          <w:sz w:val="20"/>
          <w:szCs w:val="20"/>
        </w:rPr>
        <w:t xml:space="preserve"> làm </w:t>
      </w:r>
      <w:proofErr w:type="spellStart"/>
      <w:r w:rsidR="00865616" w:rsidRPr="00351AD1">
        <w:rPr>
          <w:rFonts w:ascii="Times New Roman" w:hAnsi="Times New Roman"/>
          <w:sz w:val="20"/>
          <w:szCs w:val="20"/>
        </w:rPr>
        <w:t>gia</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tăng</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giá</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trị</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tài</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sản</w:t>
      </w:r>
      <w:proofErr w:type="spellEnd"/>
      <w:r w:rsidR="00865616" w:rsidRPr="00351AD1">
        <w:rPr>
          <w:rFonts w:ascii="Times New Roman" w:hAnsi="Times New Roman"/>
          <w:sz w:val="20"/>
          <w:szCs w:val="20"/>
        </w:rPr>
        <w:t xml:space="preserve"> </w:t>
      </w:r>
      <w:proofErr w:type="spellStart"/>
      <w:r w:rsidR="00865616" w:rsidRPr="00351AD1">
        <w:rPr>
          <w:rFonts w:ascii="Times New Roman" w:hAnsi="Times New Roman"/>
          <w:sz w:val="20"/>
          <w:szCs w:val="20"/>
        </w:rPr>
        <w:t>ròng</w:t>
      </w:r>
      <w:proofErr w:type="spellEnd"/>
      <w:r w:rsidR="00865616" w:rsidRPr="00351AD1">
        <w:rPr>
          <w:rFonts w:ascii="Times New Roman" w:hAnsi="Times New Roman"/>
          <w:sz w:val="20"/>
          <w:szCs w:val="20"/>
        </w:rPr>
        <w:t xml:space="preserve"> của </w:t>
      </w:r>
      <w:proofErr w:type="spellStart"/>
      <w:r w:rsidR="00865616" w:rsidRPr="00351AD1">
        <w:rPr>
          <w:rFonts w:ascii="Times New Roman" w:hAnsi="Times New Roman"/>
          <w:sz w:val="20"/>
          <w:szCs w:val="20"/>
        </w:rPr>
        <w:t>Quỹ</w:t>
      </w:r>
      <w:proofErr w:type="spellEnd"/>
      <w:r w:rsidRPr="00351AD1">
        <w:rPr>
          <w:rFonts w:ascii="Times New Roman" w:hAnsi="Times New Roman"/>
          <w:sz w:val="20"/>
          <w:szCs w:val="20"/>
        </w:rPr>
        <w:t>.</w:t>
      </w:r>
      <w:r w:rsidRPr="00E21368">
        <w:rPr>
          <w:rFonts w:ascii="Times New Roman" w:hAnsi="Times New Roman"/>
          <w:sz w:val="20"/>
          <w:szCs w:val="20"/>
        </w:rPr>
        <w:t xml:space="preserve"> </w:t>
      </w:r>
    </w:p>
    <w:p w14:paraId="632FD423" w14:textId="7AAC69D7" w:rsidR="002A3BC8" w:rsidRPr="002A3BC8" w:rsidRDefault="002A3BC8" w:rsidP="00F954CC">
      <w:pPr>
        <w:keepLines/>
        <w:overflowPunct w:val="0"/>
        <w:autoSpaceDE w:val="0"/>
        <w:autoSpaceDN w:val="0"/>
        <w:adjustRightInd w:val="0"/>
        <w:spacing w:after="120" w:line="312" w:lineRule="auto"/>
        <w:ind w:left="720" w:right="259"/>
        <w:jc w:val="both"/>
        <w:textAlignment w:val="baseline"/>
        <w:outlineLvl w:val="2"/>
        <w:rPr>
          <w:rFonts w:ascii="Times New Roman" w:hAnsi="Times New Roman"/>
          <w:i/>
          <w:iCs/>
          <w:sz w:val="20"/>
          <w:szCs w:val="20"/>
        </w:rPr>
      </w:pPr>
      <w:r w:rsidRPr="002A3BC8">
        <w:rPr>
          <w:rFonts w:ascii="Times New Roman" w:hAnsi="Times New Roman"/>
          <w:i/>
          <w:iCs/>
          <w:sz w:val="20"/>
          <w:szCs w:val="20"/>
        </w:rPr>
        <w:t>According to the Fund's Charter, to minimize costs incurred, the Fund will not distribute profits. All profits of the Fund arising during its operation will be accumulated to increase the net asset value of the Fund.</w:t>
      </w:r>
    </w:p>
    <w:p w14:paraId="352EA971" w14:textId="267DB09B" w:rsidR="00E70229" w:rsidRPr="00F954CC" w:rsidRDefault="00E70229" w:rsidP="00F954CC">
      <w:pPr>
        <w:pStyle w:val="ListParagraph"/>
        <w:numPr>
          <w:ilvl w:val="1"/>
          <w:numId w:val="39"/>
        </w:numPr>
        <w:shd w:val="clear" w:color="auto" w:fill="FFFFFF"/>
        <w:spacing w:after="120" w:line="312" w:lineRule="auto"/>
        <w:ind w:right="259"/>
        <w:jc w:val="both"/>
        <w:rPr>
          <w:rFonts w:ascii="Times New Roman" w:hAnsi="Times New Roman"/>
          <w:b/>
          <w:sz w:val="20"/>
          <w:szCs w:val="20"/>
          <w:lang w:val="vi-VN"/>
        </w:rPr>
      </w:pPr>
      <w:r w:rsidRPr="00F954CC">
        <w:rPr>
          <w:rFonts w:ascii="Times New Roman" w:hAnsi="Times New Roman"/>
          <w:b/>
          <w:sz w:val="20"/>
          <w:szCs w:val="20"/>
          <w:lang w:val="nl-NL"/>
        </w:rPr>
        <w:t xml:space="preserve">Doanh </w:t>
      </w:r>
      <w:r w:rsidR="002A3BC8" w:rsidRPr="00F954CC">
        <w:rPr>
          <w:rFonts w:ascii="Times New Roman" w:hAnsi="Times New Roman"/>
          <w:b/>
          <w:sz w:val="20"/>
          <w:szCs w:val="20"/>
          <w:lang w:val="nl-NL"/>
        </w:rPr>
        <w:t>thu</w:t>
      </w:r>
      <w:r w:rsidR="002A3BC8" w:rsidRPr="00F954CC">
        <w:rPr>
          <w:rFonts w:ascii="Times New Roman" w:hAnsi="Times New Roman"/>
          <w:b/>
          <w:sz w:val="20"/>
          <w:szCs w:val="20"/>
          <w:lang w:val="vi-VN"/>
        </w:rPr>
        <w:t>/</w:t>
      </w:r>
      <w:r w:rsidR="002A3BC8" w:rsidRPr="00F954CC">
        <w:rPr>
          <w:rFonts w:ascii="Times New Roman" w:hAnsi="Times New Roman"/>
          <w:b/>
          <w:i/>
          <w:iCs/>
          <w:sz w:val="20"/>
          <w:szCs w:val="20"/>
          <w:lang w:val="vi-VN"/>
        </w:rPr>
        <w:t>Revenue</w:t>
      </w:r>
    </w:p>
    <w:p w14:paraId="5A272A84" w14:textId="77777777" w:rsidR="00E70229" w:rsidRDefault="00E70229" w:rsidP="00F954CC">
      <w:pPr>
        <w:spacing w:after="0" w:line="312" w:lineRule="auto"/>
        <w:ind w:left="502" w:right="260"/>
        <w:jc w:val="both"/>
        <w:rPr>
          <w:rFonts w:ascii="Times New Roman" w:hAnsi="Times New Roman"/>
          <w:sz w:val="20"/>
          <w:szCs w:val="20"/>
        </w:rPr>
      </w:pPr>
      <w:proofErr w:type="spellStart"/>
      <w:r w:rsidRPr="00E21368">
        <w:rPr>
          <w:rFonts w:ascii="Times New Roman" w:hAnsi="Times New Roman"/>
          <w:sz w:val="20"/>
          <w:szCs w:val="20"/>
        </w:rPr>
        <w:t>Doanh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Quỹ</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có</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khả</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năng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tương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đối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chắc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chắn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lợi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ích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kinh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tế</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và</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khoản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doanh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thu</w:t>
      </w:r>
      <w:proofErr w:type="spellEnd"/>
      <w:r w:rsidRPr="00E21368">
        <w:rPr>
          <w:rFonts w:ascii="Times New Roman" w:hAnsi="Times New Roman"/>
          <w:sz w:val="20"/>
          <w:szCs w:val="20"/>
        </w:rPr>
        <w:t xml:space="preserve"> này </w:t>
      </w:r>
      <w:proofErr w:type="spellStart"/>
      <w:r w:rsidRPr="00E21368">
        <w:rPr>
          <w:rFonts w:ascii="Times New Roman" w:hAnsi="Times New Roman"/>
          <w:sz w:val="20"/>
          <w:szCs w:val="20"/>
        </w:rPr>
        <w:t>có</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thể</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xác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định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một</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đáng</w:t>
      </w:r>
      <w:proofErr w:type="spellEnd"/>
      <w:r w:rsidRPr="00E21368">
        <w:rPr>
          <w:rFonts w:ascii="Times New Roman" w:hAnsi="Times New Roman"/>
          <w:sz w:val="20"/>
          <w:szCs w:val="20"/>
        </w:rPr>
        <w:t xml:space="preserve"> tin </w:t>
      </w:r>
      <w:proofErr w:type="spellStart"/>
      <w:r w:rsidRPr="00E21368">
        <w:rPr>
          <w:rFonts w:ascii="Times New Roman" w:hAnsi="Times New Roman"/>
          <w:sz w:val="20"/>
          <w:szCs w:val="20"/>
        </w:rPr>
        <w:t>cậy</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Các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tiêu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chuẩn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cụ</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thể</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sau</w:t>
      </w:r>
      <w:proofErr w:type="spellEnd"/>
      <w:r w:rsidRPr="00E21368">
        <w:rPr>
          <w:rFonts w:ascii="Times New Roman" w:hAnsi="Times New Roman"/>
          <w:sz w:val="20"/>
          <w:szCs w:val="20"/>
        </w:rPr>
        <w:t xml:space="preserve"> đây </w:t>
      </w:r>
      <w:proofErr w:type="spellStart"/>
      <w:r w:rsidRPr="00E21368">
        <w:rPr>
          <w:rFonts w:ascii="Times New Roman" w:hAnsi="Times New Roman"/>
          <w:sz w:val="20"/>
          <w:szCs w:val="20"/>
        </w:rPr>
        <w:t>phải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đáp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ứng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trước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khi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doanh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thu</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được</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ghi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nhận</w:t>
      </w:r>
      <w:proofErr w:type="spellEnd"/>
      <w:r w:rsidRPr="00E21368">
        <w:rPr>
          <w:rFonts w:ascii="Times New Roman" w:hAnsi="Times New Roman"/>
          <w:sz w:val="20"/>
          <w:szCs w:val="20"/>
        </w:rPr>
        <w:t>.</w:t>
      </w:r>
    </w:p>
    <w:p w14:paraId="31EF14FD" w14:textId="5B056727" w:rsidR="002A3BC8" w:rsidRPr="00F954CC" w:rsidRDefault="002A3BC8" w:rsidP="00F954CC">
      <w:pPr>
        <w:spacing w:after="0" w:line="312" w:lineRule="auto"/>
        <w:ind w:left="502" w:right="260"/>
        <w:jc w:val="both"/>
        <w:rPr>
          <w:rFonts w:ascii="Times New Roman" w:hAnsi="Times New Roman"/>
          <w:i/>
          <w:iCs/>
          <w:sz w:val="20"/>
          <w:szCs w:val="20"/>
        </w:rPr>
      </w:pPr>
      <w:r w:rsidRPr="00F954CC">
        <w:rPr>
          <w:rFonts w:ascii="Times New Roman" w:hAnsi="Times New Roman"/>
          <w:i/>
          <w:iCs/>
          <w:sz w:val="20"/>
          <w:szCs w:val="20"/>
        </w:rPr>
        <w:t xml:space="preserve">Revenue and income </w:t>
      </w:r>
      <w:proofErr w:type="gramStart"/>
      <w:r w:rsidRPr="00F954CC">
        <w:rPr>
          <w:rFonts w:ascii="Times New Roman" w:hAnsi="Times New Roman"/>
          <w:i/>
          <w:iCs/>
          <w:sz w:val="20"/>
          <w:szCs w:val="20"/>
        </w:rPr>
        <w:t>is</w:t>
      </w:r>
      <w:proofErr w:type="gramEnd"/>
      <w:r w:rsidRPr="00F954CC">
        <w:rPr>
          <w:rFonts w:ascii="Times New Roman" w:hAnsi="Times New Roman"/>
          <w:i/>
          <w:iCs/>
          <w:sz w:val="20"/>
          <w:szCs w:val="20"/>
        </w:rPr>
        <w:t xml:space="preserve"> </w:t>
      </w:r>
      <w:proofErr w:type="spellStart"/>
      <w:r w:rsidRPr="00F954CC">
        <w:rPr>
          <w:rFonts w:ascii="Times New Roman" w:hAnsi="Times New Roman"/>
          <w:i/>
          <w:iCs/>
          <w:sz w:val="20"/>
          <w:szCs w:val="20"/>
        </w:rPr>
        <w:t>recognised</w:t>
      </w:r>
      <w:proofErr w:type="spellEnd"/>
      <w:r w:rsidRPr="00F954CC">
        <w:rPr>
          <w:rFonts w:ascii="Times New Roman" w:hAnsi="Times New Roman"/>
          <w:i/>
          <w:iCs/>
          <w:sz w:val="20"/>
          <w:szCs w:val="20"/>
        </w:rPr>
        <w:t xml:space="preserve"> to the extent that it is probable that the economic benefits will flow to the Fund and the revenue can be reliably measured. The following specific recognition criteria must also be met before revenue and income is </w:t>
      </w:r>
      <w:proofErr w:type="spellStart"/>
      <w:r w:rsidRPr="00F954CC">
        <w:rPr>
          <w:rFonts w:ascii="Times New Roman" w:hAnsi="Times New Roman"/>
          <w:i/>
          <w:iCs/>
          <w:sz w:val="20"/>
          <w:szCs w:val="20"/>
        </w:rPr>
        <w:t>recognised</w:t>
      </w:r>
      <w:proofErr w:type="spellEnd"/>
      <w:r w:rsidRPr="00F954CC">
        <w:rPr>
          <w:rFonts w:ascii="Times New Roman" w:hAnsi="Times New Roman"/>
          <w:i/>
          <w:iCs/>
          <w:sz w:val="20"/>
          <w:szCs w:val="20"/>
        </w:rPr>
        <w:t>:</w:t>
      </w:r>
    </w:p>
    <w:p w14:paraId="2B96FB52" w14:textId="7419778A" w:rsidR="00E70229" w:rsidRPr="00B60CBE" w:rsidRDefault="00E70229" w:rsidP="00B60CBE">
      <w:pPr>
        <w:pStyle w:val="ListParagraph"/>
        <w:numPr>
          <w:ilvl w:val="0"/>
          <w:numId w:val="42"/>
        </w:numPr>
        <w:shd w:val="clear" w:color="auto" w:fill="FFFFFF"/>
        <w:spacing w:before="60" w:after="60" w:line="312" w:lineRule="auto"/>
        <w:ind w:right="260"/>
        <w:jc w:val="both"/>
        <w:rPr>
          <w:rFonts w:ascii="Times New Roman" w:hAnsi="Times New Roman"/>
          <w:b/>
          <w:i/>
          <w:sz w:val="20"/>
          <w:szCs w:val="20"/>
          <w:lang w:val="vi-VN"/>
        </w:rPr>
      </w:pPr>
      <w:r w:rsidRPr="00B60CBE">
        <w:rPr>
          <w:rFonts w:ascii="Times New Roman" w:hAnsi="Times New Roman"/>
          <w:b/>
          <w:i/>
          <w:sz w:val="20"/>
          <w:szCs w:val="20"/>
          <w:lang w:val="nl-NL"/>
        </w:rPr>
        <w:t xml:space="preserve">Thu nhập lãi tiền gửi, lãi trái phiếu và cổ </w:t>
      </w:r>
      <w:r w:rsidR="002A3BC8" w:rsidRPr="00B60CBE">
        <w:rPr>
          <w:rFonts w:ascii="Times New Roman" w:hAnsi="Times New Roman"/>
          <w:b/>
          <w:i/>
          <w:sz w:val="20"/>
          <w:szCs w:val="20"/>
          <w:lang w:val="nl-NL"/>
        </w:rPr>
        <w:t>tức</w:t>
      </w:r>
      <w:r w:rsidR="002A3BC8" w:rsidRPr="00B60CBE">
        <w:rPr>
          <w:rFonts w:ascii="Times New Roman" w:hAnsi="Times New Roman"/>
          <w:b/>
          <w:i/>
          <w:sz w:val="20"/>
          <w:szCs w:val="20"/>
          <w:lang w:val="vi-VN"/>
        </w:rPr>
        <w:t>/ Income from deposit interest, bond interest and dividends</w:t>
      </w:r>
    </w:p>
    <w:p w14:paraId="5A344BCF" w14:textId="77777777" w:rsidR="00E70229" w:rsidRDefault="00E70229" w:rsidP="004042B3">
      <w:pPr>
        <w:spacing w:after="0" w:line="312" w:lineRule="auto"/>
        <w:ind w:left="720" w:right="260"/>
        <w:jc w:val="both"/>
        <w:rPr>
          <w:rFonts w:ascii="Times New Roman" w:hAnsi="Times New Roman"/>
          <w:sz w:val="20"/>
          <w:szCs w:val="20"/>
          <w:lang w:val="nl-NL"/>
        </w:rPr>
      </w:pPr>
      <w:r w:rsidRPr="00762874">
        <w:rPr>
          <w:rFonts w:ascii="Times New Roman" w:hAnsi="Times New Roman"/>
          <w:sz w:val="20"/>
          <w:szCs w:val="20"/>
          <w:lang w:val="nl-NL"/>
        </w:rPr>
        <w:t>Thu nhập lãi tiền gửi và lãi trái phiếu được ghi nhận trong báo cáo thu nhập trên cơ sở dồn tích trừ khi khả năng thu hồi không chắc chắ</w:t>
      </w:r>
      <w:r w:rsidR="00C12EDB" w:rsidRPr="00762874">
        <w:rPr>
          <w:rFonts w:ascii="Times New Roman" w:hAnsi="Times New Roman"/>
          <w:sz w:val="20"/>
          <w:szCs w:val="20"/>
          <w:lang w:val="nl-NL"/>
        </w:rPr>
        <w:t xml:space="preserve">c. </w:t>
      </w:r>
      <w:r w:rsidRPr="00762874">
        <w:rPr>
          <w:rFonts w:ascii="Times New Roman" w:hAnsi="Times New Roman"/>
          <w:sz w:val="20"/>
          <w:szCs w:val="20"/>
          <w:lang w:val="nl-NL"/>
        </w:rPr>
        <w:t>Thu nhập từ cổ tức được ghi nhận khi quyền nhận cổ tức của Quỹ được xác lập.</w:t>
      </w:r>
    </w:p>
    <w:p w14:paraId="70309D38" w14:textId="64A5C4D4" w:rsidR="002A3BC8" w:rsidRPr="002A3BC8" w:rsidRDefault="002A3BC8" w:rsidP="004042B3">
      <w:pPr>
        <w:spacing w:after="0" w:line="312" w:lineRule="auto"/>
        <w:ind w:left="720" w:right="260"/>
        <w:jc w:val="both"/>
        <w:rPr>
          <w:rFonts w:ascii="Times New Roman" w:hAnsi="Times New Roman"/>
          <w:i/>
          <w:iCs/>
          <w:sz w:val="20"/>
          <w:szCs w:val="20"/>
          <w:lang w:val="nl-NL"/>
        </w:rPr>
      </w:pPr>
      <w:r w:rsidRPr="002A3BC8">
        <w:rPr>
          <w:rFonts w:ascii="Times New Roman" w:hAnsi="Times New Roman"/>
          <w:i/>
          <w:iCs/>
          <w:sz w:val="20"/>
          <w:szCs w:val="20"/>
          <w:lang w:val="nl-NL"/>
        </w:rPr>
        <w:t>Deposit and bond interest income is recognized in the income statement on an accrual basis unless collectability is uncertain. Dividend income is recognized when the Fund's right to receive dividends is established.</w:t>
      </w:r>
    </w:p>
    <w:p w14:paraId="234D27EE" w14:textId="124DA281" w:rsidR="00E70229" w:rsidRPr="004042B3" w:rsidRDefault="00E70229" w:rsidP="004042B3">
      <w:pPr>
        <w:pStyle w:val="ListParagraph"/>
        <w:numPr>
          <w:ilvl w:val="0"/>
          <w:numId w:val="42"/>
        </w:numPr>
        <w:shd w:val="clear" w:color="auto" w:fill="FFFFFF"/>
        <w:spacing w:before="60" w:after="60" w:line="312" w:lineRule="auto"/>
        <w:ind w:right="260"/>
        <w:jc w:val="both"/>
        <w:rPr>
          <w:rFonts w:ascii="Times New Roman" w:hAnsi="Times New Roman"/>
          <w:b/>
          <w:i/>
          <w:sz w:val="20"/>
          <w:szCs w:val="20"/>
          <w:lang w:val="nl-NL"/>
        </w:rPr>
      </w:pPr>
      <w:r w:rsidRPr="004042B3">
        <w:rPr>
          <w:rFonts w:ascii="Times New Roman" w:hAnsi="Times New Roman"/>
          <w:b/>
          <w:i/>
          <w:sz w:val="20"/>
          <w:szCs w:val="20"/>
          <w:lang w:val="nl-NL"/>
        </w:rPr>
        <w:t xml:space="preserve">Thu nhập từ hoạt động kinh doanh chứng </w:t>
      </w:r>
      <w:r w:rsidR="002A3BC8" w:rsidRPr="004042B3">
        <w:rPr>
          <w:rFonts w:ascii="Times New Roman" w:hAnsi="Times New Roman"/>
          <w:b/>
          <w:i/>
          <w:sz w:val="20"/>
          <w:szCs w:val="20"/>
          <w:lang w:val="nl-NL"/>
        </w:rPr>
        <w:t>khoán</w:t>
      </w:r>
      <w:r w:rsidR="002A3BC8" w:rsidRPr="004042B3">
        <w:rPr>
          <w:rFonts w:ascii="Times New Roman" w:hAnsi="Times New Roman"/>
          <w:b/>
          <w:i/>
          <w:sz w:val="20"/>
          <w:szCs w:val="20"/>
          <w:lang w:val="vi-VN"/>
        </w:rPr>
        <w:t>/ Income from securities trading activities</w:t>
      </w:r>
      <w:r w:rsidRPr="004042B3" w:rsidDel="00BF2BFA">
        <w:rPr>
          <w:rFonts w:ascii="Times New Roman" w:hAnsi="Times New Roman"/>
          <w:b/>
          <w:i/>
          <w:sz w:val="20"/>
          <w:szCs w:val="20"/>
          <w:lang w:val="nl-NL"/>
        </w:rPr>
        <w:t xml:space="preserve"> </w:t>
      </w:r>
    </w:p>
    <w:p w14:paraId="6201A63B" w14:textId="77777777" w:rsidR="00E70229" w:rsidRDefault="00E70229" w:rsidP="004042B3">
      <w:pPr>
        <w:spacing w:after="120" w:line="312" w:lineRule="auto"/>
        <w:ind w:left="720" w:right="260"/>
        <w:jc w:val="both"/>
        <w:rPr>
          <w:rFonts w:ascii="Times New Roman" w:hAnsi="Times New Roman"/>
          <w:sz w:val="20"/>
          <w:szCs w:val="20"/>
          <w:lang w:val="nl-NL"/>
        </w:rPr>
      </w:pPr>
      <w:r w:rsidRPr="00762874">
        <w:rPr>
          <w:rFonts w:ascii="Times New Roman" w:hAnsi="Times New Roman"/>
          <w:sz w:val="20"/>
          <w:szCs w:val="20"/>
          <w:lang w:val="nl-NL"/>
        </w:rPr>
        <w:t>Thu nhập từ hoạt động kinh doanh chứng khoán được ghi nhận trong báo cáo thu nhập khi nhận được thông báo kết quả giao dịch hoán đổi chứng chỉ quỹ, kết quả giao dịch chứng khoán từ Trung Tâm Lưu ký Chứng khoán Việt Nam đã được kiểm tra bởi Ngân hàng Giám sát (đối với chứng khoán đã niêm yết) và khi hoàn tất hợp đồng chuyển nhượng tài sản (đối với chứng khoán chưa niêm yết).</w:t>
      </w:r>
    </w:p>
    <w:p w14:paraId="0CE357CE" w14:textId="723ED35C" w:rsidR="002A3BC8" w:rsidRPr="002A3BC8" w:rsidRDefault="002A3BC8" w:rsidP="004042B3">
      <w:pPr>
        <w:spacing w:after="120" w:line="312" w:lineRule="auto"/>
        <w:ind w:left="720" w:right="260"/>
        <w:jc w:val="both"/>
        <w:rPr>
          <w:rFonts w:ascii="Times New Roman" w:hAnsi="Times New Roman"/>
          <w:i/>
          <w:iCs/>
          <w:sz w:val="20"/>
          <w:szCs w:val="20"/>
          <w:lang w:val="nl-NL"/>
        </w:rPr>
      </w:pPr>
      <w:r w:rsidRPr="002A3BC8">
        <w:rPr>
          <w:rFonts w:ascii="Times New Roman" w:hAnsi="Times New Roman"/>
          <w:i/>
          <w:iCs/>
          <w:sz w:val="20"/>
          <w:szCs w:val="20"/>
          <w:lang w:val="nl-NL"/>
        </w:rPr>
        <w:t>Income from securities trading activities is recorded in the income statement when receiving notification of fund certificate swap transaction results and securities trading results from the Vietnam Securities Depository Center that have been audited. inspected by the Supervisory Bank (for listed securities) and upon completion of the asset transfer contract (for unlisted securities).</w:t>
      </w:r>
    </w:p>
    <w:p w14:paraId="74531E4A" w14:textId="787270A4" w:rsidR="00E70229" w:rsidRPr="00752617" w:rsidRDefault="00E70229" w:rsidP="00752617">
      <w:pPr>
        <w:pStyle w:val="ListParagraph"/>
        <w:numPr>
          <w:ilvl w:val="1"/>
          <w:numId w:val="39"/>
        </w:numPr>
        <w:shd w:val="clear" w:color="auto" w:fill="FFFFFF"/>
        <w:spacing w:after="120" w:line="312" w:lineRule="auto"/>
        <w:ind w:right="260"/>
        <w:jc w:val="both"/>
        <w:rPr>
          <w:rFonts w:ascii="Times New Roman" w:hAnsi="Times New Roman"/>
          <w:b/>
          <w:sz w:val="20"/>
          <w:szCs w:val="20"/>
          <w:lang w:val="nl-NL"/>
        </w:rPr>
      </w:pPr>
      <w:bookmarkStart w:id="6" w:name="_Toc124143374"/>
      <w:bookmarkStart w:id="7" w:name="_Toc124143455"/>
      <w:bookmarkStart w:id="8" w:name="_Toc125971147"/>
      <w:bookmarkStart w:id="9" w:name="_Toc127268632"/>
      <w:bookmarkStart w:id="10" w:name="_Toc24202945"/>
      <w:bookmarkStart w:id="11" w:name="_Ref55382971"/>
      <w:bookmarkStart w:id="12" w:name="_Toc118086242"/>
      <w:r w:rsidRPr="00752617">
        <w:rPr>
          <w:rFonts w:ascii="Times New Roman" w:hAnsi="Times New Roman"/>
          <w:b/>
          <w:sz w:val="20"/>
          <w:szCs w:val="20"/>
          <w:lang w:val="nl-NL"/>
        </w:rPr>
        <w:t xml:space="preserve">Chi </w:t>
      </w:r>
      <w:r w:rsidR="002A3BC8" w:rsidRPr="00752617">
        <w:rPr>
          <w:rFonts w:ascii="Times New Roman" w:hAnsi="Times New Roman"/>
          <w:b/>
          <w:sz w:val="20"/>
          <w:szCs w:val="20"/>
          <w:lang w:val="nl-NL"/>
        </w:rPr>
        <w:t>phí</w:t>
      </w:r>
      <w:r w:rsidR="002A3BC8" w:rsidRPr="00752617">
        <w:rPr>
          <w:rFonts w:ascii="Times New Roman" w:hAnsi="Times New Roman"/>
          <w:b/>
          <w:sz w:val="20"/>
          <w:szCs w:val="20"/>
          <w:lang w:val="vi-VN"/>
        </w:rPr>
        <w:t>/ Expense</w:t>
      </w:r>
      <w:r w:rsidRPr="00752617">
        <w:rPr>
          <w:rFonts w:ascii="Times New Roman" w:hAnsi="Times New Roman"/>
          <w:b/>
          <w:sz w:val="20"/>
          <w:szCs w:val="20"/>
          <w:lang w:val="nl-NL"/>
        </w:rPr>
        <w:t xml:space="preserve">  </w:t>
      </w:r>
      <w:bookmarkEnd w:id="6"/>
      <w:bookmarkEnd w:id="7"/>
      <w:bookmarkEnd w:id="8"/>
      <w:bookmarkEnd w:id="9"/>
      <w:bookmarkEnd w:id="10"/>
      <w:bookmarkEnd w:id="11"/>
      <w:bookmarkEnd w:id="12"/>
    </w:p>
    <w:p w14:paraId="33BDFC90" w14:textId="77777777" w:rsidR="00E70229" w:rsidRDefault="00E70229" w:rsidP="00752617">
      <w:pPr>
        <w:spacing w:after="12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Các khoản chi phí được ghi nhận trong báo cáo thu nhập trên cơ sở dồn tích.</w:t>
      </w:r>
    </w:p>
    <w:p w14:paraId="2FDFF7D6" w14:textId="4AA960A5" w:rsidR="002A3BC8" w:rsidRPr="002A3BC8" w:rsidRDefault="002A3BC8" w:rsidP="00752617">
      <w:pPr>
        <w:spacing w:after="120" w:line="312" w:lineRule="auto"/>
        <w:ind w:left="502" w:right="260"/>
        <w:jc w:val="both"/>
        <w:rPr>
          <w:rFonts w:ascii="Times New Roman" w:hAnsi="Times New Roman"/>
          <w:i/>
          <w:iCs/>
          <w:sz w:val="20"/>
          <w:szCs w:val="20"/>
          <w:lang w:val="nl-NL"/>
        </w:rPr>
      </w:pPr>
      <w:r w:rsidRPr="002A3BC8">
        <w:rPr>
          <w:rFonts w:ascii="Times New Roman" w:hAnsi="Times New Roman"/>
          <w:i/>
          <w:iCs/>
          <w:sz w:val="20"/>
          <w:szCs w:val="20"/>
          <w:lang w:val="nl-NL"/>
        </w:rPr>
        <w:t>Expenses are recorded in the income statement on an accrual basis.</w:t>
      </w:r>
    </w:p>
    <w:p w14:paraId="1A8EE792" w14:textId="4A267DBF" w:rsidR="00E70229" w:rsidRPr="00752617" w:rsidRDefault="00E70229" w:rsidP="00752617">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752617">
        <w:rPr>
          <w:rFonts w:ascii="Times New Roman" w:hAnsi="Times New Roman"/>
          <w:b/>
          <w:sz w:val="20"/>
          <w:szCs w:val="20"/>
          <w:lang w:val="nl-NL"/>
        </w:rPr>
        <w:t xml:space="preserve">Giá trị tài sản ròng trên mỗi chứng chỉ quỹ và giá trị tài sản ròng trên mỗi lô chứng chỉ </w:t>
      </w:r>
      <w:r w:rsidR="002A3BC8" w:rsidRPr="00752617">
        <w:rPr>
          <w:rFonts w:ascii="Times New Roman" w:hAnsi="Times New Roman"/>
          <w:b/>
          <w:sz w:val="20"/>
          <w:szCs w:val="20"/>
          <w:lang w:val="nl-NL"/>
        </w:rPr>
        <w:t>quỹ</w:t>
      </w:r>
      <w:r w:rsidR="002A3BC8" w:rsidRPr="00752617">
        <w:rPr>
          <w:rFonts w:ascii="Times New Roman" w:hAnsi="Times New Roman"/>
          <w:b/>
          <w:sz w:val="20"/>
          <w:szCs w:val="20"/>
          <w:lang w:val="vi-VN"/>
        </w:rPr>
        <w:t>/ Net asset value per fund certificate and net asset value per lot of fund certificates</w:t>
      </w:r>
    </w:p>
    <w:p w14:paraId="77569BE9" w14:textId="77777777" w:rsidR="00E70229" w:rsidRPr="00762874" w:rsidRDefault="00E70229" w:rsidP="00752617">
      <w:pPr>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 xml:space="preserve">Giá trị tài sản ròng trên mỗi chứng chỉ quỹ được tính bằng cách chia giá trị tài sản ròng của Quỹ cho chứng chỉ quỹ đang lưu hành tại ngày của báo cáo tình hình tài chính. </w:t>
      </w:r>
    </w:p>
    <w:p w14:paraId="1DB44AE8" w14:textId="28AA7482" w:rsidR="00752617" w:rsidRDefault="00752617" w:rsidP="00752617">
      <w:pPr>
        <w:spacing w:after="0" w:line="312" w:lineRule="auto"/>
        <w:ind w:left="502" w:right="260"/>
        <w:jc w:val="both"/>
        <w:rPr>
          <w:rFonts w:ascii="Times New Roman" w:hAnsi="Times New Roman"/>
          <w:i/>
          <w:iCs/>
          <w:sz w:val="20"/>
          <w:szCs w:val="20"/>
          <w:lang w:val="nl-NL"/>
        </w:rPr>
      </w:pPr>
      <w:r w:rsidRPr="002A3BC8">
        <w:rPr>
          <w:rFonts w:ascii="Times New Roman" w:hAnsi="Times New Roman"/>
          <w:i/>
          <w:iCs/>
          <w:sz w:val="20"/>
          <w:szCs w:val="20"/>
          <w:lang w:val="nl-NL"/>
        </w:rPr>
        <w:t>The net asset value per fund certificate is calculated by dividing the Fund's net asset value by the outstanding fund certificates at the date of the financial position statement.</w:t>
      </w:r>
    </w:p>
    <w:p w14:paraId="11C8EB2A" w14:textId="77777777" w:rsidR="00752617" w:rsidRDefault="00752617" w:rsidP="00752617">
      <w:pPr>
        <w:spacing w:after="0" w:line="312" w:lineRule="auto"/>
        <w:ind w:left="502" w:right="260"/>
        <w:jc w:val="both"/>
        <w:rPr>
          <w:rFonts w:ascii="Times New Roman" w:hAnsi="Times New Roman"/>
          <w:sz w:val="20"/>
          <w:szCs w:val="20"/>
          <w:lang w:val="nl-NL"/>
        </w:rPr>
      </w:pPr>
    </w:p>
    <w:p w14:paraId="50A82B9C" w14:textId="28429754" w:rsidR="00E70229" w:rsidRPr="00762874" w:rsidRDefault="00E70229" w:rsidP="00752617">
      <w:pPr>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Giá trị tài sản ròng trên mỗi lô chứng chỉ quỹ được tính bằng cách chia giá trị tài sản ròng của Quỹ cho lô chứng chỉ quỹ đang lưu hành tại ngày của báo cáo tình hình tài chính.</w:t>
      </w:r>
    </w:p>
    <w:p w14:paraId="61788DDE" w14:textId="68E75D54" w:rsidR="00752617" w:rsidRDefault="00752617" w:rsidP="00752617">
      <w:pPr>
        <w:spacing w:after="120" w:line="312" w:lineRule="auto"/>
        <w:ind w:left="502" w:right="260"/>
        <w:jc w:val="both"/>
        <w:rPr>
          <w:rFonts w:ascii="Times New Roman" w:hAnsi="Times New Roman"/>
          <w:i/>
          <w:iCs/>
          <w:sz w:val="20"/>
          <w:szCs w:val="20"/>
          <w:lang w:val="nl-NL"/>
        </w:rPr>
      </w:pPr>
      <w:r w:rsidRPr="002A3BC8">
        <w:rPr>
          <w:rFonts w:ascii="Times New Roman" w:hAnsi="Times New Roman"/>
          <w:i/>
          <w:iCs/>
          <w:sz w:val="20"/>
          <w:szCs w:val="20"/>
          <w:lang w:val="nl-NL"/>
        </w:rPr>
        <w:t>The net asset value per lot of fund certificates is calculated by dividing the net asset value of the Fund by the lot of fund certificates in circulation at the date of the financial position statement.</w:t>
      </w:r>
    </w:p>
    <w:p w14:paraId="5E9DE426" w14:textId="6B1D6354" w:rsidR="00E70229" w:rsidRDefault="00E70229" w:rsidP="00752617">
      <w:pPr>
        <w:spacing w:after="120" w:line="312" w:lineRule="auto"/>
        <w:ind w:left="142" w:right="260" w:firstLine="360"/>
        <w:jc w:val="both"/>
        <w:rPr>
          <w:rFonts w:ascii="Times New Roman" w:hAnsi="Times New Roman"/>
          <w:sz w:val="20"/>
          <w:szCs w:val="20"/>
          <w:lang w:val="nl-NL"/>
        </w:rPr>
      </w:pPr>
      <w:r w:rsidRPr="00762874">
        <w:rPr>
          <w:rFonts w:ascii="Times New Roman" w:hAnsi="Times New Roman"/>
          <w:sz w:val="20"/>
          <w:szCs w:val="20"/>
          <w:lang w:val="nl-NL"/>
        </w:rPr>
        <w:t xml:space="preserve">Giá trị tài sản ròng được xác định bằng cách lấy tổng tài sản trừ đi tổng nợ phải trả. </w:t>
      </w:r>
    </w:p>
    <w:p w14:paraId="6DF7148F" w14:textId="64223851" w:rsidR="002A3BC8" w:rsidRPr="002A3BC8" w:rsidRDefault="002A3BC8" w:rsidP="00752617">
      <w:pPr>
        <w:spacing w:after="120" w:line="312" w:lineRule="auto"/>
        <w:ind w:left="142" w:right="260" w:firstLine="360"/>
        <w:jc w:val="both"/>
        <w:rPr>
          <w:rFonts w:ascii="Times New Roman" w:hAnsi="Times New Roman"/>
          <w:i/>
          <w:iCs/>
          <w:sz w:val="20"/>
          <w:szCs w:val="20"/>
          <w:lang w:val="nl-NL"/>
        </w:rPr>
      </w:pPr>
      <w:r w:rsidRPr="002A3BC8">
        <w:rPr>
          <w:rFonts w:ascii="Times New Roman" w:hAnsi="Times New Roman"/>
          <w:i/>
          <w:iCs/>
          <w:sz w:val="20"/>
          <w:szCs w:val="20"/>
          <w:lang w:val="nl-NL"/>
        </w:rPr>
        <w:t>Net asset value is determined by subtracting total liabilities from total assets.</w:t>
      </w:r>
    </w:p>
    <w:p w14:paraId="6A4675E5" w14:textId="04766F77" w:rsidR="00E70229" w:rsidRPr="00752617" w:rsidRDefault="00E70229" w:rsidP="00752617">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752617">
        <w:rPr>
          <w:rFonts w:ascii="Times New Roman" w:hAnsi="Times New Roman"/>
          <w:b/>
          <w:sz w:val="20"/>
          <w:szCs w:val="20"/>
          <w:lang w:val="nl-NL"/>
        </w:rPr>
        <w:t xml:space="preserve">Báo cáo bộ </w:t>
      </w:r>
      <w:r w:rsidR="002A3BC8" w:rsidRPr="00752617">
        <w:rPr>
          <w:rFonts w:ascii="Times New Roman" w:hAnsi="Times New Roman"/>
          <w:b/>
          <w:sz w:val="20"/>
          <w:szCs w:val="20"/>
          <w:lang w:val="nl-NL"/>
        </w:rPr>
        <w:t>phận</w:t>
      </w:r>
      <w:r w:rsidR="002A3BC8" w:rsidRPr="00752617">
        <w:rPr>
          <w:rFonts w:ascii="Times New Roman" w:hAnsi="Times New Roman"/>
          <w:b/>
          <w:sz w:val="20"/>
          <w:szCs w:val="20"/>
          <w:lang w:val="vi-VN"/>
        </w:rPr>
        <w:t>/ Segment reporting</w:t>
      </w:r>
    </w:p>
    <w:p w14:paraId="2C25C834" w14:textId="77777777" w:rsidR="00E70229" w:rsidRDefault="00E70229" w:rsidP="005A451B">
      <w:pPr>
        <w:spacing w:after="12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lastRenderedPageBreak/>
        <w:t>Quỹ hoạt động như một bộ phận.</w:t>
      </w:r>
    </w:p>
    <w:p w14:paraId="7474A6DC" w14:textId="7A274E1E" w:rsidR="002A3BC8" w:rsidRPr="00AB3081" w:rsidRDefault="002A3BC8" w:rsidP="005A451B">
      <w:pPr>
        <w:spacing w:after="120" w:line="312" w:lineRule="auto"/>
        <w:ind w:left="502" w:right="260"/>
        <w:jc w:val="both"/>
        <w:rPr>
          <w:rFonts w:ascii="Times New Roman" w:hAnsi="Times New Roman"/>
          <w:i/>
          <w:iCs/>
          <w:sz w:val="20"/>
          <w:szCs w:val="20"/>
          <w:lang w:val="vi-VN"/>
        </w:rPr>
      </w:pPr>
      <w:r w:rsidRPr="00AB3081">
        <w:rPr>
          <w:rFonts w:ascii="Times New Roman" w:hAnsi="Times New Roman"/>
          <w:i/>
          <w:iCs/>
          <w:sz w:val="20"/>
          <w:szCs w:val="20"/>
          <w:lang w:val="nl-NL"/>
        </w:rPr>
        <w:t>Fund</w:t>
      </w:r>
      <w:r w:rsidRPr="00AB3081">
        <w:rPr>
          <w:rFonts w:ascii="Times New Roman" w:hAnsi="Times New Roman"/>
          <w:i/>
          <w:iCs/>
          <w:sz w:val="20"/>
          <w:szCs w:val="20"/>
          <w:lang w:val="vi-VN"/>
        </w:rPr>
        <w:t xml:space="preserve"> operates as an </w:t>
      </w:r>
      <w:r w:rsidR="00AB3081" w:rsidRPr="00AB3081">
        <w:rPr>
          <w:rFonts w:ascii="Times New Roman" w:hAnsi="Times New Roman"/>
          <w:i/>
          <w:iCs/>
          <w:sz w:val="20"/>
          <w:szCs w:val="20"/>
          <w:lang w:val="vi-VN"/>
        </w:rPr>
        <w:t xml:space="preserve">segment. </w:t>
      </w:r>
    </w:p>
    <w:p w14:paraId="407E4FF4" w14:textId="60D9FD95" w:rsidR="00E70229" w:rsidRPr="00AD5BB4" w:rsidRDefault="00E70229" w:rsidP="00AD5BB4">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AD5BB4">
        <w:rPr>
          <w:rFonts w:ascii="Times New Roman" w:hAnsi="Times New Roman"/>
          <w:b/>
          <w:sz w:val="20"/>
          <w:szCs w:val="20"/>
          <w:lang w:val="nl-NL"/>
        </w:rPr>
        <w:t xml:space="preserve">Các bên liên </w:t>
      </w:r>
      <w:r w:rsidR="00AB3081" w:rsidRPr="00AD5BB4">
        <w:rPr>
          <w:rFonts w:ascii="Times New Roman" w:hAnsi="Times New Roman"/>
          <w:b/>
          <w:sz w:val="20"/>
          <w:szCs w:val="20"/>
          <w:lang w:val="nl-NL"/>
        </w:rPr>
        <w:t>quan</w:t>
      </w:r>
      <w:r w:rsidR="00AB3081" w:rsidRPr="00AD5BB4">
        <w:rPr>
          <w:rFonts w:ascii="Times New Roman" w:hAnsi="Times New Roman"/>
          <w:b/>
          <w:sz w:val="20"/>
          <w:szCs w:val="20"/>
          <w:lang w:val="vi-VN"/>
        </w:rPr>
        <w:t>/ Related parties</w:t>
      </w:r>
    </w:p>
    <w:p w14:paraId="48CE0E0B" w14:textId="77777777" w:rsidR="00E70229" w:rsidRPr="00762874" w:rsidRDefault="00E70229" w:rsidP="00AD5BB4">
      <w:pPr>
        <w:spacing w:after="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Các bên/người được xem là có liên quan nếu một bên/người có khả năng, trực tiếp hoặc gián tiếp, kiểm soát hoặc có ảnh hưởng đáng kể đối với bên kia trong việc đưa ra các quyết định tài chính và hoạt động kinh doanh. Các bên cũng được xem là có liên quan nếu các bên cùng chịu sự kiểm soát chung hoặc cùng chịu ảnh hưởng đáng kể chung.</w:t>
      </w:r>
    </w:p>
    <w:p w14:paraId="43CF2987" w14:textId="2892D9D8" w:rsidR="00AD5BB4" w:rsidRDefault="00AD5BB4" w:rsidP="00AD5BB4">
      <w:pPr>
        <w:spacing w:after="120" w:line="312" w:lineRule="auto"/>
        <w:ind w:left="502" w:right="260"/>
        <w:jc w:val="both"/>
        <w:rPr>
          <w:rFonts w:ascii="Times New Roman" w:hAnsi="Times New Roman"/>
          <w:i/>
          <w:iCs/>
          <w:sz w:val="20"/>
          <w:szCs w:val="20"/>
          <w:lang w:val="nl-NL"/>
        </w:rPr>
      </w:pPr>
      <w:r w:rsidRPr="00AB3081">
        <w:rPr>
          <w:rFonts w:ascii="Times New Roman" w:hAnsi="Times New Roman"/>
          <w:i/>
          <w:iCs/>
          <w:sz w:val="20"/>
          <w:szCs w:val="20"/>
          <w:lang w:val="nl-NL"/>
        </w:rPr>
        <w:t>Parties/persons are considered to be related if one party/person has the ability, directly or indirectly, to control or exercise significant influence over the other party in making financial and operating decisions. joint. Parties are also considered to be related if they are subject to common control or common significant influence.</w:t>
      </w:r>
    </w:p>
    <w:p w14:paraId="4C2B157A" w14:textId="3FC6AC5C" w:rsidR="00D2172E" w:rsidRDefault="00E70229" w:rsidP="00AD5BB4">
      <w:pPr>
        <w:spacing w:after="120" w:line="312" w:lineRule="auto"/>
        <w:ind w:left="502" w:right="260"/>
        <w:jc w:val="both"/>
        <w:rPr>
          <w:rFonts w:ascii="Times New Roman" w:hAnsi="Times New Roman"/>
          <w:sz w:val="20"/>
          <w:szCs w:val="20"/>
          <w:lang w:val="nl-NL"/>
        </w:rPr>
      </w:pPr>
      <w:r w:rsidRPr="00762874">
        <w:rPr>
          <w:rFonts w:ascii="Times New Roman" w:hAnsi="Times New Roman"/>
          <w:sz w:val="20"/>
          <w:szCs w:val="20"/>
          <w:lang w:val="nl-NL"/>
        </w:rPr>
        <w:t>Các quỹ đầu tư khác dưới sự quản lý của Công ty Quản lý Quỹ và người có liên quan của Công ty Quản lý Quỹ theo quy định tại Luật Chứng khoán được xem là các bên liên quan với Quỹ.</w:t>
      </w:r>
    </w:p>
    <w:p w14:paraId="13B4FD4B" w14:textId="0453BFEC" w:rsidR="00AB3081" w:rsidRPr="00AB3081" w:rsidRDefault="00AB3081" w:rsidP="00AD5BB4">
      <w:pPr>
        <w:spacing w:after="120" w:line="312" w:lineRule="auto"/>
        <w:ind w:left="502" w:right="260"/>
        <w:jc w:val="both"/>
        <w:rPr>
          <w:rFonts w:ascii="Times New Roman" w:hAnsi="Times New Roman"/>
          <w:i/>
          <w:iCs/>
          <w:sz w:val="20"/>
          <w:szCs w:val="20"/>
          <w:lang w:val="nl-NL"/>
        </w:rPr>
      </w:pPr>
      <w:r w:rsidRPr="00AB3081">
        <w:rPr>
          <w:rFonts w:ascii="Times New Roman" w:hAnsi="Times New Roman"/>
          <w:i/>
          <w:iCs/>
          <w:sz w:val="20"/>
          <w:szCs w:val="20"/>
          <w:lang w:val="nl-NL"/>
        </w:rPr>
        <w:t>Other investment funds under the management of the Fund Management Company and related persons of the Fund Management Company according to the provisions of the Securities Law are considered related parties to the Fund.</w:t>
      </w:r>
    </w:p>
    <w:p w14:paraId="54894BF8" w14:textId="09C8F1A1" w:rsidR="00E70229" w:rsidRPr="00AD5BB4" w:rsidRDefault="00E70229" w:rsidP="00AD5BB4">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AD5BB4">
        <w:rPr>
          <w:rFonts w:ascii="Times New Roman" w:hAnsi="Times New Roman"/>
          <w:b/>
          <w:sz w:val="20"/>
          <w:szCs w:val="20"/>
          <w:lang w:val="nl-NL"/>
        </w:rPr>
        <w:t xml:space="preserve">Số dư bằng </w:t>
      </w:r>
      <w:r w:rsidR="00AB3081" w:rsidRPr="00AD5BB4">
        <w:rPr>
          <w:rFonts w:ascii="Times New Roman" w:hAnsi="Times New Roman"/>
          <w:b/>
          <w:sz w:val="20"/>
          <w:szCs w:val="20"/>
          <w:lang w:val="nl-NL"/>
        </w:rPr>
        <w:t>không</w:t>
      </w:r>
      <w:r w:rsidR="00AB3081" w:rsidRPr="00AD5BB4">
        <w:rPr>
          <w:rFonts w:ascii="Times New Roman" w:hAnsi="Times New Roman"/>
          <w:b/>
          <w:sz w:val="20"/>
          <w:szCs w:val="20"/>
          <w:lang w:val="vi-VN"/>
        </w:rPr>
        <w:t>/ Nil balance</w:t>
      </w:r>
    </w:p>
    <w:p w14:paraId="1DE98F1B" w14:textId="6BBFE6B2" w:rsidR="00807D23" w:rsidRDefault="00E70229" w:rsidP="00AD5BB4">
      <w:pPr>
        <w:tabs>
          <w:tab w:val="left" w:pos="1134"/>
        </w:tabs>
        <w:spacing w:after="120" w:line="312" w:lineRule="auto"/>
        <w:ind w:left="502" w:right="260"/>
        <w:rPr>
          <w:rFonts w:ascii="Times New Roman" w:hAnsi="Times New Roman"/>
          <w:sz w:val="20"/>
          <w:szCs w:val="20"/>
          <w:lang w:val="nl-NL"/>
        </w:rPr>
      </w:pPr>
      <w:r w:rsidRPr="00762874">
        <w:rPr>
          <w:rFonts w:ascii="Times New Roman" w:hAnsi="Times New Roman"/>
          <w:sz w:val="20"/>
          <w:szCs w:val="20"/>
          <w:lang w:val="nl-NL"/>
        </w:rPr>
        <w:t xml:space="preserve">Các khoản mục hay số dư được quy định trong </w:t>
      </w:r>
      <w:r w:rsidR="00A51415" w:rsidRPr="00762874">
        <w:rPr>
          <w:rFonts w:ascii="Times New Roman" w:hAnsi="Times New Roman"/>
          <w:sz w:val="20"/>
          <w:szCs w:val="20"/>
          <w:lang w:val="nl-NL"/>
        </w:rPr>
        <w:t>Thông tư số 181/2015/TT-BTC ngày 13/11/2015 của Bộ Tài chính</w:t>
      </w:r>
      <w:r w:rsidRPr="00762874">
        <w:rPr>
          <w:rFonts w:ascii="Times New Roman" w:hAnsi="Times New Roman"/>
          <w:sz w:val="20"/>
          <w:szCs w:val="20"/>
          <w:lang w:val="nl-NL"/>
        </w:rPr>
        <w:t xml:space="preserve"> về chế độ kế toán áp dụng</w:t>
      </w:r>
      <w:r w:rsidR="00A51415" w:rsidRPr="00762874">
        <w:rPr>
          <w:rFonts w:ascii="Times New Roman" w:hAnsi="Times New Roman"/>
          <w:sz w:val="20"/>
          <w:szCs w:val="20"/>
          <w:lang w:val="nl-NL"/>
        </w:rPr>
        <w:t xml:space="preserve"> đối với quỹ ETF </w:t>
      </w:r>
      <w:r w:rsidRPr="00762874">
        <w:rPr>
          <w:rFonts w:ascii="Times New Roman" w:hAnsi="Times New Roman"/>
          <w:sz w:val="20"/>
          <w:szCs w:val="20"/>
          <w:lang w:val="nl-NL"/>
        </w:rPr>
        <w:t>không được thể hiện trong báo cáo tài chính này thì được hiểu là có số dư</w:t>
      </w:r>
      <w:r w:rsidR="00ED2683" w:rsidRPr="00762874">
        <w:rPr>
          <w:rFonts w:ascii="Times New Roman" w:hAnsi="Times New Roman"/>
          <w:sz w:val="20"/>
          <w:szCs w:val="20"/>
          <w:lang w:val="nl-NL"/>
        </w:rPr>
        <w:t xml:space="preserve"> bằng không</w:t>
      </w:r>
      <w:r w:rsidR="00807D23" w:rsidRPr="00762874">
        <w:rPr>
          <w:rFonts w:ascii="Times New Roman" w:hAnsi="Times New Roman"/>
          <w:sz w:val="20"/>
          <w:szCs w:val="20"/>
          <w:lang w:val="nl-NL"/>
        </w:rPr>
        <w:t>.</w:t>
      </w:r>
    </w:p>
    <w:p w14:paraId="0727D2F0" w14:textId="3C10AACC" w:rsidR="00AB3081" w:rsidRPr="00AB3081" w:rsidRDefault="002C7941" w:rsidP="00AD5BB4">
      <w:pPr>
        <w:tabs>
          <w:tab w:val="left" w:pos="1134"/>
        </w:tabs>
        <w:spacing w:after="120" w:line="312" w:lineRule="auto"/>
        <w:ind w:left="502" w:right="260"/>
        <w:rPr>
          <w:rFonts w:ascii="Times New Roman" w:hAnsi="Times New Roman"/>
          <w:i/>
          <w:iCs/>
          <w:sz w:val="20"/>
          <w:szCs w:val="20"/>
          <w:lang w:val="nl-NL"/>
        </w:rPr>
      </w:pPr>
      <w:r w:rsidRPr="002C7941">
        <w:rPr>
          <w:rFonts w:ascii="Times New Roman" w:hAnsi="Times New Roman"/>
          <w:i/>
          <w:iCs/>
          <w:sz w:val="20"/>
          <w:szCs w:val="20"/>
          <w:lang w:val="nl-NL"/>
        </w:rPr>
        <w:t>Items required by Circular 198/2012/TT-BTC that are not presented in these financial statements indicate nil item.</w:t>
      </w:r>
    </w:p>
    <w:p w14:paraId="2423BD27" w14:textId="73CBD673" w:rsidR="0040188C" w:rsidRPr="002C7941" w:rsidRDefault="00DB06B7" w:rsidP="002C7941">
      <w:pPr>
        <w:pStyle w:val="ListParagraph"/>
        <w:numPr>
          <w:ilvl w:val="0"/>
          <w:numId w:val="39"/>
        </w:numPr>
        <w:tabs>
          <w:tab w:val="left" w:pos="1134"/>
          <w:tab w:val="left" w:pos="1260"/>
        </w:tabs>
        <w:spacing w:after="120" w:line="312" w:lineRule="auto"/>
        <w:ind w:right="260"/>
        <w:rPr>
          <w:rFonts w:ascii="Times New Roman" w:hAnsi="Times New Roman"/>
          <w:b/>
          <w:sz w:val="20"/>
          <w:szCs w:val="20"/>
          <w:lang w:val="nl-NL"/>
        </w:rPr>
      </w:pPr>
      <w:r w:rsidRPr="002C7941">
        <w:rPr>
          <w:rFonts w:ascii="Times New Roman" w:hAnsi="Times New Roman"/>
          <w:b/>
          <w:sz w:val="20"/>
          <w:szCs w:val="20"/>
          <w:lang w:val="nl-NL"/>
        </w:rPr>
        <w:t xml:space="preserve">Thông tin bổ sung cho báo cáo tài </w:t>
      </w:r>
      <w:r w:rsidR="00AB3081" w:rsidRPr="002C7941">
        <w:rPr>
          <w:rFonts w:ascii="Times New Roman" w:hAnsi="Times New Roman"/>
          <w:b/>
          <w:sz w:val="20"/>
          <w:szCs w:val="20"/>
          <w:lang w:val="nl-NL"/>
        </w:rPr>
        <w:t>chính</w:t>
      </w:r>
      <w:r w:rsidR="00AB3081" w:rsidRPr="002C7941">
        <w:rPr>
          <w:rFonts w:ascii="Times New Roman" w:hAnsi="Times New Roman"/>
          <w:b/>
          <w:sz w:val="20"/>
          <w:szCs w:val="20"/>
          <w:lang w:val="vi-VN"/>
        </w:rPr>
        <w:t>/Additional information for Financial Statment</w:t>
      </w:r>
    </w:p>
    <w:p w14:paraId="4B39F08B" w14:textId="7E5D3319" w:rsidR="00AB3081" w:rsidRPr="00AB3081" w:rsidRDefault="00DB06B7" w:rsidP="00DB06B7">
      <w:pPr>
        <w:tabs>
          <w:tab w:val="left" w:pos="1134"/>
          <w:tab w:val="left" w:pos="1260"/>
        </w:tabs>
        <w:spacing w:after="120" w:line="312" w:lineRule="auto"/>
        <w:ind w:right="260"/>
        <w:rPr>
          <w:rFonts w:ascii="Times New Roman" w:hAnsi="Times New Roman"/>
          <w:sz w:val="20"/>
          <w:szCs w:val="20"/>
          <w:lang w:val="nl-NL"/>
        </w:rPr>
      </w:pPr>
      <w:r>
        <w:rPr>
          <w:rFonts w:ascii="Times New Roman" w:hAnsi="Times New Roman"/>
          <w:sz w:val="20"/>
          <w:szCs w:val="20"/>
          <w:lang w:val="nl-NL"/>
        </w:rPr>
        <w:t xml:space="preserve">               Phần thuyết minh này được trình bày theo phụ lục đính </w:t>
      </w:r>
      <w:r w:rsidR="00AB3081">
        <w:rPr>
          <w:rFonts w:ascii="Times New Roman" w:hAnsi="Times New Roman"/>
          <w:sz w:val="20"/>
          <w:szCs w:val="20"/>
          <w:lang w:val="nl-NL"/>
        </w:rPr>
        <w:t>kèm</w:t>
      </w:r>
      <w:r w:rsidR="00AB3081">
        <w:rPr>
          <w:rFonts w:ascii="Times New Roman" w:hAnsi="Times New Roman"/>
          <w:sz w:val="20"/>
          <w:szCs w:val="20"/>
          <w:lang w:val="vi-VN"/>
        </w:rPr>
        <w:t xml:space="preserve">/ </w:t>
      </w:r>
      <w:r w:rsidR="00AB3081">
        <w:rPr>
          <w:rFonts w:ascii="Times New Roman" w:hAnsi="Times New Roman"/>
          <w:sz w:val="20"/>
          <w:szCs w:val="20"/>
          <w:lang w:val="nl-NL"/>
        </w:rPr>
        <w:t>Presented</w:t>
      </w:r>
      <w:r w:rsidR="00AB3081">
        <w:rPr>
          <w:rFonts w:ascii="Times New Roman" w:hAnsi="Times New Roman"/>
          <w:sz w:val="20"/>
          <w:szCs w:val="20"/>
          <w:lang w:val="vi-VN"/>
        </w:rPr>
        <w:t xml:space="preserve"> as attached file</w:t>
      </w:r>
    </w:p>
    <w:p w14:paraId="34FA8AD1" w14:textId="53F91CE3" w:rsidR="00DB06B7" w:rsidRPr="00DB06B7" w:rsidRDefault="00152A6E" w:rsidP="00DB06B7">
      <w:pPr>
        <w:tabs>
          <w:tab w:val="left" w:pos="1134"/>
          <w:tab w:val="left" w:pos="1260"/>
        </w:tabs>
        <w:spacing w:after="120" w:line="312" w:lineRule="auto"/>
        <w:ind w:right="260"/>
        <w:rPr>
          <w:rFonts w:ascii="Times New Roman" w:hAnsi="Times New Roman"/>
          <w:sz w:val="20"/>
          <w:szCs w:val="20"/>
          <w:lang w:val="nl-NL"/>
        </w:rPr>
      </w:pPr>
      <w:r>
        <w:rPr>
          <w:rFonts w:ascii="Times New Roman" w:hAnsi="Times New Roman"/>
          <w:sz w:val="20"/>
          <w:szCs w:val="20"/>
          <w:lang w:val="vi-VN"/>
        </w:rPr>
        <w:t xml:space="preserve">                       </w:t>
      </w:r>
      <w:bookmarkStart w:id="13" w:name="_MON_1805893038"/>
      <w:bookmarkEnd w:id="13"/>
      <w:r w:rsidR="003F05AF">
        <w:rPr>
          <w:rFonts w:ascii="Times New Roman" w:hAnsi="Times New Roman"/>
          <w:sz w:val="20"/>
          <w:szCs w:val="20"/>
          <w:lang w:val="vi-VN"/>
        </w:rPr>
        <w:object w:dxaOrig="1508" w:dyaOrig="983" w14:anchorId="592E6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8" o:title=""/>
          </v:shape>
          <o:OLEObject Type="Embed" ProgID="Excel.Sheet.12" ShapeID="_x0000_i1027" DrawAspect="Icon" ObjectID="_1805894984" r:id="rId9"/>
        </w:object>
      </w:r>
    </w:p>
    <w:p w14:paraId="1CD30B3A" w14:textId="4C1D174E" w:rsidR="00A44C5C" w:rsidRPr="00045FF6" w:rsidRDefault="00E70229" w:rsidP="00363E04">
      <w:pPr>
        <w:pStyle w:val="ListParagraph"/>
        <w:numPr>
          <w:ilvl w:val="0"/>
          <w:numId w:val="39"/>
        </w:numPr>
        <w:spacing w:beforeLines="100" w:before="240" w:afterLines="60" w:after="144" w:line="240" w:lineRule="auto"/>
        <w:ind w:right="260"/>
        <w:jc w:val="both"/>
        <w:outlineLvl w:val="0"/>
        <w:rPr>
          <w:rFonts w:ascii="Times New Roman" w:hAnsi="Times New Roman"/>
          <w:b/>
          <w:sz w:val="20"/>
          <w:szCs w:val="20"/>
        </w:rPr>
      </w:pPr>
      <w:proofErr w:type="spellStart"/>
      <w:r w:rsidRPr="00363E04">
        <w:rPr>
          <w:rFonts w:ascii="Times New Roman" w:hAnsi="Times New Roman"/>
          <w:b/>
          <w:sz w:val="20"/>
          <w:szCs w:val="20"/>
        </w:rPr>
        <w:t>Phải</w:t>
      </w:r>
      <w:proofErr w:type="spellEnd"/>
      <w:r w:rsidRPr="00363E04">
        <w:rPr>
          <w:rFonts w:ascii="Times New Roman" w:hAnsi="Times New Roman"/>
          <w:b/>
          <w:sz w:val="20"/>
          <w:szCs w:val="20"/>
        </w:rPr>
        <w:t xml:space="preserve"> </w:t>
      </w:r>
      <w:proofErr w:type="spellStart"/>
      <w:r w:rsidRPr="00363E04">
        <w:rPr>
          <w:rFonts w:ascii="Times New Roman" w:hAnsi="Times New Roman"/>
          <w:b/>
          <w:sz w:val="20"/>
          <w:szCs w:val="20"/>
        </w:rPr>
        <w:t>trả</w:t>
      </w:r>
      <w:proofErr w:type="spellEnd"/>
      <w:r w:rsidRPr="00363E04">
        <w:rPr>
          <w:rFonts w:ascii="Times New Roman" w:hAnsi="Times New Roman"/>
          <w:b/>
          <w:sz w:val="20"/>
          <w:szCs w:val="20"/>
        </w:rPr>
        <w:t xml:space="preserve"> </w:t>
      </w:r>
      <w:proofErr w:type="spellStart"/>
      <w:r w:rsidRPr="00363E04">
        <w:rPr>
          <w:rFonts w:ascii="Times New Roman" w:hAnsi="Times New Roman"/>
          <w:b/>
          <w:sz w:val="20"/>
          <w:szCs w:val="20"/>
        </w:rPr>
        <w:t>dịch</w:t>
      </w:r>
      <w:proofErr w:type="spellEnd"/>
      <w:r w:rsidRPr="00363E04">
        <w:rPr>
          <w:rFonts w:ascii="Times New Roman" w:hAnsi="Times New Roman"/>
          <w:b/>
          <w:sz w:val="20"/>
          <w:szCs w:val="20"/>
        </w:rPr>
        <w:t xml:space="preserve"> </w:t>
      </w:r>
      <w:proofErr w:type="spellStart"/>
      <w:r w:rsidRPr="00363E04">
        <w:rPr>
          <w:rFonts w:ascii="Times New Roman" w:hAnsi="Times New Roman"/>
          <w:b/>
          <w:sz w:val="20"/>
          <w:szCs w:val="20"/>
        </w:rPr>
        <w:t>vụ</w:t>
      </w:r>
      <w:proofErr w:type="spellEnd"/>
      <w:r w:rsidRPr="00363E04">
        <w:rPr>
          <w:rFonts w:ascii="Times New Roman" w:hAnsi="Times New Roman"/>
          <w:b/>
          <w:sz w:val="20"/>
          <w:szCs w:val="20"/>
        </w:rPr>
        <w:t xml:space="preserve"> </w:t>
      </w:r>
      <w:proofErr w:type="spellStart"/>
      <w:r w:rsidRPr="00363E04">
        <w:rPr>
          <w:rFonts w:ascii="Times New Roman" w:hAnsi="Times New Roman"/>
          <w:b/>
          <w:sz w:val="20"/>
          <w:szCs w:val="20"/>
        </w:rPr>
        <w:t>quản</w:t>
      </w:r>
      <w:proofErr w:type="spellEnd"/>
      <w:r w:rsidRPr="00363E04">
        <w:rPr>
          <w:rFonts w:ascii="Times New Roman" w:hAnsi="Times New Roman"/>
          <w:b/>
          <w:sz w:val="20"/>
          <w:szCs w:val="20"/>
        </w:rPr>
        <w:t xml:space="preserve"> </w:t>
      </w:r>
      <w:proofErr w:type="spellStart"/>
      <w:r w:rsidRPr="00363E04">
        <w:rPr>
          <w:rFonts w:ascii="Times New Roman" w:hAnsi="Times New Roman"/>
          <w:b/>
          <w:sz w:val="20"/>
          <w:szCs w:val="20"/>
        </w:rPr>
        <w:t>lý</w:t>
      </w:r>
      <w:proofErr w:type="spellEnd"/>
      <w:r w:rsidRPr="00363E04">
        <w:rPr>
          <w:rFonts w:ascii="Times New Roman" w:hAnsi="Times New Roman"/>
          <w:b/>
          <w:sz w:val="20"/>
          <w:szCs w:val="20"/>
        </w:rPr>
        <w:t xml:space="preserve"> </w:t>
      </w:r>
      <w:proofErr w:type="spellStart"/>
      <w:r w:rsidRPr="00363E04">
        <w:rPr>
          <w:rFonts w:ascii="Times New Roman" w:hAnsi="Times New Roman"/>
          <w:b/>
          <w:sz w:val="20"/>
          <w:szCs w:val="20"/>
        </w:rPr>
        <w:t>quỹ</w:t>
      </w:r>
      <w:proofErr w:type="spellEnd"/>
      <w:r w:rsidR="00EB6B1D" w:rsidRPr="00363E04">
        <w:rPr>
          <w:rFonts w:ascii="Times New Roman" w:hAnsi="Times New Roman"/>
          <w:b/>
          <w:sz w:val="20"/>
          <w:szCs w:val="20"/>
        </w:rPr>
        <w:t xml:space="preserve"> </w:t>
      </w:r>
      <w:r w:rsidR="00AB3081" w:rsidRPr="00363E04">
        <w:rPr>
          <w:rFonts w:ascii="Times New Roman" w:hAnsi="Times New Roman"/>
          <w:b/>
          <w:sz w:val="20"/>
          <w:szCs w:val="20"/>
        </w:rPr>
        <w:t>ETF</w:t>
      </w:r>
      <w:r w:rsidR="00AB3081" w:rsidRPr="00363E04">
        <w:rPr>
          <w:rFonts w:ascii="Times New Roman" w:hAnsi="Times New Roman"/>
          <w:b/>
          <w:sz w:val="20"/>
          <w:szCs w:val="20"/>
          <w:lang w:val="vi-VN"/>
        </w:rPr>
        <w:t>/ Payable for ETF fund management services</w:t>
      </w:r>
    </w:p>
    <w:p w14:paraId="0E83EE5B" w14:textId="77777777" w:rsidR="00045FF6" w:rsidRPr="00363E04" w:rsidRDefault="00045FF6" w:rsidP="00045FF6">
      <w:pPr>
        <w:pStyle w:val="ListParagraph"/>
        <w:spacing w:beforeLines="100" w:before="240" w:afterLines="60" w:after="144" w:line="240" w:lineRule="auto"/>
        <w:ind w:left="862" w:right="260"/>
        <w:jc w:val="both"/>
        <w:outlineLvl w:val="0"/>
        <w:rPr>
          <w:rFonts w:ascii="Times New Roman" w:hAnsi="Times New Roman"/>
          <w:b/>
          <w:sz w:val="20"/>
          <w:szCs w:val="20"/>
        </w:rPr>
      </w:pPr>
    </w:p>
    <w:p w14:paraId="676264D1" w14:textId="7B7FF175" w:rsidR="00E70229" w:rsidRPr="00363E04" w:rsidRDefault="00E82016" w:rsidP="00363E04">
      <w:pPr>
        <w:pStyle w:val="ListParagraph"/>
        <w:numPr>
          <w:ilvl w:val="1"/>
          <w:numId w:val="39"/>
        </w:numPr>
        <w:shd w:val="clear" w:color="auto" w:fill="FFFFFF"/>
        <w:spacing w:after="120" w:line="312" w:lineRule="auto"/>
        <w:ind w:right="260"/>
        <w:jc w:val="both"/>
        <w:rPr>
          <w:rFonts w:ascii="Times New Roman" w:hAnsi="Times New Roman"/>
          <w:b/>
          <w:sz w:val="20"/>
          <w:szCs w:val="20"/>
          <w:lang w:val="vi-VN"/>
        </w:rPr>
      </w:pPr>
      <w:r w:rsidRPr="00363E04">
        <w:rPr>
          <w:rFonts w:ascii="Times New Roman" w:hAnsi="Times New Roman"/>
          <w:b/>
          <w:sz w:val="20"/>
          <w:szCs w:val="20"/>
          <w:lang w:val="nl-NL"/>
        </w:rPr>
        <w:t>Giá dịch vụ</w:t>
      </w:r>
      <w:r w:rsidR="00E70229" w:rsidRPr="00363E04">
        <w:rPr>
          <w:rFonts w:ascii="Times New Roman" w:hAnsi="Times New Roman"/>
          <w:b/>
          <w:sz w:val="20"/>
          <w:szCs w:val="20"/>
          <w:lang w:val="nl-NL"/>
        </w:rPr>
        <w:t xml:space="preserve"> quản lý </w:t>
      </w:r>
      <w:r w:rsidR="00AB3081" w:rsidRPr="00363E04">
        <w:rPr>
          <w:rFonts w:ascii="Times New Roman" w:hAnsi="Times New Roman"/>
          <w:b/>
          <w:sz w:val="20"/>
          <w:szCs w:val="20"/>
          <w:lang w:val="nl-NL"/>
        </w:rPr>
        <w:t>Quỹ</w:t>
      </w:r>
      <w:r w:rsidR="00AB3081" w:rsidRPr="00363E04">
        <w:rPr>
          <w:rFonts w:ascii="Times New Roman" w:hAnsi="Times New Roman"/>
          <w:b/>
          <w:sz w:val="20"/>
          <w:szCs w:val="20"/>
          <w:lang w:val="vi-VN"/>
        </w:rPr>
        <w:t>/ Management fee</w:t>
      </w:r>
    </w:p>
    <w:p w14:paraId="44C2A155" w14:textId="12C0FE23" w:rsidR="00E70229" w:rsidRDefault="00E82016" w:rsidP="00411A05">
      <w:pPr>
        <w:pStyle w:val="ListParagraph"/>
        <w:spacing w:before="120" w:after="120" w:line="312" w:lineRule="auto"/>
        <w:ind w:left="862" w:right="259"/>
        <w:jc w:val="both"/>
        <w:rPr>
          <w:rFonts w:ascii="Times New Roman" w:eastAsia="Times New Roman" w:hAnsi="Times New Roman"/>
          <w:bCs/>
          <w:sz w:val="20"/>
          <w:szCs w:val="20"/>
          <w:lang w:eastAsia="en-GB"/>
        </w:rPr>
      </w:pPr>
      <w:proofErr w:type="spellStart"/>
      <w:r>
        <w:rPr>
          <w:rFonts w:ascii="Times New Roman" w:eastAsia="Times New Roman" w:hAnsi="Times New Roman"/>
          <w:bCs/>
          <w:sz w:val="20"/>
          <w:szCs w:val="20"/>
          <w:lang w:eastAsia="en-GB"/>
        </w:rPr>
        <w:t>Giá</w:t>
      </w:r>
      <w:proofErr w:type="spellEnd"/>
      <w:r>
        <w:rPr>
          <w:rFonts w:ascii="Times New Roman" w:eastAsia="Times New Roman" w:hAnsi="Times New Roman"/>
          <w:bCs/>
          <w:sz w:val="20"/>
          <w:szCs w:val="20"/>
          <w:lang w:eastAsia="en-GB"/>
        </w:rPr>
        <w:t xml:space="preserve"> </w:t>
      </w:r>
      <w:proofErr w:type="spellStart"/>
      <w:r>
        <w:rPr>
          <w:rFonts w:ascii="Times New Roman" w:eastAsia="Times New Roman" w:hAnsi="Times New Roman"/>
          <w:bCs/>
          <w:sz w:val="20"/>
          <w:szCs w:val="20"/>
          <w:lang w:eastAsia="en-GB"/>
        </w:rPr>
        <w:t>dịch</w:t>
      </w:r>
      <w:proofErr w:type="spellEnd"/>
      <w:r>
        <w:rPr>
          <w:rFonts w:ascii="Times New Roman" w:eastAsia="Times New Roman" w:hAnsi="Times New Roman"/>
          <w:bCs/>
          <w:sz w:val="20"/>
          <w:szCs w:val="20"/>
          <w:lang w:eastAsia="en-GB"/>
        </w:rPr>
        <w:t xml:space="preserve"> </w:t>
      </w:r>
      <w:proofErr w:type="spellStart"/>
      <w:r>
        <w:rPr>
          <w:rFonts w:ascii="Times New Roman" w:eastAsia="Times New Roman" w:hAnsi="Times New Roman"/>
          <w:bCs/>
          <w:sz w:val="20"/>
          <w:szCs w:val="20"/>
          <w:lang w:eastAsia="en-GB"/>
        </w:rPr>
        <w:t>vụ</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quản</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lý</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Quỹ</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được</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tính</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hàng</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ngày</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dựa</w:t>
      </w:r>
      <w:proofErr w:type="spellEnd"/>
      <w:r w:rsidR="00E70229" w:rsidRPr="00E21368">
        <w:rPr>
          <w:rFonts w:ascii="Times New Roman" w:eastAsia="Times New Roman" w:hAnsi="Times New Roman"/>
          <w:bCs/>
          <w:sz w:val="20"/>
          <w:szCs w:val="20"/>
          <w:lang w:eastAsia="en-GB"/>
        </w:rPr>
        <w:t xml:space="preserve"> trên số </w:t>
      </w:r>
      <w:proofErr w:type="spellStart"/>
      <w:r w:rsidR="00E70229" w:rsidRPr="00E21368">
        <w:rPr>
          <w:rFonts w:ascii="Times New Roman" w:eastAsia="Times New Roman" w:hAnsi="Times New Roman"/>
          <w:bCs/>
          <w:sz w:val="20"/>
          <w:szCs w:val="20"/>
          <w:lang w:eastAsia="en-GB"/>
        </w:rPr>
        <w:t>ngày</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thực</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tế</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trong</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kỳ</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định</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giá</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và</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giá</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trị</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tài</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sản</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ròng</w:t>
      </w:r>
      <w:proofErr w:type="spellEnd"/>
      <w:r w:rsidR="00E70229" w:rsidRPr="00E21368">
        <w:rPr>
          <w:rFonts w:ascii="Times New Roman" w:eastAsia="Times New Roman" w:hAnsi="Times New Roman"/>
          <w:bCs/>
          <w:sz w:val="20"/>
          <w:szCs w:val="20"/>
          <w:lang w:eastAsia="en-GB"/>
        </w:rPr>
        <w:t xml:space="preserve"> của </w:t>
      </w:r>
      <w:proofErr w:type="spellStart"/>
      <w:r w:rsidR="00E70229" w:rsidRPr="00E21368">
        <w:rPr>
          <w:rFonts w:ascii="Times New Roman" w:eastAsia="Times New Roman" w:hAnsi="Times New Roman"/>
          <w:bCs/>
          <w:sz w:val="20"/>
          <w:szCs w:val="20"/>
          <w:lang w:eastAsia="en-GB"/>
        </w:rPr>
        <w:t>Quỹ</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tại</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ngày</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định</w:t>
      </w:r>
      <w:proofErr w:type="spellEnd"/>
      <w:r w:rsidR="00E70229" w:rsidRPr="00E21368">
        <w:rPr>
          <w:rFonts w:ascii="Times New Roman" w:eastAsia="Times New Roman" w:hAnsi="Times New Roman"/>
          <w:bCs/>
          <w:sz w:val="20"/>
          <w:szCs w:val="20"/>
          <w:lang w:eastAsia="en-GB"/>
        </w:rPr>
        <w:t xml:space="preserve"> </w:t>
      </w:r>
      <w:proofErr w:type="spellStart"/>
      <w:r w:rsidR="00E70229" w:rsidRPr="00E21368">
        <w:rPr>
          <w:rFonts w:ascii="Times New Roman" w:eastAsia="Times New Roman" w:hAnsi="Times New Roman"/>
          <w:bCs/>
          <w:sz w:val="20"/>
          <w:szCs w:val="20"/>
          <w:lang w:eastAsia="en-GB"/>
        </w:rPr>
        <w:t>giá</w:t>
      </w:r>
      <w:proofErr w:type="spellEnd"/>
      <w:r w:rsidR="00156681">
        <w:rPr>
          <w:rFonts w:ascii="Times New Roman" w:eastAsia="Times New Roman" w:hAnsi="Times New Roman"/>
          <w:bCs/>
          <w:sz w:val="20"/>
          <w:szCs w:val="20"/>
          <w:lang w:eastAsia="en-GB"/>
        </w:rPr>
        <w:t>.</w:t>
      </w:r>
      <w:r w:rsidR="00E70229" w:rsidRPr="00E21368">
        <w:rPr>
          <w:rFonts w:ascii="Times New Roman" w:eastAsia="Times New Roman" w:hAnsi="Times New Roman"/>
          <w:bCs/>
          <w:sz w:val="20"/>
          <w:szCs w:val="20"/>
          <w:lang w:eastAsia="en-GB"/>
        </w:rPr>
        <w:t xml:space="preserve"> </w:t>
      </w:r>
      <w:proofErr w:type="spellStart"/>
      <w:r>
        <w:rPr>
          <w:rFonts w:ascii="Times New Roman" w:eastAsia="Times New Roman" w:hAnsi="Times New Roman"/>
          <w:bCs/>
          <w:sz w:val="20"/>
          <w:szCs w:val="20"/>
          <w:lang w:eastAsia="en-GB"/>
        </w:rPr>
        <w:t>Giá</w:t>
      </w:r>
      <w:proofErr w:type="spellEnd"/>
      <w:r>
        <w:rPr>
          <w:rFonts w:ascii="Times New Roman" w:eastAsia="Times New Roman" w:hAnsi="Times New Roman"/>
          <w:bCs/>
          <w:sz w:val="20"/>
          <w:szCs w:val="20"/>
          <w:lang w:eastAsia="en-GB"/>
        </w:rPr>
        <w:t xml:space="preserve"> </w:t>
      </w:r>
      <w:proofErr w:type="spellStart"/>
      <w:r>
        <w:rPr>
          <w:rFonts w:ascii="Times New Roman" w:eastAsia="Times New Roman" w:hAnsi="Times New Roman"/>
          <w:bCs/>
          <w:sz w:val="20"/>
          <w:szCs w:val="20"/>
          <w:lang w:eastAsia="en-GB"/>
        </w:rPr>
        <w:t>dịch</w:t>
      </w:r>
      <w:proofErr w:type="spellEnd"/>
      <w:r>
        <w:rPr>
          <w:rFonts w:ascii="Times New Roman" w:eastAsia="Times New Roman" w:hAnsi="Times New Roman"/>
          <w:bCs/>
          <w:sz w:val="20"/>
          <w:szCs w:val="20"/>
          <w:lang w:eastAsia="en-GB"/>
        </w:rPr>
        <w:t xml:space="preserve"> </w:t>
      </w:r>
      <w:proofErr w:type="spellStart"/>
      <w:r>
        <w:rPr>
          <w:rFonts w:ascii="Times New Roman" w:eastAsia="Times New Roman" w:hAnsi="Times New Roman"/>
          <w:bCs/>
          <w:sz w:val="20"/>
          <w:szCs w:val="20"/>
          <w:lang w:eastAsia="en-GB"/>
        </w:rPr>
        <w:t>vụ</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quản</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lý</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quỹ</w:t>
      </w:r>
      <w:proofErr w:type="spellEnd"/>
      <w:r w:rsidR="006570E2" w:rsidRPr="00E21368">
        <w:rPr>
          <w:rFonts w:ascii="Times New Roman" w:eastAsia="Times New Roman" w:hAnsi="Times New Roman"/>
          <w:bCs/>
          <w:sz w:val="20"/>
          <w:szCs w:val="20"/>
          <w:lang w:eastAsia="en-GB"/>
        </w:rPr>
        <w:t xml:space="preserve"> là 0</w:t>
      </w:r>
      <w:r w:rsidR="00F81D71">
        <w:rPr>
          <w:rFonts w:ascii="Times New Roman" w:eastAsia="Times New Roman" w:hAnsi="Times New Roman"/>
          <w:bCs/>
          <w:sz w:val="20"/>
          <w:szCs w:val="20"/>
          <w:lang w:eastAsia="en-GB"/>
        </w:rPr>
        <w:t>,</w:t>
      </w:r>
      <w:r w:rsidR="00A12D58">
        <w:rPr>
          <w:rFonts w:ascii="Times New Roman" w:eastAsia="Times New Roman" w:hAnsi="Times New Roman"/>
          <w:bCs/>
          <w:sz w:val="20"/>
          <w:szCs w:val="20"/>
          <w:lang w:eastAsia="en-GB"/>
        </w:rPr>
        <w:t>8</w:t>
      </w:r>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giá</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trị</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tài</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sản</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ròng</w:t>
      </w:r>
      <w:proofErr w:type="spellEnd"/>
      <w:r w:rsidR="006570E2" w:rsidRPr="00E21368">
        <w:rPr>
          <w:rFonts w:ascii="Times New Roman" w:eastAsia="Times New Roman" w:hAnsi="Times New Roman"/>
          <w:bCs/>
          <w:sz w:val="20"/>
          <w:szCs w:val="20"/>
          <w:lang w:eastAsia="en-GB"/>
        </w:rPr>
        <w:t xml:space="preserve"> của </w:t>
      </w:r>
      <w:proofErr w:type="spellStart"/>
      <w:r w:rsidR="006570E2" w:rsidRPr="00E21368">
        <w:rPr>
          <w:rFonts w:ascii="Times New Roman" w:eastAsia="Times New Roman" w:hAnsi="Times New Roman"/>
          <w:bCs/>
          <w:sz w:val="20"/>
          <w:szCs w:val="20"/>
          <w:lang w:eastAsia="en-GB"/>
        </w:rPr>
        <w:t>Quỹ</w:t>
      </w:r>
      <w:proofErr w:type="spellEnd"/>
      <w:r w:rsidR="006570E2" w:rsidRPr="00E21368">
        <w:rPr>
          <w:rFonts w:ascii="Times New Roman" w:eastAsia="Times New Roman" w:hAnsi="Times New Roman"/>
          <w:bCs/>
          <w:sz w:val="20"/>
          <w:szCs w:val="20"/>
          <w:lang w:eastAsia="en-GB"/>
        </w:rPr>
        <w:t xml:space="preserve"> ETF </w:t>
      </w:r>
      <w:r w:rsidR="006B6153">
        <w:rPr>
          <w:rFonts w:ascii="Times New Roman" w:eastAsia="Times New Roman" w:hAnsi="Times New Roman"/>
          <w:bCs/>
          <w:sz w:val="20"/>
          <w:szCs w:val="20"/>
          <w:lang w:eastAsia="en-GB"/>
        </w:rPr>
        <w:t>DC</w:t>
      </w:r>
      <w:r w:rsidR="006570E2" w:rsidRPr="00E21368">
        <w:rPr>
          <w:rFonts w:ascii="Times New Roman" w:eastAsia="Times New Roman" w:hAnsi="Times New Roman"/>
          <w:bCs/>
          <w:sz w:val="20"/>
          <w:szCs w:val="20"/>
          <w:lang w:eastAsia="en-GB"/>
        </w:rPr>
        <w:t>VFMVN</w:t>
      </w:r>
      <w:r w:rsidR="00A12D58">
        <w:rPr>
          <w:rFonts w:ascii="Times New Roman" w:eastAsia="Times New Roman" w:hAnsi="Times New Roman"/>
          <w:bCs/>
          <w:sz w:val="20"/>
          <w:szCs w:val="20"/>
          <w:lang w:eastAsia="en-GB"/>
        </w:rPr>
        <w:t>MIDCAP</w:t>
      </w:r>
      <w:r w:rsidR="006570E2" w:rsidRPr="00E21368">
        <w:rPr>
          <w:rFonts w:ascii="Times New Roman" w:eastAsia="Times New Roman" w:hAnsi="Times New Roman"/>
          <w:bCs/>
          <w:sz w:val="20"/>
          <w:szCs w:val="20"/>
          <w:lang w:eastAsia="en-GB"/>
        </w:rPr>
        <w:t>/</w:t>
      </w:r>
      <w:r w:rsidR="00141D4B">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năm</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tài</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chính</w:t>
      </w:r>
      <w:proofErr w:type="spellEnd"/>
      <w:r w:rsidR="00156681">
        <w:rPr>
          <w:rFonts w:ascii="Times New Roman" w:eastAsia="Times New Roman" w:hAnsi="Times New Roman"/>
          <w:bCs/>
          <w:sz w:val="20"/>
          <w:szCs w:val="20"/>
          <w:lang w:eastAsia="en-GB"/>
        </w:rPr>
        <w:t>.</w:t>
      </w:r>
      <w:r w:rsidR="00CA0E39">
        <w:rPr>
          <w:rFonts w:ascii="Times New Roman" w:eastAsia="Times New Roman" w:hAnsi="Times New Roman"/>
          <w:bCs/>
          <w:sz w:val="20"/>
          <w:szCs w:val="20"/>
          <w:lang w:eastAsia="en-GB"/>
        </w:rPr>
        <w:t xml:space="preserve"> </w:t>
      </w:r>
      <w:proofErr w:type="spellStart"/>
      <w:r w:rsidR="00CA0E39">
        <w:rPr>
          <w:rFonts w:ascii="Times New Roman" w:eastAsia="Times New Roman" w:hAnsi="Times New Roman"/>
          <w:bCs/>
          <w:sz w:val="20"/>
          <w:szCs w:val="20"/>
          <w:lang w:eastAsia="en-GB"/>
        </w:rPr>
        <w:t>Giá</w:t>
      </w:r>
      <w:proofErr w:type="spellEnd"/>
      <w:r w:rsidR="00CA0E39">
        <w:rPr>
          <w:rFonts w:ascii="Times New Roman" w:eastAsia="Times New Roman" w:hAnsi="Times New Roman"/>
          <w:bCs/>
          <w:sz w:val="20"/>
          <w:szCs w:val="20"/>
          <w:lang w:eastAsia="en-GB"/>
        </w:rPr>
        <w:t xml:space="preserve"> </w:t>
      </w:r>
      <w:proofErr w:type="spellStart"/>
      <w:r w:rsidR="00CA0E39">
        <w:rPr>
          <w:rFonts w:ascii="Times New Roman" w:eastAsia="Times New Roman" w:hAnsi="Times New Roman"/>
          <w:bCs/>
          <w:sz w:val="20"/>
          <w:szCs w:val="20"/>
          <w:lang w:eastAsia="en-GB"/>
        </w:rPr>
        <w:t>dịch</w:t>
      </w:r>
      <w:proofErr w:type="spellEnd"/>
      <w:r w:rsidR="00CA0E39">
        <w:rPr>
          <w:rFonts w:ascii="Times New Roman" w:eastAsia="Times New Roman" w:hAnsi="Times New Roman"/>
          <w:bCs/>
          <w:sz w:val="20"/>
          <w:szCs w:val="20"/>
          <w:lang w:eastAsia="en-GB"/>
        </w:rPr>
        <w:t xml:space="preserve"> </w:t>
      </w:r>
      <w:proofErr w:type="spellStart"/>
      <w:r w:rsidR="00CA0E39">
        <w:rPr>
          <w:rFonts w:ascii="Times New Roman" w:eastAsia="Times New Roman" w:hAnsi="Times New Roman"/>
          <w:bCs/>
          <w:sz w:val="20"/>
          <w:szCs w:val="20"/>
          <w:lang w:eastAsia="en-GB"/>
        </w:rPr>
        <w:t>vụ</w:t>
      </w:r>
      <w:proofErr w:type="spellEnd"/>
      <w:r w:rsidR="006570E2" w:rsidRPr="00E21368">
        <w:rPr>
          <w:rFonts w:ascii="Times New Roman" w:eastAsia="Times New Roman" w:hAnsi="Times New Roman"/>
          <w:bCs/>
          <w:sz w:val="20"/>
          <w:szCs w:val="20"/>
          <w:lang w:eastAsia="en-GB"/>
        </w:rPr>
        <w:t xml:space="preserve"> này </w:t>
      </w:r>
      <w:proofErr w:type="spellStart"/>
      <w:r w:rsidR="006570E2" w:rsidRPr="00E21368">
        <w:rPr>
          <w:rFonts w:ascii="Times New Roman" w:eastAsia="Times New Roman" w:hAnsi="Times New Roman"/>
          <w:bCs/>
          <w:sz w:val="20"/>
          <w:szCs w:val="20"/>
          <w:lang w:eastAsia="en-GB"/>
        </w:rPr>
        <w:t>được</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trả</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cho</w:t>
      </w:r>
      <w:proofErr w:type="spellEnd"/>
      <w:r w:rsidR="006570E2" w:rsidRPr="00E21368">
        <w:rPr>
          <w:rFonts w:ascii="Times New Roman" w:eastAsia="Times New Roman" w:hAnsi="Times New Roman"/>
          <w:bCs/>
          <w:sz w:val="20"/>
          <w:szCs w:val="20"/>
          <w:lang w:eastAsia="en-GB"/>
        </w:rPr>
        <w:t xml:space="preserve"> </w:t>
      </w:r>
      <w:r w:rsidR="00CF11CB">
        <w:rPr>
          <w:rFonts w:ascii="Times New Roman" w:eastAsia="Times New Roman" w:hAnsi="Times New Roman"/>
          <w:bCs/>
          <w:sz w:val="20"/>
          <w:szCs w:val="20"/>
          <w:lang w:eastAsia="en-GB"/>
        </w:rPr>
        <w:t>DC</w:t>
      </w:r>
      <w:r w:rsidR="006570E2" w:rsidRPr="00E21368">
        <w:rPr>
          <w:rFonts w:ascii="Times New Roman" w:eastAsia="Times New Roman" w:hAnsi="Times New Roman"/>
          <w:bCs/>
          <w:sz w:val="20"/>
          <w:szCs w:val="20"/>
          <w:lang w:eastAsia="en-GB"/>
        </w:rPr>
        <w:t xml:space="preserve">VFM để </w:t>
      </w:r>
      <w:proofErr w:type="spellStart"/>
      <w:r w:rsidR="006570E2" w:rsidRPr="00E21368">
        <w:rPr>
          <w:rFonts w:ascii="Times New Roman" w:eastAsia="Times New Roman" w:hAnsi="Times New Roman"/>
          <w:bCs/>
          <w:sz w:val="20"/>
          <w:szCs w:val="20"/>
          <w:lang w:eastAsia="en-GB"/>
        </w:rPr>
        <w:t>thực</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hiện</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các</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dịch</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vụ</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quản</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lý</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cho</w:t>
      </w:r>
      <w:proofErr w:type="spellEnd"/>
      <w:r w:rsidR="006570E2" w:rsidRPr="00E21368">
        <w:rPr>
          <w:rFonts w:ascii="Times New Roman" w:eastAsia="Times New Roman" w:hAnsi="Times New Roman"/>
          <w:bCs/>
          <w:sz w:val="20"/>
          <w:szCs w:val="20"/>
          <w:lang w:eastAsia="en-GB"/>
        </w:rPr>
        <w:t xml:space="preserve"> </w:t>
      </w:r>
      <w:proofErr w:type="spellStart"/>
      <w:r w:rsidR="006570E2" w:rsidRPr="00E21368">
        <w:rPr>
          <w:rFonts w:ascii="Times New Roman" w:eastAsia="Times New Roman" w:hAnsi="Times New Roman"/>
          <w:bCs/>
          <w:sz w:val="20"/>
          <w:szCs w:val="20"/>
          <w:lang w:eastAsia="en-GB"/>
        </w:rPr>
        <w:t>Quỹ</w:t>
      </w:r>
      <w:proofErr w:type="spellEnd"/>
      <w:r w:rsidR="006570E2" w:rsidRPr="00E21368">
        <w:rPr>
          <w:rFonts w:ascii="Times New Roman" w:eastAsia="Times New Roman" w:hAnsi="Times New Roman"/>
          <w:bCs/>
          <w:sz w:val="20"/>
          <w:szCs w:val="20"/>
          <w:lang w:eastAsia="en-GB"/>
        </w:rPr>
        <w:t xml:space="preserve"> ETF </w:t>
      </w:r>
      <w:r w:rsidR="006B6153">
        <w:rPr>
          <w:rFonts w:ascii="Times New Roman" w:eastAsia="Times New Roman" w:hAnsi="Times New Roman"/>
          <w:bCs/>
          <w:sz w:val="20"/>
          <w:szCs w:val="20"/>
          <w:lang w:eastAsia="en-GB"/>
        </w:rPr>
        <w:t>DC</w:t>
      </w:r>
      <w:r w:rsidR="006570E2" w:rsidRPr="00E21368">
        <w:rPr>
          <w:rFonts w:ascii="Times New Roman" w:eastAsia="Times New Roman" w:hAnsi="Times New Roman"/>
          <w:bCs/>
          <w:sz w:val="20"/>
          <w:szCs w:val="20"/>
          <w:lang w:eastAsia="en-GB"/>
        </w:rPr>
        <w:t>VFMVN</w:t>
      </w:r>
      <w:r w:rsidR="00A12D58">
        <w:rPr>
          <w:rFonts w:ascii="Times New Roman" w:eastAsia="Times New Roman" w:hAnsi="Times New Roman"/>
          <w:bCs/>
          <w:sz w:val="20"/>
          <w:szCs w:val="20"/>
          <w:lang w:eastAsia="en-GB"/>
        </w:rPr>
        <w:t>MIDCAP</w:t>
      </w:r>
      <w:r w:rsidR="00156681">
        <w:rPr>
          <w:rFonts w:ascii="Times New Roman" w:eastAsia="Times New Roman" w:hAnsi="Times New Roman"/>
          <w:bCs/>
          <w:sz w:val="20"/>
          <w:szCs w:val="20"/>
          <w:lang w:eastAsia="en-GB"/>
        </w:rPr>
        <w:t>.</w:t>
      </w:r>
    </w:p>
    <w:p w14:paraId="06F469B6" w14:textId="77777777" w:rsidR="00363E04" w:rsidRPr="00AB3081" w:rsidRDefault="00363E04" w:rsidP="00411A05">
      <w:pPr>
        <w:pStyle w:val="ListParagraph"/>
        <w:spacing w:before="120" w:after="120" w:line="312" w:lineRule="auto"/>
        <w:ind w:left="862" w:right="259"/>
        <w:jc w:val="both"/>
        <w:rPr>
          <w:rFonts w:ascii="Times New Roman" w:eastAsia="Times New Roman" w:hAnsi="Times New Roman"/>
          <w:bCs/>
          <w:i/>
          <w:iCs/>
          <w:sz w:val="20"/>
          <w:szCs w:val="20"/>
          <w:lang w:val="vi-VN" w:eastAsia="en-GB"/>
        </w:rPr>
      </w:pPr>
      <w:r w:rsidRPr="00AB3081">
        <w:rPr>
          <w:rFonts w:ascii="Times New Roman" w:eastAsia="Times New Roman" w:hAnsi="Times New Roman"/>
          <w:bCs/>
          <w:i/>
          <w:iCs/>
          <w:sz w:val="20"/>
          <w:szCs w:val="20"/>
          <w:lang w:val="vi-VN" w:eastAsia="en-GB"/>
        </w:rPr>
        <w:t>Management fee is calculated daily based on the actual number of days in the valuation period and the Fund's net asset value at the valuation date. The price of fund management services is 0.8% of the net asset value of the DCVFMVNMIDCAP ETF/financial year. This service price is paid to DCVFM to perform management services for the DCVFMVNMIDCAP ETF.</w:t>
      </w:r>
    </w:p>
    <w:p w14:paraId="02AECCD3" w14:textId="77777777" w:rsidR="00363E04" w:rsidRDefault="00363E04" w:rsidP="00363E04">
      <w:pPr>
        <w:pStyle w:val="ListParagraph"/>
        <w:spacing w:before="120" w:after="120" w:line="312" w:lineRule="auto"/>
        <w:ind w:left="502" w:right="259"/>
        <w:jc w:val="both"/>
        <w:rPr>
          <w:rFonts w:ascii="Times New Roman" w:eastAsia="Times New Roman" w:hAnsi="Times New Roman"/>
          <w:bCs/>
          <w:sz w:val="20"/>
          <w:szCs w:val="20"/>
          <w:lang w:eastAsia="en-GB"/>
        </w:rPr>
      </w:pPr>
    </w:p>
    <w:p w14:paraId="5A5448CC" w14:textId="77777777" w:rsidR="0091425E" w:rsidRDefault="006E18BB" w:rsidP="0091425E">
      <w:pPr>
        <w:pStyle w:val="ListParagraph"/>
        <w:spacing w:before="120" w:after="120" w:line="312" w:lineRule="auto"/>
        <w:ind w:left="862" w:right="259"/>
        <w:jc w:val="both"/>
        <w:rPr>
          <w:rFonts w:ascii="Times New Roman" w:eastAsia="Times New Roman" w:hAnsi="Times New Roman"/>
          <w:bCs/>
          <w:sz w:val="20"/>
          <w:szCs w:val="20"/>
          <w:lang w:eastAsia="en-GB"/>
        </w:rPr>
      </w:pPr>
      <w:r w:rsidRPr="006E18BB">
        <w:rPr>
          <w:rFonts w:ascii="Times New Roman" w:eastAsia="Times New Roman" w:hAnsi="Times New Roman"/>
          <w:bCs/>
          <w:sz w:val="20"/>
          <w:szCs w:val="20"/>
          <w:lang w:eastAsia="en-GB"/>
        </w:rPr>
        <w:t xml:space="preserve">Số </w:t>
      </w:r>
      <w:proofErr w:type="spellStart"/>
      <w:r w:rsidRPr="006E18BB">
        <w:rPr>
          <w:rFonts w:ascii="Times New Roman" w:eastAsia="Times New Roman" w:hAnsi="Times New Roman"/>
          <w:bCs/>
          <w:sz w:val="20"/>
          <w:szCs w:val="20"/>
          <w:lang w:eastAsia="en-GB"/>
        </w:rPr>
        <w:t>giá</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dịch</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vụ</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trả</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hàng</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tháng</w:t>
      </w:r>
      <w:proofErr w:type="spellEnd"/>
      <w:r w:rsidRPr="006E18BB">
        <w:rPr>
          <w:rFonts w:ascii="Times New Roman" w:eastAsia="Times New Roman" w:hAnsi="Times New Roman"/>
          <w:bCs/>
          <w:sz w:val="20"/>
          <w:szCs w:val="20"/>
          <w:lang w:eastAsia="en-GB"/>
        </w:rPr>
        <w:t xml:space="preserve"> là </w:t>
      </w:r>
      <w:proofErr w:type="spellStart"/>
      <w:r w:rsidRPr="006E18BB">
        <w:rPr>
          <w:rFonts w:ascii="Times New Roman" w:eastAsia="Times New Roman" w:hAnsi="Times New Roman"/>
          <w:bCs/>
          <w:sz w:val="20"/>
          <w:szCs w:val="20"/>
          <w:lang w:eastAsia="en-GB"/>
        </w:rPr>
        <w:t>tổng</w:t>
      </w:r>
      <w:proofErr w:type="spellEnd"/>
      <w:r w:rsidRPr="006E18BB">
        <w:rPr>
          <w:rFonts w:ascii="Times New Roman" w:eastAsia="Times New Roman" w:hAnsi="Times New Roman"/>
          <w:bCs/>
          <w:sz w:val="20"/>
          <w:szCs w:val="20"/>
          <w:lang w:eastAsia="en-GB"/>
        </w:rPr>
        <w:t xml:space="preserve"> số </w:t>
      </w:r>
      <w:proofErr w:type="spellStart"/>
      <w:r w:rsidRPr="006E18BB">
        <w:rPr>
          <w:rFonts w:ascii="Times New Roman" w:eastAsia="Times New Roman" w:hAnsi="Times New Roman"/>
          <w:bCs/>
          <w:sz w:val="20"/>
          <w:szCs w:val="20"/>
          <w:lang w:eastAsia="en-GB"/>
        </w:rPr>
        <w:t>giá</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dịch</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vụ</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được</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tính</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trích</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lập</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cho</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các</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kỳ</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định</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giá</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thực</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hiện</w:t>
      </w:r>
      <w:proofErr w:type="spellEnd"/>
      <w:r>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trong</w:t>
      </w:r>
      <w:proofErr w:type="spellEnd"/>
      <w:r w:rsidRPr="006E18BB">
        <w:rPr>
          <w:rFonts w:ascii="Times New Roman" w:eastAsia="Times New Roman" w:hAnsi="Times New Roman"/>
          <w:bCs/>
          <w:sz w:val="20"/>
          <w:szCs w:val="20"/>
          <w:lang w:eastAsia="en-GB"/>
        </w:rPr>
        <w:t xml:space="preserve"> </w:t>
      </w:r>
      <w:proofErr w:type="spellStart"/>
      <w:r w:rsidRPr="006E18BB">
        <w:rPr>
          <w:rFonts w:ascii="Times New Roman" w:eastAsia="Times New Roman" w:hAnsi="Times New Roman"/>
          <w:bCs/>
          <w:sz w:val="20"/>
          <w:szCs w:val="20"/>
          <w:lang w:eastAsia="en-GB"/>
        </w:rPr>
        <w:t>tháng</w:t>
      </w:r>
      <w:proofErr w:type="spellEnd"/>
      <w:r w:rsidR="00334BA1" w:rsidRPr="006E18BB">
        <w:rPr>
          <w:rFonts w:ascii="Times New Roman" w:eastAsia="Times New Roman" w:hAnsi="Times New Roman"/>
          <w:bCs/>
          <w:sz w:val="20"/>
          <w:szCs w:val="20"/>
          <w:lang w:eastAsia="en-GB"/>
        </w:rPr>
        <w:t>.</w:t>
      </w:r>
    </w:p>
    <w:p w14:paraId="3B8D2132" w14:textId="08C5A0C4" w:rsidR="00AB3081" w:rsidRPr="0091425E" w:rsidRDefault="00AB3081" w:rsidP="0091425E">
      <w:pPr>
        <w:pStyle w:val="ListParagraph"/>
        <w:spacing w:before="120" w:after="120" w:line="312" w:lineRule="auto"/>
        <w:ind w:left="862" w:right="259"/>
        <w:jc w:val="both"/>
        <w:rPr>
          <w:rFonts w:ascii="Times New Roman" w:eastAsia="Times New Roman" w:hAnsi="Times New Roman"/>
          <w:bCs/>
          <w:sz w:val="20"/>
          <w:szCs w:val="20"/>
          <w:lang w:eastAsia="en-GB"/>
        </w:rPr>
      </w:pPr>
      <w:r w:rsidRPr="0091425E">
        <w:rPr>
          <w:rFonts w:ascii="Times New Roman" w:eastAsia="Times New Roman" w:hAnsi="Times New Roman"/>
          <w:bCs/>
          <w:i/>
          <w:iCs/>
          <w:sz w:val="20"/>
          <w:szCs w:val="20"/>
          <w:lang w:val="vi-VN" w:eastAsia="en-GB"/>
        </w:rPr>
        <w:t>The monthly service price is the total service price calculated (</w:t>
      </w:r>
      <w:r w:rsidR="0091425E">
        <w:rPr>
          <w:rFonts w:ascii="Times New Roman" w:eastAsia="Times New Roman" w:hAnsi="Times New Roman"/>
          <w:bCs/>
          <w:i/>
          <w:iCs/>
          <w:sz w:val="20"/>
          <w:szCs w:val="20"/>
          <w:lang w:eastAsia="en-GB"/>
        </w:rPr>
        <w:t>accrued</w:t>
      </w:r>
      <w:r w:rsidRPr="0091425E">
        <w:rPr>
          <w:rFonts w:ascii="Times New Roman" w:eastAsia="Times New Roman" w:hAnsi="Times New Roman"/>
          <w:bCs/>
          <w:i/>
          <w:iCs/>
          <w:sz w:val="20"/>
          <w:szCs w:val="20"/>
          <w:lang w:val="vi-VN" w:eastAsia="en-GB"/>
        </w:rPr>
        <w:t xml:space="preserve">) for the </w:t>
      </w:r>
      <w:r w:rsidR="0091425E">
        <w:rPr>
          <w:rFonts w:ascii="Times New Roman" w:eastAsia="Times New Roman" w:hAnsi="Times New Roman"/>
          <w:bCs/>
          <w:i/>
          <w:iCs/>
          <w:sz w:val="20"/>
          <w:szCs w:val="20"/>
          <w:lang w:eastAsia="en-GB"/>
        </w:rPr>
        <w:t>valuation</w:t>
      </w:r>
      <w:r w:rsidRPr="0091425E">
        <w:rPr>
          <w:rFonts w:ascii="Times New Roman" w:eastAsia="Times New Roman" w:hAnsi="Times New Roman"/>
          <w:bCs/>
          <w:i/>
          <w:iCs/>
          <w:sz w:val="20"/>
          <w:szCs w:val="20"/>
          <w:lang w:val="vi-VN" w:eastAsia="en-GB"/>
        </w:rPr>
        <w:t xml:space="preserve"> periods in the month.</w:t>
      </w:r>
    </w:p>
    <w:p w14:paraId="65E33557" w14:textId="77777777" w:rsidR="00E70229" w:rsidRPr="006E18BB" w:rsidRDefault="00E70229" w:rsidP="005425EE">
      <w:pPr>
        <w:pStyle w:val="ListParagraph"/>
        <w:spacing w:before="120" w:after="120" w:line="240" w:lineRule="auto"/>
        <w:ind w:left="142" w:right="260"/>
        <w:jc w:val="both"/>
        <w:rPr>
          <w:rFonts w:ascii="Times New Roman" w:eastAsia="Times New Roman" w:hAnsi="Times New Roman"/>
          <w:bCs/>
          <w:sz w:val="12"/>
          <w:szCs w:val="20"/>
          <w:lang w:eastAsia="en-GB"/>
        </w:rPr>
      </w:pPr>
    </w:p>
    <w:p w14:paraId="58823EE5" w14:textId="01B3FDEE" w:rsidR="00E70229" w:rsidRPr="0091425E" w:rsidRDefault="00295762" w:rsidP="0091425E">
      <w:pPr>
        <w:pStyle w:val="ListParagraph"/>
        <w:numPr>
          <w:ilvl w:val="1"/>
          <w:numId w:val="39"/>
        </w:numPr>
        <w:shd w:val="clear" w:color="auto" w:fill="FFFFFF"/>
        <w:spacing w:after="120" w:line="312" w:lineRule="auto"/>
        <w:ind w:right="260"/>
        <w:jc w:val="both"/>
        <w:rPr>
          <w:rFonts w:ascii="Times New Roman" w:hAnsi="Times New Roman"/>
          <w:b/>
          <w:sz w:val="20"/>
          <w:szCs w:val="20"/>
          <w:lang w:val="nl-NL"/>
        </w:rPr>
      </w:pPr>
      <w:r w:rsidRPr="0091425E">
        <w:rPr>
          <w:rFonts w:ascii="Times New Roman" w:hAnsi="Times New Roman"/>
          <w:b/>
          <w:sz w:val="20"/>
          <w:szCs w:val="20"/>
          <w:lang w:val="nl-NL"/>
        </w:rPr>
        <w:t>Giá dịch vụ</w:t>
      </w:r>
      <w:r w:rsidR="00E70229" w:rsidRPr="0091425E">
        <w:rPr>
          <w:rFonts w:ascii="Times New Roman" w:hAnsi="Times New Roman"/>
          <w:b/>
          <w:sz w:val="20"/>
          <w:szCs w:val="20"/>
          <w:lang w:val="nl-NL"/>
        </w:rPr>
        <w:t xml:space="preserve"> lưu ký</w:t>
      </w:r>
      <w:r w:rsidR="000B2614" w:rsidRPr="0091425E">
        <w:rPr>
          <w:rFonts w:ascii="Times New Roman" w:hAnsi="Times New Roman"/>
          <w:b/>
          <w:sz w:val="20"/>
          <w:szCs w:val="20"/>
          <w:lang w:val="nl-NL"/>
        </w:rPr>
        <w:t xml:space="preserve">, dịch vụ </w:t>
      </w:r>
      <w:r w:rsidR="00E70229" w:rsidRPr="0091425E">
        <w:rPr>
          <w:rFonts w:ascii="Times New Roman" w:hAnsi="Times New Roman"/>
          <w:b/>
          <w:sz w:val="20"/>
          <w:szCs w:val="20"/>
          <w:lang w:val="nl-NL"/>
        </w:rPr>
        <w:t>giám sát Quỹ</w:t>
      </w:r>
      <w:r w:rsidR="000B2614" w:rsidRPr="0091425E">
        <w:rPr>
          <w:rFonts w:ascii="Times New Roman" w:hAnsi="Times New Roman"/>
          <w:b/>
          <w:sz w:val="20"/>
          <w:szCs w:val="20"/>
          <w:lang w:val="nl-NL"/>
        </w:rPr>
        <w:t>, dịch vụ</w:t>
      </w:r>
      <w:r w:rsidRPr="0091425E">
        <w:rPr>
          <w:rFonts w:ascii="Times New Roman" w:hAnsi="Times New Roman"/>
          <w:b/>
          <w:sz w:val="20"/>
          <w:szCs w:val="20"/>
          <w:lang w:val="nl-NL"/>
        </w:rPr>
        <w:t xml:space="preserve"> </w:t>
      </w:r>
      <w:r w:rsidR="00E70229" w:rsidRPr="0091425E">
        <w:rPr>
          <w:rFonts w:ascii="Times New Roman" w:hAnsi="Times New Roman"/>
          <w:b/>
          <w:sz w:val="20"/>
          <w:szCs w:val="20"/>
          <w:lang w:val="nl-NL"/>
        </w:rPr>
        <w:t xml:space="preserve">quản trị </w:t>
      </w:r>
      <w:r w:rsidR="00AB3081" w:rsidRPr="0091425E">
        <w:rPr>
          <w:rFonts w:ascii="Times New Roman" w:hAnsi="Times New Roman"/>
          <w:b/>
          <w:sz w:val="20"/>
          <w:szCs w:val="20"/>
          <w:lang w:val="nl-NL"/>
        </w:rPr>
        <w:t>Quỹ</w:t>
      </w:r>
      <w:r w:rsidR="00AB3081" w:rsidRPr="0091425E">
        <w:rPr>
          <w:rFonts w:ascii="Times New Roman" w:hAnsi="Times New Roman"/>
          <w:b/>
          <w:sz w:val="20"/>
          <w:szCs w:val="20"/>
          <w:lang w:val="vi-VN"/>
        </w:rPr>
        <w:t>/</w:t>
      </w:r>
      <w:r w:rsidR="00CE29D0" w:rsidRPr="00CE29D0">
        <w:t xml:space="preserve"> </w:t>
      </w:r>
      <w:r w:rsidR="00CE29D0" w:rsidRPr="00CE29D0">
        <w:rPr>
          <w:rFonts w:ascii="Times New Roman" w:hAnsi="Times New Roman"/>
          <w:b/>
          <w:sz w:val="20"/>
          <w:szCs w:val="20"/>
          <w:lang w:val="vi-VN"/>
        </w:rPr>
        <w:t>Custody Service fee</w:t>
      </w:r>
      <w:r w:rsidR="00CE29D0">
        <w:rPr>
          <w:rFonts w:ascii="Times New Roman" w:hAnsi="Times New Roman"/>
          <w:b/>
          <w:sz w:val="20"/>
          <w:szCs w:val="20"/>
        </w:rPr>
        <w:t xml:space="preserve">, </w:t>
      </w:r>
      <w:r w:rsidR="00CE29D0" w:rsidRPr="00CE29D0">
        <w:rPr>
          <w:rFonts w:ascii="Times New Roman" w:hAnsi="Times New Roman"/>
          <w:b/>
          <w:sz w:val="20"/>
          <w:szCs w:val="20"/>
          <w:lang w:val="vi-VN"/>
        </w:rPr>
        <w:t>Supervisory Service fee</w:t>
      </w:r>
      <w:r w:rsidR="009E7D33">
        <w:rPr>
          <w:rFonts w:ascii="Times New Roman" w:hAnsi="Times New Roman"/>
          <w:b/>
          <w:sz w:val="20"/>
          <w:szCs w:val="20"/>
        </w:rPr>
        <w:t>,</w:t>
      </w:r>
      <w:r w:rsidR="00CE29D0" w:rsidRPr="00CE29D0">
        <w:rPr>
          <w:rFonts w:ascii="Times New Roman" w:hAnsi="Times New Roman"/>
          <w:b/>
          <w:sz w:val="20"/>
          <w:szCs w:val="20"/>
          <w:lang w:val="vi-VN"/>
        </w:rPr>
        <w:t xml:space="preserve"> Administration Service fee</w:t>
      </w:r>
      <w:r w:rsidR="00AB3081" w:rsidRPr="0091425E">
        <w:rPr>
          <w:rFonts w:ascii="Times New Roman" w:hAnsi="Times New Roman"/>
          <w:b/>
          <w:sz w:val="20"/>
          <w:szCs w:val="20"/>
          <w:lang w:val="vi-VN"/>
        </w:rPr>
        <w:t xml:space="preserve"> </w:t>
      </w:r>
    </w:p>
    <w:tbl>
      <w:tblPr>
        <w:tblW w:w="9744" w:type="dxa"/>
        <w:tblInd w:w="534" w:type="dxa"/>
        <w:tblBorders>
          <w:bottom w:val="double" w:sz="4" w:space="0" w:color="auto"/>
        </w:tblBorders>
        <w:tblLayout w:type="fixed"/>
        <w:tblLook w:val="0000" w:firstRow="0" w:lastRow="0" w:firstColumn="0" w:lastColumn="0" w:noHBand="0" w:noVBand="0"/>
      </w:tblPr>
      <w:tblGrid>
        <w:gridCol w:w="2126"/>
        <w:gridCol w:w="7618"/>
      </w:tblGrid>
      <w:tr w:rsidR="00E70229" w:rsidRPr="00351AD1" w14:paraId="2B619968" w14:textId="77777777" w:rsidTr="008F151D">
        <w:trPr>
          <w:tblHeader/>
        </w:trPr>
        <w:tc>
          <w:tcPr>
            <w:tcW w:w="2126" w:type="dxa"/>
            <w:shd w:val="clear" w:color="auto" w:fill="auto"/>
          </w:tcPr>
          <w:p w14:paraId="418AEA14" w14:textId="77777777" w:rsidR="00E70229" w:rsidRDefault="00E70229" w:rsidP="005425EE">
            <w:pPr>
              <w:spacing w:after="120"/>
              <w:ind w:left="142" w:right="260"/>
              <w:rPr>
                <w:rFonts w:ascii="Times New Roman" w:hAnsi="Times New Roman"/>
                <w:b/>
                <w:color w:val="000000"/>
                <w:sz w:val="20"/>
                <w:szCs w:val="20"/>
              </w:rPr>
            </w:pPr>
            <w:proofErr w:type="spellStart"/>
            <w:r w:rsidRPr="00351AD1">
              <w:rPr>
                <w:rFonts w:ascii="Times New Roman" w:hAnsi="Times New Roman"/>
                <w:b/>
                <w:color w:val="000000"/>
                <w:sz w:val="20"/>
                <w:szCs w:val="20"/>
              </w:rPr>
              <w:lastRenderedPageBreak/>
              <w:t>Dịch</w:t>
            </w:r>
            <w:proofErr w:type="spellEnd"/>
            <w:r w:rsidRPr="00351AD1">
              <w:rPr>
                <w:rFonts w:ascii="Times New Roman" w:hAnsi="Times New Roman"/>
                <w:b/>
                <w:color w:val="000000"/>
                <w:sz w:val="20"/>
                <w:szCs w:val="20"/>
              </w:rPr>
              <w:t xml:space="preserve"> </w:t>
            </w:r>
            <w:proofErr w:type="spellStart"/>
            <w:r w:rsidRPr="00351AD1">
              <w:rPr>
                <w:rFonts w:ascii="Times New Roman" w:hAnsi="Times New Roman"/>
                <w:b/>
                <w:color w:val="000000"/>
                <w:sz w:val="20"/>
                <w:szCs w:val="20"/>
              </w:rPr>
              <w:t>vụ</w:t>
            </w:r>
            <w:proofErr w:type="spellEnd"/>
          </w:p>
          <w:p w14:paraId="17B3AD70" w14:textId="7C8FBAE6" w:rsidR="001A0FD7" w:rsidRPr="00710735" w:rsidRDefault="001A0FD7" w:rsidP="005425EE">
            <w:pPr>
              <w:spacing w:after="120"/>
              <w:ind w:left="142" w:right="260"/>
              <w:rPr>
                <w:rFonts w:ascii="Times New Roman" w:hAnsi="Times New Roman"/>
                <w:b/>
                <w:i/>
                <w:iCs/>
                <w:color w:val="000000"/>
                <w:sz w:val="20"/>
                <w:szCs w:val="20"/>
              </w:rPr>
            </w:pPr>
            <w:r w:rsidRPr="00710735">
              <w:rPr>
                <w:rFonts w:ascii="Times New Roman" w:hAnsi="Times New Roman"/>
                <w:b/>
                <w:i/>
                <w:iCs/>
                <w:color w:val="000000"/>
                <w:sz w:val="20"/>
                <w:szCs w:val="20"/>
              </w:rPr>
              <w:t>Service</w:t>
            </w:r>
          </w:p>
        </w:tc>
        <w:tc>
          <w:tcPr>
            <w:tcW w:w="7618" w:type="dxa"/>
            <w:shd w:val="clear" w:color="auto" w:fill="auto"/>
          </w:tcPr>
          <w:p w14:paraId="7FCD6065" w14:textId="77777777" w:rsidR="00E70229" w:rsidRDefault="00E70229" w:rsidP="005425EE">
            <w:pPr>
              <w:spacing w:after="120"/>
              <w:ind w:left="142" w:right="260"/>
              <w:rPr>
                <w:rFonts w:ascii="Times New Roman" w:hAnsi="Times New Roman"/>
                <w:b/>
                <w:color w:val="000000"/>
                <w:sz w:val="20"/>
                <w:szCs w:val="20"/>
              </w:rPr>
            </w:pPr>
            <w:proofErr w:type="spellStart"/>
            <w:r w:rsidRPr="00351AD1">
              <w:rPr>
                <w:rFonts w:ascii="Times New Roman" w:hAnsi="Times New Roman"/>
                <w:b/>
                <w:color w:val="000000"/>
                <w:sz w:val="20"/>
                <w:szCs w:val="20"/>
              </w:rPr>
              <w:t>Biểu</w:t>
            </w:r>
            <w:proofErr w:type="spellEnd"/>
            <w:r w:rsidRPr="00351AD1">
              <w:rPr>
                <w:rFonts w:ascii="Times New Roman" w:hAnsi="Times New Roman"/>
                <w:b/>
                <w:color w:val="000000"/>
                <w:sz w:val="20"/>
                <w:szCs w:val="20"/>
              </w:rPr>
              <w:t xml:space="preserve"> </w:t>
            </w:r>
            <w:proofErr w:type="spellStart"/>
            <w:r w:rsidRPr="00351AD1">
              <w:rPr>
                <w:rFonts w:ascii="Times New Roman" w:hAnsi="Times New Roman"/>
                <w:b/>
                <w:color w:val="000000"/>
                <w:sz w:val="20"/>
                <w:szCs w:val="20"/>
              </w:rPr>
              <w:t>phí</w:t>
            </w:r>
            <w:proofErr w:type="spellEnd"/>
          </w:p>
          <w:p w14:paraId="631157C9" w14:textId="3150C4D2" w:rsidR="00A74C0C" w:rsidRPr="00710735" w:rsidRDefault="00A74C0C" w:rsidP="005425EE">
            <w:pPr>
              <w:spacing w:after="120"/>
              <w:ind w:left="142" w:right="260"/>
              <w:rPr>
                <w:rFonts w:ascii="Times New Roman" w:hAnsi="Times New Roman"/>
                <w:b/>
                <w:i/>
                <w:iCs/>
                <w:color w:val="000000"/>
                <w:sz w:val="20"/>
                <w:szCs w:val="20"/>
              </w:rPr>
            </w:pPr>
            <w:r w:rsidRPr="00710735">
              <w:rPr>
                <w:rFonts w:ascii="Times New Roman" w:hAnsi="Times New Roman"/>
                <w:b/>
                <w:i/>
                <w:iCs/>
                <w:color w:val="000000"/>
                <w:sz w:val="20"/>
                <w:szCs w:val="20"/>
              </w:rPr>
              <w:t>Fee rate</w:t>
            </w:r>
          </w:p>
        </w:tc>
      </w:tr>
      <w:tr w:rsidR="00E70229" w:rsidRPr="00351AD1" w14:paraId="0CFC2DE8" w14:textId="77777777" w:rsidTr="008F151D">
        <w:trPr>
          <w:trHeight w:val="259"/>
          <w:tblHeader/>
        </w:trPr>
        <w:tc>
          <w:tcPr>
            <w:tcW w:w="2126" w:type="dxa"/>
            <w:shd w:val="clear" w:color="auto" w:fill="auto"/>
          </w:tcPr>
          <w:p w14:paraId="47D9DFAE" w14:textId="77777777" w:rsidR="00E70229" w:rsidRDefault="00E70229" w:rsidP="005425EE">
            <w:pPr>
              <w:spacing w:after="120"/>
              <w:ind w:left="142" w:right="260"/>
              <w:rPr>
                <w:rFonts w:ascii="Times New Roman" w:hAnsi="Times New Roman"/>
                <w:color w:val="000000"/>
                <w:sz w:val="20"/>
                <w:szCs w:val="20"/>
              </w:rPr>
            </w:pPr>
            <w:proofErr w:type="spellStart"/>
            <w:r w:rsidRPr="00351AD1">
              <w:rPr>
                <w:rFonts w:ascii="Times New Roman" w:hAnsi="Times New Roman"/>
                <w:color w:val="000000"/>
                <w:sz w:val="20"/>
                <w:szCs w:val="20"/>
              </w:rPr>
              <w:t>Giám</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sát</w:t>
            </w:r>
            <w:proofErr w:type="spellEnd"/>
          </w:p>
          <w:p w14:paraId="5A46E706" w14:textId="6BD0CADB" w:rsidR="00346D5D" w:rsidRPr="00710735" w:rsidRDefault="00346D5D" w:rsidP="005425EE">
            <w:pPr>
              <w:spacing w:after="120"/>
              <w:ind w:left="142" w:right="260"/>
              <w:rPr>
                <w:rFonts w:ascii="Times New Roman" w:hAnsi="Times New Roman"/>
                <w:i/>
                <w:iCs/>
                <w:color w:val="000000"/>
                <w:sz w:val="20"/>
                <w:szCs w:val="20"/>
              </w:rPr>
            </w:pPr>
            <w:r w:rsidRPr="00710735">
              <w:rPr>
                <w:rFonts w:ascii="Times New Roman" w:hAnsi="Times New Roman"/>
                <w:i/>
                <w:iCs/>
                <w:color w:val="000000"/>
                <w:sz w:val="20"/>
                <w:szCs w:val="20"/>
              </w:rPr>
              <w:t>Supervisory</w:t>
            </w:r>
          </w:p>
        </w:tc>
        <w:tc>
          <w:tcPr>
            <w:tcW w:w="7618" w:type="dxa"/>
            <w:shd w:val="clear" w:color="auto" w:fill="auto"/>
          </w:tcPr>
          <w:p w14:paraId="61445D6D" w14:textId="77777777" w:rsidR="00E70229" w:rsidRDefault="0081433D" w:rsidP="005425EE">
            <w:pPr>
              <w:numPr>
                <w:ilvl w:val="0"/>
                <w:numId w:val="15"/>
              </w:numPr>
              <w:overflowPunct w:val="0"/>
              <w:autoSpaceDE w:val="0"/>
              <w:autoSpaceDN w:val="0"/>
              <w:adjustRightInd w:val="0"/>
              <w:spacing w:after="120" w:line="240" w:lineRule="auto"/>
              <w:ind w:left="142" w:right="260" w:firstLine="0"/>
              <w:textAlignment w:val="baseline"/>
              <w:rPr>
                <w:rFonts w:ascii="Times New Roman" w:hAnsi="Times New Roman"/>
                <w:color w:val="000000"/>
                <w:sz w:val="20"/>
                <w:szCs w:val="20"/>
              </w:rPr>
            </w:pPr>
            <w:r w:rsidRPr="00351AD1">
              <w:rPr>
                <w:rFonts w:ascii="Times New Roman" w:hAnsi="Times New Roman"/>
                <w:color w:val="000000"/>
                <w:sz w:val="20"/>
                <w:szCs w:val="20"/>
              </w:rPr>
              <w:t>0</w:t>
            </w:r>
            <w:r w:rsidR="00F81D71">
              <w:rPr>
                <w:rFonts w:ascii="Times New Roman" w:hAnsi="Times New Roman"/>
                <w:color w:val="000000"/>
                <w:sz w:val="20"/>
                <w:szCs w:val="20"/>
              </w:rPr>
              <w:t>,</w:t>
            </w:r>
            <w:r w:rsidRPr="00351AD1">
              <w:rPr>
                <w:rFonts w:ascii="Times New Roman" w:hAnsi="Times New Roman"/>
                <w:color w:val="000000"/>
                <w:sz w:val="20"/>
                <w:szCs w:val="20"/>
              </w:rPr>
              <w:t>02% NAV/</w:t>
            </w:r>
            <w:proofErr w:type="spellStart"/>
            <w:r w:rsidRPr="00351AD1">
              <w:rPr>
                <w:rFonts w:ascii="Times New Roman" w:hAnsi="Times New Roman"/>
                <w:color w:val="000000"/>
                <w:sz w:val="20"/>
                <w:szCs w:val="20"/>
              </w:rPr>
              <w:t>năm</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chưa</w:t>
            </w:r>
            <w:proofErr w:type="spellEnd"/>
            <w:r w:rsidRPr="00351AD1">
              <w:rPr>
                <w:rFonts w:ascii="Times New Roman" w:hAnsi="Times New Roman"/>
                <w:color w:val="000000"/>
                <w:sz w:val="20"/>
                <w:szCs w:val="20"/>
              </w:rPr>
              <w:t xml:space="preserve"> bao </w:t>
            </w:r>
            <w:proofErr w:type="spellStart"/>
            <w:r w:rsidRPr="00351AD1">
              <w:rPr>
                <w:rFonts w:ascii="Times New Roman" w:hAnsi="Times New Roman"/>
                <w:color w:val="000000"/>
                <w:sz w:val="20"/>
                <w:szCs w:val="20"/>
              </w:rPr>
              <w:t>gồm</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thuế</w:t>
            </w:r>
            <w:proofErr w:type="spellEnd"/>
            <w:r w:rsidRPr="00351AD1">
              <w:rPr>
                <w:rFonts w:ascii="Times New Roman" w:hAnsi="Times New Roman"/>
                <w:color w:val="000000"/>
                <w:sz w:val="20"/>
                <w:szCs w:val="20"/>
              </w:rPr>
              <w:t xml:space="preserve"> </w:t>
            </w:r>
            <w:proofErr w:type="gramStart"/>
            <w:r w:rsidRPr="00351AD1">
              <w:rPr>
                <w:rFonts w:ascii="Times New Roman" w:hAnsi="Times New Roman"/>
                <w:color w:val="000000"/>
                <w:sz w:val="20"/>
                <w:szCs w:val="20"/>
              </w:rPr>
              <w:t>GTGT(</w:t>
            </w:r>
            <w:proofErr w:type="spellStart"/>
            <w:proofErr w:type="gramEnd"/>
            <w:r w:rsidRPr="00351AD1">
              <w:rPr>
                <w:rFonts w:ascii="Times New Roman" w:hAnsi="Times New Roman"/>
                <w:color w:val="000000"/>
                <w:sz w:val="20"/>
                <w:szCs w:val="20"/>
              </w:rPr>
              <w:t>nếu</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có</w:t>
            </w:r>
            <w:proofErr w:type="spellEnd"/>
            <w:r w:rsidRPr="00351AD1">
              <w:rPr>
                <w:rFonts w:ascii="Times New Roman" w:hAnsi="Times New Roman"/>
                <w:color w:val="000000"/>
                <w:sz w:val="20"/>
                <w:szCs w:val="20"/>
              </w:rPr>
              <w:t>))</w:t>
            </w:r>
          </w:p>
          <w:p w14:paraId="6D19AC84" w14:textId="7D61D049" w:rsidR="00710735" w:rsidRPr="00710735" w:rsidRDefault="00710735" w:rsidP="005425EE">
            <w:pPr>
              <w:numPr>
                <w:ilvl w:val="0"/>
                <w:numId w:val="15"/>
              </w:numPr>
              <w:overflowPunct w:val="0"/>
              <w:autoSpaceDE w:val="0"/>
              <w:autoSpaceDN w:val="0"/>
              <w:adjustRightInd w:val="0"/>
              <w:spacing w:after="120" w:line="240" w:lineRule="auto"/>
              <w:ind w:left="142" w:right="260" w:firstLine="0"/>
              <w:textAlignment w:val="baseline"/>
              <w:rPr>
                <w:rFonts w:ascii="Times New Roman" w:hAnsi="Times New Roman"/>
                <w:i/>
                <w:iCs/>
                <w:color w:val="000000"/>
                <w:sz w:val="20"/>
                <w:szCs w:val="20"/>
              </w:rPr>
            </w:pPr>
            <w:r w:rsidRPr="00710735">
              <w:rPr>
                <w:rFonts w:ascii="Times New Roman" w:hAnsi="Times New Roman"/>
                <w:i/>
                <w:iCs/>
                <w:color w:val="000000"/>
                <w:sz w:val="20"/>
                <w:szCs w:val="20"/>
              </w:rPr>
              <w:t>Maximum fee rate is 0,02% NAV per annum (excluding VAT (if any))</w:t>
            </w:r>
          </w:p>
        </w:tc>
      </w:tr>
      <w:tr w:rsidR="00E70229" w:rsidRPr="00351AD1" w14:paraId="2EC55D6F" w14:textId="77777777" w:rsidTr="008F151D">
        <w:tc>
          <w:tcPr>
            <w:tcW w:w="2126" w:type="dxa"/>
            <w:shd w:val="clear" w:color="auto" w:fill="auto"/>
          </w:tcPr>
          <w:p w14:paraId="73C43589" w14:textId="77777777" w:rsidR="00E70229" w:rsidRPr="00C256DB" w:rsidRDefault="00E70229" w:rsidP="005425EE">
            <w:pPr>
              <w:tabs>
                <w:tab w:val="num" w:pos="340"/>
              </w:tabs>
              <w:spacing w:after="120"/>
              <w:ind w:left="142" w:right="260"/>
              <w:rPr>
                <w:rFonts w:ascii="Times New Roman" w:hAnsi="Times New Roman"/>
                <w:i/>
                <w:iCs/>
                <w:sz w:val="20"/>
                <w:szCs w:val="20"/>
              </w:rPr>
            </w:pPr>
            <w:proofErr w:type="spellStart"/>
            <w:r w:rsidRPr="00351AD1">
              <w:rPr>
                <w:rFonts w:ascii="Times New Roman" w:hAnsi="Times New Roman"/>
                <w:sz w:val="20"/>
                <w:szCs w:val="20"/>
              </w:rPr>
              <w:t>Lưu</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ký</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chứng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khoán</w:t>
            </w:r>
            <w:proofErr w:type="spellEnd"/>
          </w:p>
          <w:p w14:paraId="4179CAC3" w14:textId="674BA260" w:rsidR="00F47EC3" w:rsidRPr="00351AD1" w:rsidRDefault="00F47EC3" w:rsidP="005425EE">
            <w:pPr>
              <w:tabs>
                <w:tab w:val="num" w:pos="340"/>
              </w:tabs>
              <w:spacing w:after="120"/>
              <w:ind w:left="142" w:right="260"/>
              <w:rPr>
                <w:rFonts w:ascii="Times New Roman" w:hAnsi="Times New Roman"/>
                <w:color w:val="000000"/>
                <w:sz w:val="20"/>
                <w:szCs w:val="20"/>
              </w:rPr>
            </w:pPr>
            <w:r w:rsidRPr="00C256DB">
              <w:rPr>
                <w:rFonts w:ascii="Times New Roman" w:hAnsi="Times New Roman"/>
                <w:i/>
                <w:iCs/>
                <w:color w:val="000000"/>
                <w:sz w:val="20"/>
                <w:szCs w:val="20"/>
              </w:rPr>
              <w:t>Custody</w:t>
            </w:r>
          </w:p>
        </w:tc>
        <w:tc>
          <w:tcPr>
            <w:tcW w:w="7618" w:type="dxa"/>
            <w:shd w:val="clear" w:color="auto" w:fill="auto"/>
            <w:vAlign w:val="bottom"/>
          </w:tcPr>
          <w:p w14:paraId="78647E7E" w14:textId="3E376AAC" w:rsidR="000603D1" w:rsidRDefault="00C46FFA" w:rsidP="005425EE">
            <w:pPr>
              <w:numPr>
                <w:ilvl w:val="0"/>
                <w:numId w:val="16"/>
              </w:numPr>
              <w:tabs>
                <w:tab w:val="decimal" w:pos="995"/>
              </w:tabs>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proofErr w:type="spellStart"/>
            <w:r>
              <w:rPr>
                <w:rFonts w:ascii="Times New Roman" w:hAnsi="Times New Roman"/>
                <w:color w:val="000000"/>
                <w:sz w:val="20"/>
                <w:szCs w:val="20"/>
              </w:rPr>
              <w:t>Tối</w:t>
            </w:r>
            <w:proofErr w:type="spellEnd"/>
            <w:r w:rsidR="000603D1" w:rsidRPr="00351AD1">
              <w:rPr>
                <w:rFonts w:ascii="Times New Roman" w:hAnsi="Times New Roman"/>
                <w:color w:val="000000"/>
                <w:sz w:val="20"/>
                <w:szCs w:val="20"/>
              </w:rPr>
              <w:t xml:space="preserve"> </w:t>
            </w:r>
            <w:proofErr w:type="spellStart"/>
            <w:r>
              <w:rPr>
                <w:rFonts w:ascii="Times New Roman" w:hAnsi="Times New Roman"/>
                <w:color w:val="000000"/>
                <w:sz w:val="20"/>
                <w:szCs w:val="20"/>
              </w:rPr>
              <w:t>đa</w:t>
            </w:r>
            <w:proofErr w:type="spellEnd"/>
            <w:r>
              <w:rPr>
                <w:rFonts w:ascii="Times New Roman" w:hAnsi="Times New Roman"/>
                <w:color w:val="000000"/>
                <w:sz w:val="20"/>
                <w:szCs w:val="20"/>
              </w:rPr>
              <w:t xml:space="preserve"> </w:t>
            </w:r>
            <w:r w:rsidR="000603D1" w:rsidRPr="00351AD1">
              <w:rPr>
                <w:rFonts w:ascii="Times New Roman" w:hAnsi="Times New Roman"/>
                <w:color w:val="000000"/>
                <w:sz w:val="20"/>
                <w:szCs w:val="20"/>
              </w:rPr>
              <w:t>0</w:t>
            </w:r>
            <w:r w:rsidR="00F81D71">
              <w:rPr>
                <w:rFonts w:ascii="Times New Roman" w:hAnsi="Times New Roman"/>
                <w:color w:val="000000"/>
                <w:sz w:val="20"/>
                <w:szCs w:val="20"/>
              </w:rPr>
              <w:t>,</w:t>
            </w:r>
            <w:r w:rsidR="000603D1" w:rsidRPr="00351AD1">
              <w:rPr>
                <w:rFonts w:ascii="Times New Roman" w:hAnsi="Times New Roman"/>
                <w:color w:val="000000"/>
                <w:sz w:val="20"/>
                <w:szCs w:val="20"/>
              </w:rPr>
              <w:t>0</w:t>
            </w:r>
            <w:r w:rsidR="0012256F">
              <w:rPr>
                <w:rFonts w:ascii="Times New Roman" w:hAnsi="Times New Roman"/>
                <w:color w:val="000000"/>
                <w:sz w:val="20"/>
                <w:szCs w:val="20"/>
              </w:rPr>
              <w:t>5</w:t>
            </w:r>
            <w:r w:rsidR="000603D1" w:rsidRPr="00351AD1">
              <w:rPr>
                <w:rFonts w:ascii="Times New Roman" w:hAnsi="Times New Roman"/>
                <w:color w:val="000000"/>
                <w:sz w:val="20"/>
                <w:szCs w:val="20"/>
              </w:rPr>
              <w:t xml:space="preserve">% </w:t>
            </w:r>
            <w:r>
              <w:rPr>
                <w:rFonts w:ascii="Times New Roman" w:hAnsi="Times New Roman"/>
                <w:color w:val="000000"/>
                <w:sz w:val="20"/>
                <w:szCs w:val="20"/>
              </w:rPr>
              <w:t xml:space="preserve">NAV </w:t>
            </w:r>
            <w:proofErr w:type="spellStart"/>
            <w:r w:rsidR="000603D1" w:rsidRPr="00351AD1">
              <w:rPr>
                <w:rFonts w:ascii="Times New Roman" w:hAnsi="Times New Roman"/>
                <w:color w:val="000000"/>
                <w:sz w:val="20"/>
                <w:szCs w:val="20"/>
              </w:rPr>
              <w:t>mỗi</w:t>
            </w:r>
            <w:proofErr w:type="spellEnd"/>
            <w:r w:rsidR="000603D1" w:rsidRPr="00351AD1">
              <w:rPr>
                <w:rFonts w:ascii="Times New Roman" w:hAnsi="Times New Roman"/>
                <w:color w:val="000000"/>
                <w:sz w:val="20"/>
                <w:szCs w:val="20"/>
              </w:rPr>
              <w:t xml:space="preserve"> </w:t>
            </w:r>
            <w:proofErr w:type="spellStart"/>
            <w:proofErr w:type="gramStart"/>
            <w:r w:rsidR="000603D1" w:rsidRPr="00351AD1">
              <w:rPr>
                <w:rFonts w:ascii="Times New Roman" w:hAnsi="Times New Roman"/>
                <w:color w:val="000000"/>
                <w:sz w:val="20"/>
                <w:szCs w:val="20"/>
              </w:rPr>
              <w:t>năm</w:t>
            </w:r>
            <w:proofErr w:type="spellEnd"/>
            <w:r w:rsidR="000603D1" w:rsidRPr="00351AD1">
              <w:rPr>
                <w:rFonts w:ascii="Times New Roman" w:hAnsi="Times New Roman"/>
                <w:color w:val="000000"/>
                <w:sz w:val="20"/>
                <w:szCs w:val="20"/>
              </w:rPr>
              <w:t>;</w:t>
            </w:r>
            <w:proofErr w:type="gramEnd"/>
          </w:p>
          <w:p w14:paraId="64A04620" w14:textId="5A6A6D45" w:rsidR="00CF3BBA" w:rsidRPr="00351AD1" w:rsidRDefault="00CF3BBA" w:rsidP="005425EE">
            <w:pPr>
              <w:numPr>
                <w:ilvl w:val="0"/>
                <w:numId w:val="16"/>
              </w:numPr>
              <w:tabs>
                <w:tab w:val="decimal" w:pos="995"/>
              </w:tabs>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r w:rsidRPr="00CF3BBA">
              <w:rPr>
                <w:rFonts w:ascii="Times New Roman" w:hAnsi="Times New Roman"/>
                <w:color w:val="000000"/>
                <w:sz w:val="20"/>
                <w:szCs w:val="20"/>
              </w:rPr>
              <w:t>•</w:t>
            </w:r>
            <w:r w:rsidRPr="00CF3BBA">
              <w:rPr>
                <w:rFonts w:ascii="Times New Roman" w:hAnsi="Times New Roman"/>
                <w:color w:val="000000"/>
                <w:sz w:val="20"/>
                <w:szCs w:val="20"/>
              </w:rPr>
              <w:tab/>
              <w:t>Maximum fee rate is 0,0</w:t>
            </w:r>
            <w:r w:rsidR="00C256DB">
              <w:rPr>
                <w:rFonts w:ascii="Times New Roman" w:hAnsi="Times New Roman"/>
                <w:color w:val="000000"/>
                <w:sz w:val="20"/>
                <w:szCs w:val="20"/>
              </w:rPr>
              <w:t>5</w:t>
            </w:r>
            <w:r w:rsidRPr="00CF3BBA">
              <w:rPr>
                <w:rFonts w:ascii="Times New Roman" w:hAnsi="Times New Roman"/>
                <w:color w:val="000000"/>
                <w:sz w:val="20"/>
                <w:szCs w:val="20"/>
              </w:rPr>
              <w:t>% NAV per annum (excluding VAT (if any))</w:t>
            </w:r>
          </w:p>
          <w:p w14:paraId="68B2CF3E" w14:textId="6255345A" w:rsidR="00E70229" w:rsidRPr="00351AD1" w:rsidRDefault="00E70229" w:rsidP="00C46FFA">
            <w:pPr>
              <w:tabs>
                <w:tab w:val="decimal" w:pos="995"/>
              </w:tabs>
              <w:overflowPunct w:val="0"/>
              <w:autoSpaceDE w:val="0"/>
              <w:autoSpaceDN w:val="0"/>
              <w:adjustRightInd w:val="0"/>
              <w:spacing w:after="120" w:line="240" w:lineRule="auto"/>
              <w:ind w:left="142" w:right="260"/>
              <w:textAlignment w:val="baseline"/>
              <w:rPr>
                <w:rFonts w:ascii="Times New Roman" w:hAnsi="Times New Roman"/>
                <w:color w:val="000000"/>
                <w:sz w:val="20"/>
                <w:szCs w:val="20"/>
              </w:rPr>
            </w:pPr>
          </w:p>
        </w:tc>
      </w:tr>
      <w:tr w:rsidR="00E70229" w:rsidRPr="00351AD1" w14:paraId="209B3184" w14:textId="77777777" w:rsidTr="008F151D">
        <w:tc>
          <w:tcPr>
            <w:tcW w:w="2126" w:type="dxa"/>
            <w:shd w:val="clear" w:color="auto" w:fill="auto"/>
          </w:tcPr>
          <w:p w14:paraId="14A011CF" w14:textId="77777777" w:rsidR="00E70229" w:rsidRDefault="00E70229" w:rsidP="005425EE">
            <w:pPr>
              <w:spacing w:after="120"/>
              <w:ind w:left="142" w:right="260"/>
              <w:rPr>
                <w:rFonts w:ascii="Times New Roman" w:hAnsi="Times New Roman"/>
                <w:color w:val="000000"/>
                <w:sz w:val="20"/>
                <w:szCs w:val="20"/>
              </w:rPr>
            </w:pPr>
            <w:proofErr w:type="spellStart"/>
            <w:r w:rsidRPr="00351AD1">
              <w:rPr>
                <w:rFonts w:ascii="Times New Roman" w:hAnsi="Times New Roman"/>
                <w:color w:val="000000"/>
                <w:sz w:val="20"/>
                <w:szCs w:val="20"/>
              </w:rPr>
              <w:t>Quản</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trị</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Quỹ</w:t>
            </w:r>
            <w:proofErr w:type="spellEnd"/>
          </w:p>
          <w:p w14:paraId="649E31FB" w14:textId="61AE65BB" w:rsidR="00C256DB" w:rsidRPr="00C256DB" w:rsidRDefault="00C256DB" w:rsidP="005425EE">
            <w:pPr>
              <w:spacing w:after="120"/>
              <w:ind w:left="142" w:right="260"/>
              <w:rPr>
                <w:rFonts w:ascii="Times New Roman" w:hAnsi="Times New Roman"/>
                <w:i/>
                <w:iCs/>
                <w:color w:val="000000"/>
                <w:sz w:val="20"/>
                <w:szCs w:val="20"/>
              </w:rPr>
            </w:pPr>
            <w:r w:rsidRPr="00C256DB">
              <w:rPr>
                <w:rFonts w:ascii="Times New Roman" w:hAnsi="Times New Roman"/>
                <w:i/>
                <w:iCs/>
                <w:color w:val="000000"/>
                <w:sz w:val="20"/>
                <w:szCs w:val="20"/>
              </w:rPr>
              <w:t>Administration</w:t>
            </w:r>
          </w:p>
        </w:tc>
        <w:tc>
          <w:tcPr>
            <w:tcW w:w="7618" w:type="dxa"/>
            <w:shd w:val="clear" w:color="auto" w:fill="auto"/>
          </w:tcPr>
          <w:p w14:paraId="23F04F0A" w14:textId="033EEAE9" w:rsidR="000603D1" w:rsidRDefault="00C46FFA" w:rsidP="005425EE">
            <w:pPr>
              <w:numPr>
                <w:ilvl w:val="0"/>
                <w:numId w:val="15"/>
              </w:numPr>
              <w:tabs>
                <w:tab w:val="decimal" w:pos="995"/>
              </w:tabs>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proofErr w:type="spellStart"/>
            <w:r>
              <w:rPr>
                <w:rFonts w:ascii="Times New Roman" w:hAnsi="Times New Roman"/>
                <w:color w:val="000000"/>
                <w:sz w:val="20"/>
                <w:szCs w:val="20"/>
              </w:rPr>
              <w:t>Tối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đa</w:t>
            </w:r>
            <w:proofErr w:type="spellEnd"/>
            <w:r w:rsidR="000603D1" w:rsidRPr="00351AD1">
              <w:rPr>
                <w:rFonts w:ascii="Times New Roman" w:hAnsi="Times New Roman"/>
                <w:color w:val="000000"/>
                <w:sz w:val="20"/>
                <w:szCs w:val="20"/>
              </w:rPr>
              <w:t xml:space="preserve"> 0</w:t>
            </w:r>
            <w:r w:rsidR="00F81D71">
              <w:rPr>
                <w:rFonts w:ascii="Times New Roman" w:hAnsi="Times New Roman"/>
                <w:color w:val="000000"/>
                <w:sz w:val="20"/>
                <w:szCs w:val="20"/>
              </w:rPr>
              <w:t>,</w:t>
            </w:r>
            <w:r w:rsidR="000603D1" w:rsidRPr="00351AD1">
              <w:rPr>
                <w:rFonts w:ascii="Times New Roman" w:hAnsi="Times New Roman"/>
                <w:color w:val="000000"/>
                <w:sz w:val="20"/>
                <w:szCs w:val="20"/>
              </w:rPr>
              <w:t xml:space="preserve">03% </w:t>
            </w:r>
            <w:r>
              <w:rPr>
                <w:rFonts w:ascii="Times New Roman" w:hAnsi="Times New Roman"/>
                <w:color w:val="000000"/>
                <w:sz w:val="20"/>
                <w:szCs w:val="20"/>
              </w:rPr>
              <w:t xml:space="preserve">NAV </w:t>
            </w:r>
            <w:proofErr w:type="spellStart"/>
            <w:r w:rsidR="000603D1" w:rsidRPr="00351AD1">
              <w:rPr>
                <w:rFonts w:ascii="Times New Roman" w:hAnsi="Times New Roman"/>
                <w:color w:val="000000"/>
                <w:sz w:val="20"/>
                <w:szCs w:val="20"/>
              </w:rPr>
              <w:t>mỗi</w:t>
            </w:r>
            <w:proofErr w:type="spellEnd"/>
            <w:r w:rsidR="000603D1" w:rsidRPr="00351AD1">
              <w:rPr>
                <w:rFonts w:ascii="Times New Roman" w:hAnsi="Times New Roman"/>
                <w:color w:val="000000"/>
                <w:sz w:val="20"/>
                <w:szCs w:val="20"/>
              </w:rPr>
              <w:t xml:space="preserve"> </w:t>
            </w:r>
            <w:proofErr w:type="spellStart"/>
            <w:r w:rsidR="000603D1" w:rsidRPr="00351AD1">
              <w:rPr>
                <w:rFonts w:ascii="Times New Roman" w:hAnsi="Times New Roman"/>
                <w:color w:val="000000"/>
                <w:sz w:val="20"/>
                <w:szCs w:val="20"/>
              </w:rPr>
              <w:t>năm</w:t>
            </w:r>
            <w:proofErr w:type="spellEnd"/>
            <w:r w:rsidR="000603D1" w:rsidRPr="00351AD1">
              <w:rPr>
                <w:rFonts w:ascii="Times New Roman" w:hAnsi="Times New Roman"/>
                <w:color w:val="000000"/>
                <w:sz w:val="20"/>
                <w:szCs w:val="20"/>
              </w:rPr>
              <w:t xml:space="preserve"> (</w:t>
            </w:r>
            <w:proofErr w:type="spellStart"/>
            <w:r w:rsidR="000603D1" w:rsidRPr="00351AD1">
              <w:rPr>
                <w:rFonts w:ascii="Times New Roman" w:hAnsi="Times New Roman"/>
                <w:color w:val="000000"/>
                <w:sz w:val="20"/>
                <w:szCs w:val="20"/>
              </w:rPr>
              <w:t>chưa</w:t>
            </w:r>
            <w:proofErr w:type="spellEnd"/>
            <w:r w:rsidR="000603D1" w:rsidRPr="00351AD1">
              <w:rPr>
                <w:rFonts w:ascii="Times New Roman" w:hAnsi="Times New Roman"/>
                <w:color w:val="000000"/>
                <w:sz w:val="20"/>
                <w:szCs w:val="20"/>
              </w:rPr>
              <w:t xml:space="preserve"> bao </w:t>
            </w:r>
            <w:proofErr w:type="spellStart"/>
            <w:r w:rsidR="000603D1" w:rsidRPr="00351AD1">
              <w:rPr>
                <w:rFonts w:ascii="Times New Roman" w:hAnsi="Times New Roman"/>
                <w:color w:val="000000"/>
                <w:sz w:val="20"/>
                <w:szCs w:val="20"/>
              </w:rPr>
              <w:t>gồm</w:t>
            </w:r>
            <w:proofErr w:type="spellEnd"/>
            <w:r w:rsidR="000603D1" w:rsidRPr="00351AD1">
              <w:rPr>
                <w:rFonts w:ascii="Times New Roman" w:hAnsi="Times New Roman"/>
                <w:color w:val="000000"/>
                <w:sz w:val="20"/>
                <w:szCs w:val="20"/>
              </w:rPr>
              <w:t xml:space="preserve"> </w:t>
            </w:r>
            <w:proofErr w:type="spellStart"/>
            <w:r w:rsidR="000603D1" w:rsidRPr="00351AD1">
              <w:rPr>
                <w:rFonts w:ascii="Times New Roman" w:hAnsi="Times New Roman"/>
                <w:color w:val="000000"/>
                <w:sz w:val="20"/>
                <w:szCs w:val="20"/>
              </w:rPr>
              <w:t>thuế</w:t>
            </w:r>
            <w:proofErr w:type="spellEnd"/>
            <w:r w:rsidR="000603D1" w:rsidRPr="00351AD1">
              <w:rPr>
                <w:rFonts w:ascii="Times New Roman" w:hAnsi="Times New Roman"/>
                <w:color w:val="000000"/>
                <w:sz w:val="20"/>
                <w:szCs w:val="20"/>
              </w:rPr>
              <w:t xml:space="preserve"> GTGT (</w:t>
            </w:r>
            <w:proofErr w:type="spellStart"/>
            <w:r w:rsidR="000603D1" w:rsidRPr="00351AD1">
              <w:rPr>
                <w:rFonts w:ascii="Times New Roman" w:hAnsi="Times New Roman"/>
                <w:color w:val="000000"/>
                <w:sz w:val="20"/>
                <w:szCs w:val="20"/>
              </w:rPr>
              <w:t>nếu</w:t>
            </w:r>
            <w:proofErr w:type="spellEnd"/>
            <w:r w:rsidR="000603D1" w:rsidRPr="00351AD1">
              <w:rPr>
                <w:rFonts w:ascii="Times New Roman" w:hAnsi="Times New Roman"/>
                <w:color w:val="000000"/>
                <w:sz w:val="20"/>
                <w:szCs w:val="20"/>
              </w:rPr>
              <w:t xml:space="preserve"> </w:t>
            </w:r>
            <w:proofErr w:type="spellStart"/>
            <w:r w:rsidR="000603D1" w:rsidRPr="00351AD1">
              <w:rPr>
                <w:rFonts w:ascii="Times New Roman" w:hAnsi="Times New Roman"/>
                <w:color w:val="000000"/>
                <w:sz w:val="20"/>
                <w:szCs w:val="20"/>
              </w:rPr>
              <w:t>có</w:t>
            </w:r>
            <w:proofErr w:type="spellEnd"/>
            <w:r w:rsidR="000603D1" w:rsidRPr="00351AD1">
              <w:rPr>
                <w:rFonts w:ascii="Times New Roman" w:hAnsi="Times New Roman"/>
                <w:color w:val="000000"/>
                <w:sz w:val="20"/>
                <w:szCs w:val="20"/>
              </w:rPr>
              <w:t>)</w:t>
            </w:r>
            <w:proofErr w:type="gramStart"/>
            <w:r w:rsidR="000603D1" w:rsidRPr="00351AD1">
              <w:rPr>
                <w:rFonts w:ascii="Times New Roman" w:hAnsi="Times New Roman"/>
                <w:color w:val="000000"/>
                <w:sz w:val="20"/>
                <w:szCs w:val="20"/>
              </w:rPr>
              <w:t>);</w:t>
            </w:r>
            <w:proofErr w:type="gramEnd"/>
          </w:p>
          <w:p w14:paraId="47881229" w14:textId="59FCBCFB" w:rsidR="00C256DB" w:rsidRPr="00351AD1" w:rsidRDefault="00D54373" w:rsidP="005425EE">
            <w:pPr>
              <w:numPr>
                <w:ilvl w:val="0"/>
                <w:numId w:val="15"/>
              </w:numPr>
              <w:tabs>
                <w:tab w:val="decimal" w:pos="995"/>
              </w:tabs>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r w:rsidRPr="00D54373">
              <w:rPr>
                <w:rFonts w:ascii="Times New Roman" w:hAnsi="Times New Roman"/>
                <w:color w:val="000000"/>
                <w:sz w:val="20"/>
                <w:szCs w:val="20"/>
              </w:rPr>
              <w:t>•</w:t>
            </w:r>
            <w:r w:rsidRPr="00D54373">
              <w:rPr>
                <w:rFonts w:ascii="Times New Roman" w:hAnsi="Times New Roman"/>
                <w:color w:val="000000"/>
                <w:sz w:val="20"/>
                <w:szCs w:val="20"/>
              </w:rPr>
              <w:tab/>
              <w:t>Maximum fee rate is 0,03% NAV per annum (excluding VAT (if any))</w:t>
            </w:r>
          </w:p>
          <w:p w14:paraId="5514F8D7" w14:textId="1FC68ED0" w:rsidR="00E70229" w:rsidRPr="00351AD1" w:rsidRDefault="00E70229" w:rsidP="00C46FFA">
            <w:pPr>
              <w:tabs>
                <w:tab w:val="decimal" w:pos="995"/>
              </w:tabs>
              <w:overflowPunct w:val="0"/>
              <w:autoSpaceDE w:val="0"/>
              <w:autoSpaceDN w:val="0"/>
              <w:adjustRightInd w:val="0"/>
              <w:spacing w:after="120" w:line="240" w:lineRule="auto"/>
              <w:ind w:left="142" w:right="260"/>
              <w:textAlignment w:val="baseline"/>
              <w:rPr>
                <w:rFonts w:ascii="Times New Roman" w:hAnsi="Times New Roman"/>
                <w:color w:val="000000"/>
                <w:sz w:val="20"/>
                <w:szCs w:val="20"/>
              </w:rPr>
            </w:pPr>
          </w:p>
        </w:tc>
      </w:tr>
    </w:tbl>
    <w:p w14:paraId="7CC74D85" w14:textId="77777777" w:rsidR="000603D1" w:rsidRPr="00351AD1" w:rsidRDefault="000603D1" w:rsidP="005425EE">
      <w:pPr>
        <w:spacing w:after="120"/>
        <w:ind w:left="142" w:right="260"/>
        <w:rPr>
          <w:rFonts w:ascii="Times New Roman" w:hAnsi="Times New Roman"/>
          <w:color w:val="000000"/>
          <w:sz w:val="8"/>
          <w:szCs w:val="20"/>
        </w:rPr>
      </w:pPr>
    </w:p>
    <w:p w14:paraId="6DACF5EF" w14:textId="77777777" w:rsidR="00EA3A3C" w:rsidRDefault="00B34807" w:rsidP="0009164E">
      <w:pPr>
        <w:spacing w:after="120" w:line="312" w:lineRule="auto"/>
        <w:ind w:left="720" w:right="259"/>
        <w:jc w:val="both"/>
        <w:rPr>
          <w:rFonts w:ascii="Times New Roman" w:hAnsi="Times New Roman"/>
          <w:color w:val="000000"/>
          <w:sz w:val="20"/>
          <w:szCs w:val="20"/>
        </w:rPr>
      </w:pPr>
      <w:proofErr w:type="spellStart"/>
      <w:r>
        <w:rPr>
          <w:rFonts w:ascii="Times New Roman" w:hAnsi="Times New Roman"/>
          <w:color w:val="000000"/>
          <w:sz w:val="20"/>
          <w:szCs w:val="20"/>
        </w:rPr>
        <w:t>Các</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giá</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dịch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vụ</w:t>
      </w:r>
      <w:proofErr w:type="spellEnd"/>
      <w:r w:rsidR="00E70229" w:rsidRPr="00E21368">
        <w:rPr>
          <w:rFonts w:ascii="Times New Roman" w:hAnsi="Times New Roman"/>
          <w:color w:val="000000"/>
          <w:sz w:val="20"/>
          <w:szCs w:val="20"/>
        </w:rPr>
        <w:t xml:space="preserve"> trên </w:t>
      </w:r>
      <w:proofErr w:type="spellStart"/>
      <w:r w:rsidR="00E70229" w:rsidRPr="00E21368">
        <w:rPr>
          <w:rFonts w:ascii="Times New Roman" w:hAnsi="Times New Roman"/>
          <w:color w:val="000000"/>
          <w:sz w:val="20"/>
          <w:szCs w:val="20"/>
        </w:rPr>
        <w:t>được</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tính</w:t>
      </w:r>
      <w:proofErr w:type="spellEnd"/>
      <w:r w:rsidR="00E70229" w:rsidRPr="00E21368">
        <w:rPr>
          <w:rFonts w:ascii="Times New Roman" w:hAnsi="Times New Roman"/>
          <w:color w:val="000000"/>
          <w:sz w:val="20"/>
          <w:szCs w:val="20"/>
        </w:rPr>
        <w:t xml:space="preserve"> vào </w:t>
      </w:r>
      <w:proofErr w:type="spellStart"/>
      <w:r w:rsidR="00E70229" w:rsidRPr="00E21368">
        <w:rPr>
          <w:rFonts w:ascii="Times New Roman" w:hAnsi="Times New Roman"/>
          <w:color w:val="000000"/>
          <w:sz w:val="20"/>
          <w:szCs w:val="20"/>
        </w:rPr>
        <w:t>mỗi</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kỳ</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định</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giá</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dựa</w:t>
      </w:r>
      <w:proofErr w:type="spellEnd"/>
      <w:r w:rsidR="00E70229" w:rsidRPr="00E21368">
        <w:rPr>
          <w:rFonts w:ascii="Times New Roman" w:hAnsi="Times New Roman"/>
          <w:color w:val="000000"/>
          <w:sz w:val="20"/>
          <w:szCs w:val="20"/>
        </w:rPr>
        <w:t xml:space="preserve"> trên NAV </w:t>
      </w:r>
      <w:proofErr w:type="spellStart"/>
      <w:r w:rsidR="00E70229" w:rsidRPr="00E21368">
        <w:rPr>
          <w:rFonts w:ascii="Times New Roman" w:hAnsi="Times New Roman"/>
          <w:color w:val="000000"/>
          <w:sz w:val="20"/>
          <w:szCs w:val="20"/>
        </w:rPr>
        <w:t>trước</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phí</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tại</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ngày</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trước</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ngày</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định</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giá</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và</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được</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trả</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hàng</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tháng</w:t>
      </w:r>
      <w:proofErr w:type="spellEnd"/>
      <w:r w:rsidR="002C6E80">
        <w:rPr>
          <w:rFonts w:ascii="Times New Roman" w:hAnsi="Times New Roman"/>
          <w:color w:val="000000"/>
          <w:sz w:val="20"/>
          <w:szCs w:val="20"/>
        </w:rPr>
        <w:t>. S</w:t>
      </w:r>
      <w:r w:rsidR="00E70229" w:rsidRPr="00E21368">
        <w:rPr>
          <w:rFonts w:ascii="Times New Roman" w:hAnsi="Times New Roman"/>
          <w:color w:val="000000"/>
          <w:sz w:val="20"/>
          <w:szCs w:val="20"/>
        </w:rPr>
        <w:t>ố</w:t>
      </w:r>
      <w:r w:rsidR="00300440">
        <w:rPr>
          <w:rFonts w:ascii="Times New Roman" w:hAnsi="Times New Roman"/>
          <w:color w:val="000000"/>
          <w:sz w:val="20"/>
          <w:szCs w:val="20"/>
        </w:rPr>
        <w:t xml:space="preserve"> </w:t>
      </w:r>
      <w:proofErr w:type="spellStart"/>
      <w:r w:rsidR="00300440">
        <w:rPr>
          <w:rFonts w:ascii="Times New Roman" w:hAnsi="Times New Roman"/>
          <w:color w:val="000000"/>
          <w:sz w:val="20"/>
          <w:szCs w:val="20"/>
        </w:rPr>
        <w:t>giá</w:t>
      </w:r>
      <w:proofErr w:type="spellEnd"/>
      <w:r w:rsidR="00300440">
        <w:rPr>
          <w:rFonts w:ascii="Times New Roman" w:hAnsi="Times New Roman"/>
          <w:color w:val="000000"/>
          <w:sz w:val="20"/>
          <w:szCs w:val="20"/>
        </w:rPr>
        <w:t xml:space="preserve"> </w:t>
      </w:r>
      <w:proofErr w:type="spellStart"/>
      <w:r w:rsidR="00300440">
        <w:rPr>
          <w:rFonts w:ascii="Times New Roman" w:hAnsi="Times New Roman"/>
          <w:color w:val="000000"/>
          <w:sz w:val="20"/>
          <w:szCs w:val="20"/>
        </w:rPr>
        <w:t>dịch</w:t>
      </w:r>
      <w:proofErr w:type="spellEnd"/>
      <w:r w:rsidR="00300440">
        <w:rPr>
          <w:rFonts w:ascii="Times New Roman" w:hAnsi="Times New Roman"/>
          <w:color w:val="000000"/>
          <w:sz w:val="20"/>
          <w:szCs w:val="20"/>
        </w:rPr>
        <w:t xml:space="preserve"> </w:t>
      </w:r>
      <w:proofErr w:type="spellStart"/>
      <w:r w:rsidR="00300440">
        <w:rPr>
          <w:rFonts w:ascii="Times New Roman" w:hAnsi="Times New Roman"/>
          <w:color w:val="000000"/>
          <w:sz w:val="20"/>
          <w:szCs w:val="20"/>
        </w:rPr>
        <w:t>vụ</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trả</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hàng</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tháng</w:t>
      </w:r>
      <w:proofErr w:type="spellEnd"/>
      <w:r w:rsidR="00E70229" w:rsidRPr="00E21368">
        <w:rPr>
          <w:rFonts w:ascii="Times New Roman" w:hAnsi="Times New Roman"/>
          <w:color w:val="000000"/>
          <w:sz w:val="20"/>
          <w:szCs w:val="20"/>
        </w:rPr>
        <w:t xml:space="preserve"> là </w:t>
      </w:r>
      <w:proofErr w:type="spellStart"/>
      <w:r w:rsidR="00E70229" w:rsidRPr="00E21368">
        <w:rPr>
          <w:rFonts w:ascii="Times New Roman" w:hAnsi="Times New Roman"/>
          <w:color w:val="000000"/>
          <w:sz w:val="20"/>
          <w:szCs w:val="20"/>
        </w:rPr>
        <w:t>tổng</w:t>
      </w:r>
      <w:proofErr w:type="spellEnd"/>
      <w:r w:rsidR="00E70229" w:rsidRPr="00E21368">
        <w:rPr>
          <w:rFonts w:ascii="Times New Roman" w:hAnsi="Times New Roman"/>
          <w:color w:val="000000"/>
          <w:sz w:val="20"/>
          <w:szCs w:val="20"/>
        </w:rPr>
        <w:t xml:space="preserve"> số</w:t>
      </w:r>
      <w:r w:rsidR="00806A47">
        <w:rPr>
          <w:rFonts w:ascii="Times New Roman" w:hAnsi="Times New Roman"/>
          <w:color w:val="000000"/>
          <w:sz w:val="20"/>
          <w:szCs w:val="20"/>
        </w:rPr>
        <w:t xml:space="preserve"> </w:t>
      </w:r>
      <w:proofErr w:type="spellStart"/>
      <w:r w:rsidR="00806A47">
        <w:rPr>
          <w:rFonts w:ascii="Times New Roman" w:hAnsi="Times New Roman"/>
          <w:color w:val="000000"/>
          <w:sz w:val="20"/>
          <w:szCs w:val="20"/>
        </w:rPr>
        <w:t>giá</w:t>
      </w:r>
      <w:proofErr w:type="spellEnd"/>
      <w:r w:rsidR="00806A47">
        <w:rPr>
          <w:rFonts w:ascii="Times New Roman" w:hAnsi="Times New Roman"/>
          <w:color w:val="000000"/>
          <w:sz w:val="20"/>
          <w:szCs w:val="20"/>
        </w:rPr>
        <w:t xml:space="preserve"> </w:t>
      </w:r>
      <w:proofErr w:type="spellStart"/>
      <w:r w:rsidR="00806A47">
        <w:rPr>
          <w:rFonts w:ascii="Times New Roman" w:hAnsi="Times New Roman"/>
          <w:color w:val="000000"/>
          <w:sz w:val="20"/>
          <w:szCs w:val="20"/>
        </w:rPr>
        <w:t>dịch</w:t>
      </w:r>
      <w:proofErr w:type="spellEnd"/>
      <w:r w:rsidR="00806A47">
        <w:rPr>
          <w:rFonts w:ascii="Times New Roman" w:hAnsi="Times New Roman"/>
          <w:color w:val="000000"/>
          <w:sz w:val="20"/>
          <w:szCs w:val="20"/>
        </w:rPr>
        <w:t xml:space="preserve"> </w:t>
      </w:r>
      <w:proofErr w:type="spellStart"/>
      <w:r w:rsidR="00806A47">
        <w:rPr>
          <w:rFonts w:ascii="Times New Roman" w:hAnsi="Times New Roman"/>
          <w:color w:val="000000"/>
          <w:sz w:val="20"/>
          <w:szCs w:val="20"/>
        </w:rPr>
        <w:t>vụ</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được</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tính</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cho</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các</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kỳ</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định</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giá</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thực</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hiện</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trong</w:t>
      </w:r>
      <w:proofErr w:type="spellEnd"/>
      <w:r w:rsidR="00E70229" w:rsidRPr="00E21368">
        <w:rPr>
          <w:rFonts w:ascii="Times New Roman" w:hAnsi="Times New Roman"/>
          <w:color w:val="000000"/>
          <w:sz w:val="20"/>
          <w:szCs w:val="20"/>
        </w:rPr>
        <w:t xml:space="preserve"> </w:t>
      </w:r>
      <w:proofErr w:type="spellStart"/>
      <w:r w:rsidR="00E70229" w:rsidRPr="00E21368">
        <w:rPr>
          <w:rFonts w:ascii="Times New Roman" w:hAnsi="Times New Roman"/>
          <w:color w:val="000000"/>
          <w:sz w:val="20"/>
          <w:szCs w:val="20"/>
        </w:rPr>
        <w:t>tháng</w:t>
      </w:r>
      <w:proofErr w:type="spellEnd"/>
      <w:r w:rsidR="00156681">
        <w:rPr>
          <w:rFonts w:ascii="Times New Roman" w:hAnsi="Times New Roman"/>
          <w:color w:val="000000"/>
          <w:sz w:val="20"/>
          <w:szCs w:val="20"/>
        </w:rPr>
        <w:t>.</w:t>
      </w:r>
    </w:p>
    <w:p w14:paraId="3379FBFB" w14:textId="0A40DAEA" w:rsidR="0009164E" w:rsidRDefault="0009164E" w:rsidP="0009164E">
      <w:pPr>
        <w:spacing w:after="120" w:line="312" w:lineRule="auto"/>
        <w:ind w:left="720" w:right="259"/>
        <w:jc w:val="both"/>
        <w:rPr>
          <w:rFonts w:ascii="Times New Roman" w:hAnsi="Times New Roman"/>
          <w:color w:val="000000"/>
          <w:sz w:val="20"/>
          <w:szCs w:val="20"/>
        </w:rPr>
      </w:pPr>
      <w:r w:rsidRPr="0009164E">
        <w:rPr>
          <w:rFonts w:ascii="Times New Roman" w:hAnsi="Times New Roman"/>
          <w:color w:val="000000"/>
          <w:sz w:val="20"/>
          <w:szCs w:val="20"/>
        </w:rPr>
        <w:t xml:space="preserve">The above service fee is calculated based on Gross Asset Value as at the day before Valuation date and is paid </w:t>
      </w:r>
      <w:proofErr w:type="gramStart"/>
      <w:r w:rsidRPr="0009164E">
        <w:rPr>
          <w:rFonts w:ascii="Times New Roman" w:hAnsi="Times New Roman"/>
          <w:color w:val="000000"/>
          <w:sz w:val="20"/>
          <w:szCs w:val="20"/>
        </w:rPr>
        <w:t>on a monthly basis</w:t>
      </w:r>
      <w:proofErr w:type="gramEnd"/>
      <w:r w:rsidRPr="0009164E">
        <w:rPr>
          <w:rFonts w:ascii="Times New Roman" w:hAnsi="Times New Roman"/>
          <w:color w:val="000000"/>
          <w:sz w:val="20"/>
          <w:szCs w:val="20"/>
        </w:rPr>
        <w:t xml:space="preserve">. Monthly fee </w:t>
      </w:r>
      <w:proofErr w:type="spellStart"/>
      <w:r w:rsidRPr="0009164E">
        <w:rPr>
          <w:rFonts w:ascii="Times New Roman" w:hAnsi="Times New Roman"/>
          <w:color w:val="000000"/>
          <w:sz w:val="20"/>
          <w:szCs w:val="20"/>
        </w:rPr>
        <w:t>payament</w:t>
      </w:r>
      <w:proofErr w:type="spellEnd"/>
      <w:r w:rsidRPr="0009164E">
        <w:rPr>
          <w:rFonts w:ascii="Times New Roman" w:hAnsi="Times New Roman"/>
          <w:color w:val="000000"/>
          <w:sz w:val="20"/>
          <w:szCs w:val="20"/>
        </w:rPr>
        <w:t xml:space="preserve"> is total amount of fee calculated on each NAV cycle during the month.</w:t>
      </w:r>
    </w:p>
    <w:p w14:paraId="6130BB60" w14:textId="72EA2FB2" w:rsidR="00234F1B" w:rsidRPr="00045FF6" w:rsidRDefault="004F5283" w:rsidP="00045FF6">
      <w:pPr>
        <w:pStyle w:val="ListParagraph"/>
        <w:numPr>
          <w:ilvl w:val="1"/>
          <w:numId w:val="39"/>
        </w:numPr>
        <w:shd w:val="clear" w:color="auto" w:fill="FFFFFF"/>
        <w:spacing w:after="120" w:line="312" w:lineRule="auto"/>
        <w:ind w:right="260"/>
        <w:jc w:val="both"/>
        <w:rPr>
          <w:rFonts w:ascii="Times New Roman" w:hAnsi="Times New Roman"/>
          <w:b/>
          <w:sz w:val="20"/>
          <w:szCs w:val="20"/>
          <w:lang w:val="nl-NL"/>
        </w:rPr>
      </w:pPr>
      <w:r w:rsidRPr="00EA3A3C">
        <w:rPr>
          <w:rFonts w:ascii="Times New Roman" w:hAnsi="Times New Roman"/>
          <w:b/>
          <w:sz w:val="20"/>
          <w:szCs w:val="20"/>
          <w:lang w:val="nl-NL"/>
        </w:rPr>
        <w:t>Giá dịch vụ</w:t>
      </w:r>
      <w:r w:rsidR="00D91ED0" w:rsidRPr="00EA3A3C">
        <w:rPr>
          <w:rFonts w:ascii="Times New Roman" w:hAnsi="Times New Roman"/>
          <w:b/>
          <w:sz w:val="20"/>
          <w:szCs w:val="20"/>
          <w:lang w:val="nl-NL"/>
        </w:rPr>
        <w:t xml:space="preserve"> cung cấp dịch vụ tính giá trị tài sản ròng tham chiếu</w:t>
      </w:r>
      <w:r w:rsidR="00E31435" w:rsidRPr="00EA3A3C">
        <w:rPr>
          <w:rFonts w:ascii="Times New Roman" w:hAnsi="Times New Roman"/>
          <w:b/>
          <w:sz w:val="20"/>
          <w:szCs w:val="20"/>
          <w:lang w:val="nl-NL"/>
        </w:rPr>
        <w:t xml:space="preserve"> (iNAV)</w:t>
      </w:r>
      <w:r w:rsidR="00806A47" w:rsidRPr="00EA3A3C">
        <w:rPr>
          <w:rFonts w:ascii="Times New Roman" w:hAnsi="Times New Roman"/>
          <w:b/>
          <w:sz w:val="20"/>
          <w:szCs w:val="20"/>
          <w:lang w:val="nl-NL"/>
        </w:rPr>
        <w:t>,</w:t>
      </w:r>
      <w:r w:rsidRPr="00EA3A3C">
        <w:rPr>
          <w:rFonts w:ascii="Times New Roman" w:hAnsi="Times New Roman"/>
          <w:b/>
          <w:sz w:val="20"/>
          <w:szCs w:val="20"/>
          <w:lang w:val="nl-NL"/>
        </w:rPr>
        <w:t xml:space="preserve"> giá dịch vụ</w:t>
      </w:r>
      <w:r w:rsidR="00E31435" w:rsidRPr="00EA3A3C">
        <w:rPr>
          <w:rFonts w:ascii="Times New Roman" w:hAnsi="Times New Roman"/>
          <w:b/>
          <w:sz w:val="20"/>
          <w:szCs w:val="20"/>
          <w:lang w:val="nl-NL"/>
        </w:rPr>
        <w:t xml:space="preserve"> quản lý và vận hành chỉ số tham chiếu</w:t>
      </w:r>
      <w:r w:rsidR="00D122CF" w:rsidRPr="00045FF6">
        <w:rPr>
          <w:rFonts w:ascii="Times New Roman" w:hAnsi="Times New Roman"/>
          <w:b/>
          <w:sz w:val="20"/>
          <w:szCs w:val="20"/>
          <w:lang w:val="nl-NL"/>
        </w:rPr>
        <w:t>/ Indicative NAV calculation fee and Index fee</w:t>
      </w:r>
    </w:p>
    <w:tbl>
      <w:tblPr>
        <w:tblW w:w="9744" w:type="dxa"/>
        <w:tblInd w:w="534" w:type="dxa"/>
        <w:tblBorders>
          <w:bottom w:val="double" w:sz="4" w:space="0" w:color="auto"/>
        </w:tblBorders>
        <w:tblLayout w:type="fixed"/>
        <w:tblLook w:val="0000" w:firstRow="0" w:lastRow="0" w:firstColumn="0" w:lastColumn="0" w:noHBand="0" w:noVBand="0"/>
      </w:tblPr>
      <w:tblGrid>
        <w:gridCol w:w="2126"/>
        <w:gridCol w:w="7618"/>
      </w:tblGrid>
      <w:tr w:rsidR="00234F1B" w:rsidRPr="00E21368" w14:paraId="6B998503" w14:textId="77777777" w:rsidTr="00C04BB4">
        <w:trPr>
          <w:tblHeader/>
        </w:trPr>
        <w:tc>
          <w:tcPr>
            <w:tcW w:w="2126" w:type="dxa"/>
            <w:shd w:val="clear" w:color="auto" w:fill="auto"/>
          </w:tcPr>
          <w:p w14:paraId="64E77EF1" w14:textId="77777777" w:rsidR="00234F1B" w:rsidRDefault="00D91ED0" w:rsidP="005425EE">
            <w:pPr>
              <w:ind w:left="142" w:right="260"/>
              <w:rPr>
                <w:rFonts w:ascii="Times New Roman" w:hAnsi="Times New Roman"/>
                <w:b/>
                <w:color w:val="000000"/>
                <w:sz w:val="20"/>
                <w:szCs w:val="20"/>
              </w:rPr>
            </w:pPr>
            <w:r w:rsidRPr="00E21368">
              <w:rPr>
                <w:rFonts w:ascii="Times New Roman" w:hAnsi="Times New Roman"/>
                <w:b/>
                <w:sz w:val="20"/>
                <w:szCs w:val="20"/>
              </w:rPr>
              <w:t xml:space="preserve"> </w:t>
            </w:r>
            <w:proofErr w:type="spellStart"/>
            <w:r w:rsidR="00234F1B" w:rsidRPr="00E21368">
              <w:rPr>
                <w:rFonts w:ascii="Times New Roman" w:hAnsi="Times New Roman"/>
                <w:b/>
                <w:color w:val="000000"/>
                <w:sz w:val="20"/>
                <w:szCs w:val="20"/>
              </w:rPr>
              <w:t>Dịch</w:t>
            </w:r>
            <w:proofErr w:type="spellEnd"/>
            <w:r w:rsidR="00234F1B" w:rsidRPr="00E21368">
              <w:rPr>
                <w:rFonts w:ascii="Times New Roman" w:hAnsi="Times New Roman"/>
                <w:b/>
                <w:color w:val="000000"/>
                <w:sz w:val="20"/>
                <w:szCs w:val="20"/>
              </w:rPr>
              <w:t xml:space="preserve"> </w:t>
            </w:r>
            <w:proofErr w:type="spellStart"/>
            <w:r w:rsidR="00234F1B" w:rsidRPr="00E21368">
              <w:rPr>
                <w:rFonts w:ascii="Times New Roman" w:hAnsi="Times New Roman"/>
                <w:b/>
                <w:color w:val="000000"/>
                <w:sz w:val="20"/>
                <w:szCs w:val="20"/>
              </w:rPr>
              <w:t>vụ</w:t>
            </w:r>
            <w:proofErr w:type="spellEnd"/>
          </w:p>
          <w:p w14:paraId="259130E3" w14:textId="445592BA" w:rsidR="00D122CF" w:rsidRPr="00D122CF" w:rsidRDefault="00D122CF" w:rsidP="005425EE">
            <w:pPr>
              <w:ind w:left="142" w:right="260"/>
              <w:rPr>
                <w:rFonts w:ascii="Times New Roman" w:hAnsi="Times New Roman"/>
                <w:b/>
                <w:i/>
                <w:iCs/>
                <w:color w:val="000000"/>
                <w:sz w:val="20"/>
                <w:szCs w:val="20"/>
              </w:rPr>
            </w:pPr>
            <w:r w:rsidRPr="00D122CF">
              <w:rPr>
                <w:rFonts w:ascii="Times New Roman" w:hAnsi="Times New Roman"/>
                <w:b/>
                <w:i/>
                <w:iCs/>
                <w:color w:val="000000"/>
                <w:sz w:val="20"/>
                <w:szCs w:val="20"/>
              </w:rPr>
              <w:t>Service</w:t>
            </w:r>
          </w:p>
        </w:tc>
        <w:tc>
          <w:tcPr>
            <w:tcW w:w="7618" w:type="dxa"/>
            <w:shd w:val="clear" w:color="auto" w:fill="auto"/>
          </w:tcPr>
          <w:p w14:paraId="450FB38F" w14:textId="77777777" w:rsidR="00234F1B" w:rsidRPr="00D122CF" w:rsidRDefault="00234F1B" w:rsidP="005425EE">
            <w:pPr>
              <w:ind w:left="142" w:right="260"/>
              <w:rPr>
                <w:rFonts w:ascii="Times New Roman" w:hAnsi="Times New Roman"/>
                <w:b/>
                <w:i/>
                <w:iCs/>
                <w:color w:val="000000"/>
                <w:sz w:val="20"/>
                <w:szCs w:val="20"/>
              </w:rPr>
            </w:pPr>
            <w:proofErr w:type="spellStart"/>
            <w:r w:rsidRPr="00E21368">
              <w:rPr>
                <w:rFonts w:ascii="Times New Roman" w:hAnsi="Times New Roman"/>
                <w:b/>
                <w:color w:val="000000"/>
                <w:sz w:val="20"/>
                <w:szCs w:val="20"/>
              </w:rPr>
              <w:t>Biểu</w:t>
            </w:r>
            <w:proofErr w:type="spellEnd"/>
            <w:r w:rsidRPr="00E21368">
              <w:rPr>
                <w:rFonts w:ascii="Times New Roman" w:hAnsi="Times New Roman"/>
                <w:b/>
                <w:color w:val="000000"/>
                <w:sz w:val="20"/>
                <w:szCs w:val="20"/>
              </w:rPr>
              <w:t xml:space="preserve"> </w:t>
            </w:r>
            <w:proofErr w:type="spellStart"/>
            <w:r w:rsidRPr="00E21368">
              <w:rPr>
                <w:rFonts w:ascii="Times New Roman" w:hAnsi="Times New Roman"/>
                <w:b/>
                <w:color w:val="000000"/>
                <w:sz w:val="20"/>
                <w:szCs w:val="20"/>
              </w:rPr>
              <w:t>phí</w:t>
            </w:r>
            <w:proofErr w:type="spellEnd"/>
          </w:p>
          <w:p w14:paraId="4E0D343A" w14:textId="05C8E01F" w:rsidR="00D122CF" w:rsidRPr="00E21368" w:rsidRDefault="00D122CF" w:rsidP="005425EE">
            <w:pPr>
              <w:ind w:left="142" w:right="260"/>
              <w:rPr>
                <w:rFonts w:ascii="Times New Roman" w:hAnsi="Times New Roman"/>
                <w:b/>
                <w:color w:val="000000"/>
                <w:sz w:val="20"/>
                <w:szCs w:val="20"/>
              </w:rPr>
            </w:pPr>
            <w:r w:rsidRPr="00D122CF">
              <w:rPr>
                <w:rFonts w:ascii="Times New Roman" w:hAnsi="Times New Roman"/>
                <w:b/>
                <w:i/>
                <w:iCs/>
                <w:color w:val="000000"/>
                <w:sz w:val="20"/>
                <w:szCs w:val="20"/>
              </w:rPr>
              <w:t>Fee rate</w:t>
            </w:r>
          </w:p>
        </w:tc>
      </w:tr>
      <w:tr w:rsidR="00234F1B" w:rsidRPr="00E21368" w14:paraId="6F79119C" w14:textId="77777777" w:rsidTr="000F251A">
        <w:trPr>
          <w:trHeight w:val="828"/>
          <w:tblHeader/>
        </w:trPr>
        <w:tc>
          <w:tcPr>
            <w:tcW w:w="2126" w:type="dxa"/>
            <w:tcBorders>
              <w:bottom w:val="nil"/>
            </w:tcBorders>
            <w:shd w:val="clear" w:color="auto" w:fill="auto"/>
          </w:tcPr>
          <w:p w14:paraId="24C62475" w14:textId="77777777" w:rsidR="00234F1B" w:rsidRDefault="00234F1B" w:rsidP="005425EE">
            <w:pPr>
              <w:ind w:left="142" w:right="260"/>
              <w:rPr>
                <w:rFonts w:ascii="Times New Roman" w:hAnsi="Times New Roman"/>
                <w:color w:val="000000"/>
                <w:sz w:val="20"/>
                <w:szCs w:val="20"/>
              </w:rPr>
            </w:pPr>
            <w:proofErr w:type="spellStart"/>
            <w:r w:rsidRPr="00E21368">
              <w:rPr>
                <w:rFonts w:ascii="Times New Roman" w:hAnsi="Times New Roman"/>
                <w:color w:val="000000"/>
                <w:sz w:val="20"/>
                <w:szCs w:val="20"/>
              </w:rPr>
              <w:t>Quản</w:t>
            </w:r>
            <w:proofErr w:type="spellEnd"/>
            <w:r w:rsidRPr="00E21368">
              <w:rPr>
                <w:rFonts w:ascii="Times New Roman" w:hAnsi="Times New Roman"/>
                <w:color w:val="000000"/>
                <w:sz w:val="20"/>
                <w:szCs w:val="20"/>
              </w:rPr>
              <w:t xml:space="preserve"> </w:t>
            </w:r>
            <w:proofErr w:type="spellStart"/>
            <w:r w:rsidRPr="00E21368">
              <w:rPr>
                <w:rFonts w:ascii="Times New Roman" w:hAnsi="Times New Roman"/>
                <w:color w:val="000000"/>
                <w:sz w:val="20"/>
                <w:szCs w:val="20"/>
              </w:rPr>
              <w:t>lý</w:t>
            </w:r>
            <w:proofErr w:type="spellEnd"/>
            <w:r w:rsidRPr="00E21368">
              <w:rPr>
                <w:rFonts w:ascii="Times New Roman" w:hAnsi="Times New Roman"/>
                <w:color w:val="000000"/>
                <w:sz w:val="20"/>
                <w:szCs w:val="20"/>
              </w:rPr>
              <w:t xml:space="preserve"> </w:t>
            </w:r>
            <w:proofErr w:type="spellStart"/>
            <w:r w:rsidRPr="00E21368">
              <w:rPr>
                <w:rFonts w:ascii="Times New Roman" w:hAnsi="Times New Roman"/>
                <w:color w:val="000000"/>
                <w:sz w:val="20"/>
                <w:szCs w:val="20"/>
              </w:rPr>
              <w:t>và</w:t>
            </w:r>
            <w:proofErr w:type="spellEnd"/>
            <w:r w:rsidRPr="00E21368">
              <w:rPr>
                <w:rFonts w:ascii="Times New Roman" w:hAnsi="Times New Roman"/>
                <w:color w:val="000000"/>
                <w:sz w:val="20"/>
                <w:szCs w:val="20"/>
              </w:rPr>
              <w:t xml:space="preserve"> </w:t>
            </w:r>
            <w:proofErr w:type="spellStart"/>
            <w:r w:rsidRPr="00E21368">
              <w:rPr>
                <w:rFonts w:ascii="Times New Roman" w:hAnsi="Times New Roman"/>
                <w:color w:val="000000"/>
                <w:sz w:val="20"/>
                <w:szCs w:val="20"/>
              </w:rPr>
              <w:t>vận</w:t>
            </w:r>
            <w:proofErr w:type="spellEnd"/>
            <w:r w:rsidRPr="00E21368">
              <w:rPr>
                <w:rFonts w:ascii="Times New Roman" w:hAnsi="Times New Roman"/>
                <w:color w:val="000000"/>
                <w:sz w:val="20"/>
                <w:szCs w:val="20"/>
              </w:rPr>
              <w:t xml:space="preserve"> </w:t>
            </w:r>
            <w:proofErr w:type="spellStart"/>
            <w:r w:rsidRPr="00E21368">
              <w:rPr>
                <w:rFonts w:ascii="Times New Roman" w:hAnsi="Times New Roman"/>
                <w:color w:val="000000"/>
                <w:sz w:val="20"/>
                <w:szCs w:val="20"/>
              </w:rPr>
              <w:t>hành</w:t>
            </w:r>
            <w:proofErr w:type="spellEnd"/>
            <w:r w:rsidRPr="00E21368">
              <w:rPr>
                <w:rFonts w:ascii="Times New Roman" w:hAnsi="Times New Roman"/>
                <w:color w:val="000000"/>
                <w:sz w:val="20"/>
                <w:szCs w:val="20"/>
              </w:rPr>
              <w:t xml:space="preserve"> </w:t>
            </w:r>
            <w:proofErr w:type="spellStart"/>
            <w:r w:rsidRPr="00E21368">
              <w:rPr>
                <w:rFonts w:ascii="Times New Roman" w:hAnsi="Times New Roman"/>
                <w:color w:val="000000"/>
                <w:sz w:val="20"/>
                <w:szCs w:val="20"/>
              </w:rPr>
              <w:t>chỉ</w:t>
            </w:r>
            <w:proofErr w:type="spellEnd"/>
            <w:r w:rsidRPr="00E21368">
              <w:rPr>
                <w:rFonts w:ascii="Times New Roman" w:hAnsi="Times New Roman"/>
                <w:color w:val="000000"/>
                <w:sz w:val="20"/>
                <w:szCs w:val="20"/>
              </w:rPr>
              <w:t xml:space="preserve"> số </w:t>
            </w:r>
            <w:proofErr w:type="spellStart"/>
            <w:r w:rsidRPr="00E21368">
              <w:rPr>
                <w:rFonts w:ascii="Times New Roman" w:hAnsi="Times New Roman"/>
                <w:color w:val="000000"/>
                <w:sz w:val="20"/>
                <w:szCs w:val="20"/>
              </w:rPr>
              <w:t>tham</w:t>
            </w:r>
            <w:proofErr w:type="spellEnd"/>
            <w:r w:rsidRPr="00E21368">
              <w:rPr>
                <w:rFonts w:ascii="Times New Roman" w:hAnsi="Times New Roman"/>
                <w:color w:val="000000"/>
                <w:sz w:val="20"/>
                <w:szCs w:val="20"/>
              </w:rPr>
              <w:t xml:space="preserve"> </w:t>
            </w:r>
            <w:proofErr w:type="spellStart"/>
            <w:r w:rsidRPr="00E21368">
              <w:rPr>
                <w:rFonts w:ascii="Times New Roman" w:hAnsi="Times New Roman"/>
                <w:color w:val="000000"/>
                <w:sz w:val="20"/>
                <w:szCs w:val="20"/>
              </w:rPr>
              <w:t>chiếu</w:t>
            </w:r>
            <w:proofErr w:type="spellEnd"/>
          </w:p>
          <w:p w14:paraId="7B90AC29" w14:textId="3079CD9D" w:rsidR="009B7E90" w:rsidRPr="009B7E90" w:rsidRDefault="009B7E90" w:rsidP="005425EE">
            <w:pPr>
              <w:ind w:left="142" w:right="260"/>
              <w:rPr>
                <w:rFonts w:ascii="Times New Roman" w:hAnsi="Times New Roman"/>
                <w:i/>
                <w:iCs/>
                <w:color w:val="000000"/>
                <w:sz w:val="20"/>
                <w:szCs w:val="20"/>
              </w:rPr>
            </w:pPr>
            <w:r w:rsidRPr="009B7E90">
              <w:rPr>
                <w:rFonts w:ascii="Times New Roman" w:hAnsi="Times New Roman"/>
                <w:i/>
                <w:iCs/>
                <w:color w:val="000000"/>
                <w:sz w:val="20"/>
                <w:szCs w:val="20"/>
              </w:rPr>
              <w:t>Monitoring and operation of reference index</w:t>
            </w:r>
          </w:p>
        </w:tc>
        <w:tc>
          <w:tcPr>
            <w:tcW w:w="7618" w:type="dxa"/>
            <w:tcBorders>
              <w:bottom w:val="nil"/>
            </w:tcBorders>
            <w:shd w:val="clear" w:color="auto" w:fill="auto"/>
          </w:tcPr>
          <w:p w14:paraId="7829ACA2" w14:textId="3FB3F60A" w:rsidR="00234F1B" w:rsidRDefault="00961C06" w:rsidP="005425EE">
            <w:pPr>
              <w:numPr>
                <w:ilvl w:val="0"/>
                <w:numId w:val="15"/>
              </w:numPr>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proofErr w:type="spellStart"/>
            <w:r w:rsidRPr="00351AD1">
              <w:rPr>
                <w:rFonts w:ascii="Times New Roman" w:hAnsi="Times New Roman"/>
                <w:color w:val="000000"/>
                <w:sz w:val="20"/>
                <w:szCs w:val="20"/>
              </w:rPr>
              <w:t>Tối</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đa</w:t>
            </w:r>
            <w:proofErr w:type="spellEnd"/>
            <w:r w:rsidRPr="00351AD1">
              <w:rPr>
                <w:rFonts w:ascii="Times New Roman" w:hAnsi="Times New Roman"/>
                <w:color w:val="000000"/>
                <w:sz w:val="20"/>
                <w:szCs w:val="20"/>
              </w:rPr>
              <w:t xml:space="preserve"> là </w:t>
            </w:r>
            <w:r w:rsidR="000E4BBE" w:rsidRPr="00351AD1">
              <w:rPr>
                <w:rFonts w:ascii="Times New Roman" w:hAnsi="Times New Roman"/>
                <w:color w:val="000000"/>
                <w:sz w:val="20"/>
                <w:szCs w:val="20"/>
              </w:rPr>
              <w:t>0</w:t>
            </w:r>
            <w:r w:rsidR="0061655B">
              <w:rPr>
                <w:rFonts w:ascii="Times New Roman" w:hAnsi="Times New Roman"/>
                <w:color w:val="000000"/>
                <w:sz w:val="20"/>
                <w:szCs w:val="20"/>
              </w:rPr>
              <w:t>,</w:t>
            </w:r>
            <w:r w:rsidR="00234F1B" w:rsidRPr="00351AD1">
              <w:rPr>
                <w:rFonts w:ascii="Times New Roman" w:hAnsi="Times New Roman"/>
                <w:color w:val="000000"/>
                <w:sz w:val="20"/>
                <w:szCs w:val="20"/>
              </w:rPr>
              <w:t>0</w:t>
            </w:r>
            <w:r w:rsidR="00A12D58">
              <w:rPr>
                <w:rFonts w:ascii="Times New Roman" w:hAnsi="Times New Roman"/>
                <w:color w:val="000000"/>
                <w:sz w:val="20"/>
                <w:szCs w:val="20"/>
              </w:rPr>
              <w:t>5</w:t>
            </w:r>
            <w:r w:rsidR="00234F1B" w:rsidRPr="00351AD1">
              <w:rPr>
                <w:rFonts w:ascii="Times New Roman" w:hAnsi="Times New Roman"/>
                <w:color w:val="000000"/>
                <w:sz w:val="20"/>
                <w:szCs w:val="20"/>
              </w:rPr>
              <w:t>% NAV</w:t>
            </w:r>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bình</w:t>
            </w:r>
            <w:proofErr w:type="spellEnd"/>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quân</w:t>
            </w:r>
            <w:proofErr w:type="spellEnd"/>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gia</w:t>
            </w:r>
            <w:proofErr w:type="spellEnd"/>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quyền</w:t>
            </w:r>
            <w:proofErr w:type="spellEnd"/>
            <w:r w:rsidR="00234F1B" w:rsidRPr="00351AD1">
              <w:rPr>
                <w:rFonts w:ascii="Times New Roman" w:hAnsi="Times New Roman"/>
                <w:color w:val="000000"/>
                <w:sz w:val="20"/>
                <w:szCs w:val="20"/>
              </w:rPr>
              <w:t xml:space="preserve"> </w:t>
            </w:r>
            <w:proofErr w:type="spellStart"/>
            <w:r w:rsidR="00234F1B" w:rsidRPr="00351AD1">
              <w:rPr>
                <w:rFonts w:ascii="Times New Roman" w:hAnsi="Times New Roman"/>
                <w:color w:val="000000"/>
                <w:sz w:val="20"/>
                <w:szCs w:val="20"/>
              </w:rPr>
              <w:t>mỗi</w:t>
            </w:r>
            <w:proofErr w:type="spellEnd"/>
            <w:r w:rsidR="00234F1B" w:rsidRPr="00351AD1">
              <w:rPr>
                <w:rFonts w:ascii="Times New Roman" w:hAnsi="Times New Roman"/>
                <w:color w:val="000000"/>
                <w:sz w:val="20"/>
                <w:szCs w:val="20"/>
              </w:rPr>
              <w:t xml:space="preserve"> </w:t>
            </w:r>
            <w:proofErr w:type="spellStart"/>
            <w:r w:rsidR="00234F1B" w:rsidRPr="00351AD1">
              <w:rPr>
                <w:rFonts w:ascii="Times New Roman" w:hAnsi="Times New Roman"/>
                <w:color w:val="000000"/>
                <w:sz w:val="20"/>
                <w:szCs w:val="20"/>
              </w:rPr>
              <w:t>năm</w:t>
            </w:r>
            <w:proofErr w:type="spellEnd"/>
          </w:p>
          <w:p w14:paraId="48E3031D" w14:textId="66197E2E" w:rsidR="009B7E90" w:rsidRPr="006E6558" w:rsidRDefault="00701EC6" w:rsidP="005425EE">
            <w:pPr>
              <w:numPr>
                <w:ilvl w:val="0"/>
                <w:numId w:val="15"/>
              </w:numPr>
              <w:overflowPunct w:val="0"/>
              <w:autoSpaceDE w:val="0"/>
              <w:autoSpaceDN w:val="0"/>
              <w:adjustRightInd w:val="0"/>
              <w:spacing w:after="0" w:line="240" w:lineRule="auto"/>
              <w:ind w:left="142" w:right="260" w:firstLine="0"/>
              <w:textAlignment w:val="baseline"/>
              <w:rPr>
                <w:rFonts w:ascii="Times New Roman" w:hAnsi="Times New Roman"/>
                <w:i/>
                <w:iCs/>
                <w:color w:val="000000"/>
                <w:sz w:val="20"/>
                <w:szCs w:val="20"/>
              </w:rPr>
            </w:pPr>
            <w:r w:rsidRPr="006E6558">
              <w:rPr>
                <w:rFonts w:ascii="Times New Roman" w:hAnsi="Times New Roman"/>
                <w:i/>
                <w:iCs/>
                <w:color w:val="000000"/>
                <w:sz w:val="20"/>
                <w:szCs w:val="20"/>
              </w:rPr>
              <w:t>0,05% weighted average NAV per annum</w:t>
            </w:r>
          </w:p>
          <w:p w14:paraId="6026C8E4" w14:textId="77777777" w:rsidR="002975F1" w:rsidRDefault="002975F1" w:rsidP="005425EE">
            <w:pPr>
              <w:numPr>
                <w:ilvl w:val="0"/>
                <w:numId w:val="15"/>
              </w:numPr>
              <w:tabs>
                <w:tab w:val="decimal" w:pos="995"/>
              </w:tabs>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proofErr w:type="spellStart"/>
            <w:r w:rsidRPr="00351AD1">
              <w:rPr>
                <w:rFonts w:ascii="Times New Roman" w:hAnsi="Times New Roman"/>
                <w:color w:val="000000"/>
                <w:sz w:val="20"/>
                <w:szCs w:val="20"/>
              </w:rPr>
              <w:t>Tối</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thiểu</w:t>
            </w:r>
            <w:proofErr w:type="spellEnd"/>
            <w:r w:rsidRPr="00351AD1">
              <w:rPr>
                <w:rFonts w:ascii="Times New Roman" w:hAnsi="Times New Roman"/>
                <w:color w:val="000000"/>
                <w:sz w:val="20"/>
                <w:szCs w:val="20"/>
              </w:rPr>
              <w:t xml:space="preserve"> là 50 </w:t>
            </w:r>
            <w:proofErr w:type="spellStart"/>
            <w:r w:rsidRPr="00351AD1">
              <w:rPr>
                <w:rFonts w:ascii="Times New Roman" w:hAnsi="Times New Roman"/>
                <w:color w:val="000000"/>
                <w:sz w:val="20"/>
                <w:szCs w:val="20"/>
              </w:rPr>
              <w:t>triệu</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đồng</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năm</w:t>
            </w:r>
            <w:proofErr w:type="spellEnd"/>
            <w:r w:rsidR="00331DB5" w:rsidRPr="00351AD1">
              <w:rPr>
                <w:rFonts w:ascii="Times New Roman" w:hAnsi="Times New Roman"/>
                <w:color w:val="000000"/>
                <w:sz w:val="20"/>
                <w:szCs w:val="20"/>
              </w:rPr>
              <w:t xml:space="preserve"> </w:t>
            </w:r>
            <w:r w:rsidR="00BB4C02" w:rsidRPr="00351AD1">
              <w:rPr>
                <w:rFonts w:ascii="Times New Roman" w:hAnsi="Times New Roman"/>
                <w:color w:val="000000"/>
                <w:sz w:val="20"/>
                <w:szCs w:val="20"/>
              </w:rPr>
              <w:t>(</w:t>
            </w:r>
            <w:proofErr w:type="spellStart"/>
            <w:r w:rsidR="00BB4C02" w:rsidRPr="00351AD1">
              <w:rPr>
                <w:rFonts w:ascii="Times New Roman" w:hAnsi="Times New Roman"/>
                <w:color w:val="000000"/>
                <w:sz w:val="20"/>
                <w:szCs w:val="20"/>
              </w:rPr>
              <w:t>chưa</w:t>
            </w:r>
            <w:proofErr w:type="spellEnd"/>
            <w:r w:rsidR="00BB4C02" w:rsidRPr="00351AD1">
              <w:rPr>
                <w:rFonts w:ascii="Times New Roman" w:hAnsi="Times New Roman"/>
                <w:color w:val="000000"/>
                <w:sz w:val="20"/>
                <w:szCs w:val="20"/>
              </w:rPr>
              <w:t xml:space="preserve"> bao </w:t>
            </w:r>
            <w:proofErr w:type="spellStart"/>
            <w:r w:rsidR="00BB4C02" w:rsidRPr="00351AD1">
              <w:rPr>
                <w:rFonts w:ascii="Times New Roman" w:hAnsi="Times New Roman"/>
                <w:color w:val="000000"/>
                <w:sz w:val="20"/>
                <w:szCs w:val="20"/>
              </w:rPr>
              <w:t>gồm</w:t>
            </w:r>
            <w:proofErr w:type="spellEnd"/>
            <w:r w:rsidR="00BB4C02" w:rsidRPr="00351AD1">
              <w:rPr>
                <w:rFonts w:ascii="Times New Roman" w:hAnsi="Times New Roman"/>
                <w:color w:val="000000"/>
                <w:sz w:val="20"/>
                <w:szCs w:val="20"/>
              </w:rPr>
              <w:t xml:space="preserve"> </w:t>
            </w:r>
            <w:proofErr w:type="spellStart"/>
            <w:r w:rsidR="00BB4C02" w:rsidRPr="00351AD1">
              <w:rPr>
                <w:rFonts w:ascii="Times New Roman" w:hAnsi="Times New Roman"/>
                <w:color w:val="000000"/>
                <w:sz w:val="20"/>
                <w:szCs w:val="20"/>
              </w:rPr>
              <w:t>thuế</w:t>
            </w:r>
            <w:proofErr w:type="spellEnd"/>
            <w:r w:rsidR="00BB4C02" w:rsidRPr="00351AD1">
              <w:rPr>
                <w:rFonts w:ascii="Times New Roman" w:hAnsi="Times New Roman"/>
                <w:color w:val="000000"/>
                <w:sz w:val="20"/>
                <w:szCs w:val="20"/>
              </w:rPr>
              <w:t xml:space="preserve"> GTGT (</w:t>
            </w:r>
            <w:proofErr w:type="spellStart"/>
            <w:r w:rsidR="00BB4C02" w:rsidRPr="00351AD1">
              <w:rPr>
                <w:rFonts w:ascii="Times New Roman" w:hAnsi="Times New Roman"/>
                <w:color w:val="000000"/>
                <w:sz w:val="20"/>
                <w:szCs w:val="20"/>
              </w:rPr>
              <w:t>nếu</w:t>
            </w:r>
            <w:proofErr w:type="spellEnd"/>
            <w:r w:rsidR="00BB4C02" w:rsidRPr="00351AD1">
              <w:rPr>
                <w:rFonts w:ascii="Times New Roman" w:hAnsi="Times New Roman"/>
                <w:color w:val="000000"/>
                <w:sz w:val="20"/>
                <w:szCs w:val="20"/>
              </w:rPr>
              <w:t xml:space="preserve"> </w:t>
            </w:r>
            <w:proofErr w:type="spellStart"/>
            <w:r w:rsidR="00BB4C02" w:rsidRPr="00351AD1">
              <w:rPr>
                <w:rFonts w:ascii="Times New Roman" w:hAnsi="Times New Roman"/>
                <w:color w:val="000000"/>
                <w:sz w:val="20"/>
                <w:szCs w:val="20"/>
              </w:rPr>
              <w:t>có</w:t>
            </w:r>
            <w:proofErr w:type="spellEnd"/>
            <w:r w:rsidR="00BB4C02" w:rsidRPr="00351AD1">
              <w:rPr>
                <w:rFonts w:ascii="Times New Roman" w:hAnsi="Times New Roman"/>
                <w:color w:val="000000"/>
                <w:sz w:val="20"/>
                <w:szCs w:val="20"/>
              </w:rPr>
              <w:t>))</w:t>
            </w:r>
          </w:p>
          <w:p w14:paraId="71D0B9E9" w14:textId="5D4CA72B" w:rsidR="00701EC6" w:rsidRPr="006E6558" w:rsidRDefault="00A50D16" w:rsidP="005425EE">
            <w:pPr>
              <w:numPr>
                <w:ilvl w:val="0"/>
                <w:numId w:val="15"/>
              </w:numPr>
              <w:tabs>
                <w:tab w:val="decimal" w:pos="995"/>
              </w:tabs>
              <w:overflowPunct w:val="0"/>
              <w:autoSpaceDE w:val="0"/>
              <w:autoSpaceDN w:val="0"/>
              <w:adjustRightInd w:val="0"/>
              <w:spacing w:after="0" w:line="240" w:lineRule="auto"/>
              <w:ind w:left="142" w:right="260" w:firstLine="0"/>
              <w:textAlignment w:val="baseline"/>
              <w:rPr>
                <w:rFonts w:ascii="Times New Roman" w:hAnsi="Times New Roman"/>
                <w:i/>
                <w:iCs/>
                <w:color w:val="000000"/>
                <w:sz w:val="20"/>
                <w:szCs w:val="20"/>
              </w:rPr>
            </w:pPr>
            <w:r w:rsidRPr="006E6558">
              <w:rPr>
                <w:rFonts w:ascii="Times New Roman" w:hAnsi="Times New Roman"/>
                <w:i/>
                <w:iCs/>
                <w:color w:val="000000"/>
                <w:sz w:val="20"/>
                <w:szCs w:val="20"/>
              </w:rPr>
              <w:t>Minimum fee is 50 million dong per annum (excluding VAT (if any))</w:t>
            </w:r>
          </w:p>
        </w:tc>
      </w:tr>
      <w:tr w:rsidR="00234F1B" w:rsidRPr="00E21368" w14:paraId="23DA7FD8" w14:textId="77777777" w:rsidTr="00C04BB4">
        <w:trPr>
          <w:trHeight w:val="810"/>
        </w:trPr>
        <w:tc>
          <w:tcPr>
            <w:tcW w:w="2126" w:type="dxa"/>
            <w:tcBorders>
              <w:bottom w:val="nil"/>
            </w:tcBorders>
            <w:shd w:val="clear" w:color="auto" w:fill="auto"/>
          </w:tcPr>
          <w:p w14:paraId="28C0AE57" w14:textId="77777777" w:rsidR="00234F1B" w:rsidRDefault="00234F1B" w:rsidP="005425EE">
            <w:pPr>
              <w:tabs>
                <w:tab w:val="num" w:pos="340"/>
              </w:tabs>
              <w:spacing w:after="0"/>
              <w:ind w:left="142" w:right="260"/>
              <w:rPr>
                <w:rFonts w:ascii="Times New Roman" w:hAnsi="Times New Roman"/>
                <w:sz w:val="20"/>
                <w:szCs w:val="20"/>
              </w:rPr>
            </w:pPr>
            <w:r w:rsidRPr="00E21368">
              <w:rPr>
                <w:rFonts w:ascii="Times New Roman" w:hAnsi="Times New Roman"/>
                <w:sz w:val="20"/>
                <w:szCs w:val="20"/>
              </w:rPr>
              <w:t xml:space="preserve">Cung </w:t>
            </w:r>
            <w:proofErr w:type="spellStart"/>
            <w:r w:rsidRPr="00E21368">
              <w:rPr>
                <w:rFonts w:ascii="Times New Roman" w:hAnsi="Times New Roman"/>
                <w:sz w:val="20"/>
                <w:szCs w:val="20"/>
              </w:rPr>
              <w:t>cấp</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dịch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vụ</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tính</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giá</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trị</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tài</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sản</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ròng</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tham</w:t>
            </w:r>
            <w:proofErr w:type="spellEnd"/>
            <w:r w:rsidRPr="00E21368">
              <w:rPr>
                <w:rFonts w:ascii="Times New Roman" w:hAnsi="Times New Roman"/>
                <w:sz w:val="20"/>
                <w:szCs w:val="20"/>
              </w:rPr>
              <w:t xml:space="preserve"> </w:t>
            </w:r>
            <w:proofErr w:type="spellStart"/>
            <w:r w:rsidRPr="00E21368">
              <w:rPr>
                <w:rFonts w:ascii="Times New Roman" w:hAnsi="Times New Roman"/>
                <w:sz w:val="20"/>
                <w:szCs w:val="20"/>
              </w:rPr>
              <w:t>chiếu</w:t>
            </w:r>
            <w:proofErr w:type="spellEnd"/>
          </w:p>
          <w:p w14:paraId="12A57227" w14:textId="03B95777" w:rsidR="00A50D16" w:rsidRPr="00F519B5" w:rsidRDefault="00F519B5" w:rsidP="005425EE">
            <w:pPr>
              <w:tabs>
                <w:tab w:val="num" w:pos="340"/>
              </w:tabs>
              <w:spacing w:after="0"/>
              <w:ind w:left="142" w:right="260"/>
              <w:rPr>
                <w:rFonts w:ascii="Times New Roman" w:hAnsi="Times New Roman"/>
                <w:i/>
                <w:iCs/>
                <w:color w:val="000000"/>
                <w:sz w:val="20"/>
                <w:szCs w:val="20"/>
              </w:rPr>
            </w:pPr>
            <w:r w:rsidRPr="00F519B5">
              <w:rPr>
                <w:rFonts w:ascii="Times New Roman" w:hAnsi="Times New Roman"/>
                <w:i/>
                <w:iCs/>
                <w:color w:val="000000"/>
                <w:sz w:val="20"/>
                <w:szCs w:val="20"/>
              </w:rPr>
              <w:t>Calculation of Indicative NAV</w:t>
            </w:r>
          </w:p>
        </w:tc>
        <w:tc>
          <w:tcPr>
            <w:tcW w:w="7618" w:type="dxa"/>
            <w:tcBorders>
              <w:bottom w:val="nil"/>
            </w:tcBorders>
            <w:shd w:val="clear" w:color="auto" w:fill="auto"/>
          </w:tcPr>
          <w:p w14:paraId="70190BF8" w14:textId="575B403F" w:rsidR="002975F1" w:rsidRDefault="00961C06" w:rsidP="005425EE">
            <w:pPr>
              <w:numPr>
                <w:ilvl w:val="0"/>
                <w:numId w:val="15"/>
              </w:numPr>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proofErr w:type="spellStart"/>
            <w:r w:rsidRPr="00351AD1">
              <w:rPr>
                <w:rFonts w:ascii="Times New Roman" w:hAnsi="Times New Roman"/>
                <w:color w:val="000000"/>
                <w:sz w:val="20"/>
                <w:szCs w:val="20"/>
              </w:rPr>
              <w:t>Tối</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đa</w:t>
            </w:r>
            <w:proofErr w:type="spellEnd"/>
            <w:r w:rsidRPr="00351AD1">
              <w:rPr>
                <w:rFonts w:ascii="Times New Roman" w:hAnsi="Times New Roman"/>
                <w:color w:val="000000"/>
                <w:sz w:val="20"/>
                <w:szCs w:val="20"/>
              </w:rPr>
              <w:t xml:space="preserve"> là </w:t>
            </w:r>
            <w:r w:rsidR="000E4BBE" w:rsidRPr="00351AD1">
              <w:rPr>
                <w:rFonts w:ascii="Times New Roman" w:hAnsi="Times New Roman"/>
                <w:color w:val="000000"/>
                <w:sz w:val="20"/>
                <w:szCs w:val="20"/>
              </w:rPr>
              <w:t>0</w:t>
            </w:r>
            <w:r w:rsidR="0061655B">
              <w:rPr>
                <w:rFonts w:ascii="Times New Roman" w:hAnsi="Times New Roman"/>
                <w:color w:val="000000"/>
                <w:sz w:val="20"/>
                <w:szCs w:val="20"/>
              </w:rPr>
              <w:t>,</w:t>
            </w:r>
            <w:r w:rsidR="002975F1" w:rsidRPr="00351AD1">
              <w:rPr>
                <w:rFonts w:ascii="Times New Roman" w:hAnsi="Times New Roman"/>
                <w:color w:val="000000"/>
                <w:sz w:val="20"/>
                <w:szCs w:val="20"/>
              </w:rPr>
              <w:t>0</w:t>
            </w:r>
            <w:r w:rsidR="00A12D58">
              <w:rPr>
                <w:rFonts w:ascii="Times New Roman" w:hAnsi="Times New Roman"/>
                <w:color w:val="000000"/>
                <w:sz w:val="20"/>
                <w:szCs w:val="20"/>
              </w:rPr>
              <w:t>5</w:t>
            </w:r>
            <w:r w:rsidR="002975F1" w:rsidRPr="00351AD1">
              <w:rPr>
                <w:rFonts w:ascii="Times New Roman" w:hAnsi="Times New Roman"/>
                <w:color w:val="000000"/>
                <w:sz w:val="20"/>
                <w:szCs w:val="20"/>
              </w:rPr>
              <w:t>% NAV</w:t>
            </w:r>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bình</w:t>
            </w:r>
            <w:proofErr w:type="spellEnd"/>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quân</w:t>
            </w:r>
            <w:proofErr w:type="spellEnd"/>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gia</w:t>
            </w:r>
            <w:proofErr w:type="spellEnd"/>
            <w:r w:rsidR="00331DB5" w:rsidRPr="00351AD1">
              <w:rPr>
                <w:rFonts w:ascii="Times New Roman" w:hAnsi="Times New Roman"/>
                <w:color w:val="000000"/>
                <w:sz w:val="20"/>
                <w:szCs w:val="20"/>
              </w:rPr>
              <w:t xml:space="preserve"> </w:t>
            </w:r>
            <w:proofErr w:type="spellStart"/>
            <w:r w:rsidR="00331DB5" w:rsidRPr="00351AD1">
              <w:rPr>
                <w:rFonts w:ascii="Times New Roman" w:hAnsi="Times New Roman"/>
                <w:color w:val="000000"/>
                <w:sz w:val="20"/>
                <w:szCs w:val="20"/>
              </w:rPr>
              <w:t>quyền</w:t>
            </w:r>
            <w:proofErr w:type="spellEnd"/>
            <w:r w:rsidR="002975F1" w:rsidRPr="00351AD1">
              <w:rPr>
                <w:rFonts w:ascii="Times New Roman" w:hAnsi="Times New Roman"/>
                <w:color w:val="000000"/>
                <w:sz w:val="20"/>
                <w:szCs w:val="20"/>
              </w:rPr>
              <w:t xml:space="preserve"> </w:t>
            </w:r>
            <w:proofErr w:type="spellStart"/>
            <w:r w:rsidR="002975F1" w:rsidRPr="00351AD1">
              <w:rPr>
                <w:rFonts w:ascii="Times New Roman" w:hAnsi="Times New Roman"/>
                <w:color w:val="000000"/>
                <w:sz w:val="20"/>
                <w:szCs w:val="20"/>
              </w:rPr>
              <w:t>mỗi</w:t>
            </w:r>
            <w:proofErr w:type="spellEnd"/>
            <w:r w:rsidR="002975F1" w:rsidRPr="00351AD1">
              <w:rPr>
                <w:rFonts w:ascii="Times New Roman" w:hAnsi="Times New Roman"/>
                <w:color w:val="000000"/>
                <w:sz w:val="20"/>
                <w:szCs w:val="20"/>
              </w:rPr>
              <w:t xml:space="preserve"> </w:t>
            </w:r>
            <w:proofErr w:type="spellStart"/>
            <w:r w:rsidR="002975F1" w:rsidRPr="00351AD1">
              <w:rPr>
                <w:rFonts w:ascii="Times New Roman" w:hAnsi="Times New Roman"/>
                <w:color w:val="000000"/>
                <w:sz w:val="20"/>
                <w:szCs w:val="20"/>
              </w:rPr>
              <w:t>năm</w:t>
            </w:r>
            <w:proofErr w:type="spellEnd"/>
          </w:p>
          <w:p w14:paraId="61A41066" w14:textId="77777777" w:rsidR="006E6558" w:rsidRPr="006E6558" w:rsidRDefault="006E6558" w:rsidP="006E6558">
            <w:pPr>
              <w:numPr>
                <w:ilvl w:val="0"/>
                <w:numId w:val="15"/>
              </w:numPr>
              <w:overflowPunct w:val="0"/>
              <w:autoSpaceDE w:val="0"/>
              <w:autoSpaceDN w:val="0"/>
              <w:adjustRightInd w:val="0"/>
              <w:spacing w:after="0" w:line="240" w:lineRule="auto"/>
              <w:ind w:left="142" w:right="260" w:firstLine="0"/>
              <w:textAlignment w:val="baseline"/>
              <w:rPr>
                <w:rFonts w:ascii="Times New Roman" w:hAnsi="Times New Roman"/>
                <w:i/>
                <w:iCs/>
                <w:color w:val="000000"/>
                <w:sz w:val="20"/>
                <w:szCs w:val="20"/>
              </w:rPr>
            </w:pPr>
            <w:r w:rsidRPr="006E6558">
              <w:rPr>
                <w:rFonts w:ascii="Times New Roman" w:hAnsi="Times New Roman"/>
                <w:i/>
                <w:iCs/>
                <w:color w:val="000000"/>
                <w:sz w:val="20"/>
                <w:szCs w:val="20"/>
              </w:rPr>
              <w:t>0,05% weighted average NAV per annum</w:t>
            </w:r>
          </w:p>
          <w:p w14:paraId="06D1D642" w14:textId="77777777" w:rsidR="00234F1B" w:rsidRDefault="002975F1" w:rsidP="005425EE">
            <w:pPr>
              <w:numPr>
                <w:ilvl w:val="0"/>
                <w:numId w:val="15"/>
              </w:numPr>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proofErr w:type="spellStart"/>
            <w:r w:rsidRPr="00351AD1">
              <w:rPr>
                <w:rFonts w:ascii="Times New Roman" w:hAnsi="Times New Roman"/>
                <w:color w:val="000000"/>
                <w:sz w:val="20"/>
                <w:szCs w:val="20"/>
              </w:rPr>
              <w:t>Tối</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thiểu</w:t>
            </w:r>
            <w:proofErr w:type="spellEnd"/>
            <w:r w:rsidRPr="00351AD1">
              <w:rPr>
                <w:rFonts w:ascii="Times New Roman" w:hAnsi="Times New Roman"/>
                <w:color w:val="000000"/>
                <w:sz w:val="20"/>
                <w:szCs w:val="20"/>
              </w:rPr>
              <w:t xml:space="preserve"> là 50 </w:t>
            </w:r>
            <w:proofErr w:type="spellStart"/>
            <w:r w:rsidRPr="00351AD1">
              <w:rPr>
                <w:rFonts w:ascii="Times New Roman" w:hAnsi="Times New Roman"/>
                <w:color w:val="000000"/>
                <w:sz w:val="20"/>
                <w:szCs w:val="20"/>
              </w:rPr>
              <w:t>triệu</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đồng</w:t>
            </w:r>
            <w:proofErr w:type="spellEnd"/>
            <w:r w:rsidRPr="00351AD1">
              <w:rPr>
                <w:rFonts w:ascii="Times New Roman" w:hAnsi="Times New Roman"/>
                <w:color w:val="000000"/>
                <w:sz w:val="20"/>
                <w:szCs w:val="20"/>
              </w:rPr>
              <w:t xml:space="preserve"> /</w:t>
            </w:r>
            <w:proofErr w:type="spellStart"/>
            <w:r w:rsidRPr="00351AD1">
              <w:rPr>
                <w:rFonts w:ascii="Times New Roman" w:hAnsi="Times New Roman"/>
                <w:color w:val="000000"/>
                <w:sz w:val="20"/>
                <w:szCs w:val="20"/>
              </w:rPr>
              <w:t>năm</w:t>
            </w:r>
            <w:proofErr w:type="spellEnd"/>
            <w:r w:rsidR="00331DB5" w:rsidRPr="00351AD1">
              <w:rPr>
                <w:rFonts w:ascii="Times New Roman" w:hAnsi="Times New Roman"/>
                <w:color w:val="000000"/>
                <w:sz w:val="20"/>
                <w:szCs w:val="20"/>
              </w:rPr>
              <w:t xml:space="preserve"> </w:t>
            </w:r>
            <w:r w:rsidR="00BB4C02" w:rsidRPr="00351AD1">
              <w:rPr>
                <w:rFonts w:ascii="Times New Roman" w:hAnsi="Times New Roman"/>
                <w:color w:val="000000"/>
                <w:sz w:val="20"/>
                <w:szCs w:val="20"/>
              </w:rPr>
              <w:t>(</w:t>
            </w:r>
            <w:proofErr w:type="spellStart"/>
            <w:r w:rsidR="00BB4C02" w:rsidRPr="00351AD1">
              <w:rPr>
                <w:rFonts w:ascii="Times New Roman" w:hAnsi="Times New Roman"/>
                <w:color w:val="000000"/>
                <w:sz w:val="20"/>
                <w:szCs w:val="20"/>
              </w:rPr>
              <w:t>chưa</w:t>
            </w:r>
            <w:proofErr w:type="spellEnd"/>
            <w:r w:rsidR="00BB4C02" w:rsidRPr="00351AD1">
              <w:rPr>
                <w:rFonts w:ascii="Times New Roman" w:hAnsi="Times New Roman"/>
                <w:color w:val="000000"/>
                <w:sz w:val="20"/>
                <w:szCs w:val="20"/>
              </w:rPr>
              <w:t xml:space="preserve"> bao </w:t>
            </w:r>
            <w:proofErr w:type="spellStart"/>
            <w:r w:rsidR="00BB4C02" w:rsidRPr="00351AD1">
              <w:rPr>
                <w:rFonts w:ascii="Times New Roman" w:hAnsi="Times New Roman"/>
                <w:color w:val="000000"/>
                <w:sz w:val="20"/>
                <w:szCs w:val="20"/>
              </w:rPr>
              <w:t>gồm</w:t>
            </w:r>
            <w:proofErr w:type="spellEnd"/>
            <w:r w:rsidR="00BB4C02" w:rsidRPr="00351AD1">
              <w:rPr>
                <w:rFonts w:ascii="Times New Roman" w:hAnsi="Times New Roman"/>
                <w:color w:val="000000"/>
                <w:sz w:val="20"/>
                <w:szCs w:val="20"/>
              </w:rPr>
              <w:t xml:space="preserve"> </w:t>
            </w:r>
            <w:proofErr w:type="spellStart"/>
            <w:r w:rsidR="00BB4C02" w:rsidRPr="00351AD1">
              <w:rPr>
                <w:rFonts w:ascii="Times New Roman" w:hAnsi="Times New Roman"/>
                <w:color w:val="000000"/>
                <w:sz w:val="20"/>
                <w:szCs w:val="20"/>
              </w:rPr>
              <w:t>thuế</w:t>
            </w:r>
            <w:proofErr w:type="spellEnd"/>
            <w:r w:rsidR="00BB4C02" w:rsidRPr="00351AD1">
              <w:rPr>
                <w:rFonts w:ascii="Times New Roman" w:hAnsi="Times New Roman"/>
                <w:color w:val="000000"/>
                <w:sz w:val="20"/>
                <w:szCs w:val="20"/>
              </w:rPr>
              <w:t xml:space="preserve"> GTGT (</w:t>
            </w:r>
            <w:proofErr w:type="spellStart"/>
            <w:r w:rsidR="00BB4C02" w:rsidRPr="00351AD1">
              <w:rPr>
                <w:rFonts w:ascii="Times New Roman" w:hAnsi="Times New Roman"/>
                <w:color w:val="000000"/>
                <w:sz w:val="20"/>
                <w:szCs w:val="20"/>
              </w:rPr>
              <w:t>nếu</w:t>
            </w:r>
            <w:proofErr w:type="spellEnd"/>
            <w:r w:rsidR="00BB4C02" w:rsidRPr="00351AD1">
              <w:rPr>
                <w:rFonts w:ascii="Times New Roman" w:hAnsi="Times New Roman"/>
                <w:color w:val="000000"/>
                <w:sz w:val="20"/>
                <w:szCs w:val="20"/>
              </w:rPr>
              <w:t xml:space="preserve"> </w:t>
            </w:r>
            <w:proofErr w:type="spellStart"/>
            <w:r w:rsidR="00BB4C02" w:rsidRPr="00351AD1">
              <w:rPr>
                <w:rFonts w:ascii="Times New Roman" w:hAnsi="Times New Roman"/>
                <w:color w:val="000000"/>
                <w:sz w:val="20"/>
                <w:szCs w:val="20"/>
              </w:rPr>
              <w:t>có</w:t>
            </w:r>
            <w:proofErr w:type="spellEnd"/>
            <w:r w:rsidR="00BB4C02" w:rsidRPr="00351AD1">
              <w:rPr>
                <w:rFonts w:ascii="Times New Roman" w:hAnsi="Times New Roman"/>
                <w:color w:val="000000"/>
                <w:sz w:val="20"/>
                <w:szCs w:val="20"/>
              </w:rPr>
              <w:t>))</w:t>
            </w:r>
          </w:p>
          <w:p w14:paraId="0BED2614" w14:textId="3B1566D6" w:rsidR="006E6558" w:rsidRPr="00351AD1" w:rsidRDefault="006E6558" w:rsidP="005425EE">
            <w:pPr>
              <w:numPr>
                <w:ilvl w:val="0"/>
                <w:numId w:val="15"/>
              </w:numPr>
              <w:overflowPunct w:val="0"/>
              <w:autoSpaceDE w:val="0"/>
              <w:autoSpaceDN w:val="0"/>
              <w:adjustRightInd w:val="0"/>
              <w:spacing w:after="0" w:line="240" w:lineRule="auto"/>
              <w:ind w:left="142" w:right="260" w:firstLine="0"/>
              <w:textAlignment w:val="baseline"/>
              <w:rPr>
                <w:rFonts w:ascii="Times New Roman" w:hAnsi="Times New Roman"/>
                <w:color w:val="000000"/>
                <w:sz w:val="20"/>
                <w:szCs w:val="20"/>
              </w:rPr>
            </w:pPr>
            <w:r w:rsidRPr="006E6558">
              <w:rPr>
                <w:rFonts w:ascii="Times New Roman" w:hAnsi="Times New Roman"/>
                <w:i/>
                <w:iCs/>
                <w:color w:val="000000"/>
                <w:sz w:val="20"/>
                <w:szCs w:val="20"/>
              </w:rPr>
              <w:t>Minimum fee is 50 million dong per annum (excluding VAT (if any))</w:t>
            </w:r>
          </w:p>
        </w:tc>
      </w:tr>
    </w:tbl>
    <w:p w14:paraId="10674C40" w14:textId="77777777" w:rsidR="007F1387" w:rsidRDefault="000021A9" w:rsidP="00224672">
      <w:pPr>
        <w:spacing w:beforeLines="60" w:before="144" w:afterLines="60" w:after="144" w:line="312" w:lineRule="auto"/>
        <w:ind w:left="720" w:right="259"/>
        <w:jc w:val="both"/>
        <w:outlineLvl w:val="0"/>
        <w:rPr>
          <w:rFonts w:ascii="Times New Roman" w:hAnsi="Times New Roman"/>
          <w:color w:val="000000"/>
          <w:sz w:val="20"/>
          <w:szCs w:val="20"/>
        </w:rPr>
      </w:pPr>
      <w:proofErr w:type="spellStart"/>
      <w:r>
        <w:rPr>
          <w:rFonts w:ascii="Times New Roman" w:hAnsi="Times New Roman"/>
          <w:color w:val="000000"/>
          <w:sz w:val="20"/>
          <w:szCs w:val="20"/>
        </w:rPr>
        <w:t>Các</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giá</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dịch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vụ</w:t>
      </w:r>
      <w:proofErr w:type="spellEnd"/>
      <w:r w:rsidR="00931CE1" w:rsidRPr="00E21368">
        <w:rPr>
          <w:rFonts w:ascii="Times New Roman" w:hAnsi="Times New Roman"/>
          <w:color w:val="000000"/>
          <w:sz w:val="20"/>
          <w:szCs w:val="20"/>
        </w:rPr>
        <w:t xml:space="preserve"> trên </w:t>
      </w:r>
      <w:proofErr w:type="spellStart"/>
      <w:r w:rsidR="00931CE1" w:rsidRPr="00E21368">
        <w:rPr>
          <w:rFonts w:ascii="Times New Roman" w:hAnsi="Times New Roman"/>
          <w:color w:val="000000"/>
          <w:sz w:val="20"/>
          <w:szCs w:val="20"/>
        </w:rPr>
        <w:t>được</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tính</w:t>
      </w:r>
      <w:proofErr w:type="spellEnd"/>
      <w:r w:rsidR="00931CE1" w:rsidRPr="00E21368">
        <w:rPr>
          <w:rFonts w:ascii="Times New Roman" w:hAnsi="Times New Roman"/>
          <w:color w:val="000000"/>
          <w:sz w:val="20"/>
          <w:szCs w:val="20"/>
        </w:rPr>
        <w:t xml:space="preserve"> vào </w:t>
      </w:r>
      <w:proofErr w:type="spellStart"/>
      <w:r w:rsidR="00931CE1" w:rsidRPr="00E21368">
        <w:rPr>
          <w:rFonts w:ascii="Times New Roman" w:hAnsi="Times New Roman"/>
          <w:color w:val="000000"/>
          <w:sz w:val="20"/>
          <w:szCs w:val="20"/>
        </w:rPr>
        <w:t>mỗi</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kỳ</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định</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giá</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dựa</w:t>
      </w:r>
      <w:proofErr w:type="spellEnd"/>
      <w:r w:rsidR="00931CE1" w:rsidRPr="00E21368">
        <w:rPr>
          <w:rFonts w:ascii="Times New Roman" w:hAnsi="Times New Roman"/>
          <w:color w:val="000000"/>
          <w:sz w:val="20"/>
          <w:szCs w:val="20"/>
        </w:rPr>
        <w:t xml:space="preserve"> trên NAV </w:t>
      </w:r>
      <w:proofErr w:type="spellStart"/>
      <w:r w:rsidR="00931CE1" w:rsidRPr="00E21368">
        <w:rPr>
          <w:rFonts w:ascii="Times New Roman" w:hAnsi="Times New Roman"/>
          <w:color w:val="000000"/>
          <w:sz w:val="20"/>
          <w:szCs w:val="20"/>
        </w:rPr>
        <w:t>trước</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phí</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tại</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ngày</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trước</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ngày</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định</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giá</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và</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được</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trả</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định</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kỳ</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hàng</w:t>
      </w:r>
      <w:proofErr w:type="spellEnd"/>
      <w:r w:rsidR="00931CE1" w:rsidRPr="00E21368">
        <w:rPr>
          <w:rFonts w:ascii="Times New Roman" w:hAnsi="Times New Roman"/>
          <w:color w:val="000000"/>
          <w:sz w:val="20"/>
          <w:szCs w:val="20"/>
        </w:rPr>
        <w:t xml:space="preserve"> </w:t>
      </w:r>
      <w:proofErr w:type="spellStart"/>
      <w:r w:rsidR="00931CE1" w:rsidRPr="00E21368">
        <w:rPr>
          <w:rFonts w:ascii="Times New Roman" w:hAnsi="Times New Roman"/>
          <w:color w:val="000000"/>
          <w:sz w:val="20"/>
          <w:szCs w:val="20"/>
        </w:rPr>
        <w:t>năm</w:t>
      </w:r>
      <w:proofErr w:type="spellEnd"/>
      <w:r w:rsidR="00156681">
        <w:rPr>
          <w:rFonts w:ascii="Times New Roman" w:hAnsi="Times New Roman"/>
          <w:color w:val="000000"/>
          <w:sz w:val="20"/>
          <w:szCs w:val="20"/>
        </w:rPr>
        <w:t>.</w:t>
      </w:r>
    </w:p>
    <w:p w14:paraId="15BC3B1C" w14:textId="75AABEEE" w:rsidR="00224672" w:rsidRPr="00224672" w:rsidRDefault="00224672" w:rsidP="00224672">
      <w:pPr>
        <w:spacing w:beforeLines="60" w:before="144" w:afterLines="60" w:after="144" w:line="312" w:lineRule="auto"/>
        <w:ind w:left="720" w:right="259"/>
        <w:jc w:val="both"/>
        <w:outlineLvl w:val="0"/>
        <w:rPr>
          <w:rFonts w:ascii="Times New Roman" w:hAnsi="Times New Roman"/>
          <w:i/>
          <w:iCs/>
          <w:color w:val="000000"/>
          <w:sz w:val="20"/>
          <w:szCs w:val="20"/>
        </w:rPr>
      </w:pPr>
      <w:r w:rsidRPr="00224672">
        <w:rPr>
          <w:rFonts w:ascii="Times New Roman" w:hAnsi="Times New Roman"/>
          <w:i/>
          <w:iCs/>
          <w:color w:val="000000"/>
          <w:sz w:val="20"/>
          <w:szCs w:val="20"/>
        </w:rPr>
        <w:t xml:space="preserve">The above fees are </w:t>
      </w:r>
      <w:proofErr w:type="spellStart"/>
      <w:r w:rsidRPr="00224672">
        <w:rPr>
          <w:rFonts w:ascii="Times New Roman" w:hAnsi="Times New Roman"/>
          <w:i/>
          <w:iCs/>
          <w:color w:val="000000"/>
          <w:sz w:val="20"/>
          <w:szCs w:val="20"/>
        </w:rPr>
        <w:t>calcuated</w:t>
      </w:r>
      <w:proofErr w:type="spellEnd"/>
      <w:r w:rsidRPr="00224672">
        <w:rPr>
          <w:rFonts w:ascii="Times New Roman" w:hAnsi="Times New Roman"/>
          <w:i/>
          <w:iCs/>
          <w:color w:val="000000"/>
          <w:sz w:val="20"/>
          <w:szCs w:val="20"/>
        </w:rPr>
        <w:t xml:space="preserve"> based Gross Asset Value as at the day before </w:t>
      </w:r>
      <w:proofErr w:type="gramStart"/>
      <w:r w:rsidRPr="00224672">
        <w:rPr>
          <w:rFonts w:ascii="Times New Roman" w:hAnsi="Times New Roman"/>
          <w:i/>
          <w:iCs/>
          <w:color w:val="000000"/>
          <w:sz w:val="20"/>
          <w:szCs w:val="20"/>
        </w:rPr>
        <w:t>Valuation day</w:t>
      </w:r>
      <w:proofErr w:type="gramEnd"/>
      <w:r w:rsidRPr="00224672">
        <w:rPr>
          <w:rFonts w:ascii="Times New Roman" w:hAnsi="Times New Roman"/>
          <w:i/>
          <w:iCs/>
          <w:color w:val="000000"/>
          <w:sz w:val="20"/>
          <w:szCs w:val="20"/>
        </w:rPr>
        <w:t xml:space="preserve"> and </w:t>
      </w:r>
      <w:proofErr w:type="spellStart"/>
      <w:r w:rsidRPr="00224672">
        <w:rPr>
          <w:rFonts w:ascii="Times New Roman" w:hAnsi="Times New Roman"/>
          <w:i/>
          <w:iCs/>
          <w:color w:val="000000"/>
          <w:sz w:val="20"/>
          <w:szCs w:val="20"/>
        </w:rPr>
        <w:t>paided</w:t>
      </w:r>
      <w:proofErr w:type="spellEnd"/>
      <w:r w:rsidRPr="00224672">
        <w:rPr>
          <w:rFonts w:ascii="Times New Roman" w:hAnsi="Times New Roman"/>
          <w:i/>
          <w:iCs/>
          <w:color w:val="000000"/>
          <w:sz w:val="20"/>
          <w:szCs w:val="20"/>
        </w:rPr>
        <w:t xml:space="preserve"> on a yearly basis.</w:t>
      </w:r>
    </w:p>
    <w:p w14:paraId="65E4F15D" w14:textId="02B98C1A" w:rsidR="002955AE" w:rsidRDefault="002955AE" w:rsidP="00224672">
      <w:pPr>
        <w:spacing w:beforeLines="60" w:before="144" w:afterLines="60" w:after="144" w:line="312" w:lineRule="auto"/>
        <w:ind w:left="720" w:right="259"/>
        <w:jc w:val="both"/>
        <w:outlineLvl w:val="0"/>
        <w:rPr>
          <w:rFonts w:ascii="Times New Roman" w:hAnsi="Times New Roman"/>
          <w:sz w:val="20"/>
          <w:szCs w:val="20"/>
        </w:rPr>
      </w:pPr>
      <w:proofErr w:type="spellStart"/>
      <w:r w:rsidRPr="00351AD1">
        <w:rPr>
          <w:rFonts w:ascii="Times New Roman" w:hAnsi="Times New Roman"/>
          <w:sz w:val="20"/>
          <w:szCs w:val="20"/>
        </w:rPr>
        <w:t>Mức</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giá</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dịch</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vụ</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thời</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gian</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áp</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dụng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và</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phương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pháp</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thanh</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toán</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giá</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dịch</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vụ</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được</w:t>
      </w:r>
      <w:proofErr w:type="spellEnd"/>
      <w:r w:rsidRPr="00351AD1">
        <w:rPr>
          <w:rFonts w:ascii="Times New Roman" w:hAnsi="Times New Roman"/>
          <w:sz w:val="20"/>
          <w:szCs w:val="20"/>
        </w:rPr>
        <w:t xml:space="preserve"> qui </w:t>
      </w:r>
      <w:proofErr w:type="spellStart"/>
      <w:r w:rsidRPr="00351AD1">
        <w:rPr>
          <w:rFonts w:ascii="Times New Roman" w:hAnsi="Times New Roman"/>
          <w:sz w:val="20"/>
          <w:szCs w:val="20"/>
        </w:rPr>
        <w:t>định</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cụ</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thể</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trong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Hợp</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đồng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giữa</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Công</w:t>
      </w:r>
      <w:proofErr w:type="spellEnd"/>
      <w:r w:rsidRPr="00351AD1">
        <w:rPr>
          <w:rFonts w:ascii="Times New Roman" w:hAnsi="Times New Roman"/>
          <w:sz w:val="20"/>
          <w:szCs w:val="20"/>
        </w:rPr>
        <w:t xml:space="preserve"> ty </w:t>
      </w:r>
      <w:proofErr w:type="spellStart"/>
      <w:r w:rsidRPr="00351AD1">
        <w:rPr>
          <w:rFonts w:ascii="Times New Roman" w:hAnsi="Times New Roman"/>
          <w:sz w:val="20"/>
          <w:szCs w:val="20"/>
        </w:rPr>
        <w:t>quản</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lý</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quỹ</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và</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Tổ</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chức</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quản</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lý</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và</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vận</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hành</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chỉ</w:t>
      </w:r>
      <w:proofErr w:type="spellEnd"/>
      <w:r w:rsidRPr="00351AD1">
        <w:rPr>
          <w:rFonts w:ascii="Times New Roman" w:hAnsi="Times New Roman"/>
          <w:sz w:val="20"/>
          <w:szCs w:val="20"/>
        </w:rPr>
        <w:t xml:space="preserve"> số </w:t>
      </w:r>
      <w:proofErr w:type="spellStart"/>
      <w:r w:rsidRPr="00351AD1">
        <w:rPr>
          <w:rFonts w:ascii="Times New Roman" w:hAnsi="Times New Roman"/>
          <w:sz w:val="20"/>
          <w:szCs w:val="20"/>
        </w:rPr>
        <w:t>tham</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chiếu</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và</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Hợp</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đồng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giữa</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Công</w:t>
      </w:r>
      <w:proofErr w:type="spellEnd"/>
      <w:r w:rsidRPr="00351AD1">
        <w:rPr>
          <w:rFonts w:ascii="Times New Roman" w:hAnsi="Times New Roman"/>
          <w:sz w:val="20"/>
          <w:szCs w:val="20"/>
        </w:rPr>
        <w:t xml:space="preserve"> ty </w:t>
      </w:r>
      <w:proofErr w:type="spellStart"/>
      <w:r w:rsidRPr="00351AD1">
        <w:rPr>
          <w:rFonts w:ascii="Times New Roman" w:hAnsi="Times New Roman"/>
          <w:sz w:val="20"/>
          <w:szCs w:val="20"/>
        </w:rPr>
        <w:t>quản</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lý</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quỹ</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và</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Tổ</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chức</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cung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cấp</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dịch</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vụ</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tính</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giá</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trị</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tài</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sản</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ròng</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tham</w:t>
      </w:r>
      <w:proofErr w:type="spellEnd"/>
      <w:r w:rsidRPr="00351AD1">
        <w:rPr>
          <w:rFonts w:ascii="Times New Roman" w:hAnsi="Times New Roman"/>
          <w:sz w:val="20"/>
          <w:szCs w:val="20"/>
        </w:rPr>
        <w:t xml:space="preserve"> </w:t>
      </w:r>
      <w:proofErr w:type="spellStart"/>
      <w:r w:rsidRPr="00351AD1">
        <w:rPr>
          <w:rFonts w:ascii="Times New Roman" w:hAnsi="Times New Roman"/>
          <w:sz w:val="20"/>
          <w:szCs w:val="20"/>
        </w:rPr>
        <w:t>chiếu</w:t>
      </w:r>
      <w:proofErr w:type="spellEnd"/>
      <w:r w:rsidRPr="00351AD1">
        <w:rPr>
          <w:rFonts w:ascii="Times New Roman" w:hAnsi="Times New Roman"/>
          <w:sz w:val="20"/>
          <w:szCs w:val="20"/>
        </w:rPr>
        <w:t>.</w:t>
      </w:r>
    </w:p>
    <w:p w14:paraId="1AB4ADE0" w14:textId="7D143375" w:rsidR="00146EF2" w:rsidRPr="00146EF2" w:rsidRDefault="00146EF2" w:rsidP="00224672">
      <w:pPr>
        <w:spacing w:beforeLines="60" w:before="144" w:afterLines="60" w:after="144" w:line="312" w:lineRule="auto"/>
        <w:ind w:left="720" w:right="259"/>
        <w:jc w:val="both"/>
        <w:outlineLvl w:val="0"/>
        <w:rPr>
          <w:rFonts w:ascii="Times New Roman" w:hAnsi="Times New Roman"/>
          <w:i/>
          <w:iCs/>
          <w:sz w:val="20"/>
          <w:szCs w:val="20"/>
        </w:rPr>
      </w:pPr>
      <w:r w:rsidRPr="00146EF2">
        <w:rPr>
          <w:rFonts w:ascii="Times New Roman" w:hAnsi="Times New Roman"/>
          <w:i/>
          <w:iCs/>
          <w:sz w:val="20"/>
          <w:szCs w:val="20"/>
        </w:rPr>
        <w:t>Fee rate, applicable time and payment methods are regulated in contract between Fund Manager and Service Provider.</w:t>
      </w:r>
    </w:p>
    <w:p w14:paraId="0694B4B8" w14:textId="77777777" w:rsidR="00F80CFF" w:rsidRDefault="00F80CFF">
      <w:pPr>
        <w:spacing w:after="160" w:line="259" w:lineRule="auto"/>
        <w:rPr>
          <w:rFonts w:ascii="Times New Roman" w:hAnsi="Times New Roman"/>
          <w:b/>
          <w:sz w:val="20"/>
          <w:szCs w:val="20"/>
        </w:rPr>
      </w:pPr>
      <w:r>
        <w:rPr>
          <w:rFonts w:ascii="Times New Roman" w:hAnsi="Times New Roman"/>
          <w:b/>
          <w:sz w:val="20"/>
          <w:szCs w:val="20"/>
        </w:rPr>
        <w:br w:type="page"/>
      </w:r>
    </w:p>
    <w:p w14:paraId="7FF3F7BE" w14:textId="77777777" w:rsidR="00002A96" w:rsidRPr="00002A96" w:rsidRDefault="00E70229" w:rsidP="00002A96">
      <w:pPr>
        <w:pStyle w:val="ListParagraph"/>
        <w:numPr>
          <w:ilvl w:val="0"/>
          <w:numId w:val="39"/>
        </w:numPr>
        <w:spacing w:beforeLines="100" w:before="240" w:afterLines="60" w:after="144" w:line="240" w:lineRule="auto"/>
        <w:ind w:right="260"/>
        <w:jc w:val="both"/>
        <w:outlineLvl w:val="0"/>
        <w:rPr>
          <w:rFonts w:ascii="Times New Roman" w:hAnsi="Times New Roman"/>
          <w:b/>
          <w:sz w:val="20"/>
          <w:szCs w:val="20"/>
        </w:rPr>
      </w:pPr>
      <w:proofErr w:type="spellStart"/>
      <w:r w:rsidRPr="00146EF2">
        <w:rPr>
          <w:rFonts w:ascii="Times New Roman" w:hAnsi="Times New Roman"/>
          <w:b/>
          <w:sz w:val="20"/>
          <w:szCs w:val="20"/>
        </w:rPr>
        <w:lastRenderedPageBreak/>
        <w:t>Sự</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kiện</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phát</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sinh</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sau</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ngày</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báo</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cáo</w:t>
      </w:r>
      <w:proofErr w:type="spellEnd"/>
      <w:r w:rsidRPr="00146EF2">
        <w:rPr>
          <w:rFonts w:ascii="Times New Roman" w:hAnsi="Times New Roman"/>
          <w:b/>
          <w:sz w:val="20"/>
          <w:szCs w:val="20"/>
        </w:rPr>
        <w:t xml:space="preserve"> </w:t>
      </w:r>
      <w:proofErr w:type="spellStart"/>
      <w:r w:rsidRPr="00146EF2">
        <w:rPr>
          <w:rFonts w:ascii="Times New Roman" w:hAnsi="Times New Roman"/>
          <w:b/>
          <w:sz w:val="20"/>
          <w:szCs w:val="20"/>
        </w:rPr>
        <w:t>tài</w:t>
      </w:r>
      <w:proofErr w:type="spellEnd"/>
      <w:r w:rsidRPr="00146EF2">
        <w:rPr>
          <w:rFonts w:ascii="Times New Roman" w:hAnsi="Times New Roman"/>
          <w:b/>
          <w:sz w:val="20"/>
          <w:szCs w:val="20"/>
        </w:rPr>
        <w:t xml:space="preserve"> </w:t>
      </w:r>
      <w:proofErr w:type="spellStart"/>
      <w:r w:rsidR="00AB3081" w:rsidRPr="00146EF2">
        <w:rPr>
          <w:rFonts w:ascii="Times New Roman" w:hAnsi="Times New Roman"/>
          <w:b/>
          <w:sz w:val="20"/>
          <w:szCs w:val="20"/>
        </w:rPr>
        <w:t>chính</w:t>
      </w:r>
      <w:proofErr w:type="spellEnd"/>
      <w:r w:rsidR="00AB3081" w:rsidRPr="00146EF2">
        <w:rPr>
          <w:rFonts w:ascii="Times New Roman" w:hAnsi="Times New Roman"/>
          <w:b/>
          <w:sz w:val="20"/>
          <w:szCs w:val="20"/>
          <w:lang w:val="vi-VN"/>
        </w:rPr>
        <w:t>/ Subsequent events</w:t>
      </w:r>
    </w:p>
    <w:p w14:paraId="336F3162" w14:textId="2EDD6EE4" w:rsidR="00AB3081" w:rsidRPr="00002A96" w:rsidRDefault="00EA3E3C" w:rsidP="00002A96">
      <w:pPr>
        <w:spacing w:beforeLines="100" w:before="240" w:afterLines="60" w:after="144" w:line="240" w:lineRule="auto"/>
        <w:ind w:left="862" w:right="260"/>
        <w:jc w:val="both"/>
        <w:outlineLvl w:val="0"/>
        <w:rPr>
          <w:rFonts w:ascii="Times New Roman" w:hAnsi="Times New Roman"/>
          <w:b/>
          <w:sz w:val="20"/>
          <w:szCs w:val="20"/>
        </w:rPr>
      </w:pPr>
      <w:r w:rsidRPr="00002A96">
        <w:rPr>
          <w:rFonts w:ascii="Times New Roman" w:eastAsia="Times New Roman" w:hAnsi="Times New Roman"/>
          <w:bCs/>
          <w:sz w:val="20"/>
          <w:szCs w:val="20"/>
          <w:lang w:val="nl-NL"/>
        </w:rPr>
        <w:t>Không có sự kiện phát sinh sau ngày lập báo cáo tài chính cần điều chỉnh hoặc trình bày trên báo cáo tài chính.</w:t>
      </w:r>
    </w:p>
    <w:p w14:paraId="5D65F81C" w14:textId="5DE7789A" w:rsidR="00AB3081" w:rsidRPr="00AB3081" w:rsidRDefault="00AB3081" w:rsidP="00002A96">
      <w:pPr>
        <w:keepNext/>
        <w:keepLines/>
        <w:spacing w:beforeLines="60" w:before="144" w:afterLines="60" w:after="144" w:line="360" w:lineRule="auto"/>
        <w:ind w:left="720" w:right="260"/>
        <w:jc w:val="both"/>
        <w:rPr>
          <w:rFonts w:ascii="Times New Roman" w:eastAsia="Times New Roman" w:hAnsi="Times New Roman"/>
          <w:bCs/>
          <w:i/>
          <w:iCs/>
          <w:sz w:val="20"/>
          <w:szCs w:val="20"/>
          <w:lang w:val="nl-NL"/>
        </w:rPr>
      </w:pPr>
      <w:r>
        <w:rPr>
          <w:rFonts w:ascii="Times New Roman" w:eastAsia="Times New Roman" w:hAnsi="Times New Roman"/>
          <w:bCs/>
          <w:sz w:val="20"/>
          <w:szCs w:val="20"/>
          <w:lang w:val="vi-VN"/>
        </w:rPr>
        <w:t xml:space="preserve">     </w:t>
      </w:r>
      <w:r w:rsidRPr="00AB3081">
        <w:rPr>
          <w:rFonts w:ascii="Times New Roman" w:eastAsia="Times New Roman" w:hAnsi="Times New Roman"/>
          <w:bCs/>
          <w:i/>
          <w:iCs/>
          <w:sz w:val="20"/>
          <w:szCs w:val="20"/>
          <w:lang w:val="nl-NL"/>
        </w:rPr>
        <w:t>There have been no significant subsequent events occurring after the year end date which would require adjustments or disclosures to be made in the financial statements.</w:t>
      </w:r>
    </w:p>
    <w:p w14:paraId="1BC27278" w14:textId="77777777" w:rsidR="00652DE5" w:rsidRPr="00762874" w:rsidRDefault="00652DE5" w:rsidP="005425EE">
      <w:pPr>
        <w:keepNext/>
        <w:keepLines/>
        <w:spacing w:beforeLines="60" w:before="144" w:afterLines="60" w:after="144" w:line="360" w:lineRule="auto"/>
        <w:ind w:left="142" w:right="260"/>
        <w:jc w:val="both"/>
        <w:rPr>
          <w:rFonts w:ascii="Times New Roman" w:eastAsia="Times New Roman" w:hAnsi="Times New Roman"/>
          <w:bCs/>
          <w:sz w:val="20"/>
          <w:szCs w:val="20"/>
          <w:lang w:val="nl-NL"/>
        </w:rPr>
      </w:pPr>
    </w:p>
    <w:tbl>
      <w:tblPr>
        <w:tblW w:w="5000" w:type="pct"/>
        <w:tblLook w:val="04A0" w:firstRow="1" w:lastRow="0" w:firstColumn="1" w:lastColumn="0" w:noHBand="0" w:noVBand="1"/>
      </w:tblPr>
      <w:tblGrid>
        <w:gridCol w:w="3280"/>
        <w:gridCol w:w="3793"/>
        <w:gridCol w:w="3393"/>
      </w:tblGrid>
      <w:tr w:rsidR="00964495" w:rsidRPr="00A96A82" w14:paraId="6FD8AD1A" w14:textId="77777777" w:rsidTr="00FB7ACD">
        <w:tc>
          <w:tcPr>
            <w:tcW w:w="5000" w:type="pct"/>
            <w:gridSpan w:val="3"/>
            <w:vAlign w:val="bottom"/>
          </w:tcPr>
          <w:p w14:paraId="0DAE394B" w14:textId="77777777" w:rsidR="00964495" w:rsidRPr="00762874" w:rsidRDefault="00964495" w:rsidP="005425EE">
            <w:pPr>
              <w:tabs>
                <w:tab w:val="center" w:pos="4320"/>
              </w:tabs>
              <w:ind w:left="142" w:right="260"/>
              <w:rPr>
                <w:rFonts w:ascii="Times New Roman" w:hAnsi="Times New Roman"/>
                <w:b/>
                <w:sz w:val="20"/>
                <w:szCs w:val="20"/>
                <w:lang w:val="nl-NL"/>
              </w:rPr>
            </w:pPr>
          </w:p>
        </w:tc>
      </w:tr>
      <w:tr w:rsidR="00964495" w:rsidRPr="00E21368" w14:paraId="0F3D2BFF" w14:textId="77777777" w:rsidTr="006B32AB">
        <w:tc>
          <w:tcPr>
            <w:tcW w:w="1567" w:type="pct"/>
            <w:vAlign w:val="bottom"/>
          </w:tcPr>
          <w:p w14:paraId="50ADBF85" w14:textId="77777777" w:rsidR="00964495" w:rsidRDefault="00964495" w:rsidP="005425EE">
            <w:pPr>
              <w:tabs>
                <w:tab w:val="center" w:pos="4320"/>
              </w:tabs>
              <w:ind w:left="142" w:right="260"/>
              <w:jc w:val="center"/>
              <w:rPr>
                <w:rFonts w:ascii="Times New Roman" w:hAnsi="Times New Roman"/>
                <w:b/>
                <w:sz w:val="20"/>
                <w:szCs w:val="20"/>
              </w:rPr>
            </w:pPr>
            <w:proofErr w:type="spellStart"/>
            <w:r w:rsidRPr="00E21368">
              <w:rPr>
                <w:rFonts w:ascii="Times New Roman" w:hAnsi="Times New Roman"/>
                <w:b/>
                <w:sz w:val="20"/>
                <w:szCs w:val="20"/>
              </w:rPr>
              <w:t>Người</w:t>
            </w:r>
            <w:proofErr w:type="spellEnd"/>
            <w:r w:rsidRPr="00E21368">
              <w:rPr>
                <w:rFonts w:ascii="Times New Roman" w:hAnsi="Times New Roman"/>
                <w:b/>
                <w:sz w:val="20"/>
                <w:szCs w:val="20"/>
              </w:rPr>
              <w:t xml:space="preserve"> </w:t>
            </w:r>
            <w:proofErr w:type="spellStart"/>
            <w:r w:rsidRPr="00E21368">
              <w:rPr>
                <w:rFonts w:ascii="Times New Roman" w:hAnsi="Times New Roman"/>
                <w:b/>
                <w:sz w:val="20"/>
                <w:szCs w:val="20"/>
              </w:rPr>
              <w:t>lập</w:t>
            </w:r>
            <w:proofErr w:type="spellEnd"/>
            <w:r w:rsidRPr="00E21368">
              <w:rPr>
                <w:rFonts w:ascii="Times New Roman" w:hAnsi="Times New Roman"/>
                <w:b/>
                <w:sz w:val="20"/>
                <w:szCs w:val="20"/>
              </w:rPr>
              <w:t>:</w:t>
            </w:r>
          </w:p>
          <w:p w14:paraId="66759F23" w14:textId="3499380B" w:rsidR="002875F4" w:rsidRPr="00A638C4" w:rsidRDefault="002875F4" w:rsidP="005425EE">
            <w:pPr>
              <w:tabs>
                <w:tab w:val="center" w:pos="4320"/>
              </w:tabs>
              <w:ind w:left="142" w:right="260"/>
              <w:jc w:val="center"/>
              <w:rPr>
                <w:rFonts w:ascii="Times New Roman" w:hAnsi="Times New Roman"/>
                <w:b/>
                <w:i/>
                <w:iCs/>
                <w:sz w:val="20"/>
                <w:szCs w:val="20"/>
              </w:rPr>
            </w:pPr>
            <w:r w:rsidRPr="00A638C4">
              <w:rPr>
                <w:rFonts w:ascii="Times New Roman" w:hAnsi="Times New Roman"/>
                <w:b/>
                <w:i/>
                <w:iCs/>
                <w:sz w:val="20"/>
                <w:szCs w:val="20"/>
              </w:rPr>
              <w:t>Preparer</w:t>
            </w:r>
            <w:r w:rsidRPr="00A638C4">
              <w:rPr>
                <w:rFonts w:ascii="Times New Roman" w:hAnsi="Times New Roman"/>
                <w:b/>
                <w:i/>
                <w:iCs/>
                <w:sz w:val="20"/>
                <w:szCs w:val="20"/>
                <w:lang w:val="vi-VN"/>
              </w:rPr>
              <w:t>:</w:t>
            </w:r>
          </w:p>
        </w:tc>
        <w:tc>
          <w:tcPr>
            <w:tcW w:w="3433" w:type="pct"/>
            <w:gridSpan w:val="2"/>
          </w:tcPr>
          <w:p w14:paraId="27E77A57" w14:textId="77777777" w:rsidR="00964495" w:rsidRDefault="00964495" w:rsidP="005425EE">
            <w:pPr>
              <w:tabs>
                <w:tab w:val="center" w:pos="4320"/>
              </w:tabs>
              <w:ind w:left="142" w:right="260"/>
              <w:jc w:val="center"/>
              <w:rPr>
                <w:rFonts w:ascii="Times New Roman" w:hAnsi="Times New Roman"/>
                <w:b/>
                <w:sz w:val="20"/>
                <w:szCs w:val="20"/>
              </w:rPr>
            </w:pPr>
            <w:proofErr w:type="spellStart"/>
            <w:r w:rsidRPr="00E21368">
              <w:rPr>
                <w:rFonts w:ascii="Times New Roman" w:hAnsi="Times New Roman"/>
                <w:b/>
                <w:sz w:val="20"/>
                <w:szCs w:val="20"/>
              </w:rPr>
              <w:t>Người</w:t>
            </w:r>
            <w:proofErr w:type="spellEnd"/>
            <w:r w:rsidRPr="00E21368">
              <w:rPr>
                <w:rFonts w:ascii="Times New Roman" w:hAnsi="Times New Roman"/>
                <w:b/>
                <w:sz w:val="20"/>
                <w:szCs w:val="20"/>
              </w:rPr>
              <w:t xml:space="preserve"> </w:t>
            </w:r>
            <w:proofErr w:type="spellStart"/>
            <w:r w:rsidRPr="00E21368">
              <w:rPr>
                <w:rFonts w:ascii="Times New Roman" w:hAnsi="Times New Roman"/>
                <w:b/>
                <w:sz w:val="20"/>
                <w:szCs w:val="20"/>
              </w:rPr>
              <w:t>duyệt</w:t>
            </w:r>
            <w:proofErr w:type="spellEnd"/>
            <w:r w:rsidRPr="00E21368">
              <w:rPr>
                <w:rFonts w:ascii="Times New Roman" w:hAnsi="Times New Roman"/>
                <w:b/>
                <w:sz w:val="20"/>
                <w:szCs w:val="20"/>
              </w:rPr>
              <w:t>:</w:t>
            </w:r>
          </w:p>
          <w:p w14:paraId="4966FE78" w14:textId="764D2050" w:rsidR="00B9438E" w:rsidRPr="00A638C4" w:rsidRDefault="00B9438E" w:rsidP="005425EE">
            <w:pPr>
              <w:tabs>
                <w:tab w:val="center" w:pos="4320"/>
              </w:tabs>
              <w:ind w:left="142" w:right="260"/>
              <w:jc w:val="center"/>
              <w:rPr>
                <w:rFonts w:ascii="Times New Roman" w:hAnsi="Times New Roman"/>
                <w:b/>
                <w:i/>
                <w:iCs/>
                <w:sz w:val="20"/>
                <w:szCs w:val="20"/>
              </w:rPr>
            </w:pPr>
            <w:r w:rsidRPr="00A638C4">
              <w:rPr>
                <w:rFonts w:ascii="Times New Roman" w:hAnsi="Times New Roman"/>
                <w:b/>
                <w:i/>
                <w:iCs/>
                <w:sz w:val="20"/>
                <w:szCs w:val="20"/>
              </w:rPr>
              <w:t>Approver</w:t>
            </w:r>
          </w:p>
        </w:tc>
      </w:tr>
      <w:tr w:rsidR="00964495" w:rsidRPr="00E21368" w14:paraId="6D7B49DD" w14:textId="77777777" w:rsidTr="006B32AB">
        <w:tc>
          <w:tcPr>
            <w:tcW w:w="1567" w:type="pct"/>
            <w:vAlign w:val="bottom"/>
          </w:tcPr>
          <w:p w14:paraId="38CD866A"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812" w:type="pct"/>
          </w:tcPr>
          <w:p w14:paraId="3FAA73DD"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621" w:type="pct"/>
          </w:tcPr>
          <w:p w14:paraId="092BB995" w14:textId="77777777" w:rsidR="00964495" w:rsidRPr="00E21368" w:rsidRDefault="00964495" w:rsidP="005425EE">
            <w:pPr>
              <w:tabs>
                <w:tab w:val="center" w:pos="4320"/>
              </w:tabs>
              <w:ind w:left="142" w:right="260"/>
              <w:jc w:val="center"/>
              <w:rPr>
                <w:rFonts w:ascii="Times New Roman" w:hAnsi="Times New Roman"/>
                <w:sz w:val="20"/>
                <w:szCs w:val="20"/>
              </w:rPr>
            </w:pPr>
          </w:p>
        </w:tc>
      </w:tr>
      <w:tr w:rsidR="00964495" w:rsidRPr="00E21368" w14:paraId="03AE7873" w14:textId="77777777" w:rsidTr="006B32AB">
        <w:tc>
          <w:tcPr>
            <w:tcW w:w="1567" w:type="pct"/>
            <w:vAlign w:val="bottom"/>
          </w:tcPr>
          <w:p w14:paraId="2DCDA117"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812" w:type="pct"/>
          </w:tcPr>
          <w:p w14:paraId="44A9C84C"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621" w:type="pct"/>
          </w:tcPr>
          <w:p w14:paraId="4075D663" w14:textId="77777777" w:rsidR="00964495" w:rsidRPr="00E21368" w:rsidRDefault="00964495" w:rsidP="005425EE">
            <w:pPr>
              <w:tabs>
                <w:tab w:val="center" w:pos="4320"/>
              </w:tabs>
              <w:ind w:left="142" w:right="260"/>
              <w:jc w:val="center"/>
              <w:rPr>
                <w:rFonts w:ascii="Times New Roman" w:hAnsi="Times New Roman"/>
                <w:sz w:val="20"/>
                <w:szCs w:val="20"/>
              </w:rPr>
            </w:pPr>
          </w:p>
        </w:tc>
      </w:tr>
      <w:tr w:rsidR="00964495" w:rsidRPr="00E21368" w14:paraId="6DE14C46" w14:textId="77777777" w:rsidTr="006B32AB">
        <w:tc>
          <w:tcPr>
            <w:tcW w:w="1567" w:type="pct"/>
            <w:vAlign w:val="bottom"/>
          </w:tcPr>
          <w:p w14:paraId="574F7724"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812" w:type="pct"/>
          </w:tcPr>
          <w:p w14:paraId="1E9A9618"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621" w:type="pct"/>
          </w:tcPr>
          <w:p w14:paraId="2B7CCD6B" w14:textId="77777777" w:rsidR="00964495" w:rsidRPr="00E21368" w:rsidRDefault="00964495" w:rsidP="005425EE">
            <w:pPr>
              <w:tabs>
                <w:tab w:val="center" w:pos="4320"/>
              </w:tabs>
              <w:ind w:left="142" w:right="260"/>
              <w:jc w:val="center"/>
              <w:rPr>
                <w:rFonts w:ascii="Times New Roman" w:hAnsi="Times New Roman"/>
                <w:sz w:val="20"/>
                <w:szCs w:val="20"/>
              </w:rPr>
            </w:pPr>
          </w:p>
        </w:tc>
      </w:tr>
      <w:tr w:rsidR="00964495" w:rsidRPr="00E21368" w14:paraId="0D8BFA25" w14:textId="77777777" w:rsidTr="006B32AB">
        <w:tc>
          <w:tcPr>
            <w:tcW w:w="1567" w:type="pct"/>
            <w:vAlign w:val="bottom"/>
          </w:tcPr>
          <w:p w14:paraId="7738016D"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812" w:type="pct"/>
          </w:tcPr>
          <w:p w14:paraId="3A9BB74C" w14:textId="77777777" w:rsidR="00964495" w:rsidRPr="00E21368" w:rsidRDefault="00964495" w:rsidP="005425EE">
            <w:pPr>
              <w:tabs>
                <w:tab w:val="center" w:pos="4320"/>
              </w:tabs>
              <w:ind w:left="142" w:right="260"/>
              <w:jc w:val="center"/>
              <w:rPr>
                <w:rFonts w:ascii="Times New Roman" w:hAnsi="Times New Roman"/>
                <w:sz w:val="20"/>
                <w:szCs w:val="20"/>
              </w:rPr>
            </w:pPr>
          </w:p>
        </w:tc>
        <w:tc>
          <w:tcPr>
            <w:tcW w:w="1621" w:type="pct"/>
          </w:tcPr>
          <w:p w14:paraId="02D3AC77" w14:textId="77777777" w:rsidR="00964495" w:rsidRPr="00E21368" w:rsidRDefault="00964495" w:rsidP="005425EE">
            <w:pPr>
              <w:tabs>
                <w:tab w:val="center" w:pos="4320"/>
              </w:tabs>
              <w:ind w:left="142" w:right="260"/>
              <w:jc w:val="center"/>
              <w:rPr>
                <w:rFonts w:ascii="Times New Roman" w:hAnsi="Times New Roman"/>
                <w:sz w:val="20"/>
                <w:szCs w:val="20"/>
              </w:rPr>
            </w:pPr>
          </w:p>
        </w:tc>
      </w:tr>
      <w:tr w:rsidR="00964495" w:rsidRPr="00E21368" w14:paraId="068356E0" w14:textId="77777777" w:rsidTr="006B32AB">
        <w:tc>
          <w:tcPr>
            <w:tcW w:w="1567" w:type="pct"/>
            <w:shd w:val="clear" w:color="auto" w:fill="auto"/>
          </w:tcPr>
          <w:p w14:paraId="4E0817AA" w14:textId="423D5F5C" w:rsidR="00964495" w:rsidRPr="00D43B02" w:rsidRDefault="00D43B02" w:rsidP="005425EE">
            <w:pPr>
              <w:pBdr>
                <w:top w:val="single" w:sz="4" w:space="1" w:color="auto"/>
              </w:pBdr>
              <w:tabs>
                <w:tab w:val="left" w:pos="1080"/>
                <w:tab w:val="right" w:pos="8280"/>
                <w:tab w:val="right" w:pos="9720"/>
              </w:tabs>
              <w:spacing w:after="0" w:line="312" w:lineRule="auto"/>
              <w:ind w:left="142" w:right="259"/>
              <w:jc w:val="center"/>
              <w:rPr>
                <w:rFonts w:ascii="Times New Roman" w:hAnsi="Times New Roman"/>
                <w:b/>
                <w:sz w:val="20"/>
                <w:szCs w:val="20"/>
                <w:lang w:val="vi-VN"/>
              </w:rPr>
            </w:pPr>
            <w:proofErr w:type="spellStart"/>
            <w:r>
              <w:rPr>
                <w:rFonts w:ascii="Times New Roman" w:hAnsi="Times New Roman"/>
                <w:b/>
                <w:sz w:val="20"/>
                <w:szCs w:val="20"/>
              </w:rPr>
              <w:t>Phạm</w:t>
            </w:r>
            <w:proofErr w:type="spellEnd"/>
            <w:r>
              <w:rPr>
                <w:rFonts w:ascii="Times New Roman" w:hAnsi="Times New Roman"/>
                <w:b/>
                <w:sz w:val="20"/>
                <w:szCs w:val="20"/>
                <w:lang w:val="vi-VN"/>
              </w:rPr>
              <w:t xml:space="preserve"> Thị Như Thảo</w:t>
            </w:r>
          </w:p>
        </w:tc>
        <w:tc>
          <w:tcPr>
            <w:tcW w:w="1812" w:type="pct"/>
          </w:tcPr>
          <w:p w14:paraId="2780A469" w14:textId="1C25C660" w:rsidR="00964495" w:rsidRPr="00E21368" w:rsidRDefault="0042787E" w:rsidP="005425EE">
            <w:pPr>
              <w:pBdr>
                <w:top w:val="single" w:sz="4" w:space="1" w:color="auto"/>
              </w:pBdr>
              <w:tabs>
                <w:tab w:val="left" w:pos="1080"/>
                <w:tab w:val="right" w:pos="8280"/>
                <w:tab w:val="right" w:pos="9720"/>
              </w:tabs>
              <w:spacing w:after="0" w:line="312" w:lineRule="auto"/>
              <w:ind w:left="142" w:right="259"/>
              <w:jc w:val="center"/>
              <w:rPr>
                <w:rFonts w:ascii="Times New Roman" w:hAnsi="Times New Roman"/>
                <w:b/>
                <w:sz w:val="20"/>
                <w:szCs w:val="20"/>
              </w:rPr>
            </w:pPr>
            <w:r w:rsidRPr="0042787E">
              <w:rPr>
                <w:rFonts w:ascii="Times New Roman" w:hAnsi="Times New Roman"/>
                <w:b/>
                <w:sz w:val="20"/>
                <w:szCs w:val="20"/>
              </w:rPr>
              <w:t xml:space="preserve">Ninh Thị </w:t>
            </w:r>
            <w:proofErr w:type="spellStart"/>
            <w:r w:rsidRPr="0042787E">
              <w:rPr>
                <w:rFonts w:ascii="Times New Roman" w:hAnsi="Times New Roman"/>
                <w:b/>
                <w:sz w:val="20"/>
                <w:szCs w:val="20"/>
              </w:rPr>
              <w:t>Tuê</w:t>
            </w:r>
            <w:proofErr w:type="spellEnd"/>
            <w:r w:rsidRPr="0042787E">
              <w:rPr>
                <w:rFonts w:ascii="Times New Roman" w:hAnsi="Times New Roman"/>
                <w:b/>
                <w:sz w:val="20"/>
                <w:szCs w:val="20"/>
              </w:rPr>
              <w:t>̣ Minh</w:t>
            </w:r>
          </w:p>
        </w:tc>
        <w:tc>
          <w:tcPr>
            <w:tcW w:w="1621" w:type="pct"/>
          </w:tcPr>
          <w:p w14:paraId="0D3006D8" w14:textId="4DB5A6CC" w:rsidR="00964495" w:rsidRPr="00026D55" w:rsidRDefault="00026D55" w:rsidP="005425EE">
            <w:pPr>
              <w:pBdr>
                <w:top w:val="single" w:sz="4" w:space="1" w:color="auto"/>
              </w:pBdr>
              <w:tabs>
                <w:tab w:val="left" w:pos="1080"/>
                <w:tab w:val="right" w:pos="8280"/>
                <w:tab w:val="right" w:pos="9720"/>
              </w:tabs>
              <w:spacing w:after="0" w:line="312" w:lineRule="auto"/>
              <w:ind w:left="142" w:right="259"/>
              <w:jc w:val="center"/>
              <w:rPr>
                <w:rFonts w:ascii="Times New Roman" w:hAnsi="Times New Roman"/>
                <w:b/>
                <w:sz w:val="20"/>
                <w:szCs w:val="20"/>
                <w:lang w:val="vi-VN"/>
              </w:rPr>
            </w:pPr>
            <w:r>
              <w:rPr>
                <w:rFonts w:ascii="Times New Roman" w:hAnsi="Times New Roman"/>
                <w:b/>
                <w:sz w:val="20"/>
                <w:szCs w:val="20"/>
                <w:lang w:val="vi-VN"/>
              </w:rPr>
              <w:t>Lê Hoàng Anh</w:t>
            </w:r>
          </w:p>
        </w:tc>
      </w:tr>
      <w:tr w:rsidR="00964495" w:rsidRPr="00E21368" w14:paraId="28D24375" w14:textId="77777777" w:rsidTr="006B32AB">
        <w:tc>
          <w:tcPr>
            <w:tcW w:w="1567" w:type="pct"/>
            <w:shd w:val="clear" w:color="auto" w:fill="auto"/>
          </w:tcPr>
          <w:p w14:paraId="15A0CBB8" w14:textId="77777777" w:rsidR="00964495" w:rsidRDefault="00964495" w:rsidP="005425EE">
            <w:pPr>
              <w:tabs>
                <w:tab w:val="left" w:pos="1080"/>
                <w:tab w:val="right" w:pos="8280"/>
                <w:tab w:val="right" w:pos="9720"/>
              </w:tabs>
              <w:spacing w:after="0" w:line="312" w:lineRule="auto"/>
              <w:ind w:left="142" w:right="259"/>
              <w:jc w:val="center"/>
              <w:rPr>
                <w:rFonts w:ascii="Times New Roman" w:hAnsi="Times New Roman"/>
                <w:sz w:val="20"/>
                <w:szCs w:val="20"/>
              </w:rPr>
            </w:pPr>
            <w:proofErr w:type="spellStart"/>
            <w:r w:rsidRPr="00BE3500">
              <w:rPr>
                <w:rFonts w:ascii="Times New Roman" w:hAnsi="Times New Roman"/>
                <w:sz w:val="20"/>
                <w:szCs w:val="20"/>
              </w:rPr>
              <w:t>Kế</w:t>
            </w:r>
            <w:proofErr w:type="spellEnd"/>
            <w:r w:rsidRPr="00BE3500">
              <w:rPr>
                <w:rFonts w:ascii="Times New Roman" w:hAnsi="Times New Roman"/>
                <w:sz w:val="20"/>
                <w:szCs w:val="20"/>
              </w:rPr>
              <w:t xml:space="preserve"> </w:t>
            </w:r>
            <w:proofErr w:type="spellStart"/>
            <w:r w:rsidRPr="00BE3500">
              <w:rPr>
                <w:rFonts w:ascii="Times New Roman" w:hAnsi="Times New Roman"/>
                <w:sz w:val="20"/>
                <w:szCs w:val="20"/>
              </w:rPr>
              <w:t>toán</w:t>
            </w:r>
            <w:proofErr w:type="spellEnd"/>
            <w:r w:rsidRPr="00BE3500">
              <w:rPr>
                <w:rFonts w:ascii="Times New Roman" w:hAnsi="Times New Roman"/>
                <w:sz w:val="20"/>
                <w:szCs w:val="20"/>
              </w:rPr>
              <w:t xml:space="preserve"> </w:t>
            </w:r>
            <w:proofErr w:type="spellStart"/>
            <w:r w:rsidRPr="00BE3500">
              <w:rPr>
                <w:rFonts w:ascii="Times New Roman" w:hAnsi="Times New Roman"/>
                <w:sz w:val="20"/>
                <w:szCs w:val="20"/>
              </w:rPr>
              <w:t>Quỹ</w:t>
            </w:r>
            <w:proofErr w:type="spellEnd"/>
          </w:p>
          <w:p w14:paraId="77A89102" w14:textId="54B418A6" w:rsidR="001A4CE8" w:rsidRPr="00372E94" w:rsidRDefault="001A4CE8" w:rsidP="005425EE">
            <w:pPr>
              <w:tabs>
                <w:tab w:val="left" w:pos="1080"/>
                <w:tab w:val="right" w:pos="8280"/>
                <w:tab w:val="right" w:pos="9720"/>
              </w:tabs>
              <w:spacing w:after="0" w:line="312" w:lineRule="auto"/>
              <w:ind w:left="142" w:right="259"/>
              <w:jc w:val="center"/>
              <w:rPr>
                <w:rFonts w:ascii="Times New Roman" w:hAnsi="Times New Roman"/>
                <w:i/>
                <w:iCs/>
                <w:sz w:val="20"/>
                <w:szCs w:val="20"/>
              </w:rPr>
            </w:pPr>
            <w:r w:rsidRPr="00372E94">
              <w:rPr>
                <w:rFonts w:ascii="Times New Roman" w:hAnsi="Times New Roman"/>
                <w:i/>
                <w:iCs/>
                <w:sz w:val="20"/>
                <w:szCs w:val="20"/>
              </w:rPr>
              <w:t>Fund</w:t>
            </w:r>
            <w:r w:rsidRPr="00372E94">
              <w:rPr>
                <w:rFonts w:ascii="Times New Roman" w:hAnsi="Times New Roman"/>
                <w:i/>
                <w:iCs/>
                <w:sz w:val="20"/>
                <w:szCs w:val="20"/>
                <w:lang w:val="vi-VN"/>
              </w:rPr>
              <w:t xml:space="preserve"> Accountant</w:t>
            </w:r>
          </w:p>
        </w:tc>
        <w:tc>
          <w:tcPr>
            <w:tcW w:w="1812" w:type="pct"/>
          </w:tcPr>
          <w:p w14:paraId="1835C491" w14:textId="77777777" w:rsidR="00964495" w:rsidRDefault="0042787E" w:rsidP="005425EE">
            <w:pPr>
              <w:tabs>
                <w:tab w:val="left" w:pos="1080"/>
                <w:tab w:val="right" w:pos="8280"/>
                <w:tab w:val="right" w:pos="9720"/>
              </w:tabs>
              <w:spacing w:after="0" w:line="312" w:lineRule="auto"/>
              <w:ind w:left="142" w:right="259"/>
              <w:jc w:val="center"/>
              <w:rPr>
                <w:rFonts w:ascii="Times New Roman" w:hAnsi="Times New Roman"/>
                <w:sz w:val="20"/>
                <w:szCs w:val="20"/>
              </w:rPr>
            </w:pPr>
            <w:proofErr w:type="spellStart"/>
            <w:r w:rsidRPr="0042787E">
              <w:rPr>
                <w:rFonts w:ascii="Times New Roman" w:hAnsi="Times New Roman"/>
                <w:sz w:val="20"/>
                <w:szCs w:val="20"/>
              </w:rPr>
              <w:t>Trưởng</w:t>
            </w:r>
            <w:proofErr w:type="spellEnd"/>
            <w:r w:rsidRPr="0042787E">
              <w:rPr>
                <w:rFonts w:ascii="Times New Roman" w:hAnsi="Times New Roman"/>
                <w:sz w:val="20"/>
                <w:szCs w:val="20"/>
              </w:rPr>
              <w:t xml:space="preserve"> </w:t>
            </w:r>
            <w:proofErr w:type="spellStart"/>
            <w:r w:rsidRPr="0042787E">
              <w:rPr>
                <w:rFonts w:ascii="Times New Roman" w:hAnsi="Times New Roman"/>
                <w:sz w:val="20"/>
                <w:szCs w:val="20"/>
              </w:rPr>
              <w:t>phòng</w:t>
            </w:r>
            <w:proofErr w:type="spellEnd"/>
            <w:r w:rsidRPr="0042787E">
              <w:rPr>
                <w:rFonts w:ascii="Times New Roman" w:hAnsi="Times New Roman"/>
                <w:sz w:val="20"/>
                <w:szCs w:val="20"/>
              </w:rPr>
              <w:t xml:space="preserve"> </w:t>
            </w:r>
            <w:proofErr w:type="spellStart"/>
            <w:r w:rsidRPr="0042787E">
              <w:rPr>
                <w:rFonts w:ascii="Times New Roman" w:hAnsi="Times New Roman"/>
                <w:sz w:val="20"/>
                <w:szCs w:val="20"/>
              </w:rPr>
              <w:t>Kế</w:t>
            </w:r>
            <w:proofErr w:type="spellEnd"/>
            <w:r w:rsidRPr="0042787E">
              <w:rPr>
                <w:rFonts w:ascii="Times New Roman" w:hAnsi="Times New Roman"/>
                <w:sz w:val="20"/>
                <w:szCs w:val="20"/>
              </w:rPr>
              <w:t xml:space="preserve"> </w:t>
            </w:r>
            <w:proofErr w:type="spellStart"/>
            <w:r w:rsidRPr="0042787E">
              <w:rPr>
                <w:rFonts w:ascii="Times New Roman" w:hAnsi="Times New Roman"/>
                <w:sz w:val="20"/>
                <w:szCs w:val="20"/>
              </w:rPr>
              <w:t>toán</w:t>
            </w:r>
            <w:proofErr w:type="spellEnd"/>
            <w:r w:rsidRPr="0042787E">
              <w:rPr>
                <w:rFonts w:ascii="Times New Roman" w:hAnsi="Times New Roman"/>
                <w:sz w:val="20"/>
                <w:szCs w:val="20"/>
              </w:rPr>
              <w:t xml:space="preserve"> </w:t>
            </w:r>
            <w:proofErr w:type="spellStart"/>
            <w:r w:rsidRPr="0042787E">
              <w:rPr>
                <w:rFonts w:ascii="Times New Roman" w:hAnsi="Times New Roman"/>
                <w:sz w:val="20"/>
                <w:szCs w:val="20"/>
              </w:rPr>
              <w:t>Quỹ</w:t>
            </w:r>
            <w:proofErr w:type="spellEnd"/>
          </w:p>
          <w:p w14:paraId="18CFFE6D" w14:textId="61C2A17A" w:rsidR="00567C37" w:rsidRPr="00372E94" w:rsidRDefault="00567C37" w:rsidP="005425EE">
            <w:pPr>
              <w:tabs>
                <w:tab w:val="left" w:pos="1080"/>
                <w:tab w:val="right" w:pos="8280"/>
                <w:tab w:val="right" w:pos="9720"/>
              </w:tabs>
              <w:spacing w:after="0" w:line="312" w:lineRule="auto"/>
              <w:ind w:left="142" w:right="259"/>
              <w:jc w:val="center"/>
              <w:rPr>
                <w:rFonts w:ascii="Times New Roman" w:hAnsi="Times New Roman"/>
                <w:i/>
                <w:iCs/>
                <w:sz w:val="20"/>
                <w:szCs w:val="20"/>
              </w:rPr>
            </w:pPr>
            <w:r w:rsidRPr="00372E94">
              <w:rPr>
                <w:rFonts w:ascii="Times New Roman" w:hAnsi="Times New Roman"/>
                <w:i/>
                <w:iCs/>
                <w:sz w:val="20"/>
                <w:szCs w:val="20"/>
              </w:rPr>
              <w:t>Head</w:t>
            </w:r>
            <w:r w:rsidRPr="00372E94">
              <w:rPr>
                <w:rFonts w:ascii="Times New Roman" w:hAnsi="Times New Roman"/>
                <w:i/>
                <w:iCs/>
                <w:sz w:val="20"/>
                <w:szCs w:val="20"/>
                <w:lang w:val="vi-VN"/>
              </w:rPr>
              <w:t xml:space="preserve"> of Fund Acounting</w:t>
            </w:r>
          </w:p>
        </w:tc>
        <w:tc>
          <w:tcPr>
            <w:tcW w:w="1621" w:type="pct"/>
          </w:tcPr>
          <w:p w14:paraId="7E606972" w14:textId="6D82CB79" w:rsidR="00DE6AEA" w:rsidRDefault="00026D55" w:rsidP="005425EE">
            <w:pPr>
              <w:tabs>
                <w:tab w:val="left" w:pos="1080"/>
                <w:tab w:val="right" w:pos="8280"/>
                <w:tab w:val="right" w:pos="9720"/>
              </w:tabs>
              <w:spacing w:after="0" w:line="312" w:lineRule="auto"/>
              <w:ind w:left="142" w:right="259"/>
              <w:jc w:val="center"/>
              <w:rPr>
                <w:rFonts w:ascii="Times New Roman" w:hAnsi="Times New Roman"/>
                <w:sz w:val="20"/>
                <w:szCs w:val="20"/>
              </w:rPr>
            </w:pPr>
            <w:proofErr w:type="spellStart"/>
            <w:r>
              <w:rPr>
                <w:rFonts w:ascii="Times New Roman" w:hAnsi="Times New Roman"/>
                <w:sz w:val="20"/>
                <w:szCs w:val="20"/>
              </w:rPr>
              <w:t>Quyền</w:t>
            </w:r>
            <w:proofErr w:type="spellEnd"/>
            <w:r>
              <w:rPr>
                <w:rFonts w:ascii="Times New Roman" w:hAnsi="Times New Roman"/>
                <w:sz w:val="20"/>
                <w:szCs w:val="20"/>
                <w:lang w:val="vi-VN"/>
              </w:rPr>
              <w:t xml:space="preserve"> </w:t>
            </w:r>
            <w:proofErr w:type="spellStart"/>
            <w:r w:rsidR="00DE6AEA">
              <w:rPr>
                <w:rFonts w:ascii="Times New Roman" w:hAnsi="Times New Roman"/>
                <w:sz w:val="20"/>
                <w:szCs w:val="20"/>
              </w:rPr>
              <w:t>Giám</w:t>
            </w:r>
            <w:proofErr w:type="spellEnd"/>
            <w:r w:rsidR="00DE6AEA">
              <w:rPr>
                <w:rFonts w:ascii="Times New Roman" w:hAnsi="Times New Roman"/>
                <w:sz w:val="20"/>
                <w:szCs w:val="20"/>
              </w:rPr>
              <w:t xml:space="preserve"> </w:t>
            </w:r>
            <w:proofErr w:type="spellStart"/>
            <w:r w:rsidR="00DE6AEA">
              <w:rPr>
                <w:rFonts w:ascii="Times New Roman" w:hAnsi="Times New Roman"/>
                <w:sz w:val="20"/>
                <w:szCs w:val="20"/>
              </w:rPr>
              <w:t>đốc</w:t>
            </w:r>
            <w:proofErr w:type="spellEnd"/>
            <w:r w:rsidR="00DE6AEA">
              <w:rPr>
                <w:rFonts w:ascii="Times New Roman" w:hAnsi="Times New Roman"/>
                <w:sz w:val="20"/>
                <w:szCs w:val="20"/>
              </w:rPr>
              <w:t xml:space="preserve"> </w:t>
            </w:r>
          </w:p>
          <w:p w14:paraId="33458DA5" w14:textId="77777777" w:rsidR="00964495" w:rsidRDefault="00DE6AEA" w:rsidP="005425EE">
            <w:pPr>
              <w:tabs>
                <w:tab w:val="left" w:pos="1080"/>
                <w:tab w:val="right" w:pos="8280"/>
                <w:tab w:val="right" w:pos="9720"/>
              </w:tabs>
              <w:spacing w:after="0" w:line="312" w:lineRule="auto"/>
              <w:ind w:left="142" w:right="259"/>
              <w:jc w:val="center"/>
              <w:rPr>
                <w:rFonts w:ascii="Times New Roman" w:hAnsi="Times New Roman"/>
                <w:sz w:val="20"/>
                <w:szCs w:val="20"/>
              </w:rPr>
            </w:pPr>
            <w:proofErr w:type="spellStart"/>
            <w:r>
              <w:rPr>
                <w:rFonts w:ascii="Times New Roman" w:hAnsi="Times New Roman"/>
                <w:sz w:val="20"/>
                <w:szCs w:val="20"/>
              </w:rPr>
              <w:t>Nghiệp</w:t>
            </w:r>
            <w:proofErr w:type="spellEnd"/>
            <w:r>
              <w:rPr>
                <w:rFonts w:ascii="Times New Roman" w:hAnsi="Times New Roman"/>
                <w:sz w:val="20"/>
                <w:szCs w:val="20"/>
              </w:rPr>
              <w:t xml:space="preserve"> </w:t>
            </w:r>
            <w:proofErr w:type="spellStart"/>
            <w:r>
              <w:rPr>
                <w:rFonts w:ascii="Times New Roman" w:hAnsi="Times New Roman"/>
                <w:sz w:val="20"/>
                <w:szCs w:val="20"/>
              </w:rPr>
              <w:t>vụ</w:t>
            </w:r>
            <w:proofErr w:type="spellEnd"/>
            <w:r>
              <w:rPr>
                <w:rFonts w:ascii="Times New Roman" w:hAnsi="Times New Roman"/>
                <w:sz w:val="20"/>
                <w:szCs w:val="20"/>
              </w:rPr>
              <w:t xml:space="preserve"> </w:t>
            </w:r>
            <w:proofErr w:type="spellStart"/>
            <w:r>
              <w:rPr>
                <w:rFonts w:ascii="Times New Roman" w:hAnsi="Times New Roman"/>
                <w:sz w:val="20"/>
                <w:szCs w:val="20"/>
              </w:rPr>
              <w:t>hỗ</w:t>
            </w:r>
            <w:proofErr w:type="spellEnd"/>
            <w:r>
              <w:rPr>
                <w:rFonts w:ascii="Times New Roman" w:hAnsi="Times New Roman"/>
                <w:sz w:val="20"/>
                <w:szCs w:val="20"/>
              </w:rPr>
              <w:t xml:space="preserve"> </w:t>
            </w:r>
            <w:proofErr w:type="spellStart"/>
            <w:r>
              <w:rPr>
                <w:rFonts w:ascii="Times New Roman" w:hAnsi="Times New Roman"/>
                <w:sz w:val="20"/>
                <w:szCs w:val="20"/>
              </w:rPr>
              <w:t>trợ</w:t>
            </w:r>
            <w:proofErr w:type="spellEnd"/>
            <w:r>
              <w:rPr>
                <w:rFonts w:ascii="Times New Roman" w:hAnsi="Times New Roman"/>
                <w:sz w:val="20"/>
                <w:szCs w:val="20"/>
              </w:rPr>
              <w:t xml:space="preserve"> </w:t>
            </w:r>
            <w:proofErr w:type="spellStart"/>
            <w:r>
              <w:rPr>
                <w:rFonts w:ascii="Times New Roman" w:hAnsi="Times New Roman"/>
                <w:sz w:val="20"/>
                <w:szCs w:val="20"/>
              </w:rPr>
              <w:t>đầu</w:t>
            </w:r>
            <w:proofErr w:type="spellEnd"/>
            <w:r>
              <w:rPr>
                <w:rFonts w:ascii="Times New Roman" w:hAnsi="Times New Roman"/>
                <w:sz w:val="20"/>
                <w:szCs w:val="20"/>
              </w:rPr>
              <w:t xml:space="preserve"> </w:t>
            </w:r>
            <w:proofErr w:type="spellStart"/>
            <w:r>
              <w:rPr>
                <w:rFonts w:ascii="Times New Roman" w:hAnsi="Times New Roman"/>
                <w:sz w:val="20"/>
                <w:szCs w:val="20"/>
              </w:rPr>
              <w:t>tư</w:t>
            </w:r>
            <w:proofErr w:type="spellEnd"/>
          </w:p>
          <w:p w14:paraId="0E57B6AE" w14:textId="77777777" w:rsidR="008C37AF" w:rsidRPr="00372E94" w:rsidRDefault="008C37AF" w:rsidP="008C37AF">
            <w:pPr>
              <w:tabs>
                <w:tab w:val="left" w:pos="1080"/>
                <w:tab w:val="right" w:pos="8280"/>
                <w:tab w:val="right" w:pos="9720"/>
              </w:tabs>
              <w:spacing w:before="120" w:after="120" w:line="312" w:lineRule="auto"/>
              <w:ind w:left="270" w:right="259"/>
              <w:jc w:val="center"/>
              <w:rPr>
                <w:rFonts w:ascii="Times New Roman" w:hAnsi="Times New Roman"/>
                <w:i/>
                <w:iCs/>
                <w:sz w:val="20"/>
                <w:szCs w:val="20"/>
                <w:lang w:val="vi-VN"/>
              </w:rPr>
            </w:pPr>
            <w:r w:rsidRPr="00372E94">
              <w:rPr>
                <w:rFonts w:ascii="Times New Roman" w:hAnsi="Times New Roman"/>
                <w:i/>
                <w:iCs/>
                <w:sz w:val="20"/>
                <w:szCs w:val="20"/>
              </w:rPr>
              <w:t>Acting</w:t>
            </w:r>
            <w:r w:rsidRPr="00372E94">
              <w:rPr>
                <w:rFonts w:ascii="Times New Roman" w:hAnsi="Times New Roman"/>
                <w:i/>
                <w:iCs/>
                <w:sz w:val="20"/>
                <w:szCs w:val="20"/>
                <w:lang w:val="vi-VN"/>
              </w:rPr>
              <w:t xml:space="preserve"> Director of Investment Operation Supports</w:t>
            </w:r>
          </w:p>
          <w:p w14:paraId="53BA300D" w14:textId="77777777" w:rsidR="008C37AF" w:rsidRPr="00E21368" w:rsidRDefault="008C37AF" w:rsidP="005425EE">
            <w:pPr>
              <w:tabs>
                <w:tab w:val="left" w:pos="1080"/>
                <w:tab w:val="right" w:pos="8280"/>
                <w:tab w:val="right" w:pos="9720"/>
              </w:tabs>
              <w:spacing w:after="0" w:line="312" w:lineRule="auto"/>
              <w:ind w:left="142" w:right="259"/>
              <w:jc w:val="center"/>
              <w:rPr>
                <w:rFonts w:ascii="Times New Roman" w:hAnsi="Times New Roman"/>
                <w:sz w:val="20"/>
                <w:szCs w:val="20"/>
              </w:rPr>
            </w:pPr>
          </w:p>
        </w:tc>
      </w:tr>
    </w:tbl>
    <w:p w14:paraId="2572A617" w14:textId="77777777" w:rsidR="00A224CC" w:rsidRPr="00E21368" w:rsidRDefault="00A224CC" w:rsidP="005425EE">
      <w:pPr>
        <w:ind w:left="142" w:right="260"/>
        <w:rPr>
          <w:rStyle w:val="BookTitle"/>
          <w:rFonts w:ascii="Times New Roman" w:hAnsi="Times New Roman"/>
          <w:bCs w:val="0"/>
          <w:color w:val="005C84" w:themeColor="text1"/>
          <w:spacing w:val="0"/>
          <w:sz w:val="20"/>
          <w:szCs w:val="20"/>
        </w:rPr>
      </w:pPr>
    </w:p>
    <w:sectPr w:rsidR="00A224CC" w:rsidRPr="00E21368" w:rsidSect="005830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6321" w14:textId="77777777" w:rsidR="00171B5B" w:rsidRDefault="00171B5B" w:rsidP="005D3242">
      <w:pPr>
        <w:spacing w:after="0" w:line="240" w:lineRule="auto"/>
      </w:pPr>
      <w:r>
        <w:separator/>
      </w:r>
    </w:p>
  </w:endnote>
  <w:endnote w:type="continuationSeparator" w:id="0">
    <w:p w14:paraId="4605EF69" w14:textId="77777777" w:rsidR="00171B5B" w:rsidRDefault="00171B5B" w:rsidP="005D3242">
      <w:pPr>
        <w:spacing w:after="0" w:line="240" w:lineRule="auto"/>
      </w:pPr>
      <w:r>
        <w:continuationSeparator/>
      </w:r>
    </w:p>
  </w:endnote>
  <w:endnote w:type="continuationNotice" w:id="1">
    <w:p w14:paraId="604FB766" w14:textId="77777777" w:rsidR="00171B5B" w:rsidRDefault="00171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F15F" w14:textId="77777777" w:rsidR="003E515C" w:rsidRDefault="003E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6C9D" w14:textId="77777777" w:rsidR="003E515C" w:rsidRDefault="003E5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2D0D" w14:textId="77777777" w:rsidR="003E515C" w:rsidRDefault="003E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D8DD" w14:textId="77777777" w:rsidR="00171B5B" w:rsidRDefault="00171B5B" w:rsidP="005D3242">
      <w:pPr>
        <w:spacing w:after="0" w:line="240" w:lineRule="auto"/>
      </w:pPr>
      <w:r>
        <w:separator/>
      </w:r>
    </w:p>
  </w:footnote>
  <w:footnote w:type="continuationSeparator" w:id="0">
    <w:p w14:paraId="0B96C57C" w14:textId="77777777" w:rsidR="00171B5B" w:rsidRDefault="00171B5B" w:rsidP="005D3242">
      <w:pPr>
        <w:spacing w:after="0" w:line="240" w:lineRule="auto"/>
      </w:pPr>
      <w:r>
        <w:continuationSeparator/>
      </w:r>
    </w:p>
  </w:footnote>
  <w:footnote w:type="continuationNotice" w:id="1">
    <w:p w14:paraId="7E6FD64E" w14:textId="77777777" w:rsidR="00171B5B" w:rsidRDefault="00171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534B" w14:textId="77777777" w:rsidR="003E515C" w:rsidRDefault="003E5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E3A0" w14:textId="0AAD996C" w:rsidR="00A271D4" w:rsidRDefault="00433066">
    <w:pPr>
      <w:pStyle w:val="Header"/>
    </w:pPr>
    <w:r>
      <w:rPr>
        <w:noProof/>
      </w:rPr>
      <mc:AlternateContent>
        <mc:Choice Requires="wps">
          <w:drawing>
            <wp:anchor distT="0" distB="0" distL="114300" distR="114300" simplePos="0" relativeHeight="251658240" behindDoc="0" locked="0" layoutInCell="0" allowOverlap="1" wp14:anchorId="4D0F8073" wp14:editId="2DCF744E">
              <wp:simplePos x="0" y="0"/>
              <wp:positionH relativeFrom="page">
                <wp:posOffset>0</wp:posOffset>
              </wp:positionH>
              <wp:positionV relativeFrom="page">
                <wp:posOffset>190500</wp:posOffset>
              </wp:positionV>
              <wp:extent cx="7560310" cy="266700"/>
              <wp:effectExtent l="0" t="0" r="2540" b="0"/>
              <wp:wrapNone/>
              <wp:docPr id="2" name="Text Box 2" descr="{&quot;HashCode&quot;:42449748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FA5A6" w14:textId="35C75A8F" w:rsidR="00A271D4" w:rsidRPr="00762874" w:rsidRDefault="00762874" w:rsidP="00762874">
                          <w:pPr>
                            <w:spacing w:after="0"/>
                            <w:rPr>
                              <w:rFonts w:ascii="Arial" w:hAnsi="Arial" w:cs="Arial"/>
                              <w:color w:val="A80000"/>
                              <w:sz w:val="18"/>
                            </w:rPr>
                          </w:pPr>
                          <w:r w:rsidRPr="00762874">
                            <w:rPr>
                              <w:rFonts w:ascii="Arial" w:hAnsi="Arial" w:cs="Arial"/>
                              <w:color w:val="A80000"/>
                              <w:sz w:val="18"/>
                            </w:rPr>
                            <w:t>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F8073" id="_x0000_t202" coordsize="21600,21600" o:spt="202" path="m,l,21600r21600,l21600,xe">
              <v:stroke joinstyle="miter"/>
              <v:path gradientshapeok="t" o:connecttype="rect"/>
            </v:shapetype>
            <v:shape id="Text Box 2" o:spid="_x0000_s1026" type="#_x0000_t202" alt="{&quot;HashCode&quot;:424497481,&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66BFA5A6" w14:textId="35C75A8F" w:rsidR="00A271D4" w:rsidRPr="00762874" w:rsidRDefault="00762874" w:rsidP="00762874">
                    <w:pPr>
                      <w:spacing w:after="0"/>
                      <w:rPr>
                        <w:rFonts w:ascii="Arial" w:hAnsi="Arial" w:cs="Arial"/>
                        <w:color w:val="A80000"/>
                        <w:sz w:val="18"/>
                      </w:rPr>
                    </w:pPr>
                    <w:r w:rsidRPr="00762874">
                      <w:rPr>
                        <w:rFonts w:ascii="Arial" w:hAnsi="Arial" w:cs="Arial"/>
                        <w:color w:val="A80000"/>
                        <w:sz w:val="18"/>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B86" w14:textId="75F0B424" w:rsidR="00A271D4" w:rsidRDefault="00433066">
    <w:pPr>
      <w:pStyle w:val="Header"/>
    </w:pPr>
    <w:r>
      <w:rPr>
        <w:noProof/>
      </w:rPr>
      <mc:AlternateContent>
        <mc:Choice Requires="wps">
          <w:drawing>
            <wp:anchor distT="0" distB="0" distL="114300" distR="114300" simplePos="0" relativeHeight="251658241" behindDoc="0" locked="0" layoutInCell="0" allowOverlap="1" wp14:anchorId="7FD3A313" wp14:editId="7418C955">
              <wp:simplePos x="0" y="0"/>
              <wp:positionH relativeFrom="page">
                <wp:posOffset>0</wp:posOffset>
              </wp:positionH>
              <wp:positionV relativeFrom="page">
                <wp:posOffset>190500</wp:posOffset>
              </wp:positionV>
              <wp:extent cx="7560310" cy="266700"/>
              <wp:effectExtent l="0" t="0" r="2540" b="0"/>
              <wp:wrapNone/>
              <wp:docPr id="1" name="Text Box 1" descr="{&quot;HashCode&quot;:424497481,&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0FA7" w14:textId="406EEAD6" w:rsidR="00A271D4" w:rsidRPr="00762874" w:rsidRDefault="00762874" w:rsidP="00762874">
                          <w:pPr>
                            <w:spacing w:after="0"/>
                            <w:rPr>
                              <w:rFonts w:ascii="Arial" w:hAnsi="Arial" w:cs="Arial"/>
                              <w:color w:val="A80000"/>
                              <w:sz w:val="18"/>
                            </w:rPr>
                          </w:pPr>
                          <w:r w:rsidRPr="00762874">
                            <w:rPr>
                              <w:rFonts w:ascii="Arial" w:hAnsi="Arial" w:cs="Arial"/>
                              <w:color w:val="A80000"/>
                              <w:sz w:val="18"/>
                            </w:rPr>
                            <w:t>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3A313" id="_x0000_t202" coordsize="21600,21600" o:spt="202" path="m,l,21600r21600,l21600,xe">
              <v:stroke joinstyle="miter"/>
              <v:path gradientshapeok="t" o:connecttype="rect"/>
            </v:shapetype>
            <v:shape id="Text Box 1" o:spid="_x0000_s1027" type="#_x0000_t202" alt="{&quot;HashCode&quot;:424497481,&quot;Height&quot;:841.0,&quot;Width&quot;:595.0,&quot;Placement&quot;:&quot;Header&quot;,&quot;Index&quot;:&quot;FirstPage&quot;,&quot;Section&quot;:1,&quot;Top&quot;:0.0,&quot;Left&quot;:0.0}" style="position:absolute;margin-left:0;margin-top:15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X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" o:allowincell="f" filled="f" stroked="f">
              <v:textbox inset="20pt,0,,0">
                <w:txbxContent>
                  <w:p w14:paraId="75240FA7" w14:textId="406EEAD6" w:rsidR="00A271D4" w:rsidRPr="00762874" w:rsidRDefault="00762874" w:rsidP="00762874">
                    <w:pPr>
                      <w:spacing w:after="0"/>
                      <w:rPr>
                        <w:rFonts w:ascii="Arial" w:hAnsi="Arial" w:cs="Arial"/>
                        <w:color w:val="A80000"/>
                        <w:sz w:val="18"/>
                      </w:rPr>
                    </w:pPr>
                    <w:r w:rsidRPr="00762874">
                      <w:rPr>
                        <w:rFonts w:ascii="Arial" w:hAnsi="Arial" w:cs="Arial"/>
                        <w:color w:val="A80000"/>
                        <w:sz w:val="1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4E4"/>
    <w:multiLevelType w:val="hybridMultilevel"/>
    <w:tmpl w:val="92C04CC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7033A3"/>
    <w:multiLevelType w:val="hybridMultilevel"/>
    <w:tmpl w:val="7210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67974"/>
    <w:multiLevelType w:val="hybridMultilevel"/>
    <w:tmpl w:val="3078D81C"/>
    <w:lvl w:ilvl="0" w:tplc="D3B69D7C">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D9B3751"/>
    <w:multiLevelType w:val="hybridMultilevel"/>
    <w:tmpl w:val="01DE1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4822"/>
    <w:multiLevelType w:val="hybridMultilevel"/>
    <w:tmpl w:val="12BE7B7A"/>
    <w:lvl w:ilvl="0" w:tplc="FFFFFFFF">
      <w:start w:val="1"/>
      <w:numFmt w:val="lowerLetter"/>
      <w:lvlText w:val="%1."/>
      <w:lvlJc w:val="left"/>
      <w:pPr>
        <w:ind w:left="1440" w:hanging="360"/>
      </w:pPr>
    </w:lvl>
    <w:lvl w:ilvl="1" w:tplc="FFFFFFFF">
      <w:start w:val="31"/>
      <w:numFmt w:val="decimal"/>
      <w:lvlText w:val="%2."/>
      <w:lvlJc w:val="left"/>
      <w:pPr>
        <w:ind w:left="2160" w:hanging="360"/>
      </w:pPr>
      <w:rPr>
        <w:rFonts w:hint="default"/>
        <w:b/>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0809000D">
      <w:start w:val="1"/>
      <w:numFmt w:val="bullet"/>
      <w:lvlText w:val=""/>
      <w:lvlJc w:val="left"/>
      <w:pPr>
        <w:ind w:left="4320" w:hanging="360"/>
      </w:pPr>
      <w:rPr>
        <w:rFonts w:ascii="Wingdings" w:hAnsi="Wingding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8A93333"/>
    <w:multiLevelType w:val="hybridMultilevel"/>
    <w:tmpl w:val="B75E1BB8"/>
    <w:lvl w:ilvl="0" w:tplc="04090001">
      <w:start w:val="1"/>
      <w:numFmt w:val="bullet"/>
      <w:lvlText w:val=""/>
      <w:lvlJc w:val="left"/>
      <w:pPr>
        <w:ind w:left="720" w:hanging="360"/>
      </w:pPr>
      <w:rPr>
        <w:rFonts w:ascii="Symbol" w:hAnsi="Symbol" w:hint="default"/>
      </w:rPr>
    </w:lvl>
    <w:lvl w:ilvl="1" w:tplc="CB2835E4">
      <w:start w:val="1"/>
      <w:numFmt w:val="bullet"/>
      <w:lvlText w:val="-"/>
      <w:lvlJc w:val="left"/>
      <w:pPr>
        <w:ind w:left="99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3F9C35"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C448B7"/>
    <w:multiLevelType w:val="hybridMultilevel"/>
    <w:tmpl w:val="B9D25F8A"/>
    <w:lvl w:ilvl="0" w:tplc="4A66A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D1385"/>
    <w:multiLevelType w:val="multilevel"/>
    <w:tmpl w:val="1360C79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DE0204"/>
    <w:multiLevelType w:val="singleLevel"/>
    <w:tmpl w:val="2146CE3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29567E82"/>
    <w:multiLevelType w:val="hybridMultilevel"/>
    <w:tmpl w:val="110EA87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D042663"/>
    <w:multiLevelType w:val="hybridMultilevel"/>
    <w:tmpl w:val="D3C0006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4F60CA8"/>
    <w:multiLevelType w:val="hybridMultilevel"/>
    <w:tmpl w:val="B966FF56"/>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77795"/>
    <w:multiLevelType w:val="hybridMultilevel"/>
    <w:tmpl w:val="07C0A872"/>
    <w:lvl w:ilvl="0" w:tplc="4126AB9C">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76438B8"/>
    <w:multiLevelType w:val="hybridMultilevel"/>
    <w:tmpl w:val="BA32A7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3F9C3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091AD9"/>
    <w:multiLevelType w:val="multilevel"/>
    <w:tmpl w:val="7830647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004F85"/>
    <w:multiLevelType w:val="hybridMultilevel"/>
    <w:tmpl w:val="AE36ED94"/>
    <w:lvl w:ilvl="0" w:tplc="A01A6D32">
      <w:start w:val="3"/>
      <w:numFmt w:val="bullet"/>
      <w:lvlText w:val="-"/>
      <w:lvlJc w:val="left"/>
      <w:pPr>
        <w:ind w:left="1429" w:hanging="360"/>
      </w:pPr>
      <w:rPr>
        <w:rFonts w:ascii="Tms Rmn" w:eastAsia="Times New Roman" w:hAnsi="Tms Rm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77512F2"/>
    <w:multiLevelType w:val="hybridMultilevel"/>
    <w:tmpl w:val="12603948"/>
    <w:lvl w:ilvl="0" w:tplc="A01A6D32">
      <w:start w:val="3"/>
      <w:numFmt w:val="bullet"/>
      <w:lvlText w:val="-"/>
      <w:lvlJc w:val="left"/>
      <w:pPr>
        <w:ind w:left="1429" w:hanging="360"/>
      </w:pPr>
      <w:rPr>
        <w:rFonts w:ascii="Tms Rmn" w:eastAsia="Times New Roman" w:hAnsi="Tms Rm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3F9C3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156D0"/>
    <w:multiLevelType w:val="multilevel"/>
    <w:tmpl w:val="C9A8A8FE"/>
    <w:lvl w:ilvl="0">
      <w:start w:val="5"/>
      <w:numFmt w:val="decimal"/>
      <w:lvlText w:val="%1."/>
      <w:lvlJc w:val="left"/>
      <w:pPr>
        <w:ind w:left="720" w:hanging="360"/>
      </w:pPr>
      <w:rPr>
        <w:rFonts w:hint="default"/>
      </w:rPr>
    </w:lvl>
    <w:lvl w:ilvl="1">
      <w:start w:val="1"/>
      <w:numFmt w:val="decimal"/>
      <w:isLgl/>
      <w:lvlText w:val="%1.%2"/>
      <w:lvlJc w:val="left"/>
      <w:pPr>
        <w:ind w:left="825" w:hanging="5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1A1FE8"/>
    <w:multiLevelType w:val="hybridMultilevel"/>
    <w:tmpl w:val="1B04DA40"/>
    <w:lvl w:ilvl="0" w:tplc="08090005">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306665A"/>
    <w:multiLevelType w:val="singleLevel"/>
    <w:tmpl w:val="85EEA07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53F0578B"/>
    <w:multiLevelType w:val="hybridMultilevel"/>
    <w:tmpl w:val="9960991C"/>
    <w:lvl w:ilvl="0" w:tplc="51BAE3A6">
      <w:start w:val="1"/>
      <w:numFmt w:val="lowerRoman"/>
      <w:lvlText w:val="(%1)"/>
      <w:lvlJc w:val="left"/>
      <w:pPr>
        <w:ind w:left="1288" w:hanging="720"/>
      </w:pPr>
      <w:rPr>
        <w:rFonts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548C5483"/>
    <w:multiLevelType w:val="multilevel"/>
    <w:tmpl w:val="F856A0A6"/>
    <w:lvl w:ilvl="0">
      <w:start w:val="1"/>
      <w:numFmt w:val="bullet"/>
      <w:lvlText w:val=""/>
      <w:lvlJc w:val="left"/>
      <w:pPr>
        <w:ind w:left="360" w:hanging="360"/>
      </w:pPr>
      <w:rPr>
        <w:rFonts w:ascii="Symbol" w:hAnsi="Symbol" w:hint="default"/>
        <w:color w:val="3F9C35" w:themeColor="accent3"/>
      </w:rPr>
    </w:lvl>
    <w:lvl w:ilvl="1">
      <w:start w:val="1"/>
      <w:numFmt w:val="bullet"/>
      <w:lvlText w:val=""/>
      <w:lvlJc w:val="left"/>
      <w:pPr>
        <w:ind w:left="338" w:firstLine="382"/>
      </w:pPr>
      <w:rPr>
        <w:rFonts w:ascii="Wingdings" w:hAnsi="Wingdings" w:hint="default"/>
        <w:color w:val="3F9C35" w:themeColor="accent3"/>
        <w:sz w:val="12"/>
        <w:u w:color="FFFFFF" w:themeColor="background1"/>
      </w:rPr>
    </w:lvl>
    <w:lvl w:ilvl="2">
      <w:start w:val="1"/>
      <w:numFmt w:val="bullet"/>
      <w:lvlText w:val=""/>
      <w:lvlJc w:val="left"/>
      <w:pPr>
        <w:ind w:left="1755" w:hanging="315"/>
      </w:pPr>
      <w:rPr>
        <w:rFonts w:ascii="Wingdings" w:hAnsi="Wingdings" w:hint="default"/>
        <w:color w:val="3F9C35" w:themeColor="accent3"/>
      </w:rPr>
    </w:lvl>
    <w:lvl w:ilvl="3">
      <w:start w:val="1"/>
      <w:numFmt w:val="bullet"/>
      <w:lvlText w:val=""/>
      <w:lvlJc w:val="left"/>
      <w:pPr>
        <w:ind w:left="2520" w:hanging="360"/>
      </w:pPr>
      <w:rPr>
        <w:rFonts w:ascii="Wingdings" w:hAnsi="Wingdings" w:hint="default"/>
        <w:color w:val="3F9C35" w:themeColor="accent3"/>
      </w:rPr>
    </w:lvl>
    <w:lvl w:ilvl="4">
      <w:start w:val="1"/>
      <w:numFmt w:val="bullet"/>
      <w:lvlText w:val="-"/>
      <w:lvlJc w:val="left"/>
      <w:pPr>
        <w:ind w:left="3240" w:hanging="360"/>
      </w:pPr>
      <w:rPr>
        <w:rFonts w:ascii="Arial" w:hAnsi="Arial" w:hint="default"/>
        <w:color w:val="3F9C35" w:themeColor="accent3"/>
      </w:rPr>
    </w:lvl>
    <w:lvl w:ilvl="5">
      <w:start w:val="1"/>
      <w:numFmt w:val="bullet"/>
      <w:lvlText w:val=""/>
      <w:lvlJc w:val="left"/>
      <w:pPr>
        <w:ind w:left="3960" w:hanging="360"/>
      </w:pPr>
      <w:rPr>
        <w:rFonts w:ascii="Wingdings" w:hAnsi="Wingdings" w:hint="default"/>
        <w:color w:val="3F9C35" w:themeColor="accent3"/>
      </w:rPr>
    </w:lvl>
    <w:lvl w:ilvl="6">
      <w:start w:val="1"/>
      <w:numFmt w:val="bullet"/>
      <w:lvlText w:val=""/>
      <w:lvlJc w:val="left"/>
      <w:pPr>
        <w:ind w:left="4680" w:hanging="360"/>
      </w:pPr>
      <w:rPr>
        <w:rFonts w:ascii="Symbol" w:hAnsi="Symbol" w:hint="default"/>
        <w:color w:val="3F9C35" w:themeColor="accent3"/>
      </w:rPr>
    </w:lvl>
    <w:lvl w:ilvl="7">
      <w:start w:val="1"/>
      <w:numFmt w:val="bullet"/>
      <w:lvlText w:val="o"/>
      <w:lvlJc w:val="left"/>
      <w:pPr>
        <w:ind w:left="5400" w:hanging="360"/>
      </w:pPr>
      <w:rPr>
        <w:rFonts w:ascii="Courier New" w:hAnsi="Courier New" w:hint="default"/>
        <w:color w:val="3F9C35" w:themeColor="accent3"/>
      </w:rPr>
    </w:lvl>
    <w:lvl w:ilvl="8">
      <w:start w:val="1"/>
      <w:numFmt w:val="bullet"/>
      <w:lvlText w:val=""/>
      <w:lvlJc w:val="left"/>
      <w:pPr>
        <w:ind w:left="6120" w:hanging="360"/>
      </w:pPr>
      <w:rPr>
        <w:rFonts w:ascii="Wingdings" w:hAnsi="Wingdings" w:hint="default"/>
        <w:color w:val="3F9C35" w:themeColor="accent3"/>
      </w:rPr>
    </w:lvl>
  </w:abstractNum>
  <w:abstractNum w:abstractNumId="25"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F094F"/>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FBE5763"/>
    <w:multiLevelType w:val="multilevel"/>
    <w:tmpl w:val="70B8C24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A05622"/>
    <w:multiLevelType w:val="hybridMultilevel"/>
    <w:tmpl w:val="04907BE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2F17797"/>
    <w:multiLevelType w:val="hybridMultilevel"/>
    <w:tmpl w:val="730026B0"/>
    <w:lvl w:ilvl="0" w:tplc="A01A6D32">
      <w:start w:val="3"/>
      <w:numFmt w:val="bullet"/>
      <w:lvlText w:val="-"/>
      <w:lvlJc w:val="left"/>
      <w:pPr>
        <w:ind w:left="1429" w:hanging="360"/>
      </w:pPr>
      <w:rPr>
        <w:rFonts w:ascii="Tms Rmn" w:eastAsia="Times New Roman" w:hAnsi="Tms Rm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C750604"/>
    <w:multiLevelType w:val="hybridMultilevel"/>
    <w:tmpl w:val="F004724C"/>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6E2D16C0"/>
    <w:multiLevelType w:val="hybridMultilevel"/>
    <w:tmpl w:val="171ABEF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74568CB"/>
    <w:multiLevelType w:val="hybridMultilevel"/>
    <w:tmpl w:val="E402E6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479EF"/>
    <w:multiLevelType w:val="multilevel"/>
    <w:tmpl w:val="433A531C"/>
    <w:lvl w:ilvl="0">
      <w:start w:val="1"/>
      <w:numFmt w:val="decimal"/>
      <w:lvlText w:val="%1."/>
      <w:lvlJc w:val="left"/>
      <w:pPr>
        <w:ind w:left="862" w:hanging="360"/>
      </w:pPr>
    </w:lvl>
    <w:lvl w:ilvl="1">
      <w:start w:val="1"/>
      <w:numFmt w:val="decimal"/>
      <w:isLgl/>
      <w:lvlText w:val="%1.%2."/>
      <w:lvlJc w:val="left"/>
      <w:pPr>
        <w:ind w:left="862" w:hanging="360"/>
      </w:pPr>
      <w:rPr>
        <w:rFonts w:ascii="Times New Roman" w:hAnsi="Times New Roman" w:cs="Times New Roman" w:hint="default"/>
      </w:rPr>
    </w:lvl>
    <w:lvl w:ilvl="2">
      <w:start w:val="1"/>
      <w:numFmt w:val="decimal"/>
      <w:isLgl/>
      <w:lvlText w:val="%1.%2.%3."/>
      <w:lvlJc w:val="left"/>
      <w:pPr>
        <w:ind w:left="1222" w:hanging="720"/>
      </w:pPr>
      <w:rPr>
        <w:rFonts w:ascii="Times New Roman" w:hAnsi="Times New Roman" w:cs="Times New Roman" w:hint="default"/>
      </w:rPr>
    </w:lvl>
    <w:lvl w:ilvl="3">
      <w:start w:val="1"/>
      <w:numFmt w:val="decimal"/>
      <w:isLgl/>
      <w:lvlText w:val="%1.%2.%3.%4."/>
      <w:lvlJc w:val="left"/>
      <w:pPr>
        <w:ind w:left="1222" w:hanging="720"/>
      </w:pPr>
      <w:rPr>
        <w:rFonts w:ascii="Times New Roman" w:hAnsi="Times New Roman" w:cs="Times New Roman" w:hint="default"/>
      </w:rPr>
    </w:lvl>
    <w:lvl w:ilvl="4">
      <w:start w:val="1"/>
      <w:numFmt w:val="decimal"/>
      <w:isLgl/>
      <w:lvlText w:val="%1.%2.%3.%4.%5."/>
      <w:lvlJc w:val="left"/>
      <w:pPr>
        <w:ind w:left="1582" w:hanging="1080"/>
      </w:pPr>
      <w:rPr>
        <w:rFonts w:ascii="Times New Roman" w:hAnsi="Times New Roman" w:cs="Times New Roman" w:hint="default"/>
      </w:rPr>
    </w:lvl>
    <w:lvl w:ilvl="5">
      <w:start w:val="1"/>
      <w:numFmt w:val="decimal"/>
      <w:isLgl/>
      <w:lvlText w:val="%1.%2.%3.%4.%5.%6."/>
      <w:lvlJc w:val="left"/>
      <w:pPr>
        <w:ind w:left="1582" w:hanging="1080"/>
      </w:pPr>
      <w:rPr>
        <w:rFonts w:ascii="Times New Roman" w:hAnsi="Times New Roman" w:cs="Times New Roman" w:hint="default"/>
      </w:rPr>
    </w:lvl>
    <w:lvl w:ilvl="6">
      <w:start w:val="1"/>
      <w:numFmt w:val="decimal"/>
      <w:isLgl/>
      <w:lvlText w:val="%1.%2.%3.%4.%5.%6.%7."/>
      <w:lvlJc w:val="left"/>
      <w:pPr>
        <w:ind w:left="1942" w:hanging="1440"/>
      </w:pPr>
      <w:rPr>
        <w:rFonts w:ascii="Times New Roman" w:hAnsi="Times New Roman" w:cs="Times New Roman" w:hint="default"/>
      </w:rPr>
    </w:lvl>
    <w:lvl w:ilvl="7">
      <w:start w:val="1"/>
      <w:numFmt w:val="decimal"/>
      <w:isLgl/>
      <w:lvlText w:val="%1.%2.%3.%4.%5.%6.%7.%8."/>
      <w:lvlJc w:val="left"/>
      <w:pPr>
        <w:ind w:left="1942" w:hanging="1440"/>
      </w:pPr>
      <w:rPr>
        <w:rFonts w:ascii="Times New Roman" w:hAnsi="Times New Roman" w:cs="Times New Roman" w:hint="default"/>
      </w:rPr>
    </w:lvl>
    <w:lvl w:ilvl="8">
      <w:start w:val="1"/>
      <w:numFmt w:val="decimal"/>
      <w:isLgl/>
      <w:lvlText w:val="%1.%2.%3.%4.%5.%6.%7.%8.%9."/>
      <w:lvlJc w:val="left"/>
      <w:pPr>
        <w:ind w:left="2302" w:hanging="1800"/>
      </w:pPr>
      <w:rPr>
        <w:rFonts w:ascii="Times New Roman" w:hAnsi="Times New Roman" w:cs="Times New Roman" w:hint="default"/>
      </w:rPr>
    </w:lvl>
  </w:abstractNum>
  <w:abstractNum w:abstractNumId="34" w15:restartNumberingAfterBreak="0">
    <w:nsid w:val="7C69226E"/>
    <w:multiLevelType w:val="hybridMultilevel"/>
    <w:tmpl w:val="3B4AFAB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3F9C35"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8970421">
    <w:abstractNumId w:val="19"/>
  </w:num>
  <w:num w:numId="2" w16cid:durableId="1874805687">
    <w:abstractNumId w:val="6"/>
  </w:num>
  <w:num w:numId="3" w16cid:durableId="606229929">
    <w:abstractNumId w:val="15"/>
  </w:num>
  <w:num w:numId="4" w16cid:durableId="1055810643">
    <w:abstractNumId w:val="24"/>
  </w:num>
  <w:num w:numId="5" w16cid:durableId="325524039">
    <w:abstractNumId w:val="35"/>
  </w:num>
  <w:num w:numId="6" w16cid:durableId="8992511">
    <w:abstractNumId w:val="34"/>
  </w:num>
  <w:num w:numId="7" w16cid:durableId="70275326">
    <w:abstractNumId w:val="4"/>
  </w:num>
  <w:num w:numId="8" w16cid:durableId="738097904">
    <w:abstractNumId w:val="12"/>
  </w:num>
  <w:num w:numId="9" w16cid:durableId="353844129">
    <w:abstractNumId w:val="3"/>
  </w:num>
  <w:num w:numId="10" w16cid:durableId="824737579">
    <w:abstractNumId w:val="14"/>
  </w:num>
  <w:num w:numId="11" w16cid:durableId="1493401169">
    <w:abstractNumId w:val="32"/>
  </w:num>
  <w:num w:numId="12" w16cid:durableId="1028067602">
    <w:abstractNumId w:val="10"/>
  </w:num>
  <w:num w:numId="13" w16cid:durableId="1934778523">
    <w:abstractNumId w:val="23"/>
  </w:num>
  <w:num w:numId="14" w16cid:durableId="210388390">
    <w:abstractNumId w:val="20"/>
  </w:num>
  <w:num w:numId="15" w16cid:durableId="20474596">
    <w:abstractNumId w:val="22"/>
  </w:num>
  <w:num w:numId="16" w16cid:durableId="242497872">
    <w:abstractNumId w:val="9"/>
  </w:num>
  <w:num w:numId="17" w16cid:durableId="1954480687">
    <w:abstractNumId w:val="0"/>
  </w:num>
  <w:num w:numId="18" w16cid:durableId="1419250398">
    <w:abstractNumId w:val="17"/>
  </w:num>
  <w:num w:numId="19" w16cid:durableId="1646662299">
    <w:abstractNumId w:val="31"/>
  </w:num>
  <w:num w:numId="20" w16cid:durableId="1876698929">
    <w:abstractNumId w:val="29"/>
  </w:num>
  <w:num w:numId="21" w16cid:durableId="1091898923">
    <w:abstractNumId w:val="11"/>
  </w:num>
  <w:num w:numId="22" w16cid:durableId="2121947168">
    <w:abstractNumId w:val="18"/>
  </w:num>
  <w:num w:numId="23" w16cid:durableId="865171706">
    <w:abstractNumId w:val="28"/>
  </w:num>
  <w:num w:numId="24" w16cid:durableId="678505940">
    <w:abstractNumId w:val="26"/>
  </w:num>
  <w:num w:numId="25" w16cid:durableId="330303927">
    <w:abstractNumId w:val="7"/>
  </w:num>
  <w:num w:numId="26" w16cid:durableId="960964835">
    <w:abstractNumId w:val="21"/>
  </w:num>
  <w:num w:numId="27" w16cid:durableId="335881495">
    <w:abstractNumId w:val="4"/>
    <w:lvlOverride w:ilvl="0">
      <w:startOverride w:val="1"/>
    </w:lvlOverride>
    <w:lvlOverride w:ilvl="1">
      <w:startOverride w:val="3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16cid:durableId="1467046134">
    <w:abstractNumId w:val="21"/>
  </w:num>
  <w:num w:numId="29" w16cid:durableId="911623788">
    <w:abstractNumId w:val="17"/>
  </w:num>
  <w:num w:numId="30" w16cid:durableId="732118324">
    <w:abstractNumId w:val="18"/>
  </w:num>
  <w:num w:numId="31" w16cid:durableId="1955089380">
    <w:abstractNumId w:val="11"/>
  </w:num>
  <w:num w:numId="32" w16cid:durableId="2054427971">
    <w:abstractNumId w:val="28"/>
  </w:num>
  <w:num w:numId="33" w16cid:durableId="1512985650">
    <w:abstractNumId w:val="25"/>
  </w:num>
  <w:num w:numId="34" w16cid:durableId="1810317091">
    <w:abstractNumId w:val="5"/>
  </w:num>
  <w:num w:numId="35" w16cid:durableId="1879076471">
    <w:abstractNumId w:val="8"/>
  </w:num>
  <w:num w:numId="36" w16cid:durableId="1788428456">
    <w:abstractNumId w:val="16"/>
  </w:num>
  <w:num w:numId="37" w16cid:durableId="555555192">
    <w:abstractNumId w:val="27"/>
  </w:num>
  <w:num w:numId="38" w16cid:durableId="1851603124">
    <w:abstractNumId w:val="1"/>
  </w:num>
  <w:num w:numId="39" w16cid:durableId="1176044373">
    <w:abstractNumId w:val="33"/>
  </w:num>
  <w:num w:numId="40" w16cid:durableId="1290933381">
    <w:abstractNumId w:val="30"/>
  </w:num>
  <w:num w:numId="41" w16cid:durableId="679548141">
    <w:abstractNumId w:val="2"/>
  </w:num>
  <w:num w:numId="42" w16cid:durableId="391857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29"/>
    <w:rsid w:val="000021A9"/>
    <w:rsid w:val="00002A96"/>
    <w:rsid w:val="00004334"/>
    <w:rsid w:val="00005002"/>
    <w:rsid w:val="00010817"/>
    <w:rsid w:val="00012FE8"/>
    <w:rsid w:val="000135CC"/>
    <w:rsid w:val="00013EBC"/>
    <w:rsid w:val="00015339"/>
    <w:rsid w:val="00015C4B"/>
    <w:rsid w:val="00020219"/>
    <w:rsid w:val="0002048E"/>
    <w:rsid w:val="00022FAA"/>
    <w:rsid w:val="00024DF8"/>
    <w:rsid w:val="00026D55"/>
    <w:rsid w:val="00027D6E"/>
    <w:rsid w:val="00030A2E"/>
    <w:rsid w:val="00033268"/>
    <w:rsid w:val="00035118"/>
    <w:rsid w:val="00036150"/>
    <w:rsid w:val="00040F1C"/>
    <w:rsid w:val="00045FF6"/>
    <w:rsid w:val="00047743"/>
    <w:rsid w:val="00051187"/>
    <w:rsid w:val="00057C6E"/>
    <w:rsid w:val="000603D1"/>
    <w:rsid w:val="00063CE6"/>
    <w:rsid w:val="00065471"/>
    <w:rsid w:val="000661D0"/>
    <w:rsid w:val="00066324"/>
    <w:rsid w:val="000721D7"/>
    <w:rsid w:val="00082C65"/>
    <w:rsid w:val="00084457"/>
    <w:rsid w:val="00087F63"/>
    <w:rsid w:val="0009091E"/>
    <w:rsid w:val="0009144C"/>
    <w:rsid w:val="0009164E"/>
    <w:rsid w:val="00092FF6"/>
    <w:rsid w:val="000B1611"/>
    <w:rsid w:val="000B2614"/>
    <w:rsid w:val="000C1E2F"/>
    <w:rsid w:val="000C22BF"/>
    <w:rsid w:val="000C445B"/>
    <w:rsid w:val="000C558C"/>
    <w:rsid w:val="000E074E"/>
    <w:rsid w:val="000E1E4E"/>
    <w:rsid w:val="000E2779"/>
    <w:rsid w:val="000E4BBE"/>
    <w:rsid w:val="000E4F80"/>
    <w:rsid w:val="000E75D6"/>
    <w:rsid w:val="000E7A23"/>
    <w:rsid w:val="000F251A"/>
    <w:rsid w:val="000F3647"/>
    <w:rsid w:val="000F3F3E"/>
    <w:rsid w:val="000F79A0"/>
    <w:rsid w:val="00104635"/>
    <w:rsid w:val="001056D5"/>
    <w:rsid w:val="001079D4"/>
    <w:rsid w:val="00115E1E"/>
    <w:rsid w:val="00116A19"/>
    <w:rsid w:val="00116DDD"/>
    <w:rsid w:val="00117388"/>
    <w:rsid w:val="00117D3C"/>
    <w:rsid w:val="001212DB"/>
    <w:rsid w:val="001219D3"/>
    <w:rsid w:val="0012256F"/>
    <w:rsid w:val="00126795"/>
    <w:rsid w:val="00130186"/>
    <w:rsid w:val="0013074A"/>
    <w:rsid w:val="001367D0"/>
    <w:rsid w:val="001408DD"/>
    <w:rsid w:val="00140BA8"/>
    <w:rsid w:val="0014163A"/>
    <w:rsid w:val="00141A25"/>
    <w:rsid w:val="00141D4B"/>
    <w:rsid w:val="00145404"/>
    <w:rsid w:val="00146EF2"/>
    <w:rsid w:val="0014799C"/>
    <w:rsid w:val="00147F7D"/>
    <w:rsid w:val="001500FF"/>
    <w:rsid w:val="00150A4C"/>
    <w:rsid w:val="00152A6E"/>
    <w:rsid w:val="00154A4E"/>
    <w:rsid w:val="00156681"/>
    <w:rsid w:val="001578BD"/>
    <w:rsid w:val="001620FB"/>
    <w:rsid w:val="00163E97"/>
    <w:rsid w:val="00164989"/>
    <w:rsid w:val="00171B5B"/>
    <w:rsid w:val="00172731"/>
    <w:rsid w:val="00173AF3"/>
    <w:rsid w:val="00177F61"/>
    <w:rsid w:val="00180233"/>
    <w:rsid w:val="001833FD"/>
    <w:rsid w:val="00190819"/>
    <w:rsid w:val="001909B6"/>
    <w:rsid w:val="001931FB"/>
    <w:rsid w:val="00193211"/>
    <w:rsid w:val="00193668"/>
    <w:rsid w:val="00197484"/>
    <w:rsid w:val="00197B22"/>
    <w:rsid w:val="001A0FD7"/>
    <w:rsid w:val="001A4CE8"/>
    <w:rsid w:val="001A5136"/>
    <w:rsid w:val="001B1E16"/>
    <w:rsid w:val="001B27C2"/>
    <w:rsid w:val="001B353F"/>
    <w:rsid w:val="001B4867"/>
    <w:rsid w:val="001B5334"/>
    <w:rsid w:val="001B56C5"/>
    <w:rsid w:val="001B5E7B"/>
    <w:rsid w:val="001C0B87"/>
    <w:rsid w:val="001C1C47"/>
    <w:rsid w:val="001C4943"/>
    <w:rsid w:val="001C5C52"/>
    <w:rsid w:val="001C6259"/>
    <w:rsid w:val="001C7A4C"/>
    <w:rsid w:val="001D6472"/>
    <w:rsid w:val="001E0634"/>
    <w:rsid w:val="001E16C7"/>
    <w:rsid w:val="001E2B45"/>
    <w:rsid w:val="001E388C"/>
    <w:rsid w:val="001E3DA9"/>
    <w:rsid w:val="001E6582"/>
    <w:rsid w:val="001F4DC9"/>
    <w:rsid w:val="001F662E"/>
    <w:rsid w:val="00200471"/>
    <w:rsid w:val="0020409C"/>
    <w:rsid w:val="00205390"/>
    <w:rsid w:val="002117FA"/>
    <w:rsid w:val="00211A63"/>
    <w:rsid w:val="00213FE8"/>
    <w:rsid w:val="002159DF"/>
    <w:rsid w:val="0022154A"/>
    <w:rsid w:val="00222700"/>
    <w:rsid w:val="00224672"/>
    <w:rsid w:val="002249A5"/>
    <w:rsid w:val="00225295"/>
    <w:rsid w:val="00225A4B"/>
    <w:rsid w:val="002261B9"/>
    <w:rsid w:val="00226BCC"/>
    <w:rsid w:val="0022770A"/>
    <w:rsid w:val="0023467D"/>
    <w:rsid w:val="00234F1B"/>
    <w:rsid w:val="00236F1B"/>
    <w:rsid w:val="00247DD2"/>
    <w:rsid w:val="002512CC"/>
    <w:rsid w:val="0025230D"/>
    <w:rsid w:val="0025763E"/>
    <w:rsid w:val="00262E5F"/>
    <w:rsid w:val="00263D25"/>
    <w:rsid w:val="002651AE"/>
    <w:rsid w:val="002707D5"/>
    <w:rsid w:val="002724E9"/>
    <w:rsid w:val="00272FEA"/>
    <w:rsid w:val="0027409B"/>
    <w:rsid w:val="00283896"/>
    <w:rsid w:val="002847A0"/>
    <w:rsid w:val="002849C3"/>
    <w:rsid w:val="0028507F"/>
    <w:rsid w:val="002870EF"/>
    <w:rsid w:val="002875F4"/>
    <w:rsid w:val="002940D7"/>
    <w:rsid w:val="00294706"/>
    <w:rsid w:val="002952C8"/>
    <w:rsid w:val="002955AE"/>
    <w:rsid w:val="00295762"/>
    <w:rsid w:val="002975F1"/>
    <w:rsid w:val="002977DD"/>
    <w:rsid w:val="002978D2"/>
    <w:rsid w:val="002A0497"/>
    <w:rsid w:val="002A33FD"/>
    <w:rsid w:val="002A3540"/>
    <w:rsid w:val="002A3BC8"/>
    <w:rsid w:val="002A3F59"/>
    <w:rsid w:val="002C07EE"/>
    <w:rsid w:val="002C08B3"/>
    <w:rsid w:val="002C15CE"/>
    <w:rsid w:val="002C298C"/>
    <w:rsid w:val="002C5894"/>
    <w:rsid w:val="002C6E80"/>
    <w:rsid w:val="002C7941"/>
    <w:rsid w:val="002D06A3"/>
    <w:rsid w:val="002D2EB0"/>
    <w:rsid w:val="002D3A2C"/>
    <w:rsid w:val="002D46BE"/>
    <w:rsid w:val="002E455D"/>
    <w:rsid w:val="002F6114"/>
    <w:rsid w:val="00300440"/>
    <w:rsid w:val="00300A6B"/>
    <w:rsid w:val="003016B8"/>
    <w:rsid w:val="003047B0"/>
    <w:rsid w:val="0031118F"/>
    <w:rsid w:val="00313D2F"/>
    <w:rsid w:val="003140AD"/>
    <w:rsid w:val="003147CE"/>
    <w:rsid w:val="003151BB"/>
    <w:rsid w:val="00325C24"/>
    <w:rsid w:val="00326A31"/>
    <w:rsid w:val="00331DB5"/>
    <w:rsid w:val="00334742"/>
    <w:rsid w:val="00334BA1"/>
    <w:rsid w:val="00335E41"/>
    <w:rsid w:val="003362D4"/>
    <w:rsid w:val="00340160"/>
    <w:rsid w:val="00341EA1"/>
    <w:rsid w:val="00342986"/>
    <w:rsid w:val="00343696"/>
    <w:rsid w:val="00345EB7"/>
    <w:rsid w:val="00346541"/>
    <w:rsid w:val="00346D5D"/>
    <w:rsid w:val="00346F2E"/>
    <w:rsid w:val="003476E0"/>
    <w:rsid w:val="00351AD1"/>
    <w:rsid w:val="00351BB3"/>
    <w:rsid w:val="00353AA9"/>
    <w:rsid w:val="00356649"/>
    <w:rsid w:val="003579E7"/>
    <w:rsid w:val="00363AB7"/>
    <w:rsid w:val="00363B33"/>
    <w:rsid w:val="00363E04"/>
    <w:rsid w:val="00372E94"/>
    <w:rsid w:val="00372EDF"/>
    <w:rsid w:val="00374833"/>
    <w:rsid w:val="003766B1"/>
    <w:rsid w:val="003767FD"/>
    <w:rsid w:val="00377AAF"/>
    <w:rsid w:val="00383B0C"/>
    <w:rsid w:val="00385061"/>
    <w:rsid w:val="003871FC"/>
    <w:rsid w:val="003921F0"/>
    <w:rsid w:val="00392397"/>
    <w:rsid w:val="00393FBA"/>
    <w:rsid w:val="00394FD6"/>
    <w:rsid w:val="00396C0D"/>
    <w:rsid w:val="003A05AA"/>
    <w:rsid w:val="003A2107"/>
    <w:rsid w:val="003A3BD5"/>
    <w:rsid w:val="003A5FAF"/>
    <w:rsid w:val="003C1ACD"/>
    <w:rsid w:val="003C4C89"/>
    <w:rsid w:val="003C5D35"/>
    <w:rsid w:val="003D1ADA"/>
    <w:rsid w:val="003D6617"/>
    <w:rsid w:val="003D7168"/>
    <w:rsid w:val="003D7CB8"/>
    <w:rsid w:val="003E0298"/>
    <w:rsid w:val="003E2791"/>
    <w:rsid w:val="003E372C"/>
    <w:rsid w:val="003E515C"/>
    <w:rsid w:val="003F05AF"/>
    <w:rsid w:val="003F16B5"/>
    <w:rsid w:val="003F4E2E"/>
    <w:rsid w:val="003F693F"/>
    <w:rsid w:val="0040092E"/>
    <w:rsid w:val="0040188C"/>
    <w:rsid w:val="00401939"/>
    <w:rsid w:val="00402811"/>
    <w:rsid w:val="00403222"/>
    <w:rsid w:val="00403B3B"/>
    <w:rsid w:val="004042B3"/>
    <w:rsid w:val="0041049C"/>
    <w:rsid w:val="0041124E"/>
    <w:rsid w:val="00411A05"/>
    <w:rsid w:val="00421C50"/>
    <w:rsid w:val="00422315"/>
    <w:rsid w:val="00424A71"/>
    <w:rsid w:val="0042750C"/>
    <w:rsid w:val="0042787E"/>
    <w:rsid w:val="00431A39"/>
    <w:rsid w:val="00433066"/>
    <w:rsid w:val="00433527"/>
    <w:rsid w:val="00435D00"/>
    <w:rsid w:val="004379B1"/>
    <w:rsid w:val="0044138F"/>
    <w:rsid w:val="004417BD"/>
    <w:rsid w:val="00443134"/>
    <w:rsid w:val="0044783A"/>
    <w:rsid w:val="00450124"/>
    <w:rsid w:val="004559FA"/>
    <w:rsid w:val="00460006"/>
    <w:rsid w:val="0046229E"/>
    <w:rsid w:val="0046277D"/>
    <w:rsid w:val="00463581"/>
    <w:rsid w:val="00480FCF"/>
    <w:rsid w:val="00482A26"/>
    <w:rsid w:val="004861E1"/>
    <w:rsid w:val="004867F4"/>
    <w:rsid w:val="00487AE9"/>
    <w:rsid w:val="00487C4F"/>
    <w:rsid w:val="004921FA"/>
    <w:rsid w:val="004A6922"/>
    <w:rsid w:val="004A6AA7"/>
    <w:rsid w:val="004B05ED"/>
    <w:rsid w:val="004B3A90"/>
    <w:rsid w:val="004B485C"/>
    <w:rsid w:val="004B513B"/>
    <w:rsid w:val="004B553C"/>
    <w:rsid w:val="004B7643"/>
    <w:rsid w:val="004C05D9"/>
    <w:rsid w:val="004C202A"/>
    <w:rsid w:val="004C2AE1"/>
    <w:rsid w:val="004C30BC"/>
    <w:rsid w:val="004D0734"/>
    <w:rsid w:val="004E1646"/>
    <w:rsid w:val="004E3131"/>
    <w:rsid w:val="004E77BF"/>
    <w:rsid w:val="004F33AB"/>
    <w:rsid w:val="004F5283"/>
    <w:rsid w:val="004F6521"/>
    <w:rsid w:val="00501FCE"/>
    <w:rsid w:val="005066A9"/>
    <w:rsid w:val="00506DCA"/>
    <w:rsid w:val="00513862"/>
    <w:rsid w:val="00513A93"/>
    <w:rsid w:val="005141A9"/>
    <w:rsid w:val="0051457A"/>
    <w:rsid w:val="005150CD"/>
    <w:rsid w:val="00515A34"/>
    <w:rsid w:val="0051658B"/>
    <w:rsid w:val="005243C2"/>
    <w:rsid w:val="005255D5"/>
    <w:rsid w:val="00527E6C"/>
    <w:rsid w:val="00530509"/>
    <w:rsid w:val="005342E4"/>
    <w:rsid w:val="005425EE"/>
    <w:rsid w:val="00553B60"/>
    <w:rsid w:val="00567C37"/>
    <w:rsid w:val="00570CEE"/>
    <w:rsid w:val="00571402"/>
    <w:rsid w:val="005755E0"/>
    <w:rsid w:val="005757B1"/>
    <w:rsid w:val="005830A1"/>
    <w:rsid w:val="0058459B"/>
    <w:rsid w:val="00586EB4"/>
    <w:rsid w:val="005870B3"/>
    <w:rsid w:val="00591394"/>
    <w:rsid w:val="00591D59"/>
    <w:rsid w:val="00596BA7"/>
    <w:rsid w:val="005A2DF0"/>
    <w:rsid w:val="005A344A"/>
    <w:rsid w:val="005A451B"/>
    <w:rsid w:val="005A4A6F"/>
    <w:rsid w:val="005A6483"/>
    <w:rsid w:val="005A65CF"/>
    <w:rsid w:val="005B07C6"/>
    <w:rsid w:val="005B2577"/>
    <w:rsid w:val="005B6E32"/>
    <w:rsid w:val="005B7EEE"/>
    <w:rsid w:val="005C0809"/>
    <w:rsid w:val="005C0855"/>
    <w:rsid w:val="005C0BB5"/>
    <w:rsid w:val="005C4750"/>
    <w:rsid w:val="005C6334"/>
    <w:rsid w:val="005C7784"/>
    <w:rsid w:val="005D1577"/>
    <w:rsid w:val="005D21BE"/>
    <w:rsid w:val="005D3242"/>
    <w:rsid w:val="005D578C"/>
    <w:rsid w:val="005D63FB"/>
    <w:rsid w:val="005E0509"/>
    <w:rsid w:val="005E0AA4"/>
    <w:rsid w:val="005E333C"/>
    <w:rsid w:val="005E3EDF"/>
    <w:rsid w:val="005E5A94"/>
    <w:rsid w:val="005F161F"/>
    <w:rsid w:val="005F3050"/>
    <w:rsid w:val="005F3DC9"/>
    <w:rsid w:val="006064E9"/>
    <w:rsid w:val="0060652E"/>
    <w:rsid w:val="00607ECC"/>
    <w:rsid w:val="00610DA9"/>
    <w:rsid w:val="00611821"/>
    <w:rsid w:val="00611B5B"/>
    <w:rsid w:val="0061655B"/>
    <w:rsid w:val="006213F7"/>
    <w:rsid w:val="006227F8"/>
    <w:rsid w:val="00626690"/>
    <w:rsid w:val="00627A77"/>
    <w:rsid w:val="0063311F"/>
    <w:rsid w:val="00633562"/>
    <w:rsid w:val="006346C0"/>
    <w:rsid w:val="0063565A"/>
    <w:rsid w:val="0064104A"/>
    <w:rsid w:val="00643301"/>
    <w:rsid w:val="006450ED"/>
    <w:rsid w:val="0064513C"/>
    <w:rsid w:val="006479DE"/>
    <w:rsid w:val="00652DE5"/>
    <w:rsid w:val="00653EFC"/>
    <w:rsid w:val="00655FD9"/>
    <w:rsid w:val="006570E2"/>
    <w:rsid w:val="006578AB"/>
    <w:rsid w:val="00660304"/>
    <w:rsid w:val="0066215A"/>
    <w:rsid w:val="00664824"/>
    <w:rsid w:val="00672DC8"/>
    <w:rsid w:val="0067769B"/>
    <w:rsid w:val="006804A0"/>
    <w:rsid w:val="0068206C"/>
    <w:rsid w:val="00682E4B"/>
    <w:rsid w:val="00684EE7"/>
    <w:rsid w:val="006876F4"/>
    <w:rsid w:val="00687DAC"/>
    <w:rsid w:val="0069364E"/>
    <w:rsid w:val="006956FC"/>
    <w:rsid w:val="00696BF1"/>
    <w:rsid w:val="00697886"/>
    <w:rsid w:val="00697902"/>
    <w:rsid w:val="00697BD3"/>
    <w:rsid w:val="006A00E7"/>
    <w:rsid w:val="006A02D4"/>
    <w:rsid w:val="006A0C39"/>
    <w:rsid w:val="006A49DD"/>
    <w:rsid w:val="006B1B0E"/>
    <w:rsid w:val="006B32AB"/>
    <w:rsid w:val="006B36E4"/>
    <w:rsid w:val="006B6126"/>
    <w:rsid w:val="006B6153"/>
    <w:rsid w:val="006B6419"/>
    <w:rsid w:val="006B7366"/>
    <w:rsid w:val="006C67B7"/>
    <w:rsid w:val="006D0177"/>
    <w:rsid w:val="006D5602"/>
    <w:rsid w:val="006D572C"/>
    <w:rsid w:val="006D5F14"/>
    <w:rsid w:val="006E1451"/>
    <w:rsid w:val="006E18BB"/>
    <w:rsid w:val="006E6558"/>
    <w:rsid w:val="006E6E61"/>
    <w:rsid w:val="006E6F19"/>
    <w:rsid w:val="006F16E1"/>
    <w:rsid w:val="006F1AC7"/>
    <w:rsid w:val="006F2D45"/>
    <w:rsid w:val="00701EC6"/>
    <w:rsid w:val="00702ECD"/>
    <w:rsid w:val="007047DF"/>
    <w:rsid w:val="00705DA7"/>
    <w:rsid w:val="00710735"/>
    <w:rsid w:val="007160D7"/>
    <w:rsid w:val="0071612A"/>
    <w:rsid w:val="00717DC3"/>
    <w:rsid w:val="00722C55"/>
    <w:rsid w:val="00725060"/>
    <w:rsid w:val="00725814"/>
    <w:rsid w:val="00727C75"/>
    <w:rsid w:val="00727FB9"/>
    <w:rsid w:val="00732D40"/>
    <w:rsid w:val="007366E2"/>
    <w:rsid w:val="0073701D"/>
    <w:rsid w:val="0074498B"/>
    <w:rsid w:val="00752617"/>
    <w:rsid w:val="007530D0"/>
    <w:rsid w:val="007557DA"/>
    <w:rsid w:val="00761D4A"/>
    <w:rsid w:val="00762874"/>
    <w:rsid w:val="00762AF9"/>
    <w:rsid w:val="00764D30"/>
    <w:rsid w:val="00767F6E"/>
    <w:rsid w:val="007751ED"/>
    <w:rsid w:val="0077607E"/>
    <w:rsid w:val="007805FB"/>
    <w:rsid w:val="007814D5"/>
    <w:rsid w:val="0078244B"/>
    <w:rsid w:val="00785756"/>
    <w:rsid w:val="007864ED"/>
    <w:rsid w:val="00787BEA"/>
    <w:rsid w:val="007910DB"/>
    <w:rsid w:val="007913AE"/>
    <w:rsid w:val="0079148A"/>
    <w:rsid w:val="007921AA"/>
    <w:rsid w:val="007A05E7"/>
    <w:rsid w:val="007A3C82"/>
    <w:rsid w:val="007A7B39"/>
    <w:rsid w:val="007B15B2"/>
    <w:rsid w:val="007B22BC"/>
    <w:rsid w:val="007B75A3"/>
    <w:rsid w:val="007C253A"/>
    <w:rsid w:val="007C5725"/>
    <w:rsid w:val="007D2ADA"/>
    <w:rsid w:val="007D774C"/>
    <w:rsid w:val="007D7799"/>
    <w:rsid w:val="007E0471"/>
    <w:rsid w:val="007E2222"/>
    <w:rsid w:val="007E45C6"/>
    <w:rsid w:val="007E724C"/>
    <w:rsid w:val="007F1387"/>
    <w:rsid w:val="007F236E"/>
    <w:rsid w:val="007F38B6"/>
    <w:rsid w:val="007F3CC2"/>
    <w:rsid w:val="007F49C8"/>
    <w:rsid w:val="007F5186"/>
    <w:rsid w:val="007F5AC7"/>
    <w:rsid w:val="00803943"/>
    <w:rsid w:val="0080537C"/>
    <w:rsid w:val="00805D57"/>
    <w:rsid w:val="00806A47"/>
    <w:rsid w:val="008073B0"/>
    <w:rsid w:val="00807D23"/>
    <w:rsid w:val="0081433D"/>
    <w:rsid w:val="008144A8"/>
    <w:rsid w:val="00830666"/>
    <w:rsid w:val="00832110"/>
    <w:rsid w:val="00832D5A"/>
    <w:rsid w:val="008367E2"/>
    <w:rsid w:val="00836919"/>
    <w:rsid w:val="008442AD"/>
    <w:rsid w:val="008444F0"/>
    <w:rsid w:val="008522CD"/>
    <w:rsid w:val="0085574B"/>
    <w:rsid w:val="00856C59"/>
    <w:rsid w:val="008608B2"/>
    <w:rsid w:val="00860CEF"/>
    <w:rsid w:val="00864A30"/>
    <w:rsid w:val="00864B07"/>
    <w:rsid w:val="00865616"/>
    <w:rsid w:val="00867723"/>
    <w:rsid w:val="0087166A"/>
    <w:rsid w:val="00871C85"/>
    <w:rsid w:val="008727D2"/>
    <w:rsid w:val="00872C6E"/>
    <w:rsid w:val="00886DC3"/>
    <w:rsid w:val="0088755F"/>
    <w:rsid w:val="0089529C"/>
    <w:rsid w:val="00897749"/>
    <w:rsid w:val="008A1595"/>
    <w:rsid w:val="008A2CF8"/>
    <w:rsid w:val="008A60EC"/>
    <w:rsid w:val="008B0D5B"/>
    <w:rsid w:val="008B65F9"/>
    <w:rsid w:val="008B7601"/>
    <w:rsid w:val="008C1ABB"/>
    <w:rsid w:val="008C33AA"/>
    <w:rsid w:val="008C37AF"/>
    <w:rsid w:val="008C4008"/>
    <w:rsid w:val="008C795E"/>
    <w:rsid w:val="008D1897"/>
    <w:rsid w:val="008D2843"/>
    <w:rsid w:val="008D6255"/>
    <w:rsid w:val="008E162F"/>
    <w:rsid w:val="008E38BF"/>
    <w:rsid w:val="008E38FB"/>
    <w:rsid w:val="008E6462"/>
    <w:rsid w:val="008F151D"/>
    <w:rsid w:val="008F2E28"/>
    <w:rsid w:val="008F39DB"/>
    <w:rsid w:val="008F4D4C"/>
    <w:rsid w:val="00900774"/>
    <w:rsid w:val="0090436C"/>
    <w:rsid w:val="00906ACC"/>
    <w:rsid w:val="0091072C"/>
    <w:rsid w:val="009124CE"/>
    <w:rsid w:val="00912757"/>
    <w:rsid w:val="0091425E"/>
    <w:rsid w:val="00914D7E"/>
    <w:rsid w:val="0091622B"/>
    <w:rsid w:val="009230DF"/>
    <w:rsid w:val="0092342F"/>
    <w:rsid w:val="0092394D"/>
    <w:rsid w:val="00930EA1"/>
    <w:rsid w:val="00931CE1"/>
    <w:rsid w:val="00931F43"/>
    <w:rsid w:val="00935231"/>
    <w:rsid w:val="009352E2"/>
    <w:rsid w:val="00935480"/>
    <w:rsid w:val="00935516"/>
    <w:rsid w:val="009356D9"/>
    <w:rsid w:val="00940702"/>
    <w:rsid w:val="00941743"/>
    <w:rsid w:val="009425B3"/>
    <w:rsid w:val="00950F50"/>
    <w:rsid w:val="0095419D"/>
    <w:rsid w:val="00957278"/>
    <w:rsid w:val="00961833"/>
    <w:rsid w:val="00961959"/>
    <w:rsid w:val="00961C06"/>
    <w:rsid w:val="00961E51"/>
    <w:rsid w:val="00964495"/>
    <w:rsid w:val="00966C33"/>
    <w:rsid w:val="0096755C"/>
    <w:rsid w:val="00970212"/>
    <w:rsid w:val="00970B2B"/>
    <w:rsid w:val="00971E1A"/>
    <w:rsid w:val="009767EB"/>
    <w:rsid w:val="00991223"/>
    <w:rsid w:val="009923B9"/>
    <w:rsid w:val="009928A0"/>
    <w:rsid w:val="00992DEB"/>
    <w:rsid w:val="00995EED"/>
    <w:rsid w:val="009A0301"/>
    <w:rsid w:val="009A032F"/>
    <w:rsid w:val="009A38BD"/>
    <w:rsid w:val="009A58B4"/>
    <w:rsid w:val="009B07AA"/>
    <w:rsid w:val="009B0D14"/>
    <w:rsid w:val="009B757C"/>
    <w:rsid w:val="009B7E90"/>
    <w:rsid w:val="009C2323"/>
    <w:rsid w:val="009C2966"/>
    <w:rsid w:val="009C5EE6"/>
    <w:rsid w:val="009D1AFE"/>
    <w:rsid w:val="009D1EC2"/>
    <w:rsid w:val="009D46B2"/>
    <w:rsid w:val="009D4EC7"/>
    <w:rsid w:val="009E325A"/>
    <w:rsid w:val="009E7D33"/>
    <w:rsid w:val="009E7E00"/>
    <w:rsid w:val="009F0B6F"/>
    <w:rsid w:val="009F1B7F"/>
    <w:rsid w:val="009F3002"/>
    <w:rsid w:val="009F503F"/>
    <w:rsid w:val="009F6897"/>
    <w:rsid w:val="00A022A8"/>
    <w:rsid w:val="00A03A79"/>
    <w:rsid w:val="00A05160"/>
    <w:rsid w:val="00A053C5"/>
    <w:rsid w:val="00A061F5"/>
    <w:rsid w:val="00A11002"/>
    <w:rsid w:val="00A12D58"/>
    <w:rsid w:val="00A14B63"/>
    <w:rsid w:val="00A16674"/>
    <w:rsid w:val="00A166E0"/>
    <w:rsid w:val="00A224CC"/>
    <w:rsid w:val="00A249C3"/>
    <w:rsid w:val="00A271D4"/>
    <w:rsid w:val="00A27515"/>
    <w:rsid w:val="00A278FC"/>
    <w:rsid w:val="00A30C18"/>
    <w:rsid w:val="00A32660"/>
    <w:rsid w:val="00A3365C"/>
    <w:rsid w:val="00A34A32"/>
    <w:rsid w:val="00A363DD"/>
    <w:rsid w:val="00A44C5C"/>
    <w:rsid w:val="00A50D16"/>
    <w:rsid w:val="00A511D4"/>
    <w:rsid w:val="00A51415"/>
    <w:rsid w:val="00A54427"/>
    <w:rsid w:val="00A56467"/>
    <w:rsid w:val="00A60673"/>
    <w:rsid w:val="00A62CD3"/>
    <w:rsid w:val="00A62F21"/>
    <w:rsid w:val="00A638C4"/>
    <w:rsid w:val="00A63A62"/>
    <w:rsid w:val="00A64E2F"/>
    <w:rsid w:val="00A66DAE"/>
    <w:rsid w:val="00A670EC"/>
    <w:rsid w:val="00A71E04"/>
    <w:rsid w:val="00A74C0C"/>
    <w:rsid w:val="00A80551"/>
    <w:rsid w:val="00A84561"/>
    <w:rsid w:val="00A91FE0"/>
    <w:rsid w:val="00A92C1A"/>
    <w:rsid w:val="00A96A82"/>
    <w:rsid w:val="00AA0E54"/>
    <w:rsid w:val="00AA74CA"/>
    <w:rsid w:val="00AB3081"/>
    <w:rsid w:val="00AB36A0"/>
    <w:rsid w:val="00AB3EE3"/>
    <w:rsid w:val="00AB5C55"/>
    <w:rsid w:val="00AB6739"/>
    <w:rsid w:val="00AC16A3"/>
    <w:rsid w:val="00AC4980"/>
    <w:rsid w:val="00AD07CC"/>
    <w:rsid w:val="00AD5BB4"/>
    <w:rsid w:val="00AE11ED"/>
    <w:rsid w:val="00AE5545"/>
    <w:rsid w:val="00AE5E65"/>
    <w:rsid w:val="00AE7228"/>
    <w:rsid w:val="00AE7782"/>
    <w:rsid w:val="00AE7D66"/>
    <w:rsid w:val="00AF25B4"/>
    <w:rsid w:val="00AF2990"/>
    <w:rsid w:val="00AF6239"/>
    <w:rsid w:val="00B04BA5"/>
    <w:rsid w:val="00B059DC"/>
    <w:rsid w:val="00B10773"/>
    <w:rsid w:val="00B13BBD"/>
    <w:rsid w:val="00B1467D"/>
    <w:rsid w:val="00B164AA"/>
    <w:rsid w:val="00B17044"/>
    <w:rsid w:val="00B21977"/>
    <w:rsid w:val="00B228AE"/>
    <w:rsid w:val="00B23142"/>
    <w:rsid w:val="00B269E7"/>
    <w:rsid w:val="00B2712D"/>
    <w:rsid w:val="00B3025A"/>
    <w:rsid w:val="00B30536"/>
    <w:rsid w:val="00B31A50"/>
    <w:rsid w:val="00B33F10"/>
    <w:rsid w:val="00B34807"/>
    <w:rsid w:val="00B34AD2"/>
    <w:rsid w:val="00B36055"/>
    <w:rsid w:val="00B43A18"/>
    <w:rsid w:val="00B4653D"/>
    <w:rsid w:val="00B502A2"/>
    <w:rsid w:val="00B51CE8"/>
    <w:rsid w:val="00B54B4C"/>
    <w:rsid w:val="00B60CBE"/>
    <w:rsid w:val="00B64180"/>
    <w:rsid w:val="00B662F4"/>
    <w:rsid w:val="00B75EBB"/>
    <w:rsid w:val="00B82D99"/>
    <w:rsid w:val="00B84032"/>
    <w:rsid w:val="00B848A4"/>
    <w:rsid w:val="00B85094"/>
    <w:rsid w:val="00B9438E"/>
    <w:rsid w:val="00B9506A"/>
    <w:rsid w:val="00BA09BF"/>
    <w:rsid w:val="00BA77A1"/>
    <w:rsid w:val="00BB1390"/>
    <w:rsid w:val="00BB296A"/>
    <w:rsid w:val="00BB4C02"/>
    <w:rsid w:val="00BB5F1E"/>
    <w:rsid w:val="00BB68A4"/>
    <w:rsid w:val="00BC39D6"/>
    <w:rsid w:val="00BC3C56"/>
    <w:rsid w:val="00BC4097"/>
    <w:rsid w:val="00BD08ED"/>
    <w:rsid w:val="00BE0AB3"/>
    <w:rsid w:val="00BE3500"/>
    <w:rsid w:val="00BE388A"/>
    <w:rsid w:val="00BF209E"/>
    <w:rsid w:val="00BF26B2"/>
    <w:rsid w:val="00BF275D"/>
    <w:rsid w:val="00BF5447"/>
    <w:rsid w:val="00BF5CBC"/>
    <w:rsid w:val="00C04BB4"/>
    <w:rsid w:val="00C101DD"/>
    <w:rsid w:val="00C11E28"/>
    <w:rsid w:val="00C12EDB"/>
    <w:rsid w:val="00C154D7"/>
    <w:rsid w:val="00C20A69"/>
    <w:rsid w:val="00C256DB"/>
    <w:rsid w:val="00C30026"/>
    <w:rsid w:val="00C33731"/>
    <w:rsid w:val="00C37CC8"/>
    <w:rsid w:val="00C435D1"/>
    <w:rsid w:val="00C43DA2"/>
    <w:rsid w:val="00C45610"/>
    <w:rsid w:val="00C467CE"/>
    <w:rsid w:val="00C469C6"/>
    <w:rsid w:val="00C46FFA"/>
    <w:rsid w:val="00C513D3"/>
    <w:rsid w:val="00C54130"/>
    <w:rsid w:val="00C55A3F"/>
    <w:rsid w:val="00C55CF6"/>
    <w:rsid w:val="00C560DB"/>
    <w:rsid w:val="00C61F1C"/>
    <w:rsid w:val="00C646BD"/>
    <w:rsid w:val="00C64799"/>
    <w:rsid w:val="00C67852"/>
    <w:rsid w:val="00C7166F"/>
    <w:rsid w:val="00C761DB"/>
    <w:rsid w:val="00C767CA"/>
    <w:rsid w:val="00C778E2"/>
    <w:rsid w:val="00C846F4"/>
    <w:rsid w:val="00C85FEC"/>
    <w:rsid w:val="00C945FC"/>
    <w:rsid w:val="00C95544"/>
    <w:rsid w:val="00CA0E39"/>
    <w:rsid w:val="00CA2334"/>
    <w:rsid w:val="00CB30AB"/>
    <w:rsid w:val="00CB455E"/>
    <w:rsid w:val="00CB59C7"/>
    <w:rsid w:val="00CC36DC"/>
    <w:rsid w:val="00CD250D"/>
    <w:rsid w:val="00CE058C"/>
    <w:rsid w:val="00CE1454"/>
    <w:rsid w:val="00CE29D0"/>
    <w:rsid w:val="00CE49D7"/>
    <w:rsid w:val="00CE5C32"/>
    <w:rsid w:val="00CF11CB"/>
    <w:rsid w:val="00CF3BBA"/>
    <w:rsid w:val="00CF5769"/>
    <w:rsid w:val="00D00717"/>
    <w:rsid w:val="00D00F17"/>
    <w:rsid w:val="00D01C29"/>
    <w:rsid w:val="00D1158B"/>
    <w:rsid w:val="00D122CF"/>
    <w:rsid w:val="00D126F6"/>
    <w:rsid w:val="00D16EE9"/>
    <w:rsid w:val="00D203BC"/>
    <w:rsid w:val="00D2172E"/>
    <w:rsid w:val="00D34874"/>
    <w:rsid w:val="00D34F33"/>
    <w:rsid w:val="00D3523E"/>
    <w:rsid w:val="00D43880"/>
    <w:rsid w:val="00D43B02"/>
    <w:rsid w:val="00D46EB4"/>
    <w:rsid w:val="00D50722"/>
    <w:rsid w:val="00D52D4A"/>
    <w:rsid w:val="00D534EC"/>
    <w:rsid w:val="00D54373"/>
    <w:rsid w:val="00D6249E"/>
    <w:rsid w:val="00D66577"/>
    <w:rsid w:val="00D733C6"/>
    <w:rsid w:val="00D74B23"/>
    <w:rsid w:val="00D7502E"/>
    <w:rsid w:val="00D7566A"/>
    <w:rsid w:val="00D76021"/>
    <w:rsid w:val="00D91B2A"/>
    <w:rsid w:val="00D91ED0"/>
    <w:rsid w:val="00D939C3"/>
    <w:rsid w:val="00DA1786"/>
    <w:rsid w:val="00DA6BDD"/>
    <w:rsid w:val="00DA7541"/>
    <w:rsid w:val="00DB06B7"/>
    <w:rsid w:val="00DB2F99"/>
    <w:rsid w:val="00DB31B1"/>
    <w:rsid w:val="00DB32FF"/>
    <w:rsid w:val="00DB60F7"/>
    <w:rsid w:val="00DB7A39"/>
    <w:rsid w:val="00DC0D10"/>
    <w:rsid w:val="00DC2DBE"/>
    <w:rsid w:val="00DC5162"/>
    <w:rsid w:val="00DC52C8"/>
    <w:rsid w:val="00DC673B"/>
    <w:rsid w:val="00DD3FEC"/>
    <w:rsid w:val="00DD4B37"/>
    <w:rsid w:val="00DE04C7"/>
    <w:rsid w:val="00DE23BE"/>
    <w:rsid w:val="00DE68A5"/>
    <w:rsid w:val="00DE6AEA"/>
    <w:rsid w:val="00DE6CC2"/>
    <w:rsid w:val="00DF2539"/>
    <w:rsid w:val="00DF2639"/>
    <w:rsid w:val="00E01759"/>
    <w:rsid w:val="00E0214C"/>
    <w:rsid w:val="00E03BF4"/>
    <w:rsid w:val="00E043AF"/>
    <w:rsid w:val="00E116DF"/>
    <w:rsid w:val="00E117F6"/>
    <w:rsid w:val="00E13C8D"/>
    <w:rsid w:val="00E145EA"/>
    <w:rsid w:val="00E15851"/>
    <w:rsid w:val="00E17F67"/>
    <w:rsid w:val="00E20CA9"/>
    <w:rsid w:val="00E21368"/>
    <w:rsid w:val="00E26E0B"/>
    <w:rsid w:val="00E307F7"/>
    <w:rsid w:val="00E31435"/>
    <w:rsid w:val="00E33AD0"/>
    <w:rsid w:val="00E3472D"/>
    <w:rsid w:val="00E358B2"/>
    <w:rsid w:val="00E3736F"/>
    <w:rsid w:val="00E37F97"/>
    <w:rsid w:val="00E445A4"/>
    <w:rsid w:val="00E45E1C"/>
    <w:rsid w:val="00E5401D"/>
    <w:rsid w:val="00E62487"/>
    <w:rsid w:val="00E63E35"/>
    <w:rsid w:val="00E65A2C"/>
    <w:rsid w:val="00E667CE"/>
    <w:rsid w:val="00E67508"/>
    <w:rsid w:val="00E67DEA"/>
    <w:rsid w:val="00E70229"/>
    <w:rsid w:val="00E7066F"/>
    <w:rsid w:val="00E73401"/>
    <w:rsid w:val="00E73865"/>
    <w:rsid w:val="00E74D24"/>
    <w:rsid w:val="00E768C0"/>
    <w:rsid w:val="00E82016"/>
    <w:rsid w:val="00E8720B"/>
    <w:rsid w:val="00E93072"/>
    <w:rsid w:val="00EA00CB"/>
    <w:rsid w:val="00EA3A3C"/>
    <w:rsid w:val="00EA3E3C"/>
    <w:rsid w:val="00EB0EF6"/>
    <w:rsid w:val="00EB5911"/>
    <w:rsid w:val="00EB6B1D"/>
    <w:rsid w:val="00EB72BD"/>
    <w:rsid w:val="00EC2E5E"/>
    <w:rsid w:val="00EC51B3"/>
    <w:rsid w:val="00EC6B4F"/>
    <w:rsid w:val="00ED02A4"/>
    <w:rsid w:val="00ED2683"/>
    <w:rsid w:val="00ED7F1A"/>
    <w:rsid w:val="00EE2190"/>
    <w:rsid w:val="00EE3F34"/>
    <w:rsid w:val="00EE51E8"/>
    <w:rsid w:val="00EF00F2"/>
    <w:rsid w:val="00EF14E7"/>
    <w:rsid w:val="00EF2219"/>
    <w:rsid w:val="00EF2CB8"/>
    <w:rsid w:val="00EF7858"/>
    <w:rsid w:val="00F00449"/>
    <w:rsid w:val="00F01CBE"/>
    <w:rsid w:val="00F13DC6"/>
    <w:rsid w:val="00F13F8C"/>
    <w:rsid w:val="00F2012E"/>
    <w:rsid w:val="00F2098D"/>
    <w:rsid w:val="00F2192F"/>
    <w:rsid w:val="00F25DD8"/>
    <w:rsid w:val="00F276A5"/>
    <w:rsid w:val="00F3127F"/>
    <w:rsid w:val="00F35D87"/>
    <w:rsid w:val="00F362BA"/>
    <w:rsid w:val="00F37A7D"/>
    <w:rsid w:val="00F4637C"/>
    <w:rsid w:val="00F46652"/>
    <w:rsid w:val="00F47EC3"/>
    <w:rsid w:val="00F519B5"/>
    <w:rsid w:val="00F61330"/>
    <w:rsid w:val="00F63940"/>
    <w:rsid w:val="00F642C8"/>
    <w:rsid w:val="00F7195A"/>
    <w:rsid w:val="00F7605F"/>
    <w:rsid w:val="00F80CFF"/>
    <w:rsid w:val="00F81D71"/>
    <w:rsid w:val="00F81F3D"/>
    <w:rsid w:val="00F82BAF"/>
    <w:rsid w:val="00F83939"/>
    <w:rsid w:val="00F85B6D"/>
    <w:rsid w:val="00F91D5B"/>
    <w:rsid w:val="00F93064"/>
    <w:rsid w:val="00F94B09"/>
    <w:rsid w:val="00F954CC"/>
    <w:rsid w:val="00FA1D51"/>
    <w:rsid w:val="00FA4560"/>
    <w:rsid w:val="00FA68CE"/>
    <w:rsid w:val="00FA7B99"/>
    <w:rsid w:val="00FB0280"/>
    <w:rsid w:val="00FB23FF"/>
    <w:rsid w:val="00FB3395"/>
    <w:rsid w:val="00FB7ACD"/>
    <w:rsid w:val="00FC1998"/>
    <w:rsid w:val="00FC245B"/>
    <w:rsid w:val="00FC4DE0"/>
    <w:rsid w:val="00FD0696"/>
    <w:rsid w:val="00FD18F7"/>
    <w:rsid w:val="00FD1BCE"/>
    <w:rsid w:val="00FD429F"/>
    <w:rsid w:val="00FD6F1A"/>
    <w:rsid w:val="00FE02F1"/>
    <w:rsid w:val="00FE2848"/>
    <w:rsid w:val="00FE4101"/>
    <w:rsid w:val="00FE6552"/>
    <w:rsid w:val="00FF1E94"/>
    <w:rsid w:val="00FF4DD0"/>
    <w:rsid w:val="00FF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D4F2B5"/>
  <w15:docId w15:val="{F399745A-0C5B-4279-95A7-9FDE2162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49"/>
    <w:pPr>
      <w:spacing w:after="200" w:line="276" w:lineRule="auto"/>
    </w:pPr>
    <w:rPr>
      <w:rFonts w:ascii="Calibri" w:eastAsia="Calibri" w:hAnsi="Calibri" w:cs="Times New Roman"/>
      <w:lang w:val="en-US"/>
    </w:rPr>
  </w:style>
  <w:style w:type="paragraph" w:styleId="Heading1">
    <w:name w:val="heading 1"/>
    <w:aliases w:val="Heading"/>
    <w:basedOn w:val="Normal"/>
    <w:next w:val="Normal"/>
    <w:link w:val="Heading1Char"/>
    <w:autoRedefine/>
    <w:uiPriority w:val="9"/>
    <w:qFormat/>
    <w:rsid w:val="0025230D"/>
    <w:pPr>
      <w:keepNext/>
      <w:keepLines/>
      <w:spacing w:before="240" w:after="0"/>
      <w:outlineLvl w:val="0"/>
    </w:pPr>
    <w:rPr>
      <w:rFonts w:asciiTheme="majorHAnsi" w:eastAsiaTheme="majorEastAsia" w:hAnsiTheme="majorHAnsi" w:cstheme="majorHAnsi"/>
      <w:color w:val="6D6E71" w:themeColor="accent5"/>
      <w:sz w:val="28"/>
      <w:szCs w:val="32"/>
    </w:rPr>
  </w:style>
  <w:style w:type="paragraph" w:styleId="Heading3">
    <w:name w:val="heading 3"/>
    <w:basedOn w:val="Normal"/>
    <w:next w:val="Normal"/>
    <w:link w:val="Heading3Char"/>
    <w:uiPriority w:val="9"/>
    <w:semiHidden/>
    <w:unhideWhenUsed/>
    <w:qFormat/>
    <w:rsid w:val="00897749"/>
    <w:pPr>
      <w:keepNext/>
      <w:keepLines/>
      <w:spacing w:before="200" w:after="0"/>
      <w:outlineLvl w:val="2"/>
    </w:pPr>
    <w:rPr>
      <w:rFonts w:asciiTheme="majorHAnsi" w:eastAsiaTheme="majorEastAsia" w:hAnsiTheme="majorHAnsi" w:cstheme="majorBidi"/>
      <w:b/>
      <w:bCs/>
      <w:color w:val="0075B0" w:themeColor="accent1"/>
    </w:rPr>
  </w:style>
  <w:style w:type="paragraph" w:styleId="Heading4">
    <w:name w:val="heading 4"/>
    <w:basedOn w:val="Normal"/>
    <w:next w:val="Normal"/>
    <w:link w:val="Heading4Char"/>
    <w:uiPriority w:val="9"/>
    <w:semiHidden/>
    <w:unhideWhenUsed/>
    <w:qFormat/>
    <w:rsid w:val="00897749"/>
    <w:pPr>
      <w:keepNext/>
      <w:keepLines/>
      <w:spacing w:before="200" w:after="0"/>
      <w:outlineLvl w:val="3"/>
    </w:pPr>
    <w:rPr>
      <w:rFonts w:asciiTheme="majorHAnsi" w:eastAsiaTheme="majorEastAsia" w:hAnsiTheme="majorHAnsi" w:cstheme="majorBidi"/>
      <w:b/>
      <w:bCs/>
      <w:i/>
      <w:iCs/>
      <w:color w:val="0075B0" w:themeColor="accent1"/>
    </w:rPr>
  </w:style>
  <w:style w:type="paragraph" w:styleId="Heading5">
    <w:name w:val="heading 5"/>
    <w:basedOn w:val="Normal"/>
    <w:next w:val="Normal"/>
    <w:link w:val="Heading5Char"/>
    <w:unhideWhenUsed/>
    <w:qFormat/>
    <w:rsid w:val="00897749"/>
    <w:pPr>
      <w:keepNext/>
      <w:keepLines/>
      <w:spacing w:before="200" w:after="0"/>
      <w:outlineLvl w:val="4"/>
    </w:pPr>
    <w:rPr>
      <w:rFonts w:asciiTheme="majorHAnsi" w:eastAsiaTheme="majorEastAsia" w:hAnsiTheme="majorHAnsi" w:cstheme="majorBidi"/>
      <w:color w:val="0039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25230D"/>
    <w:rPr>
      <w:rFonts w:asciiTheme="majorHAnsi" w:eastAsiaTheme="majorEastAsia" w:hAnsiTheme="majorHAnsi" w:cstheme="majorHAnsi"/>
      <w:color w:val="6D6E71" w:themeColor="accent5"/>
      <w:sz w:val="28"/>
      <w:szCs w:val="32"/>
    </w:rPr>
  </w:style>
  <w:style w:type="paragraph" w:styleId="Subtitle">
    <w:name w:val="Subtitle"/>
    <w:aliases w:val="SubHeading Green"/>
    <w:basedOn w:val="Normal"/>
    <w:next w:val="Normal"/>
    <w:link w:val="SubtitleChar"/>
    <w:autoRedefine/>
    <w:uiPriority w:val="11"/>
    <w:qFormat/>
    <w:rsid w:val="003E2791"/>
    <w:pPr>
      <w:numPr>
        <w:ilvl w:val="1"/>
      </w:numPr>
      <w:spacing w:after="40"/>
    </w:pPr>
    <w:rPr>
      <w:b/>
      <w:color w:val="3F9C35" w:themeColor="accent3"/>
    </w:rPr>
  </w:style>
  <w:style w:type="character" w:customStyle="1" w:styleId="SubtitleChar">
    <w:name w:val="Subtitle Char"/>
    <w:aliases w:val="SubHeading Green Char"/>
    <w:basedOn w:val="DefaultParagraphFont"/>
    <w:link w:val="Subtitle"/>
    <w:uiPriority w:val="11"/>
    <w:rsid w:val="003E2791"/>
    <w:rPr>
      <w:rFonts w:eastAsiaTheme="minorEastAsia"/>
      <w:b/>
      <w:color w:val="3F9C35" w:themeColor="accent3"/>
      <w:sz w:val="20"/>
    </w:rPr>
  </w:style>
  <w:style w:type="character" w:styleId="SubtleEmphasis">
    <w:name w:val="Subtle Emphasis"/>
    <w:aliases w:val="SubHeading Blue"/>
    <w:basedOn w:val="Emphasis"/>
    <w:uiPriority w:val="19"/>
    <w:qFormat/>
    <w:rsid w:val="003E2791"/>
    <w:rPr>
      <w:rFonts w:asciiTheme="minorHAnsi" w:hAnsiTheme="minorHAnsi"/>
      <w:b w:val="0"/>
      <w:i w:val="0"/>
      <w:iCs/>
      <w:color w:val="005C84" w:themeColor="text1"/>
      <w:sz w:val="20"/>
      <w:u w:val="none"/>
    </w:rPr>
  </w:style>
  <w:style w:type="character" w:styleId="Emphasis">
    <w:name w:val="Emphasis"/>
    <w:aliases w:val="Body Copy"/>
    <w:basedOn w:val="DefaultParagraphFont"/>
    <w:uiPriority w:val="20"/>
    <w:qFormat/>
    <w:rsid w:val="00FB3395"/>
    <w:rPr>
      <w:rFonts w:asciiTheme="minorHAnsi" w:hAnsiTheme="minorHAnsi"/>
      <w:b w:val="0"/>
      <w:i w:val="0"/>
      <w:iCs/>
      <w:color w:val="005C84" w:themeColor="text1"/>
      <w:sz w:val="18"/>
      <w:u w:val="none"/>
    </w:rPr>
  </w:style>
  <w:style w:type="character" w:styleId="IntenseEmphasis">
    <w:name w:val="Intense Emphasis"/>
    <w:aliases w:val="Body Copy Emphasis"/>
    <w:basedOn w:val="DefaultParagraphFont"/>
    <w:uiPriority w:val="21"/>
    <w:qFormat/>
    <w:rsid w:val="00FB3395"/>
    <w:rPr>
      <w:rFonts w:asciiTheme="minorHAnsi" w:hAnsiTheme="minorHAnsi"/>
      <w:b/>
      <w:i w:val="0"/>
      <w:iCs/>
      <w:color w:val="005C84" w:themeColor="text1"/>
      <w:sz w:val="18"/>
    </w:rPr>
  </w:style>
  <w:style w:type="paragraph" w:styleId="Quote">
    <w:name w:val="Quote"/>
    <w:aliases w:val="Body Copy Italic"/>
    <w:basedOn w:val="Normal"/>
    <w:next w:val="Normal"/>
    <w:link w:val="QuoteChar"/>
    <w:autoRedefine/>
    <w:uiPriority w:val="29"/>
    <w:qFormat/>
    <w:rsid w:val="00FB3395"/>
    <w:pPr>
      <w:spacing w:before="200"/>
      <w:ind w:right="864"/>
    </w:pPr>
    <w:rPr>
      <w:i/>
      <w:iCs/>
      <w:sz w:val="18"/>
    </w:rPr>
  </w:style>
  <w:style w:type="character" w:customStyle="1" w:styleId="QuoteChar">
    <w:name w:val="Quote Char"/>
    <w:aliases w:val="Body Copy Italic Char"/>
    <w:basedOn w:val="DefaultParagraphFont"/>
    <w:link w:val="Quote"/>
    <w:uiPriority w:val="29"/>
    <w:rsid w:val="00FB3395"/>
    <w:rPr>
      <w:i/>
      <w:iCs/>
      <w:color w:val="005C84" w:themeColor="text1"/>
      <w:sz w:val="18"/>
    </w:rPr>
  </w:style>
  <w:style w:type="paragraph" w:styleId="IntenseQuote">
    <w:name w:val="Intense Quote"/>
    <w:aliases w:val="Sections"/>
    <w:basedOn w:val="Normal"/>
    <w:next w:val="Normal"/>
    <w:link w:val="IntenseQuoteChar"/>
    <w:autoRedefine/>
    <w:uiPriority w:val="30"/>
    <w:qFormat/>
    <w:rsid w:val="00FB3395"/>
    <w:pPr>
      <w:pBdr>
        <w:top w:val="single" w:sz="4" w:space="10" w:color="0075B0" w:themeColor="accent1"/>
        <w:bottom w:val="single" w:sz="4" w:space="10" w:color="0075B0" w:themeColor="accent1"/>
      </w:pBdr>
      <w:spacing w:before="360" w:after="360"/>
      <w:ind w:left="864" w:right="864"/>
      <w:jc w:val="center"/>
    </w:pPr>
    <w:rPr>
      <w:iCs/>
      <w:caps/>
    </w:rPr>
  </w:style>
  <w:style w:type="character" w:customStyle="1" w:styleId="IntenseQuoteChar">
    <w:name w:val="Intense Quote Char"/>
    <w:aliases w:val="Sections Char"/>
    <w:basedOn w:val="DefaultParagraphFont"/>
    <w:link w:val="IntenseQuote"/>
    <w:uiPriority w:val="30"/>
    <w:rsid w:val="00FB3395"/>
    <w:rPr>
      <w:iCs/>
      <w:caps/>
      <w:color w:val="005C84" w:themeColor="text1"/>
      <w:sz w:val="20"/>
    </w:rPr>
  </w:style>
  <w:style w:type="character" w:styleId="SubtleReference">
    <w:name w:val="Subtle Reference"/>
    <w:aliases w:val="Quote Emphasis"/>
    <w:basedOn w:val="QuoteChar"/>
    <w:uiPriority w:val="31"/>
    <w:qFormat/>
    <w:rsid w:val="00785756"/>
    <w:rPr>
      <w:rFonts w:asciiTheme="minorHAnsi" w:hAnsiTheme="minorHAnsi"/>
      <w:i w:val="0"/>
      <w:iCs/>
      <w:caps w:val="0"/>
      <w:smallCaps w:val="0"/>
      <w:color w:val="009FDA" w:themeColor="accent2"/>
      <w:spacing w:val="0"/>
      <w:w w:val="100"/>
      <w:sz w:val="24"/>
    </w:rPr>
  </w:style>
  <w:style w:type="paragraph" w:styleId="ListParagraph">
    <w:name w:val="List Paragraph"/>
    <w:basedOn w:val="Normal"/>
    <w:uiPriority w:val="34"/>
    <w:qFormat/>
    <w:rsid w:val="00FB3395"/>
    <w:pPr>
      <w:ind w:left="720"/>
      <w:contextualSpacing/>
    </w:pPr>
    <w:rPr>
      <w:sz w:val="18"/>
    </w:rPr>
  </w:style>
  <w:style w:type="character" w:styleId="BookTitle">
    <w:name w:val="Book Title"/>
    <w:aliases w:val="Footnote"/>
    <w:basedOn w:val="DefaultParagraphFont"/>
    <w:uiPriority w:val="33"/>
    <w:qFormat/>
    <w:rsid w:val="00FB3395"/>
    <w:rPr>
      <w:rFonts w:asciiTheme="minorHAnsi" w:hAnsiTheme="minorHAnsi"/>
      <w:b w:val="0"/>
      <w:bCs/>
      <w:i w:val="0"/>
      <w:iCs/>
      <w:color w:val="6D6E71" w:themeColor="accent5"/>
      <w:spacing w:val="5"/>
      <w:sz w:val="15"/>
    </w:rPr>
  </w:style>
  <w:style w:type="paragraph" w:styleId="NoSpacing">
    <w:name w:val="No Spacing"/>
    <w:basedOn w:val="Normal"/>
    <w:uiPriority w:val="1"/>
    <w:rsid w:val="007F3CC2"/>
  </w:style>
  <w:style w:type="paragraph" w:styleId="Header">
    <w:name w:val="header"/>
    <w:basedOn w:val="Normal"/>
    <w:link w:val="HeaderChar"/>
    <w:uiPriority w:val="99"/>
    <w:unhideWhenUsed/>
    <w:rsid w:val="005D3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42"/>
    <w:rPr>
      <w:color w:val="005C84" w:themeColor="text1"/>
      <w:sz w:val="20"/>
    </w:rPr>
  </w:style>
  <w:style w:type="paragraph" w:styleId="Footer">
    <w:name w:val="footer"/>
    <w:basedOn w:val="Normal"/>
    <w:link w:val="FooterChar"/>
    <w:uiPriority w:val="99"/>
    <w:unhideWhenUsed/>
    <w:rsid w:val="005D3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42"/>
    <w:rPr>
      <w:color w:val="005C84" w:themeColor="text1"/>
      <w:sz w:val="20"/>
    </w:rPr>
  </w:style>
  <w:style w:type="paragraph" w:styleId="BodyText">
    <w:name w:val="Body Text"/>
    <w:basedOn w:val="Normal"/>
    <w:link w:val="BodyTextChar"/>
    <w:rsid w:val="00897749"/>
    <w:pPr>
      <w:keepLines/>
      <w:overflowPunct w:val="0"/>
      <w:autoSpaceDE w:val="0"/>
      <w:autoSpaceDN w:val="0"/>
      <w:adjustRightInd w:val="0"/>
      <w:spacing w:after="260" w:line="240" w:lineRule="auto"/>
      <w:jc w:val="both"/>
      <w:textAlignment w:val="baseline"/>
    </w:pPr>
    <w:rPr>
      <w:rFonts w:ascii="Times New Roman" w:eastAsia="Times New Roman" w:hAnsi="Times New Roman"/>
      <w:szCs w:val="20"/>
      <w:lang w:val="en-GB"/>
    </w:rPr>
  </w:style>
  <w:style w:type="character" w:customStyle="1" w:styleId="BodyTextChar">
    <w:name w:val="Body Text Char"/>
    <w:basedOn w:val="DefaultParagraphFont"/>
    <w:link w:val="BodyText"/>
    <w:rsid w:val="00897749"/>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897749"/>
    <w:rPr>
      <w:rFonts w:asciiTheme="majorHAnsi" w:eastAsiaTheme="majorEastAsia" w:hAnsiTheme="majorHAnsi" w:cstheme="majorBidi"/>
      <w:b/>
      <w:bCs/>
      <w:color w:val="0075B0" w:themeColor="accent1"/>
      <w:lang w:val="en-US"/>
    </w:rPr>
  </w:style>
  <w:style w:type="character" w:customStyle="1" w:styleId="Heading4Char">
    <w:name w:val="Heading 4 Char"/>
    <w:basedOn w:val="DefaultParagraphFont"/>
    <w:link w:val="Heading4"/>
    <w:uiPriority w:val="9"/>
    <w:semiHidden/>
    <w:rsid w:val="00897749"/>
    <w:rPr>
      <w:rFonts w:asciiTheme="majorHAnsi" w:eastAsiaTheme="majorEastAsia" w:hAnsiTheme="majorHAnsi" w:cstheme="majorBidi"/>
      <w:b/>
      <w:bCs/>
      <w:i/>
      <w:iCs/>
      <w:color w:val="0075B0" w:themeColor="accent1"/>
      <w:lang w:val="en-US"/>
    </w:rPr>
  </w:style>
  <w:style w:type="character" w:customStyle="1" w:styleId="Heading5Char">
    <w:name w:val="Heading 5 Char"/>
    <w:basedOn w:val="DefaultParagraphFont"/>
    <w:link w:val="Heading5"/>
    <w:uiPriority w:val="9"/>
    <w:rsid w:val="00897749"/>
    <w:rPr>
      <w:rFonts w:asciiTheme="majorHAnsi" w:eastAsiaTheme="majorEastAsia" w:hAnsiTheme="majorHAnsi" w:cstheme="majorBidi"/>
      <w:color w:val="003957" w:themeColor="accent1" w:themeShade="7F"/>
      <w:lang w:val="en-US"/>
    </w:rPr>
  </w:style>
  <w:style w:type="table" w:styleId="TableGrid">
    <w:name w:val="Table Grid"/>
    <w:basedOn w:val="TableNormal"/>
    <w:uiPriority w:val="59"/>
    <w:rsid w:val="00E702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352E2"/>
    <w:rPr>
      <w:sz w:val="16"/>
      <w:szCs w:val="16"/>
    </w:rPr>
  </w:style>
  <w:style w:type="paragraph" w:styleId="CommentText">
    <w:name w:val="annotation text"/>
    <w:basedOn w:val="Normal"/>
    <w:link w:val="CommentTextChar"/>
    <w:semiHidden/>
    <w:rsid w:val="009352E2"/>
    <w:pPr>
      <w:keepLine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9352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5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2E2"/>
    <w:rPr>
      <w:rFonts w:ascii="Tahoma" w:eastAsia="Calibri" w:hAnsi="Tahoma" w:cs="Tahoma"/>
      <w:sz w:val="16"/>
      <w:szCs w:val="16"/>
      <w:lang w:val="en-US"/>
    </w:rPr>
  </w:style>
  <w:style w:type="paragraph" w:customStyle="1" w:styleId="DefaultParagraphFontParaCharCharCharCharChar">
    <w:name w:val="Default Paragraph Font Para Char Char Char Char Char"/>
    <w:autoRedefine/>
    <w:rsid w:val="00A51415"/>
    <w:pPr>
      <w:tabs>
        <w:tab w:val="left" w:pos="1152"/>
      </w:tabs>
      <w:spacing w:before="120" w:after="120" w:line="312" w:lineRule="auto"/>
    </w:pPr>
    <w:rPr>
      <w:rFonts w:ascii="Arial" w:eastAsia="Times New Roman" w:hAnsi="Arial" w:cs="Arial"/>
      <w:sz w:val="26"/>
      <w:szCs w:val="26"/>
      <w:lang w:val="en-US"/>
    </w:rPr>
  </w:style>
  <w:style w:type="paragraph" w:styleId="CommentSubject">
    <w:name w:val="annotation subject"/>
    <w:basedOn w:val="CommentText"/>
    <w:next w:val="CommentText"/>
    <w:link w:val="CommentSubjectChar"/>
    <w:uiPriority w:val="99"/>
    <w:semiHidden/>
    <w:unhideWhenUsed/>
    <w:rsid w:val="00AD07CC"/>
    <w:pPr>
      <w:keepLines w:val="0"/>
      <w:overflowPunct/>
      <w:autoSpaceDE/>
      <w:autoSpaceDN/>
      <w:adjustRightInd/>
      <w:spacing w:after="200"/>
      <w:jc w:val="left"/>
      <w:textAlignment w:val="auto"/>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AD07CC"/>
    <w:rPr>
      <w:rFonts w:ascii="Calibri" w:eastAsia="Calibri" w:hAnsi="Calibri" w:cs="Times New Roman"/>
      <w:b/>
      <w:bCs/>
      <w:sz w:val="20"/>
      <w:szCs w:val="20"/>
      <w:lang w:val="en-US"/>
    </w:rPr>
  </w:style>
  <w:style w:type="paragraph" w:customStyle="1" w:styleId="Default">
    <w:name w:val="Default"/>
    <w:rsid w:val="0002021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494">
      <w:bodyDiv w:val="1"/>
      <w:marLeft w:val="0"/>
      <w:marRight w:val="0"/>
      <w:marTop w:val="0"/>
      <w:marBottom w:val="0"/>
      <w:divBdr>
        <w:top w:val="none" w:sz="0" w:space="0" w:color="auto"/>
        <w:left w:val="none" w:sz="0" w:space="0" w:color="auto"/>
        <w:bottom w:val="none" w:sz="0" w:space="0" w:color="auto"/>
        <w:right w:val="none" w:sz="0" w:space="0" w:color="auto"/>
      </w:divBdr>
    </w:div>
    <w:div w:id="11879316">
      <w:bodyDiv w:val="1"/>
      <w:marLeft w:val="0"/>
      <w:marRight w:val="0"/>
      <w:marTop w:val="0"/>
      <w:marBottom w:val="0"/>
      <w:divBdr>
        <w:top w:val="none" w:sz="0" w:space="0" w:color="auto"/>
        <w:left w:val="none" w:sz="0" w:space="0" w:color="auto"/>
        <w:bottom w:val="none" w:sz="0" w:space="0" w:color="auto"/>
        <w:right w:val="none" w:sz="0" w:space="0" w:color="auto"/>
      </w:divBdr>
    </w:div>
    <w:div w:id="74137159">
      <w:bodyDiv w:val="1"/>
      <w:marLeft w:val="0"/>
      <w:marRight w:val="0"/>
      <w:marTop w:val="0"/>
      <w:marBottom w:val="0"/>
      <w:divBdr>
        <w:top w:val="none" w:sz="0" w:space="0" w:color="auto"/>
        <w:left w:val="none" w:sz="0" w:space="0" w:color="auto"/>
        <w:bottom w:val="none" w:sz="0" w:space="0" w:color="auto"/>
        <w:right w:val="none" w:sz="0" w:space="0" w:color="auto"/>
      </w:divBdr>
    </w:div>
    <w:div w:id="167137696">
      <w:bodyDiv w:val="1"/>
      <w:marLeft w:val="0"/>
      <w:marRight w:val="0"/>
      <w:marTop w:val="0"/>
      <w:marBottom w:val="0"/>
      <w:divBdr>
        <w:top w:val="none" w:sz="0" w:space="0" w:color="auto"/>
        <w:left w:val="none" w:sz="0" w:space="0" w:color="auto"/>
        <w:bottom w:val="none" w:sz="0" w:space="0" w:color="auto"/>
        <w:right w:val="none" w:sz="0" w:space="0" w:color="auto"/>
      </w:divBdr>
    </w:div>
    <w:div w:id="187527958">
      <w:bodyDiv w:val="1"/>
      <w:marLeft w:val="0"/>
      <w:marRight w:val="0"/>
      <w:marTop w:val="0"/>
      <w:marBottom w:val="0"/>
      <w:divBdr>
        <w:top w:val="none" w:sz="0" w:space="0" w:color="auto"/>
        <w:left w:val="none" w:sz="0" w:space="0" w:color="auto"/>
        <w:bottom w:val="none" w:sz="0" w:space="0" w:color="auto"/>
        <w:right w:val="none" w:sz="0" w:space="0" w:color="auto"/>
      </w:divBdr>
    </w:div>
    <w:div w:id="224337933">
      <w:bodyDiv w:val="1"/>
      <w:marLeft w:val="0"/>
      <w:marRight w:val="0"/>
      <w:marTop w:val="0"/>
      <w:marBottom w:val="0"/>
      <w:divBdr>
        <w:top w:val="none" w:sz="0" w:space="0" w:color="auto"/>
        <w:left w:val="none" w:sz="0" w:space="0" w:color="auto"/>
        <w:bottom w:val="none" w:sz="0" w:space="0" w:color="auto"/>
        <w:right w:val="none" w:sz="0" w:space="0" w:color="auto"/>
      </w:divBdr>
    </w:div>
    <w:div w:id="242835279">
      <w:bodyDiv w:val="1"/>
      <w:marLeft w:val="0"/>
      <w:marRight w:val="0"/>
      <w:marTop w:val="0"/>
      <w:marBottom w:val="0"/>
      <w:divBdr>
        <w:top w:val="none" w:sz="0" w:space="0" w:color="auto"/>
        <w:left w:val="none" w:sz="0" w:space="0" w:color="auto"/>
        <w:bottom w:val="none" w:sz="0" w:space="0" w:color="auto"/>
        <w:right w:val="none" w:sz="0" w:space="0" w:color="auto"/>
      </w:divBdr>
    </w:div>
    <w:div w:id="255939810">
      <w:bodyDiv w:val="1"/>
      <w:marLeft w:val="0"/>
      <w:marRight w:val="0"/>
      <w:marTop w:val="0"/>
      <w:marBottom w:val="0"/>
      <w:divBdr>
        <w:top w:val="none" w:sz="0" w:space="0" w:color="auto"/>
        <w:left w:val="none" w:sz="0" w:space="0" w:color="auto"/>
        <w:bottom w:val="none" w:sz="0" w:space="0" w:color="auto"/>
        <w:right w:val="none" w:sz="0" w:space="0" w:color="auto"/>
      </w:divBdr>
    </w:div>
    <w:div w:id="290013272">
      <w:bodyDiv w:val="1"/>
      <w:marLeft w:val="0"/>
      <w:marRight w:val="0"/>
      <w:marTop w:val="0"/>
      <w:marBottom w:val="0"/>
      <w:divBdr>
        <w:top w:val="none" w:sz="0" w:space="0" w:color="auto"/>
        <w:left w:val="none" w:sz="0" w:space="0" w:color="auto"/>
        <w:bottom w:val="none" w:sz="0" w:space="0" w:color="auto"/>
        <w:right w:val="none" w:sz="0" w:space="0" w:color="auto"/>
      </w:divBdr>
    </w:div>
    <w:div w:id="384764253">
      <w:bodyDiv w:val="1"/>
      <w:marLeft w:val="0"/>
      <w:marRight w:val="0"/>
      <w:marTop w:val="0"/>
      <w:marBottom w:val="0"/>
      <w:divBdr>
        <w:top w:val="none" w:sz="0" w:space="0" w:color="auto"/>
        <w:left w:val="none" w:sz="0" w:space="0" w:color="auto"/>
        <w:bottom w:val="none" w:sz="0" w:space="0" w:color="auto"/>
        <w:right w:val="none" w:sz="0" w:space="0" w:color="auto"/>
      </w:divBdr>
    </w:div>
    <w:div w:id="388459321">
      <w:bodyDiv w:val="1"/>
      <w:marLeft w:val="0"/>
      <w:marRight w:val="0"/>
      <w:marTop w:val="0"/>
      <w:marBottom w:val="0"/>
      <w:divBdr>
        <w:top w:val="none" w:sz="0" w:space="0" w:color="auto"/>
        <w:left w:val="none" w:sz="0" w:space="0" w:color="auto"/>
        <w:bottom w:val="none" w:sz="0" w:space="0" w:color="auto"/>
        <w:right w:val="none" w:sz="0" w:space="0" w:color="auto"/>
      </w:divBdr>
    </w:div>
    <w:div w:id="392197374">
      <w:bodyDiv w:val="1"/>
      <w:marLeft w:val="0"/>
      <w:marRight w:val="0"/>
      <w:marTop w:val="0"/>
      <w:marBottom w:val="0"/>
      <w:divBdr>
        <w:top w:val="none" w:sz="0" w:space="0" w:color="auto"/>
        <w:left w:val="none" w:sz="0" w:space="0" w:color="auto"/>
        <w:bottom w:val="none" w:sz="0" w:space="0" w:color="auto"/>
        <w:right w:val="none" w:sz="0" w:space="0" w:color="auto"/>
      </w:divBdr>
    </w:div>
    <w:div w:id="405108349">
      <w:bodyDiv w:val="1"/>
      <w:marLeft w:val="0"/>
      <w:marRight w:val="0"/>
      <w:marTop w:val="0"/>
      <w:marBottom w:val="0"/>
      <w:divBdr>
        <w:top w:val="none" w:sz="0" w:space="0" w:color="auto"/>
        <w:left w:val="none" w:sz="0" w:space="0" w:color="auto"/>
        <w:bottom w:val="none" w:sz="0" w:space="0" w:color="auto"/>
        <w:right w:val="none" w:sz="0" w:space="0" w:color="auto"/>
      </w:divBdr>
    </w:div>
    <w:div w:id="424810873">
      <w:bodyDiv w:val="1"/>
      <w:marLeft w:val="0"/>
      <w:marRight w:val="0"/>
      <w:marTop w:val="0"/>
      <w:marBottom w:val="0"/>
      <w:divBdr>
        <w:top w:val="none" w:sz="0" w:space="0" w:color="auto"/>
        <w:left w:val="none" w:sz="0" w:space="0" w:color="auto"/>
        <w:bottom w:val="none" w:sz="0" w:space="0" w:color="auto"/>
        <w:right w:val="none" w:sz="0" w:space="0" w:color="auto"/>
      </w:divBdr>
    </w:div>
    <w:div w:id="467936713">
      <w:bodyDiv w:val="1"/>
      <w:marLeft w:val="0"/>
      <w:marRight w:val="0"/>
      <w:marTop w:val="0"/>
      <w:marBottom w:val="0"/>
      <w:divBdr>
        <w:top w:val="none" w:sz="0" w:space="0" w:color="auto"/>
        <w:left w:val="none" w:sz="0" w:space="0" w:color="auto"/>
        <w:bottom w:val="none" w:sz="0" w:space="0" w:color="auto"/>
        <w:right w:val="none" w:sz="0" w:space="0" w:color="auto"/>
      </w:divBdr>
    </w:div>
    <w:div w:id="535506314">
      <w:bodyDiv w:val="1"/>
      <w:marLeft w:val="0"/>
      <w:marRight w:val="0"/>
      <w:marTop w:val="0"/>
      <w:marBottom w:val="0"/>
      <w:divBdr>
        <w:top w:val="none" w:sz="0" w:space="0" w:color="auto"/>
        <w:left w:val="none" w:sz="0" w:space="0" w:color="auto"/>
        <w:bottom w:val="none" w:sz="0" w:space="0" w:color="auto"/>
        <w:right w:val="none" w:sz="0" w:space="0" w:color="auto"/>
      </w:divBdr>
    </w:div>
    <w:div w:id="544758696">
      <w:bodyDiv w:val="1"/>
      <w:marLeft w:val="0"/>
      <w:marRight w:val="0"/>
      <w:marTop w:val="0"/>
      <w:marBottom w:val="0"/>
      <w:divBdr>
        <w:top w:val="none" w:sz="0" w:space="0" w:color="auto"/>
        <w:left w:val="none" w:sz="0" w:space="0" w:color="auto"/>
        <w:bottom w:val="none" w:sz="0" w:space="0" w:color="auto"/>
        <w:right w:val="none" w:sz="0" w:space="0" w:color="auto"/>
      </w:divBdr>
    </w:div>
    <w:div w:id="554465904">
      <w:bodyDiv w:val="1"/>
      <w:marLeft w:val="0"/>
      <w:marRight w:val="0"/>
      <w:marTop w:val="0"/>
      <w:marBottom w:val="0"/>
      <w:divBdr>
        <w:top w:val="none" w:sz="0" w:space="0" w:color="auto"/>
        <w:left w:val="none" w:sz="0" w:space="0" w:color="auto"/>
        <w:bottom w:val="none" w:sz="0" w:space="0" w:color="auto"/>
        <w:right w:val="none" w:sz="0" w:space="0" w:color="auto"/>
      </w:divBdr>
    </w:div>
    <w:div w:id="577980103">
      <w:bodyDiv w:val="1"/>
      <w:marLeft w:val="0"/>
      <w:marRight w:val="0"/>
      <w:marTop w:val="0"/>
      <w:marBottom w:val="0"/>
      <w:divBdr>
        <w:top w:val="none" w:sz="0" w:space="0" w:color="auto"/>
        <w:left w:val="none" w:sz="0" w:space="0" w:color="auto"/>
        <w:bottom w:val="none" w:sz="0" w:space="0" w:color="auto"/>
        <w:right w:val="none" w:sz="0" w:space="0" w:color="auto"/>
      </w:divBdr>
    </w:div>
    <w:div w:id="594630574">
      <w:bodyDiv w:val="1"/>
      <w:marLeft w:val="0"/>
      <w:marRight w:val="0"/>
      <w:marTop w:val="0"/>
      <w:marBottom w:val="0"/>
      <w:divBdr>
        <w:top w:val="none" w:sz="0" w:space="0" w:color="auto"/>
        <w:left w:val="none" w:sz="0" w:space="0" w:color="auto"/>
        <w:bottom w:val="none" w:sz="0" w:space="0" w:color="auto"/>
        <w:right w:val="none" w:sz="0" w:space="0" w:color="auto"/>
      </w:divBdr>
    </w:div>
    <w:div w:id="673536466">
      <w:bodyDiv w:val="1"/>
      <w:marLeft w:val="0"/>
      <w:marRight w:val="0"/>
      <w:marTop w:val="0"/>
      <w:marBottom w:val="0"/>
      <w:divBdr>
        <w:top w:val="none" w:sz="0" w:space="0" w:color="auto"/>
        <w:left w:val="none" w:sz="0" w:space="0" w:color="auto"/>
        <w:bottom w:val="none" w:sz="0" w:space="0" w:color="auto"/>
        <w:right w:val="none" w:sz="0" w:space="0" w:color="auto"/>
      </w:divBdr>
    </w:div>
    <w:div w:id="696856753">
      <w:bodyDiv w:val="1"/>
      <w:marLeft w:val="0"/>
      <w:marRight w:val="0"/>
      <w:marTop w:val="0"/>
      <w:marBottom w:val="0"/>
      <w:divBdr>
        <w:top w:val="none" w:sz="0" w:space="0" w:color="auto"/>
        <w:left w:val="none" w:sz="0" w:space="0" w:color="auto"/>
        <w:bottom w:val="none" w:sz="0" w:space="0" w:color="auto"/>
        <w:right w:val="none" w:sz="0" w:space="0" w:color="auto"/>
      </w:divBdr>
    </w:div>
    <w:div w:id="704643652">
      <w:bodyDiv w:val="1"/>
      <w:marLeft w:val="0"/>
      <w:marRight w:val="0"/>
      <w:marTop w:val="0"/>
      <w:marBottom w:val="0"/>
      <w:divBdr>
        <w:top w:val="none" w:sz="0" w:space="0" w:color="auto"/>
        <w:left w:val="none" w:sz="0" w:space="0" w:color="auto"/>
        <w:bottom w:val="none" w:sz="0" w:space="0" w:color="auto"/>
        <w:right w:val="none" w:sz="0" w:space="0" w:color="auto"/>
      </w:divBdr>
    </w:div>
    <w:div w:id="730082439">
      <w:bodyDiv w:val="1"/>
      <w:marLeft w:val="0"/>
      <w:marRight w:val="0"/>
      <w:marTop w:val="0"/>
      <w:marBottom w:val="0"/>
      <w:divBdr>
        <w:top w:val="none" w:sz="0" w:space="0" w:color="auto"/>
        <w:left w:val="none" w:sz="0" w:space="0" w:color="auto"/>
        <w:bottom w:val="none" w:sz="0" w:space="0" w:color="auto"/>
        <w:right w:val="none" w:sz="0" w:space="0" w:color="auto"/>
      </w:divBdr>
    </w:div>
    <w:div w:id="742528723">
      <w:bodyDiv w:val="1"/>
      <w:marLeft w:val="0"/>
      <w:marRight w:val="0"/>
      <w:marTop w:val="0"/>
      <w:marBottom w:val="0"/>
      <w:divBdr>
        <w:top w:val="none" w:sz="0" w:space="0" w:color="auto"/>
        <w:left w:val="none" w:sz="0" w:space="0" w:color="auto"/>
        <w:bottom w:val="none" w:sz="0" w:space="0" w:color="auto"/>
        <w:right w:val="none" w:sz="0" w:space="0" w:color="auto"/>
      </w:divBdr>
    </w:div>
    <w:div w:id="752123305">
      <w:bodyDiv w:val="1"/>
      <w:marLeft w:val="0"/>
      <w:marRight w:val="0"/>
      <w:marTop w:val="0"/>
      <w:marBottom w:val="0"/>
      <w:divBdr>
        <w:top w:val="none" w:sz="0" w:space="0" w:color="auto"/>
        <w:left w:val="none" w:sz="0" w:space="0" w:color="auto"/>
        <w:bottom w:val="none" w:sz="0" w:space="0" w:color="auto"/>
        <w:right w:val="none" w:sz="0" w:space="0" w:color="auto"/>
      </w:divBdr>
    </w:div>
    <w:div w:id="815151003">
      <w:bodyDiv w:val="1"/>
      <w:marLeft w:val="0"/>
      <w:marRight w:val="0"/>
      <w:marTop w:val="0"/>
      <w:marBottom w:val="0"/>
      <w:divBdr>
        <w:top w:val="none" w:sz="0" w:space="0" w:color="auto"/>
        <w:left w:val="none" w:sz="0" w:space="0" w:color="auto"/>
        <w:bottom w:val="none" w:sz="0" w:space="0" w:color="auto"/>
        <w:right w:val="none" w:sz="0" w:space="0" w:color="auto"/>
      </w:divBdr>
    </w:div>
    <w:div w:id="822820671">
      <w:bodyDiv w:val="1"/>
      <w:marLeft w:val="0"/>
      <w:marRight w:val="0"/>
      <w:marTop w:val="0"/>
      <w:marBottom w:val="0"/>
      <w:divBdr>
        <w:top w:val="none" w:sz="0" w:space="0" w:color="auto"/>
        <w:left w:val="none" w:sz="0" w:space="0" w:color="auto"/>
        <w:bottom w:val="none" w:sz="0" w:space="0" w:color="auto"/>
        <w:right w:val="none" w:sz="0" w:space="0" w:color="auto"/>
      </w:divBdr>
    </w:div>
    <w:div w:id="835000765">
      <w:bodyDiv w:val="1"/>
      <w:marLeft w:val="0"/>
      <w:marRight w:val="0"/>
      <w:marTop w:val="0"/>
      <w:marBottom w:val="0"/>
      <w:divBdr>
        <w:top w:val="none" w:sz="0" w:space="0" w:color="auto"/>
        <w:left w:val="none" w:sz="0" w:space="0" w:color="auto"/>
        <w:bottom w:val="none" w:sz="0" w:space="0" w:color="auto"/>
        <w:right w:val="none" w:sz="0" w:space="0" w:color="auto"/>
      </w:divBdr>
    </w:div>
    <w:div w:id="853232595">
      <w:bodyDiv w:val="1"/>
      <w:marLeft w:val="0"/>
      <w:marRight w:val="0"/>
      <w:marTop w:val="0"/>
      <w:marBottom w:val="0"/>
      <w:divBdr>
        <w:top w:val="none" w:sz="0" w:space="0" w:color="auto"/>
        <w:left w:val="none" w:sz="0" w:space="0" w:color="auto"/>
        <w:bottom w:val="none" w:sz="0" w:space="0" w:color="auto"/>
        <w:right w:val="none" w:sz="0" w:space="0" w:color="auto"/>
      </w:divBdr>
    </w:div>
    <w:div w:id="853761817">
      <w:bodyDiv w:val="1"/>
      <w:marLeft w:val="0"/>
      <w:marRight w:val="0"/>
      <w:marTop w:val="0"/>
      <w:marBottom w:val="0"/>
      <w:divBdr>
        <w:top w:val="none" w:sz="0" w:space="0" w:color="auto"/>
        <w:left w:val="none" w:sz="0" w:space="0" w:color="auto"/>
        <w:bottom w:val="none" w:sz="0" w:space="0" w:color="auto"/>
        <w:right w:val="none" w:sz="0" w:space="0" w:color="auto"/>
      </w:divBdr>
    </w:div>
    <w:div w:id="857230158">
      <w:bodyDiv w:val="1"/>
      <w:marLeft w:val="0"/>
      <w:marRight w:val="0"/>
      <w:marTop w:val="0"/>
      <w:marBottom w:val="0"/>
      <w:divBdr>
        <w:top w:val="none" w:sz="0" w:space="0" w:color="auto"/>
        <w:left w:val="none" w:sz="0" w:space="0" w:color="auto"/>
        <w:bottom w:val="none" w:sz="0" w:space="0" w:color="auto"/>
        <w:right w:val="none" w:sz="0" w:space="0" w:color="auto"/>
      </w:divBdr>
    </w:div>
    <w:div w:id="904098111">
      <w:bodyDiv w:val="1"/>
      <w:marLeft w:val="0"/>
      <w:marRight w:val="0"/>
      <w:marTop w:val="0"/>
      <w:marBottom w:val="0"/>
      <w:divBdr>
        <w:top w:val="none" w:sz="0" w:space="0" w:color="auto"/>
        <w:left w:val="none" w:sz="0" w:space="0" w:color="auto"/>
        <w:bottom w:val="none" w:sz="0" w:space="0" w:color="auto"/>
        <w:right w:val="none" w:sz="0" w:space="0" w:color="auto"/>
      </w:divBdr>
    </w:div>
    <w:div w:id="989288064">
      <w:bodyDiv w:val="1"/>
      <w:marLeft w:val="0"/>
      <w:marRight w:val="0"/>
      <w:marTop w:val="0"/>
      <w:marBottom w:val="0"/>
      <w:divBdr>
        <w:top w:val="none" w:sz="0" w:space="0" w:color="auto"/>
        <w:left w:val="none" w:sz="0" w:space="0" w:color="auto"/>
        <w:bottom w:val="none" w:sz="0" w:space="0" w:color="auto"/>
        <w:right w:val="none" w:sz="0" w:space="0" w:color="auto"/>
      </w:divBdr>
    </w:div>
    <w:div w:id="1014962814">
      <w:bodyDiv w:val="1"/>
      <w:marLeft w:val="0"/>
      <w:marRight w:val="0"/>
      <w:marTop w:val="0"/>
      <w:marBottom w:val="0"/>
      <w:divBdr>
        <w:top w:val="none" w:sz="0" w:space="0" w:color="auto"/>
        <w:left w:val="none" w:sz="0" w:space="0" w:color="auto"/>
        <w:bottom w:val="none" w:sz="0" w:space="0" w:color="auto"/>
        <w:right w:val="none" w:sz="0" w:space="0" w:color="auto"/>
      </w:divBdr>
    </w:div>
    <w:div w:id="1024406612">
      <w:bodyDiv w:val="1"/>
      <w:marLeft w:val="0"/>
      <w:marRight w:val="0"/>
      <w:marTop w:val="0"/>
      <w:marBottom w:val="0"/>
      <w:divBdr>
        <w:top w:val="none" w:sz="0" w:space="0" w:color="auto"/>
        <w:left w:val="none" w:sz="0" w:space="0" w:color="auto"/>
        <w:bottom w:val="none" w:sz="0" w:space="0" w:color="auto"/>
        <w:right w:val="none" w:sz="0" w:space="0" w:color="auto"/>
      </w:divBdr>
    </w:div>
    <w:div w:id="1037438563">
      <w:bodyDiv w:val="1"/>
      <w:marLeft w:val="0"/>
      <w:marRight w:val="0"/>
      <w:marTop w:val="0"/>
      <w:marBottom w:val="0"/>
      <w:divBdr>
        <w:top w:val="none" w:sz="0" w:space="0" w:color="auto"/>
        <w:left w:val="none" w:sz="0" w:space="0" w:color="auto"/>
        <w:bottom w:val="none" w:sz="0" w:space="0" w:color="auto"/>
        <w:right w:val="none" w:sz="0" w:space="0" w:color="auto"/>
      </w:divBdr>
    </w:div>
    <w:div w:id="1060977756">
      <w:bodyDiv w:val="1"/>
      <w:marLeft w:val="0"/>
      <w:marRight w:val="0"/>
      <w:marTop w:val="0"/>
      <w:marBottom w:val="0"/>
      <w:divBdr>
        <w:top w:val="none" w:sz="0" w:space="0" w:color="auto"/>
        <w:left w:val="none" w:sz="0" w:space="0" w:color="auto"/>
        <w:bottom w:val="none" w:sz="0" w:space="0" w:color="auto"/>
        <w:right w:val="none" w:sz="0" w:space="0" w:color="auto"/>
      </w:divBdr>
    </w:div>
    <w:div w:id="1066802159">
      <w:bodyDiv w:val="1"/>
      <w:marLeft w:val="0"/>
      <w:marRight w:val="0"/>
      <w:marTop w:val="0"/>
      <w:marBottom w:val="0"/>
      <w:divBdr>
        <w:top w:val="none" w:sz="0" w:space="0" w:color="auto"/>
        <w:left w:val="none" w:sz="0" w:space="0" w:color="auto"/>
        <w:bottom w:val="none" w:sz="0" w:space="0" w:color="auto"/>
        <w:right w:val="none" w:sz="0" w:space="0" w:color="auto"/>
      </w:divBdr>
    </w:div>
    <w:div w:id="1072509950">
      <w:bodyDiv w:val="1"/>
      <w:marLeft w:val="0"/>
      <w:marRight w:val="0"/>
      <w:marTop w:val="0"/>
      <w:marBottom w:val="0"/>
      <w:divBdr>
        <w:top w:val="none" w:sz="0" w:space="0" w:color="auto"/>
        <w:left w:val="none" w:sz="0" w:space="0" w:color="auto"/>
        <w:bottom w:val="none" w:sz="0" w:space="0" w:color="auto"/>
        <w:right w:val="none" w:sz="0" w:space="0" w:color="auto"/>
      </w:divBdr>
    </w:div>
    <w:div w:id="1079985365">
      <w:bodyDiv w:val="1"/>
      <w:marLeft w:val="0"/>
      <w:marRight w:val="0"/>
      <w:marTop w:val="0"/>
      <w:marBottom w:val="0"/>
      <w:divBdr>
        <w:top w:val="none" w:sz="0" w:space="0" w:color="auto"/>
        <w:left w:val="none" w:sz="0" w:space="0" w:color="auto"/>
        <w:bottom w:val="none" w:sz="0" w:space="0" w:color="auto"/>
        <w:right w:val="none" w:sz="0" w:space="0" w:color="auto"/>
      </w:divBdr>
    </w:div>
    <w:div w:id="1095708679">
      <w:bodyDiv w:val="1"/>
      <w:marLeft w:val="0"/>
      <w:marRight w:val="0"/>
      <w:marTop w:val="0"/>
      <w:marBottom w:val="0"/>
      <w:divBdr>
        <w:top w:val="none" w:sz="0" w:space="0" w:color="auto"/>
        <w:left w:val="none" w:sz="0" w:space="0" w:color="auto"/>
        <w:bottom w:val="none" w:sz="0" w:space="0" w:color="auto"/>
        <w:right w:val="none" w:sz="0" w:space="0" w:color="auto"/>
      </w:divBdr>
    </w:div>
    <w:div w:id="1281186451">
      <w:bodyDiv w:val="1"/>
      <w:marLeft w:val="0"/>
      <w:marRight w:val="0"/>
      <w:marTop w:val="0"/>
      <w:marBottom w:val="0"/>
      <w:divBdr>
        <w:top w:val="none" w:sz="0" w:space="0" w:color="auto"/>
        <w:left w:val="none" w:sz="0" w:space="0" w:color="auto"/>
        <w:bottom w:val="none" w:sz="0" w:space="0" w:color="auto"/>
        <w:right w:val="none" w:sz="0" w:space="0" w:color="auto"/>
      </w:divBdr>
    </w:div>
    <w:div w:id="1283999493">
      <w:bodyDiv w:val="1"/>
      <w:marLeft w:val="0"/>
      <w:marRight w:val="0"/>
      <w:marTop w:val="0"/>
      <w:marBottom w:val="0"/>
      <w:divBdr>
        <w:top w:val="none" w:sz="0" w:space="0" w:color="auto"/>
        <w:left w:val="none" w:sz="0" w:space="0" w:color="auto"/>
        <w:bottom w:val="none" w:sz="0" w:space="0" w:color="auto"/>
        <w:right w:val="none" w:sz="0" w:space="0" w:color="auto"/>
      </w:divBdr>
    </w:div>
    <w:div w:id="1303657167">
      <w:bodyDiv w:val="1"/>
      <w:marLeft w:val="0"/>
      <w:marRight w:val="0"/>
      <w:marTop w:val="0"/>
      <w:marBottom w:val="0"/>
      <w:divBdr>
        <w:top w:val="none" w:sz="0" w:space="0" w:color="auto"/>
        <w:left w:val="none" w:sz="0" w:space="0" w:color="auto"/>
        <w:bottom w:val="none" w:sz="0" w:space="0" w:color="auto"/>
        <w:right w:val="none" w:sz="0" w:space="0" w:color="auto"/>
      </w:divBdr>
    </w:div>
    <w:div w:id="1331905676">
      <w:bodyDiv w:val="1"/>
      <w:marLeft w:val="0"/>
      <w:marRight w:val="0"/>
      <w:marTop w:val="0"/>
      <w:marBottom w:val="0"/>
      <w:divBdr>
        <w:top w:val="none" w:sz="0" w:space="0" w:color="auto"/>
        <w:left w:val="none" w:sz="0" w:space="0" w:color="auto"/>
        <w:bottom w:val="none" w:sz="0" w:space="0" w:color="auto"/>
        <w:right w:val="none" w:sz="0" w:space="0" w:color="auto"/>
      </w:divBdr>
    </w:div>
    <w:div w:id="1356272269">
      <w:bodyDiv w:val="1"/>
      <w:marLeft w:val="0"/>
      <w:marRight w:val="0"/>
      <w:marTop w:val="0"/>
      <w:marBottom w:val="0"/>
      <w:divBdr>
        <w:top w:val="none" w:sz="0" w:space="0" w:color="auto"/>
        <w:left w:val="none" w:sz="0" w:space="0" w:color="auto"/>
        <w:bottom w:val="none" w:sz="0" w:space="0" w:color="auto"/>
        <w:right w:val="none" w:sz="0" w:space="0" w:color="auto"/>
      </w:divBdr>
    </w:div>
    <w:div w:id="1362130873">
      <w:bodyDiv w:val="1"/>
      <w:marLeft w:val="0"/>
      <w:marRight w:val="0"/>
      <w:marTop w:val="0"/>
      <w:marBottom w:val="0"/>
      <w:divBdr>
        <w:top w:val="none" w:sz="0" w:space="0" w:color="auto"/>
        <w:left w:val="none" w:sz="0" w:space="0" w:color="auto"/>
        <w:bottom w:val="none" w:sz="0" w:space="0" w:color="auto"/>
        <w:right w:val="none" w:sz="0" w:space="0" w:color="auto"/>
      </w:divBdr>
    </w:div>
    <w:div w:id="1402483149">
      <w:bodyDiv w:val="1"/>
      <w:marLeft w:val="0"/>
      <w:marRight w:val="0"/>
      <w:marTop w:val="0"/>
      <w:marBottom w:val="0"/>
      <w:divBdr>
        <w:top w:val="none" w:sz="0" w:space="0" w:color="auto"/>
        <w:left w:val="none" w:sz="0" w:space="0" w:color="auto"/>
        <w:bottom w:val="none" w:sz="0" w:space="0" w:color="auto"/>
        <w:right w:val="none" w:sz="0" w:space="0" w:color="auto"/>
      </w:divBdr>
    </w:div>
    <w:div w:id="1418987419">
      <w:bodyDiv w:val="1"/>
      <w:marLeft w:val="0"/>
      <w:marRight w:val="0"/>
      <w:marTop w:val="0"/>
      <w:marBottom w:val="0"/>
      <w:divBdr>
        <w:top w:val="none" w:sz="0" w:space="0" w:color="auto"/>
        <w:left w:val="none" w:sz="0" w:space="0" w:color="auto"/>
        <w:bottom w:val="none" w:sz="0" w:space="0" w:color="auto"/>
        <w:right w:val="none" w:sz="0" w:space="0" w:color="auto"/>
      </w:divBdr>
    </w:div>
    <w:div w:id="1423916405">
      <w:bodyDiv w:val="1"/>
      <w:marLeft w:val="0"/>
      <w:marRight w:val="0"/>
      <w:marTop w:val="0"/>
      <w:marBottom w:val="0"/>
      <w:divBdr>
        <w:top w:val="none" w:sz="0" w:space="0" w:color="auto"/>
        <w:left w:val="none" w:sz="0" w:space="0" w:color="auto"/>
        <w:bottom w:val="none" w:sz="0" w:space="0" w:color="auto"/>
        <w:right w:val="none" w:sz="0" w:space="0" w:color="auto"/>
      </w:divBdr>
    </w:div>
    <w:div w:id="1457717900">
      <w:bodyDiv w:val="1"/>
      <w:marLeft w:val="0"/>
      <w:marRight w:val="0"/>
      <w:marTop w:val="0"/>
      <w:marBottom w:val="0"/>
      <w:divBdr>
        <w:top w:val="none" w:sz="0" w:space="0" w:color="auto"/>
        <w:left w:val="none" w:sz="0" w:space="0" w:color="auto"/>
        <w:bottom w:val="none" w:sz="0" w:space="0" w:color="auto"/>
        <w:right w:val="none" w:sz="0" w:space="0" w:color="auto"/>
      </w:divBdr>
    </w:div>
    <w:div w:id="1536233274">
      <w:bodyDiv w:val="1"/>
      <w:marLeft w:val="0"/>
      <w:marRight w:val="0"/>
      <w:marTop w:val="0"/>
      <w:marBottom w:val="0"/>
      <w:divBdr>
        <w:top w:val="none" w:sz="0" w:space="0" w:color="auto"/>
        <w:left w:val="none" w:sz="0" w:space="0" w:color="auto"/>
        <w:bottom w:val="none" w:sz="0" w:space="0" w:color="auto"/>
        <w:right w:val="none" w:sz="0" w:space="0" w:color="auto"/>
      </w:divBdr>
    </w:div>
    <w:div w:id="1610510226">
      <w:bodyDiv w:val="1"/>
      <w:marLeft w:val="0"/>
      <w:marRight w:val="0"/>
      <w:marTop w:val="0"/>
      <w:marBottom w:val="0"/>
      <w:divBdr>
        <w:top w:val="none" w:sz="0" w:space="0" w:color="auto"/>
        <w:left w:val="none" w:sz="0" w:space="0" w:color="auto"/>
        <w:bottom w:val="none" w:sz="0" w:space="0" w:color="auto"/>
        <w:right w:val="none" w:sz="0" w:space="0" w:color="auto"/>
      </w:divBdr>
    </w:div>
    <w:div w:id="1650211035">
      <w:bodyDiv w:val="1"/>
      <w:marLeft w:val="0"/>
      <w:marRight w:val="0"/>
      <w:marTop w:val="0"/>
      <w:marBottom w:val="0"/>
      <w:divBdr>
        <w:top w:val="none" w:sz="0" w:space="0" w:color="auto"/>
        <w:left w:val="none" w:sz="0" w:space="0" w:color="auto"/>
        <w:bottom w:val="none" w:sz="0" w:space="0" w:color="auto"/>
        <w:right w:val="none" w:sz="0" w:space="0" w:color="auto"/>
      </w:divBdr>
    </w:div>
    <w:div w:id="1674797173">
      <w:bodyDiv w:val="1"/>
      <w:marLeft w:val="0"/>
      <w:marRight w:val="0"/>
      <w:marTop w:val="0"/>
      <w:marBottom w:val="0"/>
      <w:divBdr>
        <w:top w:val="none" w:sz="0" w:space="0" w:color="auto"/>
        <w:left w:val="none" w:sz="0" w:space="0" w:color="auto"/>
        <w:bottom w:val="none" w:sz="0" w:space="0" w:color="auto"/>
        <w:right w:val="none" w:sz="0" w:space="0" w:color="auto"/>
      </w:divBdr>
    </w:div>
    <w:div w:id="1711878018">
      <w:bodyDiv w:val="1"/>
      <w:marLeft w:val="0"/>
      <w:marRight w:val="0"/>
      <w:marTop w:val="0"/>
      <w:marBottom w:val="0"/>
      <w:divBdr>
        <w:top w:val="none" w:sz="0" w:space="0" w:color="auto"/>
        <w:left w:val="none" w:sz="0" w:space="0" w:color="auto"/>
        <w:bottom w:val="none" w:sz="0" w:space="0" w:color="auto"/>
        <w:right w:val="none" w:sz="0" w:space="0" w:color="auto"/>
      </w:divBdr>
    </w:div>
    <w:div w:id="1716268719">
      <w:bodyDiv w:val="1"/>
      <w:marLeft w:val="0"/>
      <w:marRight w:val="0"/>
      <w:marTop w:val="0"/>
      <w:marBottom w:val="0"/>
      <w:divBdr>
        <w:top w:val="none" w:sz="0" w:space="0" w:color="auto"/>
        <w:left w:val="none" w:sz="0" w:space="0" w:color="auto"/>
        <w:bottom w:val="none" w:sz="0" w:space="0" w:color="auto"/>
        <w:right w:val="none" w:sz="0" w:space="0" w:color="auto"/>
      </w:divBdr>
    </w:div>
    <w:div w:id="1731884363">
      <w:bodyDiv w:val="1"/>
      <w:marLeft w:val="0"/>
      <w:marRight w:val="0"/>
      <w:marTop w:val="0"/>
      <w:marBottom w:val="0"/>
      <w:divBdr>
        <w:top w:val="none" w:sz="0" w:space="0" w:color="auto"/>
        <w:left w:val="none" w:sz="0" w:space="0" w:color="auto"/>
        <w:bottom w:val="none" w:sz="0" w:space="0" w:color="auto"/>
        <w:right w:val="none" w:sz="0" w:space="0" w:color="auto"/>
      </w:divBdr>
    </w:div>
    <w:div w:id="1761564918">
      <w:bodyDiv w:val="1"/>
      <w:marLeft w:val="0"/>
      <w:marRight w:val="0"/>
      <w:marTop w:val="0"/>
      <w:marBottom w:val="0"/>
      <w:divBdr>
        <w:top w:val="none" w:sz="0" w:space="0" w:color="auto"/>
        <w:left w:val="none" w:sz="0" w:space="0" w:color="auto"/>
        <w:bottom w:val="none" w:sz="0" w:space="0" w:color="auto"/>
        <w:right w:val="none" w:sz="0" w:space="0" w:color="auto"/>
      </w:divBdr>
    </w:div>
    <w:div w:id="1787507144">
      <w:bodyDiv w:val="1"/>
      <w:marLeft w:val="0"/>
      <w:marRight w:val="0"/>
      <w:marTop w:val="0"/>
      <w:marBottom w:val="0"/>
      <w:divBdr>
        <w:top w:val="none" w:sz="0" w:space="0" w:color="auto"/>
        <w:left w:val="none" w:sz="0" w:space="0" w:color="auto"/>
        <w:bottom w:val="none" w:sz="0" w:space="0" w:color="auto"/>
        <w:right w:val="none" w:sz="0" w:space="0" w:color="auto"/>
      </w:divBdr>
    </w:div>
    <w:div w:id="1797065449">
      <w:bodyDiv w:val="1"/>
      <w:marLeft w:val="0"/>
      <w:marRight w:val="0"/>
      <w:marTop w:val="0"/>
      <w:marBottom w:val="0"/>
      <w:divBdr>
        <w:top w:val="none" w:sz="0" w:space="0" w:color="auto"/>
        <w:left w:val="none" w:sz="0" w:space="0" w:color="auto"/>
        <w:bottom w:val="none" w:sz="0" w:space="0" w:color="auto"/>
        <w:right w:val="none" w:sz="0" w:space="0" w:color="auto"/>
      </w:divBdr>
    </w:div>
    <w:div w:id="1829205683">
      <w:bodyDiv w:val="1"/>
      <w:marLeft w:val="0"/>
      <w:marRight w:val="0"/>
      <w:marTop w:val="0"/>
      <w:marBottom w:val="0"/>
      <w:divBdr>
        <w:top w:val="none" w:sz="0" w:space="0" w:color="auto"/>
        <w:left w:val="none" w:sz="0" w:space="0" w:color="auto"/>
        <w:bottom w:val="none" w:sz="0" w:space="0" w:color="auto"/>
        <w:right w:val="none" w:sz="0" w:space="0" w:color="auto"/>
      </w:divBdr>
    </w:div>
    <w:div w:id="1848252665">
      <w:bodyDiv w:val="1"/>
      <w:marLeft w:val="0"/>
      <w:marRight w:val="0"/>
      <w:marTop w:val="0"/>
      <w:marBottom w:val="0"/>
      <w:divBdr>
        <w:top w:val="none" w:sz="0" w:space="0" w:color="auto"/>
        <w:left w:val="none" w:sz="0" w:space="0" w:color="auto"/>
        <w:bottom w:val="none" w:sz="0" w:space="0" w:color="auto"/>
        <w:right w:val="none" w:sz="0" w:space="0" w:color="auto"/>
      </w:divBdr>
    </w:div>
    <w:div w:id="1873572424">
      <w:bodyDiv w:val="1"/>
      <w:marLeft w:val="0"/>
      <w:marRight w:val="0"/>
      <w:marTop w:val="0"/>
      <w:marBottom w:val="0"/>
      <w:divBdr>
        <w:top w:val="none" w:sz="0" w:space="0" w:color="auto"/>
        <w:left w:val="none" w:sz="0" w:space="0" w:color="auto"/>
        <w:bottom w:val="none" w:sz="0" w:space="0" w:color="auto"/>
        <w:right w:val="none" w:sz="0" w:space="0" w:color="auto"/>
      </w:divBdr>
    </w:div>
    <w:div w:id="1881354547">
      <w:bodyDiv w:val="1"/>
      <w:marLeft w:val="0"/>
      <w:marRight w:val="0"/>
      <w:marTop w:val="0"/>
      <w:marBottom w:val="0"/>
      <w:divBdr>
        <w:top w:val="none" w:sz="0" w:space="0" w:color="auto"/>
        <w:left w:val="none" w:sz="0" w:space="0" w:color="auto"/>
        <w:bottom w:val="none" w:sz="0" w:space="0" w:color="auto"/>
        <w:right w:val="none" w:sz="0" w:space="0" w:color="auto"/>
      </w:divBdr>
    </w:div>
    <w:div w:id="1886408736">
      <w:bodyDiv w:val="1"/>
      <w:marLeft w:val="0"/>
      <w:marRight w:val="0"/>
      <w:marTop w:val="0"/>
      <w:marBottom w:val="0"/>
      <w:divBdr>
        <w:top w:val="none" w:sz="0" w:space="0" w:color="auto"/>
        <w:left w:val="none" w:sz="0" w:space="0" w:color="auto"/>
        <w:bottom w:val="none" w:sz="0" w:space="0" w:color="auto"/>
        <w:right w:val="none" w:sz="0" w:space="0" w:color="auto"/>
      </w:divBdr>
    </w:div>
    <w:div w:id="1895771246">
      <w:bodyDiv w:val="1"/>
      <w:marLeft w:val="0"/>
      <w:marRight w:val="0"/>
      <w:marTop w:val="0"/>
      <w:marBottom w:val="0"/>
      <w:divBdr>
        <w:top w:val="none" w:sz="0" w:space="0" w:color="auto"/>
        <w:left w:val="none" w:sz="0" w:space="0" w:color="auto"/>
        <w:bottom w:val="none" w:sz="0" w:space="0" w:color="auto"/>
        <w:right w:val="none" w:sz="0" w:space="0" w:color="auto"/>
      </w:divBdr>
    </w:div>
    <w:div w:id="1917086542">
      <w:bodyDiv w:val="1"/>
      <w:marLeft w:val="0"/>
      <w:marRight w:val="0"/>
      <w:marTop w:val="0"/>
      <w:marBottom w:val="0"/>
      <w:divBdr>
        <w:top w:val="none" w:sz="0" w:space="0" w:color="auto"/>
        <w:left w:val="none" w:sz="0" w:space="0" w:color="auto"/>
        <w:bottom w:val="none" w:sz="0" w:space="0" w:color="auto"/>
        <w:right w:val="none" w:sz="0" w:space="0" w:color="auto"/>
      </w:divBdr>
    </w:div>
    <w:div w:id="1927807008">
      <w:bodyDiv w:val="1"/>
      <w:marLeft w:val="0"/>
      <w:marRight w:val="0"/>
      <w:marTop w:val="0"/>
      <w:marBottom w:val="0"/>
      <w:divBdr>
        <w:top w:val="none" w:sz="0" w:space="0" w:color="auto"/>
        <w:left w:val="none" w:sz="0" w:space="0" w:color="auto"/>
        <w:bottom w:val="none" w:sz="0" w:space="0" w:color="auto"/>
        <w:right w:val="none" w:sz="0" w:space="0" w:color="auto"/>
      </w:divBdr>
    </w:div>
    <w:div w:id="1936284901">
      <w:bodyDiv w:val="1"/>
      <w:marLeft w:val="0"/>
      <w:marRight w:val="0"/>
      <w:marTop w:val="0"/>
      <w:marBottom w:val="0"/>
      <w:divBdr>
        <w:top w:val="none" w:sz="0" w:space="0" w:color="auto"/>
        <w:left w:val="none" w:sz="0" w:space="0" w:color="auto"/>
        <w:bottom w:val="none" w:sz="0" w:space="0" w:color="auto"/>
        <w:right w:val="none" w:sz="0" w:space="0" w:color="auto"/>
      </w:divBdr>
    </w:div>
    <w:div w:id="1940212033">
      <w:bodyDiv w:val="1"/>
      <w:marLeft w:val="0"/>
      <w:marRight w:val="0"/>
      <w:marTop w:val="0"/>
      <w:marBottom w:val="0"/>
      <w:divBdr>
        <w:top w:val="none" w:sz="0" w:space="0" w:color="auto"/>
        <w:left w:val="none" w:sz="0" w:space="0" w:color="auto"/>
        <w:bottom w:val="none" w:sz="0" w:space="0" w:color="auto"/>
        <w:right w:val="none" w:sz="0" w:space="0" w:color="auto"/>
      </w:divBdr>
    </w:div>
    <w:div w:id="1982076083">
      <w:bodyDiv w:val="1"/>
      <w:marLeft w:val="0"/>
      <w:marRight w:val="0"/>
      <w:marTop w:val="0"/>
      <w:marBottom w:val="0"/>
      <w:divBdr>
        <w:top w:val="none" w:sz="0" w:space="0" w:color="auto"/>
        <w:left w:val="none" w:sz="0" w:space="0" w:color="auto"/>
        <w:bottom w:val="none" w:sz="0" w:space="0" w:color="auto"/>
        <w:right w:val="none" w:sz="0" w:space="0" w:color="auto"/>
      </w:divBdr>
    </w:div>
    <w:div w:id="1994410398">
      <w:bodyDiv w:val="1"/>
      <w:marLeft w:val="0"/>
      <w:marRight w:val="0"/>
      <w:marTop w:val="0"/>
      <w:marBottom w:val="0"/>
      <w:divBdr>
        <w:top w:val="none" w:sz="0" w:space="0" w:color="auto"/>
        <w:left w:val="none" w:sz="0" w:space="0" w:color="auto"/>
        <w:bottom w:val="none" w:sz="0" w:space="0" w:color="auto"/>
        <w:right w:val="none" w:sz="0" w:space="0" w:color="auto"/>
      </w:divBdr>
    </w:div>
    <w:div w:id="2039038460">
      <w:bodyDiv w:val="1"/>
      <w:marLeft w:val="0"/>
      <w:marRight w:val="0"/>
      <w:marTop w:val="0"/>
      <w:marBottom w:val="0"/>
      <w:divBdr>
        <w:top w:val="none" w:sz="0" w:space="0" w:color="auto"/>
        <w:left w:val="none" w:sz="0" w:space="0" w:color="auto"/>
        <w:bottom w:val="none" w:sz="0" w:space="0" w:color="auto"/>
        <w:right w:val="none" w:sz="0" w:space="0" w:color="auto"/>
      </w:divBdr>
    </w:div>
    <w:div w:id="2082020799">
      <w:bodyDiv w:val="1"/>
      <w:marLeft w:val="0"/>
      <w:marRight w:val="0"/>
      <w:marTop w:val="0"/>
      <w:marBottom w:val="0"/>
      <w:divBdr>
        <w:top w:val="none" w:sz="0" w:space="0" w:color="auto"/>
        <w:left w:val="none" w:sz="0" w:space="0" w:color="auto"/>
        <w:bottom w:val="none" w:sz="0" w:space="0" w:color="auto"/>
        <w:right w:val="none" w:sz="0" w:space="0" w:color="auto"/>
      </w:divBdr>
    </w:div>
    <w:div w:id="2096240937">
      <w:bodyDiv w:val="1"/>
      <w:marLeft w:val="0"/>
      <w:marRight w:val="0"/>
      <w:marTop w:val="0"/>
      <w:marBottom w:val="0"/>
      <w:divBdr>
        <w:top w:val="none" w:sz="0" w:space="0" w:color="auto"/>
        <w:left w:val="none" w:sz="0" w:space="0" w:color="auto"/>
        <w:bottom w:val="none" w:sz="0" w:space="0" w:color="auto"/>
        <w:right w:val="none" w:sz="0" w:space="0" w:color="auto"/>
      </w:divBdr>
    </w:div>
    <w:div w:id="2101829486">
      <w:bodyDiv w:val="1"/>
      <w:marLeft w:val="0"/>
      <w:marRight w:val="0"/>
      <w:marTop w:val="0"/>
      <w:marBottom w:val="0"/>
      <w:divBdr>
        <w:top w:val="none" w:sz="0" w:space="0" w:color="auto"/>
        <w:left w:val="none" w:sz="0" w:space="0" w:color="auto"/>
        <w:bottom w:val="none" w:sz="0" w:space="0" w:color="auto"/>
        <w:right w:val="none" w:sz="0" w:space="0" w:color="auto"/>
      </w:divBdr>
    </w:div>
    <w:div w:id="21269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Theme1">
  <a:themeElements>
    <a:clrScheme name="Standard Chartered Template">
      <a:dk1>
        <a:srgbClr val="005C84"/>
      </a:dk1>
      <a:lt1>
        <a:sysClr val="window" lastClr="FFFFFF"/>
      </a:lt1>
      <a:dk2>
        <a:srgbClr val="000F46"/>
      </a:dk2>
      <a:lt2>
        <a:srgbClr val="E6E7E8"/>
      </a:lt2>
      <a:accent1>
        <a:srgbClr val="0075B0"/>
      </a:accent1>
      <a:accent2>
        <a:srgbClr val="009FDA"/>
      </a:accent2>
      <a:accent3>
        <a:srgbClr val="3F9C35"/>
      </a:accent3>
      <a:accent4>
        <a:srgbClr val="69BE28"/>
      </a:accent4>
      <a:accent5>
        <a:srgbClr val="6D6E71"/>
      </a:accent5>
      <a:accent6>
        <a:srgbClr val="939598"/>
      </a:accent6>
      <a:hlink>
        <a:srgbClr val="6D6E71"/>
      </a:hlink>
      <a:folHlink>
        <a:srgbClr val="2890C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Chartered_GlobalTemplate" id="{8AA814C4-A578-42A8-85A9-298523698715}" vid="{F837474E-8CD5-4CDA-B6A2-5B081F46A0D7}"/>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3KAvbGL//72x1YUywCeYIoe/rns8GNx/Cz+UD/icowI=</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YX992v+s5UMrSig+im/P5lMf1NjLgNLT2NGW0vH5f4c=</DigestValue>
    </Reference>
  </SignedInfo>
  <SignatureValue>I7Axu+7eR5WEfAE7vv7L620WvkCGiwI3HT7mz7wBCdWDU9v+g4MyEFnT5atjK63xqr7+bY1vzNdf
HY5NBbgxIbWv8TxTYuPO9fldXeodEQgZZnaU3jlh2mI53mAGv9/B44QvhRBXw5G0SUf3R8ZmwBhS
Bg+lwgjpN+s5oC9SxdXwNvA+ngV/v2y/WvZqRdxoc/BC2Sj/crCxEZ9Rs3MVl5zNZkdGCqrj5O+b
fCBECE6pUPoIUcURXDzGVmdZGo/lmQlVJ/m4w8pglEquJ2C//3/Jk1vaklVOqNpjG+XMOjlbxS/9
LxHzkLF19i9D3O98kqKfBX7ENwvyrfiupqsPDA==</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XgwbH1hE78/dlphBvgHWczi3NlI5vHvn0kt6ntpQkK8=</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AU7P79y9r1rFk1OxGJrQ4Rydd9p8tpEltUJKEjIKBeg=</DigestValue>
      </Reference>
      <Reference URI="/word/embeddings/Microsoft_Excel_Worksheet.xlsx?ContentType=application/vnd.openxmlformats-officedocument.spreadsheetml.sheet">
        <DigestMethod Algorithm="http://www.w3.org/2001/04/xmlenc#sha256"/>
        <DigestValue>iIC4PCmPmxQD01hcyKjwcAROLQUyRr/mDrOlLnryugU=</DigestValue>
      </Reference>
      <Reference URI="/word/endnotes.xml?ContentType=application/vnd.openxmlformats-officedocument.wordprocessingml.endnotes+xml">
        <DigestMethod Algorithm="http://www.w3.org/2001/04/xmlenc#sha256"/>
        <DigestValue>+dCpiMJKLa6VteSmSyzmg8GrqmnWV3G9GOwNNaNPbE8=</DigestValue>
      </Reference>
      <Reference URI="/word/fontTable.xml?ContentType=application/vnd.openxmlformats-officedocument.wordprocessingml.fontTable+xml">
        <DigestMethod Algorithm="http://www.w3.org/2001/04/xmlenc#sha256"/>
        <DigestValue>dA8/i9RbsYsZ47k3+Ttz08OcdlDdmbyYJ2f//r1JMRM=</DigestValue>
      </Reference>
      <Reference URI="/word/footer1.xml?ContentType=application/vnd.openxmlformats-officedocument.wordprocessingml.footer+xml">
        <DigestMethod Algorithm="http://www.w3.org/2001/04/xmlenc#sha256"/>
        <DigestValue>t3GYwSn7l0Qo+rLflFr/2RYrm0Lc/991HIiR+bVDlAY=</DigestValue>
      </Reference>
      <Reference URI="/word/footer2.xml?ContentType=application/vnd.openxmlformats-officedocument.wordprocessingml.footer+xml">
        <DigestMethod Algorithm="http://www.w3.org/2001/04/xmlenc#sha256"/>
        <DigestValue>k0whro+1dvvHnyVE7Flhh0dnqOrBvu/SRDDgD04sPEQ=</DigestValue>
      </Reference>
      <Reference URI="/word/footer3.xml?ContentType=application/vnd.openxmlformats-officedocument.wordprocessingml.footer+xml">
        <DigestMethod Algorithm="http://www.w3.org/2001/04/xmlenc#sha256"/>
        <DigestValue>SmP91kmWC0JPG4eEKVz4qb+YoHiw1BC19MiL6eK252c=</DigestValue>
      </Reference>
      <Reference URI="/word/footnotes.xml?ContentType=application/vnd.openxmlformats-officedocument.wordprocessingml.footnotes+xml">
        <DigestMethod Algorithm="http://www.w3.org/2001/04/xmlenc#sha256"/>
        <DigestValue>DpYuq8U/9hae6BhcAB29lUVKS9XndQ5hCzuT3BHro58=</DigestValue>
      </Reference>
      <Reference URI="/word/header1.xml?ContentType=application/vnd.openxmlformats-officedocument.wordprocessingml.header+xml">
        <DigestMethod Algorithm="http://www.w3.org/2001/04/xmlenc#sha256"/>
        <DigestValue>6w2Go/NIy2ewgaA+nAtb3Xb+6p7IFTCkp+LDNR+wbA4=</DigestValue>
      </Reference>
      <Reference URI="/word/header2.xml?ContentType=application/vnd.openxmlformats-officedocument.wordprocessingml.header+xml">
        <DigestMethod Algorithm="http://www.w3.org/2001/04/xmlenc#sha256"/>
        <DigestValue>X+vJ2WdsQeL4eeY7FPRdeW4ki2hnf/QQHAkqYNCbun8=</DigestValue>
      </Reference>
      <Reference URI="/word/header3.xml?ContentType=application/vnd.openxmlformats-officedocument.wordprocessingml.header+xml">
        <DigestMethod Algorithm="http://www.w3.org/2001/04/xmlenc#sha256"/>
        <DigestValue>j5Sf/AhGb1Tcsv5SFSQdhH53lVAlmYGR7KHJCuxL3mc=</DigestValue>
      </Reference>
      <Reference URI="/word/media/image1.emf?ContentType=image/x-emf">
        <DigestMethod Algorithm="http://www.w3.org/2001/04/xmlenc#sha256"/>
        <DigestValue>qTrTncBdmqRSmlm5u95TM16qdIrArbxxGtCw7r/9hHI=</DigestValue>
      </Reference>
      <Reference URI="/word/numbering.xml?ContentType=application/vnd.openxmlformats-officedocument.wordprocessingml.numbering+xml">
        <DigestMethod Algorithm="http://www.w3.org/2001/04/xmlenc#sha256"/>
        <DigestValue>PciGYlGZ99sLcfg3VkoySnNQcWLFXWh4nWQHHnlwncE=</DigestValue>
      </Reference>
      <Reference URI="/word/settings.xml?ContentType=application/vnd.openxmlformats-officedocument.wordprocessingml.settings+xml">
        <DigestMethod Algorithm="http://www.w3.org/2001/04/xmlenc#sha256"/>
        <DigestValue>Pp06PtlnfZi02dr4T3bGyEfwFapGz81+hez4iL0Te3c=</DigestValue>
      </Reference>
      <Reference URI="/word/styles.xml?ContentType=application/vnd.openxmlformats-officedocument.wordprocessingml.styles+xml">
        <DigestMethod Algorithm="http://www.w3.org/2001/04/xmlenc#sha256"/>
        <DigestValue>wiBJpgNmEipjgTjNhsXGzZfS7WZ73SjYrdBWdiu9hU4=</DigestValue>
      </Reference>
      <Reference URI="/word/theme/theme1.xml?ContentType=application/vnd.openxmlformats-officedocument.theme+xml">
        <DigestMethod Algorithm="http://www.w3.org/2001/04/xmlenc#sha256"/>
        <DigestValue>ouCrriDkDpWZdUt0hSojp8Jl5eLrHfxYZVoHwZpst7s=</DigestValue>
      </Reference>
      <Reference URI="/word/webSettings.xml?ContentType=application/vnd.openxmlformats-officedocument.wordprocessingml.webSettings+xml">
        <DigestMethod Algorithm="http://www.w3.org/2001/04/xmlenc#sha256"/>
        <DigestValue>czsQbweadOTPlFvSguvaD/gl9YfljaW2fG7Yt0+fGgo=</DigestValue>
      </Reference>
    </Manifest>
    <SignatureProperties>
      <SignatureProperty Id="idSignatureTime" Target="#idPackageSignature">
        <mdssi:SignatureTime xmlns:mdssi="http://schemas.openxmlformats.org/package/2006/digital-signature">
          <mdssi:Format>YYYY-MM-DDThh:mm:ssTZD</mdssi:Format>
          <mdssi:Value>2025-04-17T11:04:25Z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2025-04-17T11:04:25Z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0E572-66C2-471D-98D3-B130AA9CFA32}">
  <ds:schemaRefs>
    <ds:schemaRef ds:uri="http://schemas.openxmlformats.org/officeDocument/2006/bibliography"/>
  </ds:schemaRefs>
</ds:datastoreItem>
</file>

<file path=docMetadata/LabelInfo.xml><?xml version="1.0" encoding="utf-8"?>
<clbl:labelList xmlns:clbl="http://schemas.microsoft.com/office/2020/mipLabelMetadata">
  <clbl:label id="{76274c26-8161-4bde-aa07-b2b522e14278}" enabled="1" method="Privileged" siteId="{b44900f1-2def-4c3b-9ec6-9020d604e19e}" removed="0"/>
</clbl:labelList>
</file>

<file path=docProps/app.xml><?xml version="1.0" encoding="utf-8"?>
<Properties xmlns="http://schemas.openxmlformats.org/officeDocument/2006/extended-properties" xmlns:vt="http://schemas.openxmlformats.org/officeDocument/2006/docPropsVTypes">
  <Template>Normal.dotm</Template>
  <TotalTime>373</TotalTime>
  <Pages>13</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Trinh Hoai, Nam</dc:creator>
  <cp:lastModifiedBy>Nguyen Huu1, Hung</cp:lastModifiedBy>
  <cp:revision>155</cp:revision>
  <cp:lastPrinted>2025-04-11T09:11:00Z</cp:lastPrinted>
  <dcterms:created xsi:type="dcterms:W3CDTF">2023-01-11T09:46:00Z</dcterms:created>
  <dcterms:modified xsi:type="dcterms:W3CDTF">2025-04-11T09:43:00Z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2022-10-13T11:47:56Z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b600e4f3-7eb4-4fba-bf67-23bac88b388b</vt:lpwstr>
  </property>
  <property fmtid="{D5CDD505-2E9C-101B-9397-08002B2CF9AE}" pid="8" name="MSIP_Label_ebbfc019-7f88-4fb6-96d6-94ffadd4b772_ContentBits">
    <vt:lpwstr>1</vt:lpwstr>
  </property>
  <property fmtid="{D5CDD505-2E9C-101B-9397-08002B2CF9AE}" pid="9" name="MSIP_Label_76274c26-8161-4bde-aa07-b2b522e14278_Enabled">
    <vt:lpwstr>true</vt:lpwstr>
  </property>
  <property fmtid="{D5CDD505-2E9C-101B-9397-08002B2CF9AE}" pid="10" name="MSIP_Label_76274c26-8161-4bde-aa07-b2b522e14278_SetDate">
    <vt:lpwstr>2024-04-15T07:53:03Z</vt:lpwstr>
  </property>
  <property fmtid="{D5CDD505-2E9C-101B-9397-08002B2CF9AE}" pid="11" name="MSIP_Label_76274c26-8161-4bde-aa07-b2b522e14278_Method">
    <vt:lpwstr>Privileged</vt:lpwstr>
  </property>
  <property fmtid="{D5CDD505-2E9C-101B-9397-08002B2CF9AE}" pid="12" name="MSIP_Label_76274c26-8161-4bde-aa07-b2b522e14278_Name">
    <vt:lpwstr>Label Only</vt:lpwstr>
  </property>
  <property fmtid="{D5CDD505-2E9C-101B-9397-08002B2CF9AE}" pid="13" name="MSIP_Label_76274c26-8161-4bde-aa07-b2b522e14278_SiteId">
    <vt:lpwstr>b44900f1-2def-4c3b-9ec6-9020d604e19e</vt:lpwstr>
  </property>
  <property fmtid="{D5CDD505-2E9C-101B-9397-08002B2CF9AE}" pid="14" name="MSIP_Label_76274c26-8161-4bde-aa07-b2b522e14278_ActionId">
    <vt:lpwstr>7637e0cc-c85c-45a1-aaff-0afaab9dd047</vt:lpwstr>
  </property>
  <property fmtid="{D5CDD505-2E9C-101B-9397-08002B2CF9AE}" pid="15" name="MSIP_Label_76274c26-8161-4bde-aa07-b2b522e14278_ContentBits">
    <vt:lpwstr>1</vt:lpwstr>
  </property>
</Properties>
</file>