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openxmlformats.org/package/2006/relationships/digital-signature/origin" Target="_xmlsignatures/origin.sigs"/><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7FD97" w14:textId="59D471A7" w:rsidR="003766B1" w:rsidRPr="00E21368" w:rsidRDefault="00897749" w:rsidP="00D54A5B">
      <w:pPr>
        <w:shd w:val="clear" w:color="auto" w:fill="FFFFFF"/>
        <w:spacing w:before="120" w:after="120" w:line="312" w:lineRule="auto"/>
        <w:ind w:left="142" w:right="260"/>
        <w:jc w:val="both"/>
        <w:rPr>
          <w:rFonts w:ascii="Times New Roman" w:hAnsi="Times New Roman"/>
          <w:b/>
          <w:sz w:val="20"/>
          <w:szCs w:val="20"/>
          <w:lang w:val="de-DE"/>
        </w:rPr>
      </w:pPr>
      <w:r w:rsidRPr="00E21368">
        <w:rPr>
          <w:rFonts w:ascii="Times New Roman" w:hAnsi="Times New Roman"/>
          <w:sz w:val="20"/>
          <w:szCs w:val="20"/>
          <w:lang w:val="de-DE"/>
        </w:rPr>
        <w:t xml:space="preserve"> </w:t>
      </w:r>
    </w:p>
    <w:tbl>
      <w:tblPr>
        <w:tblW w:w="9450" w:type="dxa"/>
        <w:tblInd w:w="108" w:type="dxa"/>
        <w:tblLook w:val="01E0" w:firstRow="1" w:lastRow="1" w:firstColumn="1" w:lastColumn="1" w:noHBand="0" w:noVBand="0"/>
      </w:tblPr>
      <w:tblGrid>
        <w:gridCol w:w="4140"/>
        <w:gridCol w:w="5310"/>
      </w:tblGrid>
      <w:tr w:rsidR="00897749" w:rsidRPr="00E21368" w14:paraId="6E27285D" w14:textId="77777777" w:rsidTr="008E0B85">
        <w:tc>
          <w:tcPr>
            <w:tcW w:w="4140" w:type="dxa"/>
          </w:tcPr>
          <w:p w14:paraId="43C83637" w14:textId="77777777" w:rsidR="00897749" w:rsidRDefault="00066324" w:rsidP="00D54A5B">
            <w:pPr>
              <w:shd w:val="clear" w:color="auto" w:fill="FFFFFF"/>
              <w:spacing w:before="120" w:after="120" w:line="312" w:lineRule="auto"/>
              <w:ind w:left="142"/>
              <w:rPr>
                <w:rFonts w:ascii="Times New Roman" w:hAnsi="Times New Roman"/>
                <w:b/>
                <w:sz w:val="20"/>
                <w:szCs w:val="20"/>
                <w:lang w:val="de-DE"/>
              </w:rPr>
            </w:pPr>
            <w:r w:rsidRPr="00E21368">
              <w:rPr>
                <w:rFonts w:ascii="Times New Roman" w:hAnsi="Times New Roman"/>
                <w:b/>
                <w:sz w:val="20"/>
                <w:szCs w:val="20"/>
                <w:lang w:val="de-DE"/>
              </w:rPr>
              <w:t xml:space="preserve">Công ty Cổ phần Quản lý Quỹ Đầu tư </w:t>
            </w:r>
            <w:r>
              <w:rPr>
                <w:rFonts w:ascii="Times New Roman" w:hAnsi="Times New Roman"/>
                <w:b/>
                <w:sz w:val="20"/>
                <w:szCs w:val="20"/>
                <w:lang w:val="de-DE"/>
              </w:rPr>
              <w:t xml:space="preserve">Dragon Capital </w:t>
            </w:r>
            <w:r w:rsidRPr="00E21368">
              <w:rPr>
                <w:rFonts w:ascii="Times New Roman" w:hAnsi="Times New Roman"/>
                <w:b/>
                <w:sz w:val="20"/>
                <w:szCs w:val="20"/>
                <w:lang w:val="de-DE"/>
              </w:rPr>
              <w:t>Việt Nam</w:t>
            </w:r>
            <w:r>
              <w:rPr>
                <w:rFonts w:ascii="Times New Roman" w:hAnsi="Times New Roman"/>
                <w:b/>
                <w:sz w:val="20"/>
                <w:szCs w:val="20"/>
                <w:lang w:val="de-DE"/>
              </w:rPr>
              <w:t xml:space="preserve"> (“DCVFM’’)</w:t>
            </w:r>
          </w:p>
          <w:p w14:paraId="6B5F2792" w14:textId="56944C69" w:rsidR="00A033E7" w:rsidRPr="00A033E7" w:rsidRDefault="00A033E7" w:rsidP="00D54A5B">
            <w:pPr>
              <w:shd w:val="clear" w:color="auto" w:fill="FFFFFF"/>
              <w:spacing w:before="120" w:after="120" w:line="312" w:lineRule="auto"/>
              <w:ind w:left="142"/>
              <w:rPr>
                <w:rFonts w:ascii="Times New Roman" w:hAnsi="Times New Roman"/>
                <w:b/>
                <w:i/>
                <w:iCs/>
                <w:sz w:val="20"/>
                <w:szCs w:val="20"/>
                <w:lang w:val="vi-VN"/>
              </w:rPr>
            </w:pPr>
            <w:r w:rsidRPr="00A033E7">
              <w:rPr>
                <w:rFonts w:ascii="Times New Roman" w:hAnsi="Times New Roman"/>
                <w:b/>
                <w:i/>
                <w:iCs/>
                <w:sz w:val="20"/>
                <w:szCs w:val="20"/>
                <w:lang w:val="de-DE"/>
              </w:rPr>
              <w:t>Dragon</w:t>
            </w:r>
            <w:r w:rsidRPr="00A033E7">
              <w:rPr>
                <w:rFonts w:ascii="Times New Roman" w:hAnsi="Times New Roman"/>
                <w:b/>
                <w:i/>
                <w:iCs/>
                <w:sz w:val="20"/>
                <w:szCs w:val="20"/>
                <w:lang w:val="vi-VN"/>
              </w:rPr>
              <w:t xml:space="preserve"> Capital</w:t>
            </w:r>
            <w:r w:rsidR="008E0B85">
              <w:rPr>
                <w:rFonts w:ascii="Times New Roman" w:hAnsi="Times New Roman"/>
                <w:b/>
                <w:i/>
                <w:iCs/>
                <w:sz w:val="20"/>
                <w:szCs w:val="20"/>
                <w:lang w:val="vi-VN"/>
              </w:rPr>
              <w:t xml:space="preserve"> VietFund Management</w:t>
            </w:r>
            <w:r w:rsidRPr="00A033E7">
              <w:rPr>
                <w:rFonts w:ascii="Times New Roman" w:hAnsi="Times New Roman"/>
                <w:b/>
                <w:i/>
                <w:iCs/>
                <w:sz w:val="20"/>
                <w:szCs w:val="20"/>
                <w:lang w:val="vi-VN"/>
              </w:rPr>
              <w:t xml:space="preserve"> Joint Stock Company </w:t>
            </w:r>
          </w:p>
          <w:p w14:paraId="1AD65BED" w14:textId="77777777" w:rsidR="00066324" w:rsidRDefault="00066324" w:rsidP="00D54A5B">
            <w:pPr>
              <w:shd w:val="clear" w:color="auto" w:fill="FFFFFF"/>
              <w:spacing w:before="120" w:after="120" w:line="312" w:lineRule="auto"/>
              <w:ind w:left="142"/>
              <w:rPr>
                <w:rFonts w:ascii="Times New Roman" w:hAnsi="Times New Roman"/>
                <w:b/>
                <w:sz w:val="20"/>
                <w:szCs w:val="20"/>
                <w:lang w:val="nl-NL"/>
              </w:rPr>
            </w:pPr>
            <w:r w:rsidRPr="00E21368">
              <w:rPr>
                <w:rFonts w:ascii="Times New Roman" w:hAnsi="Times New Roman"/>
                <w:b/>
                <w:bCs/>
                <w:sz w:val="20"/>
                <w:szCs w:val="20"/>
                <w:lang w:val="nl-NL"/>
              </w:rPr>
              <w:t>Quỹ</w:t>
            </w:r>
            <w:r w:rsidRPr="00E21368">
              <w:rPr>
                <w:rFonts w:ascii="Times New Roman" w:hAnsi="Times New Roman"/>
                <w:bCs/>
                <w:sz w:val="20"/>
                <w:szCs w:val="20"/>
                <w:lang w:val="nl-NL"/>
              </w:rPr>
              <w:t xml:space="preserve">: </w:t>
            </w:r>
            <w:r w:rsidRPr="00A91FE0">
              <w:rPr>
                <w:rFonts w:ascii="Times New Roman" w:hAnsi="Times New Roman"/>
                <w:b/>
                <w:sz w:val="20"/>
                <w:szCs w:val="20"/>
                <w:lang w:val="nl-NL"/>
              </w:rPr>
              <w:t xml:space="preserve">ETF </w:t>
            </w:r>
            <w:r w:rsidR="006B6153">
              <w:rPr>
                <w:rFonts w:ascii="Times New Roman" w:hAnsi="Times New Roman"/>
                <w:b/>
                <w:sz w:val="20"/>
                <w:szCs w:val="20"/>
                <w:lang w:val="nl-NL"/>
              </w:rPr>
              <w:t>DC</w:t>
            </w:r>
            <w:r w:rsidRPr="00A91FE0">
              <w:rPr>
                <w:rFonts w:ascii="Times New Roman" w:hAnsi="Times New Roman"/>
                <w:b/>
                <w:sz w:val="20"/>
                <w:szCs w:val="20"/>
                <w:lang w:val="nl-NL"/>
              </w:rPr>
              <w:t>VFMVN30</w:t>
            </w:r>
            <w:r w:rsidR="00D52D4A">
              <w:rPr>
                <w:rFonts w:ascii="Times New Roman" w:hAnsi="Times New Roman"/>
                <w:b/>
                <w:sz w:val="20"/>
                <w:szCs w:val="20"/>
                <w:lang w:val="nl-NL"/>
              </w:rPr>
              <w:t xml:space="preserve"> </w:t>
            </w:r>
          </w:p>
          <w:p w14:paraId="72D4A3D5" w14:textId="1F88F3C4" w:rsidR="00A033E7" w:rsidRPr="00A033E7" w:rsidRDefault="00A033E7" w:rsidP="00D54A5B">
            <w:pPr>
              <w:shd w:val="clear" w:color="auto" w:fill="FFFFFF"/>
              <w:spacing w:before="120" w:after="120" w:line="312" w:lineRule="auto"/>
              <w:ind w:left="142"/>
              <w:rPr>
                <w:rFonts w:ascii="Times New Roman" w:hAnsi="Times New Roman"/>
                <w:b/>
                <w:i/>
                <w:iCs/>
                <w:sz w:val="20"/>
                <w:szCs w:val="20"/>
                <w:lang w:val="vi-VN"/>
              </w:rPr>
            </w:pPr>
            <w:r w:rsidRPr="00A033E7">
              <w:rPr>
                <w:rFonts w:ascii="Times New Roman" w:hAnsi="Times New Roman"/>
                <w:b/>
                <w:i/>
                <w:iCs/>
                <w:sz w:val="20"/>
                <w:szCs w:val="20"/>
                <w:lang w:val="nl-NL"/>
              </w:rPr>
              <w:t>ETF</w:t>
            </w:r>
            <w:r w:rsidRPr="00A033E7">
              <w:rPr>
                <w:rFonts w:ascii="Times New Roman" w:hAnsi="Times New Roman"/>
                <w:b/>
                <w:i/>
                <w:iCs/>
                <w:sz w:val="20"/>
                <w:szCs w:val="20"/>
                <w:lang w:val="vi-VN"/>
              </w:rPr>
              <w:t xml:space="preserve"> DCVFMVN30</w:t>
            </w:r>
          </w:p>
        </w:tc>
        <w:tc>
          <w:tcPr>
            <w:tcW w:w="5310" w:type="dxa"/>
          </w:tcPr>
          <w:p w14:paraId="629E29FF" w14:textId="7CC0240C" w:rsidR="00066324" w:rsidRPr="00A033E7" w:rsidRDefault="00897749" w:rsidP="00D54A5B">
            <w:pPr>
              <w:shd w:val="clear" w:color="auto" w:fill="FFFFFF"/>
              <w:spacing w:before="120" w:after="120" w:line="312" w:lineRule="auto"/>
              <w:ind w:left="142"/>
              <w:jc w:val="right"/>
              <w:rPr>
                <w:rFonts w:ascii="Times New Roman" w:hAnsi="Times New Roman"/>
                <w:b/>
                <w:iCs/>
                <w:sz w:val="20"/>
                <w:szCs w:val="20"/>
                <w:lang w:val="nl-NL"/>
              </w:rPr>
            </w:pPr>
            <w:r w:rsidRPr="00A033E7">
              <w:rPr>
                <w:rFonts w:ascii="Times New Roman" w:hAnsi="Times New Roman"/>
                <w:b/>
                <w:iCs/>
                <w:sz w:val="20"/>
                <w:szCs w:val="20"/>
                <w:lang w:val="nl-NL"/>
              </w:rPr>
              <w:t xml:space="preserve">Mẫu số B06g </w:t>
            </w:r>
            <w:r w:rsidR="00A033E7" w:rsidRPr="00A033E7">
              <w:rPr>
                <w:rFonts w:ascii="Times New Roman" w:hAnsi="Times New Roman"/>
                <w:b/>
                <w:iCs/>
                <w:sz w:val="20"/>
                <w:szCs w:val="20"/>
                <w:lang w:val="nl-NL"/>
              </w:rPr>
              <w:t>–</w:t>
            </w:r>
            <w:r w:rsidRPr="00A033E7">
              <w:rPr>
                <w:rFonts w:ascii="Times New Roman" w:hAnsi="Times New Roman"/>
                <w:b/>
                <w:iCs/>
                <w:sz w:val="20"/>
                <w:szCs w:val="20"/>
                <w:lang w:val="nl-NL"/>
              </w:rPr>
              <w:t xml:space="preserve"> </w:t>
            </w:r>
            <w:r w:rsidR="00E043AF" w:rsidRPr="00A033E7">
              <w:rPr>
                <w:rFonts w:ascii="Times New Roman" w:hAnsi="Times New Roman"/>
                <w:b/>
                <w:iCs/>
                <w:sz w:val="20"/>
                <w:szCs w:val="20"/>
                <w:lang w:val="nl-NL"/>
              </w:rPr>
              <w:t>ETF</w:t>
            </w:r>
          </w:p>
          <w:p w14:paraId="639148C8" w14:textId="6572A978" w:rsidR="00A033E7" w:rsidRPr="00A033E7" w:rsidRDefault="00A033E7" w:rsidP="00D54A5B">
            <w:pPr>
              <w:shd w:val="clear" w:color="auto" w:fill="FFFFFF"/>
              <w:spacing w:before="120" w:after="120" w:line="312" w:lineRule="auto"/>
              <w:ind w:left="142"/>
              <w:jc w:val="right"/>
              <w:rPr>
                <w:rFonts w:ascii="Times New Roman" w:hAnsi="Times New Roman"/>
                <w:b/>
                <w:i/>
                <w:sz w:val="20"/>
                <w:szCs w:val="20"/>
                <w:lang w:val="vi-VN"/>
              </w:rPr>
            </w:pPr>
            <w:r>
              <w:rPr>
                <w:rFonts w:ascii="Times New Roman" w:hAnsi="Times New Roman"/>
                <w:b/>
                <w:i/>
                <w:sz w:val="20"/>
                <w:szCs w:val="20"/>
                <w:lang w:val="nl-NL"/>
              </w:rPr>
              <w:t>Form</w:t>
            </w:r>
            <w:r>
              <w:rPr>
                <w:rFonts w:ascii="Times New Roman" w:hAnsi="Times New Roman"/>
                <w:b/>
                <w:i/>
                <w:sz w:val="20"/>
                <w:szCs w:val="20"/>
                <w:lang w:val="vi-VN"/>
              </w:rPr>
              <w:t xml:space="preserve"> B06g – ETF</w:t>
            </w:r>
          </w:p>
          <w:p w14:paraId="68BE1325" w14:textId="77777777" w:rsidR="00066324" w:rsidRPr="00A033E7" w:rsidRDefault="00066324" w:rsidP="00D54A5B">
            <w:pPr>
              <w:shd w:val="clear" w:color="auto" w:fill="FFFFFF"/>
              <w:spacing w:before="120" w:after="120" w:line="312" w:lineRule="auto"/>
              <w:ind w:left="142"/>
              <w:jc w:val="right"/>
              <w:rPr>
                <w:rFonts w:ascii="Times New Roman" w:hAnsi="Times New Roman"/>
                <w:iCs/>
                <w:sz w:val="20"/>
                <w:szCs w:val="20"/>
              </w:rPr>
            </w:pPr>
            <w:r w:rsidRPr="00A033E7">
              <w:rPr>
                <w:rFonts w:ascii="Times New Roman" w:hAnsi="Times New Roman"/>
                <w:iCs/>
                <w:sz w:val="20"/>
                <w:szCs w:val="20"/>
              </w:rPr>
              <w:t xml:space="preserve">(Ban </w:t>
            </w:r>
            <w:proofErr w:type="spellStart"/>
            <w:r w:rsidRPr="00A033E7">
              <w:rPr>
                <w:rFonts w:ascii="Times New Roman" w:hAnsi="Times New Roman"/>
                <w:iCs/>
                <w:sz w:val="20"/>
                <w:szCs w:val="20"/>
              </w:rPr>
              <w:t>hành</w:t>
            </w:r>
            <w:proofErr w:type="spellEnd"/>
            <w:r w:rsidRPr="00A033E7">
              <w:rPr>
                <w:rFonts w:ascii="Times New Roman" w:hAnsi="Times New Roman"/>
                <w:iCs/>
                <w:sz w:val="20"/>
                <w:szCs w:val="20"/>
              </w:rPr>
              <w:t xml:space="preserve"> </w:t>
            </w:r>
            <w:proofErr w:type="spellStart"/>
            <w:r w:rsidRPr="00A033E7">
              <w:rPr>
                <w:rFonts w:ascii="Times New Roman" w:hAnsi="Times New Roman"/>
                <w:iCs/>
                <w:sz w:val="20"/>
                <w:szCs w:val="20"/>
              </w:rPr>
              <w:t>kèm</w:t>
            </w:r>
            <w:proofErr w:type="spellEnd"/>
            <w:r w:rsidRPr="00A033E7">
              <w:rPr>
                <w:rFonts w:ascii="Times New Roman" w:hAnsi="Times New Roman"/>
                <w:iCs/>
                <w:sz w:val="20"/>
                <w:szCs w:val="20"/>
              </w:rPr>
              <w:t xml:space="preserve"> </w:t>
            </w:r>
            <w:proofErr w:type="spellStart"/>
            <w:r w:rsidRPr="00A033E7">
              <w:rPr>
                <w:rFonts w:ascii="Times New Roman" w:hAnsi="Times New Roman"/>
                <w:iCs/>
                <w:sz w:val="20"/>
                <w:szCs w:val="20"/>
              </w:rPr>
              <w:t>theo</w:t>
            </w:r>
            <w:proofErr w:type="spellEnd"/>
            <w:r w:rsidRPr="00A033E7">
              <w:rPr>
                <w:rFonts w:ascii="Times New Roman" w:hAnsi="Times New Roman"/>
                <w:iCs/>
                <w:sz w:val="20"/>
                <w:szCs w:val="20"/>
              </w:rPr>
              <w:t xml:space="preserve"> Thông </w:t>
            </w:r>
            <w:proofErr w:type="spellStart"/>
            <w:r w:rsidRPr="00A033E7">
              <w:rPr>
                <w:rFonts w:ascii="Times New Roman" w:hAnsi="Times New Roman"/>
                <w:iCs/>
                <w:sz w:val="20"/>
                <w:szCs w:val="20"/>
              </w:rPr>
              <w:t>tư</w:t>
            </w:r>
            <w:proofErr w:type="spellEnd"/>
            <w:r w:rsidRPr="00A033E7">
              <w:rPr>
                <w:rFonts w:ascii="Times New Roman" w:hAnsi="Times New Roman"/>
                <w:iCs/>
                <w:sz w:val="20"/>
                <w:szCs w:val="20"/>
              </w:rPr>
              <w:t xml:space="preserve"> </w:t>
            </w:r>
            <w:proofErr w:type="spellStart"/>
            <w:r w:rsidRPr="00A033E7">
              <w:rPr>
                <w:rFonts w:ascii="Times New Roman" w:hAnsi="Times New Roman"/>
                <w:iCs/>
                <w:sz w:val="20"/>
                <w:szCs w:val="20"/>
              </w:rPr>
              <w:t>số</w:t>
            </w:r>
            <w:proofErr w:type="spellEnd"/>
            <w:r w:rsidRPr="00A033E7">
              <w:rPr>
                <w:rFonts w:ascii="Times New Roman" w:hAnsi="Times New Roman"/>
                <w:iCs/>
                <w:sz w:val="20"/>
                <w:szCs w:val="20"/>
              </w:rPr>
              <w:t xml:space="preserve"> 181/2015/TT-BTC </w:t>
            </w:r>
          </w:p>
          <w:p w14:paraId="601FB81A" w14:textId="77777777" w:rsidR="00897749" w:rsidRPr="00A033E7" w:rsidRDefault="00066324" w:rsidP="00D54A5B">
            <w:pPr>
              <w:shd w:val="clear" w:color="auto" w:fill="FFFFFF"/>
              <w:spacing w:before="120" w:after="120" w:line="312" w:lineRule="auto"/>
              <w:ind w:left="142"/>
              <w:jc w:val="right"/>
              <w:rPr>
                <w:rFonts w:ascii="Times New Roman" w:hAnsi="Times New Roman"/>
                <w:iCs/>
                <w:sz w:val="20"/>
                <w:szCs w:val="20"/>
              </w:rPr>
            </w:pPr>
            <w:proofErr w:type="spellStart"/>
            <w:r w:rsidRPr="00A033E7">
              <w:rPr>
                <w:rFonts w:ascii="Times New Roman" w:hAnsi="Times New Roman"/>
                <w:iCs/>
                <w:sz w:val="20"/>
                <w:szCs w:val="20"/>
              </w:rPr>
              <w:t>ngày</w:t>
            </w:r>
            <w:proofErr w:type="spellEnd"/>
            <w:r w:rsidRPr="00A033E7">
              <w:rPr>
                <w:rFonts w:ascii="Times New Roman" w:hAnsi="Times New Roman"/>
                <w:iCs/>
                <w:sz w:val="20"/>
                <w:szCs w:val="20"/>
              </w:rPr>
              <w:t xml:space="preserve"> 13 </w:t>
            </w:r>
            <w:proofErr w:type="spellStart"/>
            <w:r w:rsidRPr="00A033E7">
              <w:rPr>
                <w:rFonts w:ascii="Times New Roman" w:hAnsi="Times New Roman"/>
                <w:iCs/>
                <w:sz w:val="20"/>
                <w:szCs w:val="20"/>
              </w:rPr>
              <w:t>tháng</w:t>
            </w:r>
            <w:proofErr w:type="spellEnd"/>
            <w:r w:rsidRPr="00A033E7">
              <w:rPr>
                <w:rFonts w:ascii="Times New Roman" w:hAnsi="Times New Roman"/>
                <w:iCs/>
                <w:sz w:val="20"/>
                <w:szCs w:val="20"/>
              </w:rPr>
              <w:t xml:space="preserve"> 11 </w:t>
            </w:r>
            <w:proofErr w:type="spellStart"/>
            <w:r w:rsidRPr="00A033E7">
              <w:rPr>
                <w:rFonts w:ascii="Times New Roman" w:hAnsi="Times New Roman"/>
                <w:iCs/>
                <w:sz w:val="20"/>
                <w:szCs w:val="20"/>
              </w:rPr>
              <w:t>năm</w:t>
            </w:r>
            <w:proofErr w:type="spellEnd"/>
            <w:r w:rsidRPr="00A033E7">
              <w:rPr>
                <w:rFonts w:ascii="Times New Roman" w:hAnsi="Times New Roman"/>
                <w:iCs/>
                <w:sz w:val="20"/>
                <w:szCs w:val="20"/>
              </w:rPr>
              <w:t xml:space="preserve"> 2015 </w:t>
            </w:r>
            <w:proofErr w:type="spellStart"/>
            <w:r w:rsidRPr="00A033E7">
              <w:rPr>
                <w:rFonts w:ascii="Times New Roman" w:hAnsi="Times New Roman"/>
                <w:iCs/>
                <w:sz w:val="20"/>
                <w:szCs w:val="20"/>
              </w:rPr>
              <w:t>của</w:t>
            </w:r>
            <w:proofErr w:type="spellEnd"/>
            <w:r w:rsidRPr="00A033E7">
              <w:rPr>
                <w:rFonts w:ascii="Times New Roman" w:hAnsi="Times New Roman"/>
                <w:iCs/>
                <w:sz w:val="20"/>
                <w:szCs w:val="20"/>
              </w:rPr>
              <w:t xml:space="preserve"> </w:t>
            </w:r>
            <w:proofErr w:type="spellStart"/>
            <w:r w:rsidRPr="00A033E7">
              <w:rPr>
                <w:rFonts w:ascii="Times New Roman" w:hAnsi="Times New Roman"/>
                <w:iCs/>
                <w:sz w:val="20"/>
                <w:szCs w:val="20"/>
              </w:rPr>
              <w:t>Bộ</w:t>
            </w:r>
            <w:proofErr w:type="spellEnd"/>
            <w:r w:rsidRPr="00A033E7">
              <w:rPr>
                <w:rFonts w:ascii="Times New Roman" w:hAnsi="Times New Roman"/>
                <w:iCs/>
                <w:sz w:val="20"/>
                <w:szCs w:val="20"/>
              </w:rPr>
              <w:t xml:space="preserve"> </w:t>
            </w:r>
            <w:proofErr w:type="spellStart"/>
            <w:r w:rsidRPr="00A033E7">
              <w:rPr>
                <w:rFonts w:ascii="Times New Roman" w:hAnsi="Times New Roman"/>
                <w:iCs/>
                <w:sz w:val="20"/>
                <w:szCs w:val="20"/>
              </w:rPr>
              <w:t>Tài</w:t>
            </w:r>
            <w:proofErr w:type="spellEnd"/>
            <w:r w:rsidRPr="00A033E7">
              <w:rPr>
                <w:rFonts w:ascii="Times New Roman" w:hAnsi="Times New Roman"/>
                <w:iCs/>
                <w:sz w:val="20"/>
                <w:szCs w:val="20"/>
              </w:rPr>
              <w:t xml:space="preserve"> </w:t>
            </w:r>
            <w:proofErr w:type="spellStart"/>
            <w:r w:rsidRPr="00A033E7">
              <w:rPr>
                <w:rFonts w:ascii="Times New Roman" w:hAnsi="Times New Roman"/>
                <w:iCs/>
                <w:sz w:val="20"/>
                <w:szCs w:val="20"/>
              </w:rPr>
              <w:t>chính</w:t>
            </w:r>
            <w:proofErr w:type="spellEnd"/>
            <w:r w:rsidRPr="00A033E7">
              <w:rPr>
                <w:rFonts w:ascii="Times New Roman" w:hAnsi="Times New Roman"/>
                <w:iCs/>
                <w:sz w:val="20"/>
                <w:szCs w:val="20"/>
              </w:rPr>
              <w:t xml:space="preserve"> </w:t>
            </w:r>
            <w:proofErr w:type="spellStart"/>
            <w:r w:rsidRPr="00A033E7">
              <w:rPr>
                <w:rFonts w:ascii="Times New Roman" w:hAnsi="Times New Roman"/>
                <w:iCs/>
                <w:sz w:val="20"/>
                <w:szCs w:val="20"/>
              </w:rPr>
              <w:t>hướng</w:t>
            </w:r>
            <w:proofErr w:type="spellEnd"/>
            <w:r w:rsidRPr="00A033E7">
              <w:rPr>
                <w:rFonts w:ascii="Times New Roman" w:hAnsi="Times New Roman"/>
                <w:iCs/>
                <w:sz w:val="20"/>
                <w:szCs w:val="20"/>
              </w:rPr>
              <w:t xml:space="preserve"> </w:t>
            </w:r>
            <w:proofErr w:type="spellStart"/>
            <w:r w:rsidRPr="00A033E7">
              <w:rPr>
                <w:rFonts w:ascii="Times New Roman" w:hAnsi="Times New Roman"/>
                <w:iCs/>
                <w:sz w:val="20"/>
                <w:szCs w:val="20"/>
              </w:rPr>
              <w:t>dẫn</w:t>
            </w:r>
            <w:proofErr w:type="spellEnd"/>
            <w:r w:rsidRPr="00A033E7">
              <w:rPr>
                <w:rFonts w:ascii="Times New Roman" w:hAnsi="Times New Roman"/>
                <w:iCs/>
                <w:sz w:val="20"/>
                <w:szCs w:val="20"/>
              </w:rPr>
              <w:t xml:space="preserve"> </w:t>
            </w:r>
            <w:proofErr w:type="spellStart"/>
            <w:r w:rsidRPr="00A033E7">
              <w:rPr>
                <w:rFonts w:ascii="Times New Roman" w:hAnsi="Times New Roman"/>
                <w:iCs/>
                <w:sz w:val="20"/>
                <w:szCs w:val="20"/>
              </w:rPr>
              <w:t>thành</w:t>
            </w:r>
            <w:proofErr w:type="spellEnd"/>
            <w:r w:rsidRPr="00A033E7">
              <w:rPr>
                <w:rFonts w:ascii="Times New Roman" w:hAnsi="Times New Roman"/>
                <w:iCs/>
                <w:sz w:val="20"/>
                <w:szCs w:val="20"/>
              </w:rPr>
              <w:t xml:space="preserve"> </w:t>
            </w:r>
            <w:proofErr w:type="spellStart"/>
            <w:r w:rsidRPr="00A033E7">
              <w:rPr>
                <w:rFonts w:ascii="Times New Roman" w:hAnsi="Times New Roman"/>
                <w:iCs/>
                <w:sz w:val="20"/>
                <w:szCs w:val="20"/>
              </w:rPr>
              <w:t>lập</w:t>
            </w:r>
            <w:proofErr w:type="spellEnd"/>
            <w:r w:rsidRPr="00A033E7">
              <w:rPr>
                <w:rFonts w:ascii="Times New Roman" w:hAnsi="Times New Roman"/>
                <w:iCs/>
                <w:sz w:val="20"/>
                <w:szCs w:val="20"/>
              </w:rPr>
              <w:t xml:space="preserve"> </w:t>
            </w:r>
            <w:proofErr w:type="spellStart"/>
            <w:r w:rsidRPr="00A033E7">
              <w:rPr>
                <w:rFonts w:ascii="Times New Roman" w:hAnsi="Times New Roman"/>
                <w:iCs/>
                <w:sz w:val="20"/>
                <w:szCs w:val="20"/>
              </w:rPr>
              <w:t>và</w:t>
            </w:r>
            <w:proofErr w:type="spellEnd"/>
            <w:r w:rsidRPr="00A033E7">
              <w:rPr>
                <w:rFonts w:ascii="Times New Roman" w:hAnsi="Times New Roman"/>
                <w:iCs/>
                <w:sz w:val="20"/>
                <w:szCs w:val="20"/>
              </w:rPr>
              <w:t xml:space="preserve"> </w:t>
            </w:r>
            <w:proofErr w:type="spellStart"/>
            <w:r w:rsidRPr="00A033E7">
              <w:rPr>
                <w:rFonts w:ascii="Times New Roman" w:hAnsi="Times New Roman"/>
                <w:iCs/>
                <w:sz w:val="20"/>
                <w:szCs w:val="20"/>
              </w:rPr>
              <w:t>quản</w:t>
            </w:r>
            <w:proofErr w:type="spellEnd"/>
            <w:r w:rsidRPr="00A033E7">
              <w:rPr>
                <w:rFonts w:ascii="Times New Roman" w:hAnsi="Times New Roman"/>
                <w:iCs/>
                <w:sz w:val="20"/>
                <w:szCs w:val="20"/>
              </w:rPr>
              <w:t xml:space="preserve"> </w:t>
            </w:r>
            <w:proofErr w:type="spellStart"/>
            <w:r w:rsidRPr="00A033E7">
              <w:rPr>
                <w:rFonts w:ascii="Times New Roman" w:hAnsi="Times New Roman"/>
                <w:iCs/>
                <w:sz w:val="20"/>
                <w:szCs w:val="20"/>
              </w:rPr>
              <w:t>lý</w:t>
            </w:r>
            <w:proofErr w:type="spellEnd"/>
            <w:r w:rsidRPr="00A033E7">
              <w:rPr>
                <w:rFonts w:ascii="Times New Roman" w:hAnsi="Times New Roman"/>
                <w:iCs/>
                <w:sz w:val="20"/>
                <w:szCs w:val="20"/>
              </w:rPr>
              <w:t xml:space="preserve"> </w:t>
            </w:r>
            <w:proofErr w:type="spellStart"/>
            <w:r w:rsidRPr="00A033E7">
              <w:rPr>
                <w:rFonts w:ascii="Times New Roman" w:hAnsi="Times New Roman"/>
                <w:iCs/>
                <w:sz w:val="20"/>
                <w:szCs w:val="20"/>
              </w:rPr>
              <w:t>quỹ</w:t>
            </w:r>
            <w:proofErr w:type="spellEnd"/>
            <w:r w:rsidRPr="00A033E7">
              <w:rPr>
                <w:rFonts w:ascii="Times New Roman" w:hAnsi="Times New Roman"/>
                <w:iCs/>
                <w:sz w:val="20"/>
                <w:szCs w:val="20"/>
              </w:rPr>
              <w:t xml:space="preserve"> </w:t>
            </w:r>
            <w:proofErr w:type="spellStart"/>
            <w:r w:rsidRPr="00A033E7">
              <w:rPr>
                <w:rFonts w:ascii="Times New Roman" w:hAnsi="Times New Roman"/>
                <w:iCs/>
                <w:sz w:val="20"/>
                <w:szCs w:val="20"/>
              </w:rPr>
              <w:t>hoán</w:t>
            </w:r>
            <w:proofErr w:type="spellEnd"/>
            <w:r w:rsidRPr="00A033E7">
              <w:rPr>
                <w:rFonts w:ascii="Times New Roman" w:hAnsi="Times New Roman"/>
                <w:iCs/>
                <w:sz w:val="20"/>
                <w:szCs w:val="20"/>
              </w:rPr>
              <w:t xml:space="preserve"> </w:t>
            </w:r>
            <w:proofErr w:type="spellStart"/>
            <w:r w:rsidRPr="00A033E7">
              <w:rPr>
                <w:rFonts w:ascii="Times New Roman" w:hAnsi="Times New Roman"/>
                <w:iCs/>
                <w:sz w:val="20"/>
                <w:szCs w:val="20"/>
              </w:rPr>
              <w:t>đổi</w:t>
            </w:r>
            <w:proofErr w:type="spellEnd"/>
            <w:r w:rsidRPr="00A033E7">
              <w:rPr>
                <w:rFonts w:ascii="Times New Roman" w:hAnsi="Times New Roman"/>
                <w:iCs/>
                <w:sz w:val="20"/>
                <w:szCs w:val="20"/>
              </w:rPr>
              <w:t xml:space="preserve"> </w:t>
            </w:r>
            <w:proofErr w:type="spellStart"/>
            <w:r w:rsidRPr="00A033E7">
              <w:rPr>
                <w:rFonts w:ascii="Times New Roman" w:hAnsi="Times New Roman"/>
                <w:iCs/>
                <w:sz w:val="20"/>
                <w:szCs w:val="20"/>
              </w:rPr>
              <w:t>danh</w:t>
            </w:r>
            <w:proofErr w:type="spellEnd"/>
            <w:r w:rsidRPr="00A033E7">
              <w:rPr>
                <w:rFonts w:ascii="Times New Roman" w:hAnsi="Times New Roman"/>
                <w:iCs/>
                <w:sz w:val="20"/>
                <w:szCs w:val="20"/>
              </w:rPr>
              <w:t xml:space="preserve"> </w:t>
            </w:r>
            <w:proofErr w:type="spellStart"/>
            <w:r w:rsidRPr="00A033E7">
              <w:rPr>
                <w:rFonts w:ascii="Times New Roman" w:hAnsi="Times New Roman"/>
                <w:iCs/>
                <w:sz w:val="20"/>
                <w:szCs w:val="20"/>
              </w:rPr>
              <w:t>mục</w:t>
            </w:r>
            <w:proofErr w:type="spellEnd"/>
            <w:r w:rsidRPr="00A033E7">
              <w:rPr>
                <w:rFonts w:ascii="Times New Roman" w:hAnsi="Times New Roman"/>
                <w:iCs/>
                <w:sz w:val="20"/>
                <w:szCs w:val="20"/>
              </w:rPr>
              <w:t>)</w:t>
            </w:r>
          </w:p>
          <w:p w14:paraId="5EF167C7" w14:textId="46A0A66E" w:rsidR="00A033E7" w:rsidRPr="00E21368" w:rsidRDefault="00A033E7" w:rsidP="00D54A5B">
            <w:pPr>
              <w:shd w:val="clear" w:color="auto" w:fill="FFFFFF"/>
              <w:spacing w:before="120" w:after="120" w:line="312" w:lineRule="auto"/>
              <w:ind w:left="142"/>
              <w:jc w:val="right"/>
              <w:rPr>
                <w:rFonts w:ascii="Times New Roman" w:hAnsi="Times New Roman"/>
                <w:b/>
                <w:i/>
                <w:sz w:val="20"/>
                <w:szCs w:val="20"/>
                <w:lang w:val="nl-NL"/>
              </w:rPr>
            </w:pPr>
            <w:r>
              <w:rPr>
                <w:rFonts w:ascii="Times New Roman" w:eastAsia="Times New Roman" w:hAnsi="Times New Roman"/>
                <w:bCs/>
                <w:i/>
                <w:sz w:val="20"/>
                <w:szCs w:val="20"/>
                <w:lang w:eastAsia="en-GB"/>
              </w:rPr>
              <w:t xml:space="preserve">(According to Circular </w:t>
            </w:r>
            <w:r w:rsidR="001C4A99">
              <w:rPr>
                <w:rFonts w:ascii="Times New Roman" w:eastAsia="Times New Roman" w:hAnsi="Times New Roman"/>
                <w:bCs/>
                <w:i/>
                <w:sz w:val="20"/>
                <w:szCs w:val="20"/>
                <w:lang w:eastAsia="en-GB"/>
              </w:rPr>
              <w:t>181</w:t>
            </w:r>
            <w:r>
              <w:rPr>
                <w:rFonts w:ascii="Times New Roman" w:eastAsia="Times New Roman" w:hAnsi="Times New Roman"/>
                <w:bCs/>
                <w:i/>
                <w:sz w:val="20"/>
                <w:szCs w:val="20"/>
                <w:lang w:eastAsia="en-GB"/>
              </w:rPr>
              <w:t>/</w:t>
            </w:r>
            <w:r w:rsidR="001C4A99">
              <w:rPr>
                <w:rFonts w:ascii="Times New Roman" w:eastAsia="Times New Roman" w:hAnsi="Times New Roman"/>
                <w:bCs/>
                <w:i/>
                <w:sz w:val="20"/>
                <w:szCs w:val="20"/>
                <w:lang w:eastAsia="en-GB"/>
              </w:rPr>
              <w:t>2015</w:t>
            </w:r>
            <w:r>
              <w:rPr>
                <w:rFonts w:ascii="Times New Roman" w:eastAsia="Times New Roman" w:hAnsi="Times New Roman"/>
                <w:bCs/>
                <w:i/>
                <w:sz w:val="20"/>
                <w:szCs w:val="20"/>
                <w:lang w:eastAsia="en-GB"/>
              </w:rPr>
              <w:t xml:space="preserve">/TT-BTC dated </w:t>
            </w:r>
            <w:r w:rsidR="001C4A99">
              <w:rPr>
                <w:rFonts w:ascii="Times New Roman" w:eastAsia="Times New Roman" w:hAnsi="Times New Roman"/>
                <w:bCs/>
                <w:i/>
                <w:sz w:val="20"/>
                <w:szCs w:val="20"/>
                <w:lang w:eastAsia="en-GB"/>
              </w:rPr>
              <w:t>13</w:t>
            </w:r>
            <w:r>
              <w:rPr>
                <w:rFonts w:ascii="Times New Roman" w:eastAsia="Times New Roman" w:hAnsi="Times New Roman"/>
                <w:bCs/>
                <w:i/>
                <w:sz w:val="20"/>
                <w:szCs w:val="20"/>
                <w:lang w:eastAsia="en-GB"/>
              </w:rPr>
              <w:t>/11/</w:t>
            </w:r>
            <w:r w:rsidR="001C4A99">
              <w:rPr>
                <w:rFonts w:ascii="Times New Roman" w:eastAsia="Times New Roman" w:hAnsi="Times New Roman"/>
                <w:bCs/>
                <w:i/>
                <w:sz w:val="20"/>
                <w:szCs w:val="20"/>
                <w:lang w:eastAsia="en-GB"/>
              </w:rPr>
              <w:t>2015</w:t>
            </w:r>
            <w:r>
              <w:rPr>
                <w:rFonts w:ascii="Times New Roman" w:eastAsia="Times New Roman" w:hAnsi="Times New Roman"/>
                <w:bCs/>
                <w:i/>
                <w:sz w:val="20"/>
                <w:szCs w:val="20"/>
                <w:lang w:eastAsia="en-GB"/>
              </w:rPr>
              <w:t xml:space="preserve"> of Ministry of Finance)</w:t>
            </w:r>
          </w:p>
        </w:tc>
      </w:tr>
      <w:tr w:rsidR="00897749" w:rsidRPr="00E21368" w14:paraId="26994DFA" w14:textId="77777777" w:rsidTr="008E0B85">
        <w:trPr>
          <w:trHeight w:val="621"/>
        </w:trPr>
        <w:tc>
          <w:tcPr>
            <w:tcW w:w="4140" w:type="dxa"/>
          </w:tcPr>
          <w:p w14:paraId="6F446747" w14:textId="77777777" w:rsidR="00897749" w:rsidRPr="00E21368" w:rsidRDefault="00897749" w:rsidP="00D54A5B">
            <w:pPr>
              <w:shd w:val="clear" w:color="auto" w:fill="FFFFFF"/>
              <w:spacing w:before="120" w:after="120" w:line="312" w:lineRule="auto"/>
              <w:ind w:left="142"/>
              <w:jc w:val="both"/>
              <w:rPr>
                <w:rFonts w:ascii="Times New Roman" w:hAnsi="Times New Roman"/>
                <w:bCs/>
                <w:sz w:val="20"/>
                <w:szCs w:val="20"/>
                <w:lang w:val="nl-NL"/>
              </w:rPr>
            </w:pPr>
          </w:p>
        </w:tc>
        <w:tc>
          <w:tcPr>
            <w:tcW w:w="5310" w:type="dxa"/>
          </w:tcPr>
          <w:p w14:paraId="2E3AF36C" w14:textId="77777777" w:rsidR="00897749" w:rsidRPr="005C6334" w:rsidRDefault="00897749" w:rsidP="00D54A5B">
            <w:pPr>
              <w:shd w:val="clear" w:color="auto" w:fill="FFFFFF"/>
              <w:spacing w:before="120" w:after="120" w:line="312" w:lineRule="auto"/>
              <w:ind w:left="142"/>
              <w:jc w:val="right"/>
              <w:rPr>
                <w:rFonts w:ascii="Times New Roman" w:hAnsi="Times New Roman"/>
                <w:i/>
                <w:sz w:val="20"/>
                <w:szCs w:val="20"/>
              </w:rPr>
            </w:pPr>
          </w:p>
        </w:tc>
      </w:tr>
    </w:tbl>
    <w:p w14:paraId="61CBDDDA" w14:textId="2E9FD3AE" w:rsidR="00897749" w:rsidRDefault="00897749" w:rsidP="00D54A5B">
      <w:pPr>
        <w:shd w:val="clear" w:color="auto" w:fill="FFFFFF"/>
        <w:spacing w:before="120" w:after="120" w:line="312" w:lineRule="auto"/>
        <w:ind w:right="260" w:firstLine="720"/>
        <w:jc w:val="center"/>
        <w:rPr>
          <w:rFonts w:ascii="Times New Roman" w:hAnsi="Times New Roman"/>
          <w:b/>
          <w:sz w:val="24"/>
          <w:szCs w:val="24"/>
          <w:lang w:val="nl-NL"/>
        </w:rPr>
      </w:pPr>
      <w:r w:rsidRPr="00E21368">
        <w:rPr>
          <w:rFonts w:ascii="Times New Roman" w:hAnsi="Times New Roman"/>
          <w:b/>
          <w:sz w:val="24"/>
          <w:szCs w:val="24"/>
          <w:lang w:val="nl-NL"/>
        </w:rPr>
        <w:t>BẢN THUYẾT MINH BÁO CÁO TÀI CHÍNH CHỌN LỌC</w:t>
      </w:r>
    </w:p>
    <w:p w14:paraId="3C86EE9B" w14:textId="5158B172" w:rsidR="00A033E7" w:rsidRPr="002136F3" w:rsidRDefault="00A033E7" w:rsidP="00D54A5B">
      <w:pPr>
        <w:shd w:val="clear" w:color="auto" w:fill="FFFFFF"/>
        <w:spacing w:before="120" w:after="120" w:line="312" w:lineRule="auto"/>
        <w:ind w:right="260" w:firstLine="720"/>
        <w:jc w:val="center"/>
        <w:rPr>
          <w:rFonts w:ascii="Times New Roman" w:hAnsi="Times New Roman"/>
          <w:b/>
          <w:i/>
          <w:iCs/>
          <w:sz w:val="24"/>
          <w:szCs w:val="24"/>
          <w:lang w:val="vi-VN"/>
        </w:rPr>
      </w:pPr>
      <w:r w:rsidRPr="002136F3">
        <w:rPr>
          <w:rFonts w:ascii="Times New Roman" w:hAnsi="Times New Roman"/>
          <w:b/>
          <w:i/>
          <w:iCs/>
          <w:sz w:val="24"/>
          <w:szCs w:val="24"/>
          <w:lang w:val="nl-NL"/>
        </w:rPr>
        <w:t>SELECTED</w:t>
      </w:r>
      <w:r w:rsidRPr="002136F3">
        <w:rPr>
          <w:rFonts w:ascii="Times New Roman" w:hAnsi="Times New Roman"/>
          <w:b/>
          <w:i/>
          <w:iCs/>
          <w:sz w:val="24"/>
          <w:szCs w:val="24"/>
          <w:lang w:val="vi-VN"/>
        </w:rPr>
        <w:t xml:space="preserve"> NOTES TO FINANCIAL STATEMENTS</w:t>
      </w:r>
    </w:p>
    <w:p w14:paraId="650ADE4B" w14:textId="677B17ED" w:rsidR="00897749" w:rsidRPr="002136F3" w:rsidRDefault="00914D7E" w:rsidP="00D54A5B">
      <w:pPr>
        <w:shd w:val="clear" w:color="auto" w:fill="FFFFFF"/>
        <w:spacing w:before="120" w:after="120" w:line="312" w:lineRule="auto"/>
        <w:ind w:left="142" w:right="260"/>
        <w:jc w:val="center"/>
        <w:rPr>
          <w:rFonts w:ascii="Times New Roman" w:hAnsi="Times New Roman"/>
          <w:iCs/>
          <w:sz w:val="24"/>
          <w:szCs w:val="24"/>
          <w:lang w:val="nl-NL"/>
        </w:rPr>
      </w:pPr>
      <w:r w:rsidRPr="002136F3">
        <w:rPr>
          <w:rFonts w:ascii="Times New Roman" w:hAnsi="Times New Roman"/>
          <w:iCs/>
          <w:sz w:val="24"/>
          <w:szCs w:val="24"/>
          <w:lang w:val="nl-NL"/>
        </w:rPr>
        <w:t xml:space="preserve">Quý </w:t>
      </w:r>
      <w:r w:rsidR="004778BE" w:rsidRPr="002136F3">
        <w:rPr>
          <w:rFonts w:ascii="Times New Roman" w:hAnsi="Times New Roman"/>
          <w:iCs/>
          <w:sz w:val="24"/>
          <w:szCs w:val="24"/>
          <w:lang w:val="nl-NL"/>
        </w:rPr>
        <w:t>I</w:t>
      </w:r>
      <w:r w:rsidR="00374833" w:rsidRPr="002136F3">
        <w:rPr>
          <w:rFonts w:ascii="Times New Roman" w:hAnsi="Times New Roman"/>
          <w:iCs/>
          <w:sz w:val="24"/>
          <w:szCs w:val="24"/>
          <w:lang w:val="nl-NL"/>
        </w:rPr>
        <w:t xml:space="preserve"> - Năm </w:t>
      </w:r>
      <w:r w:rsidR="009652DD" w:rsidRPr="002136F3">
        <w:rPr>
          <w:rFonts w:ascii="Times New Roman" w:hAnsi="Times New Roman"/>
          <w:iCs/>
          <w:sz w:val="24"/>
          <w:szCs w:val="24"/>
          <w:lang w:val="nl-NL"/>
        </w:rPr>
        <w:t>202</w:t>
      </w:r>
      <w:r w:rsidR="00847EDC">
        <w:rPr>
          <w:rFonts w:ascii="Times New Roman" w:hAnsi="Times New Roman"/>
          <w:iCs/>
          <w:sz w:val="24"/>
          <w:szCs w:val="24"/>
          <w:lang w:val="nl-NL"/>
        </w:rPr>
        <w:t>5</w:t>
      </w:r>
    </w:p>
    <w:p w14:paraId="514FBDCC" w14:textId="37F88D1D" w:rsidR="00A033E7" w:rsidRPr="00847EDC" w:rsidRDefault="00A033E7" w:rsidP="00D54A5B">
      <w:pPr>
        <w:shd w:val="clear" w:color="auto" w:fill="FFFFFF"/>
        <w:spacing w:before="120" w:after="120" w:line="312" w:lineRule="auto"/>
        <w:ind w:left="142" w:right="260"/>
        <w:jc w:val="center"/>
        <w:rPr>
          <w:rFonts w:ascii="Times New Roman" w:hAnsi="Times New Roman"/>
          <w:i/>
          <w:sz w:val="24"/>
          <w:szCs w:val="24"/>
        </w:rPr>
      </w:pPr>
      <w:r>
        <w:rPr>
          <w:rFonts w:ascii="Times New Roman" w:hAnsi="Times New Roman"/>
          <w:i/>
          <w:sz w:val="24"/>
          <w:szCs w:val="24"/>
          <w:lang w:val="nl-NL"/>
        </w:rPr>
        <w:t>Quarter</w:t>
      </w:r>
      <w:r>
        <w:rPr>
          <w:rFonts w:ascii="Times New Roman" w:hAnsi="Times New Roman"/>
          <w:i/>
          <w:sz w:val="24"/>
          <w:szCs w:val="24"/>
          <w:lang w:val="vi-VN"/>
        </w:rPr>
        <w:t xml:space="preserve"> I – 202</w:t>
      </w:r>
      <w:r w:rsidR="00847EDC">
        <w:rPr>
          <w:rFonts w:ascii="Times New Roman" w:hAnsi="Times New Roman"/>
          <w:i/>
          <w:sz w:val="24"/>
          <w:szCs w:val="24"/>
        </w:rPr>
        <w:t>5</w:t>
      </w:r>
    </w:p>
    <w:p w14:paraId="6CFEC4E0" w14:textId="77777777" w:rsidR="00897749" w:rsidRPr="00E21368" w:rsidRDefault="00897749" w:rsidP="00D54A5B">
      <w:pPr>
        <w:shd w:val="clear" w:color="auto" w:fill="FFFFFF"/>
        <w:spacing w:before="120" w:after="120" w:line="312" w:lineRule="auto"/>
        <w:ind w:left="142" w:right="260"/>
        <w:jc w:val="both"/>
        <w:rPr>
          <w:rFonts w:ascii="Times New Roman" w:hAnsi="Times New Roman"/>
          <w:b/>
          <w:sz w:val="20"/>
          <w:szCs w:val="20"/>
          <w:lang w:val="nl-NL"/>
        </w:rPr>
      </w:pPr>
    </w:p>
    <w:p w14:paraId="04D3B938" w14:textId="3E7A0A5D" w:rsidR="00897749" w:rsidRPr="002136F3" w:rsidRDefault="00897749" w:rsidP="00D54A5B">
      <w:pPr>
        <w:shd w:val="clear" w:color="auto" w:fill="FFFFFF"/>
        <w:spacing w:before="120" w:after="120" w:line="312" w:lineRule="auto"/>
        <w:ind w:left="142" w:right="260"/>
        <w:jc w:val="both"/>
        <w:rPr>
          <w:rFonts w:ascii="Times New Roman" w:hAnsi="Times New Roman"/>
          <w:b/>
          <w:sz w:val="24"/>
          <w:szCs w:val="24"/>
          <w:lang w:val="vi-VN"/>
        </w:rPr>
      </w:pPr>
      <w:r w:rsidRPr="00E21368">
        <w:rPr>
          <w:rFonts w:ascii="Times New Roman" w:hAnsi="Times New Roman"/>
          <w:b/>
          <w:sz w:val="20"/>
          <w:szCs w:val="20"/>
          <w:lang w:val="nl-NL"/>
        </w:rPr>
        <w:t xml:space="preserve">1. </w:t>
      </w:r>
      <w:r w:rsidR="00200471" w:rsidRPr="00E21368">
        <w:rPr>
          <w:rFonts w:ascii="Times New Roman" w:hAnsi="Times New Roman"/>
          <w:b/>
          <w:sz w:val="20"/>
          <w:szCs w:val="20"/>
          <w:lang w:val="nl-NL"/>
        </w:rPr>
        <w:tab/>
      </w:r>
      <w:r w:rsidRPr="002136F3">
        <w:rPr>
          <w:rFonts w:ascii="Times New Roman" w:hAnsi="Times New Roman"/>
          <w:b/>
          <w:sz w:val="24"/>
          <w:szCs w:val="24"/>
          <w:lang w:val="nl-NL"/>
        </w:rPr>
        <w:t>Đặc điểm hoạt động của Quỹ</w:t>
      </w:r>
      <w:r w:rsidR="00A033E7" w:rsidRPr="002136F3">
        <w:rPr>
          <w:rFonts w:ascii="Times New Roman" w:hAnsi="Times New Roman"/>
          <w:b/>
          <w:sz w:val="24"/>
          <w:szCs w:val="24"/>
          <w:lang w:val="vi-VN"/>
        </w:rPr>
        <w:t xml:space="preserve"> /</w:t>
      </w:r>
      <w:r w:rsidR="00A033E7" w:rsidRPr="002136F3">
        <w:rPr>
          <w:rFonts w:ascii="Times New Roman" w:hAnsi="Times New Roman"/>
          <w:b/>
          <w:i/>
          <w:iCs/>
          <w:sz w:val="24"/>
          <w:szCs w:val="24"/>
          <w:lang w:val="vi-VN"/>
        </w:rPr>
        <w:t xml:space="preserve"> Fund’s General information </w:t>
      </w:r>
    </w:p>
    <w:p w14:paraId="497545ED" w14:textId="77FEE417" w:rsidR="00897749" w:rsidRPr="002136F3" w:rsidRDefault="00897749" w:rsidP="00D54A5B">
      <w:pPr>
        <w:shd w:val="clear" w:color="auto" w:fill="FFFFFF"/>
        <w:spacing w:before="120" w:after="120" w:line="312" w:lineRule="auto"/>
        <w:ind w:left="142" w:right="260"/>
        <w:jc w:val="both"/>
        <w:rPr>
          <w:rFonts w:ascii="Times New Roman" w:hAnsi="Times New Roman"/>
          <w:b/>
          <w:bCs/>
          <w:sz w:val="24"/>
          <w:szCs w:val="24"/>
          <w:lang w:val="vi-VN"/>
        </w:rPr>
      </w:pPr>
      <w:r w:rsidRPr="002136F3">
        <w:rPr>
          <w:rFonts w:ascii="Times New Roman" w:hAnsi="Times New Roman"/>
          <w:b/>
          <w:sz w:val="24"/>
          <w:szCs w:val="24"/>
          <w:lang w:val="nl-NL"/>
        </w:rPr>
        <w:t xml:space="preserve">1.1. </w:t>
      </w:r>
      <w:r w:rsidR="00200471" w:rsidRPr="002136F3">
        <w:rPr>
          <w:rFonts w:ascii="Times New Roman" w:hAnsi="Times New Roman"/>
          <w:b/>
          <w:sz w:val="24"/>
          <w:szCs w:val="24"/>
          <w:lang w:val="nl-NL"/>
        </w:rPr>
        <w:tab/>
      </w:r>
      <w:r w:rsidRPr="002136F3">
        <w:rPr>
          <w:rFonts w:ascii="Times New Roman" w:hAnsi="Times New Roman"/>
          <w:b/>
          <w:sz w:val="24"/>
          <w:szCs w:val="24"/>
          <w:lang w:val="nl-NL"/>
        </w:rPr>
        <w:t xml:space="preserve">Giấy chứng nhận chào bán chứng chỉ Quỹ và Giấy chứng nhận đăng ký thành lập Quỹ </w:t>
      </w:r>
      <w:r w:rsidR="00A033E7" w:rsidRPr="002136F3">
        <w:rPr>
          <w:rFonts w:ascii="Times New Roman" w:hAnsi="Times New Roman"/>
          <w:b/>
          <w:sz w:val="24"/>
          <w:szCs w:val="24"/>
          <w:lang w:val="vi-VN"/>
        </w:rPr>
        <w:t xml:space="preserve">/ </w:t>
      </w:r>
      <w:r w:rsidR="00891838" w:rsidRPr="002136F3">
        <w:rPr>
          <w:rFonts w:ascii="Times New Roman" w:hAnsi="Times New Roman"/>
          <w:b/>
          <w:bCs/>
          <w:i/>
          <w:iCs/>
          <w:sz w:val="24"/>
          <w:szCs w:val="24"/>
        </w:rPr>
        <w:t>Certificate of public fund offering</w:t>
      </w:r>
      <w:r w:rsidR="00891838" w:rsidRPr="002136F3">
        <w:rPr>
          <w:rFonts w:ascii="Times New Roman" w:hAnsi="Times New Roman"/>
          <w:b/>
          <w:bCs/>
          <w:i/>
          <w:iCs/>
          <w:sz w:val="24"/>
          <w:szCs w:val="24"/>
          <w:lang w:val="vi-VN"/>
        </w:rPr>
        <w:t xml:space="preserve"> and </w:t>
      </w:r>
      <w:r w:rsidR="00891838" w:rsidRPr="002136F3">
        <w:rPr>
          <w:rFonts w:ascii="Times New Roman" w:hAnsi="Times New Roman"/>
          <w:b/>
          <w:bCs/>
          <w:i/>
          <w:iCs/>
          <w:sz w:val="24"/>
          <w:szCs w:val="24"/>
        </w:rPr>
        <w:t>Certificate of registration of public fund establishment</w:t>
      </w:r>
    </w:p>
    <w:p w14:paraId="3EA7CF45" w14:textId="3E690726" w:rsidR="00891838" w:rsidRPr="002136F3" w:rsidRDefault="00897749" w:rsidP="00D54A5B">
      <w:pPr>
        <w:pStyle w:val="ListParagraph"/>
        <w:spacing w:before="120" w:after="120" w:line="312" w:lineRule="auto"/>
        <w:ind w:left="142" w:right="260"/>
        <w:contextualSpacing w:val="0"/>
        <w:jc w:val="both"/>
        <w:rPr>
          <w:rFonts w:ascii="Times New Roman" w:hAnsi="Times New Roman"/>
          <w:sz w:val="24"/>
          <w:szCs w:val="24"/>
        </w:rPr>
      </w:pPr>
      <w:r w:rsidRPr="002136F3">
        <w:rPr>
          <w:rFonts w:ascii="Times New Roman" w:hAnsi="Times New Roman"/>
          <w:sz w:val="24"/>
          <w:szCs w:val="24"/>
          <w:lang w:val="vi-VN"/>
        </w:rPr>
        <w:t>Quỹ ETF VFMVN30</w:t>
      </w:r>
      <w:r w:rsidR="00D52D4A" w:rsidRPr="002136F3">
        <w:rPr>
          <w:rFonts w:ascii="Times New Roman" w:hAnsi="Times New Roman"/>
          <w:sz w:val="24"/>
          <w:szCs w:val="24"/>
        </w:rPr>
        <w:t xml:space="preserve"> </w:t>
      </w:r>
      <w:r w:rsidR="001B5334" w:rsidRPr="002136F3">
        <w:rPr>
          <w:rFonts w:ascii="Times New Roman" w:hAnsi="Times New Roman"/>
          <w:sz w:val="24"/>
          <w:szCs w:val="24"/>
        </w:rPr>
        <w:t>(“</w:t>
      </w:r>
      <w:proofErr w:type="spellStart"/>
      <w:r w:rsidR="001B5334" w:rsidRPr="002136F3">
        <w:rPr>
          <w:rFonts w:ascii="Times New Roman" w:hAnsi="Times New Roman"/>
          <w:sz w:val="24"/>
          <w:szCs w:val="24"/>
        </w:rPr>
        <w:t>Quỹ</w:t>
      </w:r>
      <w:proofErr w:type="spellEnd"/>
      <w:r w:rsidR="001B5334" w:rsidRPr="002136F3">
        <w:rPr>
          <w:rFonts w:ascii="Times New Roman" w:hAnsi="Times New Roman"/>
          <w:sz w:val="24"/>
          <w:szCs w:val="24"/>
        </w:rPr>
        <w:t xml:space="preserve">”) </w:t>
      </w:r>
      <w:r w:rsidRPr="002136F3">
        <w:rPr>
          <w:rFonts w:ascii="Times New Roman" w:hAnsi="Times New Roman"/>
          <w:sz w:val="24"/>
          <w:szCs w:val="24"/>
          <w:lang w:val="vi-VN"/>
        </w:rPr>
        <w:t xml:space="preserve">được Ủy ban Chứng khoán Nhà nước cấp </w:t>
      </w:r>
      <w:proofErr w:type="spellStart"/>
      <w:r w:rsidRPr="002136F3">
        <w:rPr>
          <w:rFonts w:ascii="Times New Roman" w:hAnsi="Times New Roman"/>
          <w:sz w:val="24"/>
          <w:szCs w:val="24"/>
        </w:rPr>
        <w:t>Giấy</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nhận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chào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chỉ</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r w:rsidRPr="002136F3">
        <w:rPr>
          <w:rFonts w:ascii="Times New Roman" w:hAnsi="Times New Roman"/>
          <w:sz w:val="24"/>
          <w:szCs w:val="24"/>
          <w:lang w:val="vi-VN"/>
        </w:rPr>
        <w:t xml:space="preserve">ra công chúng số </w:t>
      </w:r>
      <w:r w:rsidRPr="002136F3">
        <w:rPr>
          <w:rFonts w:ascii="Times New Roman" w:hAnsi="Times New Roman"/>
          <w:sz w:val="24"/>
          <w:szCs w:val="24"/>
        </w:rPr>
        <w:t xml:space="preserve">52/GCN-UBCK </w:t>
      </w:r>
      <w:r w:rsidRPr="002136F3">
        <w:rPr>
          <w:rFonts w:ascii="Times New Roman" w:hAnsi="Times New Roman"/>
          <w:sz w:val="24"/>
          <w:szCs w:val="24"/>
          <w:lang w:val="vi-VN"/>
        </w:rPr>
        <w:t xml:space="preserve">ngày </w:t>
      </w:r>
      <w:r w:rsidRPr="002136F3">
        <w:rPr>
          <w:rFonts w:ascii="Times New Roman" w:hAnsi="Times New Roman"/>
          <w:sz w:val="24"/>
          <w:szCs w:val="24"/>
        </w:rPr>
        <w:t xml:space="preserve">04/7/2014 </w:t>
      </w:r>
      <w:proofErr w:type="spellStart"/>
      <w:r w:rsidRPr="002136F3">
        <w:rPr>
          <w:rFonts w:ascii="Times New Roman" w:hAnsi="Times New Roman"/>
          <w:sz w:val="24"/>
          <w:szCs w:val="24"/>
        </w:rPr>
        <w:t>và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Giấy</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nhận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đăng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ký</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thành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lập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ETF VFMVN30 </w:t>
      </w:r>
      <w:proofErr w:type="spellStart"/>
      <w:r w:rsidRPr="002136F3">
        <w:rPr>
          <w:rFonts w:ascii="Times New Roman" w:hAnsi="Times New Roman"/>
          <w:sz w:val="24"/>
          <w:szCs w:val="24"/>
        </w:rPr>
        <w:t>số</w:t>
      </w:r>
      <w:proofErr w:type="spellEnd"/>
      <w:r w:rsidRPr="002136F3">
        <w:rPr>
          <w:rFonts w:ascii="Times New Roman" w:hAnsi="Times New Roman"/>
          <w:sz w:val="24"/>
          <w:szCs w:val="24"/>
        </w:rPr>
        <w:t xml:space="preserve"> 14/GCN-UBCK </w:t>
      </w:r>
      <w:proofErr w:type="spellStart"/>
      <w:r w:rsidRPr="002136F3">
        <w:rPr>
          <w:rFonts w:ascii="Times New Roman" w:hAnsi="Times New Roman"/>
          <w:sz w:val="24"/>
          <w:szCs w:val="24"/>
        </w:rPr>
        <w:t>ngày</w:t>
      </w:r>
      <w:proofErr w:type="spellEnd"/>
      <w:r w:rsidRPr="002136F3">
        <w:rPr>
          <w:rFonts w:ascii="Times New Roman" w:hAnsi="Times New Roman"/>
          <w:sz w:val="24"/>
          <w:szCs w:val="24"/>
        </w:rPr>
        <w:t xml:space="preserve"> 18/9/2014.</w:t>
      </w:r>
      <w:r w:rsidR="007703D8" w:rsidRPr="002136F3">
        <w:rPr>
          <w:rFonts w:ascii="Times New Roman" w:hAnsi="Times New Roman"/>
          <w:sz w:val="24"/>
          <w:szCs w:val="24"/>
        </w:rPr>
        <w:t xml:space="preserve"> </w:t>
      </w:r>
      <w:proofErr w:type="spellStart"/>
      <w:r w:rsidR="007703D8" w:rsidRPr="002136F3">
        <w:rPr>
          <w:rFonts w:ascii="Times New Roman" w:hAnsi="Times New Roman"/>
          <w:sz w:val="24"/>
          <w:szCs w:val="24"/>
        </w:rPr>
        <w:t>Quỹ</w:t>
      </w:r>
      <w:proofErr w:type="spellEnd"/>
      <w:r w:rsidR="007703D8" w:rsidRPr="002136F3">
        <w:rPr>
          <w:rFonts w:ascii="Times New Roman" w:hAnsi="Times New Roman"/>
          <w:sz w:val="24"/>
          <w:szCs w:val="24"/>
        </w:rPr>
        <w:t xml:space="preserve"> </w:t>
      </w:r>
      <w:proofErr w:type="spellStart"/>
      <w:r w:rsidR="007703D8" w:rsidRPr="002136F3">
        <w:rPr>
          <w:rFonts w:ascii="Times New Roman" w:hAnsi="Times New Roman"/>
          <w:sz w:val="24"/>
          <w:szCs w:val="24"/>
        </w:rPr>
        <w:t>thực</w:t>
      </w:r>
      <w:proofErr w:type="spellEnd"/>
      <w:r w:rsidR="007703D8" w:rsidRPr="002136F3">
        <w:rPr>
          <w:rFonts w:ascii="Times New Roman" w:hAnsi="Times New Roman"/>
          <w:sz w:val="24"/>
          <w:szCs w:val="24"/>
        </w:rPr>
        <w:t xml:space="preserve"> </w:t>
      </w:r>
      <w:proofErr w:type="spellStart"/>
      <w:r w:rsidR="007703D8" w:rsidRPr="002136F3">
        <w:rPr>
          <w:rFonts w:ascii="Times New Roman" w:hAnsi="Times New Roman"/>
          <w:sz w:val="24"/>
          <w:szCs w:val="24"/>
        </w:rPr>
        <w:t>hiện</w:t>
      </w:r>
      <w:proofErr w:type="spellEnd"/>
      <w:r w:rsidR="007703D8" w:rsidRPr="002136F3">
        <w:rPr>
          <w:rFonts w:ascii="Times New Roman" w:hAnsi="Times New Roman"/>
          <w:sz w:val="24"/>
          <w:szCs w:val="24"/>
        </w:rPr>
        <w:t xml:space="preserve"> </w:t>
      </w:r>
      <w:proofErr w:type="spellStart"/>
      <w:r w:rsidR="007703D8" w:rsidRPr="002136F3">
        <w:rPr>
          <w:rFonts w:ascii="Times New Roman" w:hAnsi="Times New Roman"/>
          <w:sz w:val="24"/>
          <w:szCs w:val="24"/>
        </w:rPr>
        <w:t>đổi</w:t>
      </w:r>
      <w:proofErr w:type="spellEnd"/>
      <w:r w:rsidR="007703D8" w:rsidRPr="002136F3">
        <w:rPr>
          <w:rFonts w:ascii="Times New Roman" w:hAnsi="Times New Roman"/>
          <w:sz w:val="24"/>
          <w:szCs w:val="24"/>
        </w:rPr>
        <w:t xml:space="preserve"> </w:t>
      </w:r>
      <w:proofErr w:type="spellStart"/>
      <w:r w:rsidR="007703D8" w:rsidRPr="002136F3">
        <w:rPr>
          <w:rFonts w:ascii="Times New Roman" w:hAnsi="Times New Roman"/>
          <w:sz w:val="24"/>
          <w:szCs w:val="24"/>
        </w:rPr>
        <w:t>tên</w:t>
      </w:r>
      <w:proofErr w:type="spellEnd"/>
      <w:r w:rsidR="007703D8" w:rsidRPr="002136F3">
        <w:rPr>
          <w:rFonts w:ascii="Times New Roman" w:hAnsi="Times New Roman"/>
          <w:sz w:val="24"/>
          <w:szCs w:val="24"/>
        </w:rPr>
        <w:t xml:space="preserve"> </w:t>
      </w:r>
      <w:proofErr w:type="spellStart"/>
      <w:r w:rsidR="007703D8" w:rsidRPr="002136F3">
        <w:rPr>
          <w:rFonts w:ascii="Times New Roman" w:hAnsi="Times New Roman"/>
          <w:sz w:val="24"/>
          <w:szCs w:val="24"/>
        </w:rPr>
        <w:t>thành</w:t>
      </w:r>
      <w:proofErr w:type="spellEnd"/>
      <w:r w:rsidR="007703D8" w:rsidRPr="002136F3">
        <w:rPr>
          <w:rFonts w:ascii="Times New Roman" w:hAnsi="Times New Roman"/>
          <w:sz w:val="24"/>
          <w:szCs w:val="24"/>
        </w:rPr>
        <w:t xml:space="preserve"> </w:t>
      </w:r>
      <w:proofErr w:type="spellStart"/>
      <w:r w:rsidR="007703D8" w:rsidRPr="002136F3">
        <w:rPr>
          <w:rFonts w:ascii="Times New Roman" w:hAnsi="Times New Roman"/>
          <w:sz w:val="24"/>
          <w:szCs w:val="24"/>
        </w:rPr>
        <w:t>Quỹ</w:t>
      </w:r>
      <w:proofErr w:type="spellEnd"/>
      <w:r w:rsidR="007703D8" w:rsidRPr="002136F3">
        <w:rPr>
          <w:rFonts w:ascii="Times New Roman" w:hAnsi="Times New Roman"/>
          <w:sz w:val="24"/>
          <w:szCs w:val="24"/>
        </w:rPr>
        <w:t xml:space="preserve"> ETF DCVFMVN30 </w:t>
      </w:r>
      <w:proofErr w:type="spellStart"/>
      <w:r w:rsidR="007703D8" w:rsidRPr="002136F3">
        <w:rPr>
          <w:rFonts w:ascii="Times New Roman" w:hAnsi="Times New Roman"/>
          <w:sz w:val="24"/>
          <w:szCs w:val="24"/>
        </w:rPr>
        <w:t>theo</w:t>
      </w:r>
      <w:proofErr w:type="spellEnd"/>
      <w:r w:rsidR="007703D8" w:rsidRPr="002136F3">
        <w:rPr>
          <w:rFonts w:ascii="Times New Roman" w:hAnsi="Times New Roman"/>
          <w:sz w:val="24"/>
          <w:szCs w:val="24"/>
        </w:rPr>
        <w:t xml:space="preserve"> </w:t>
      </w:r>
      <w:proofErr w:type="spellStart"/>
      <w:r w:rsidR="007703D8" w:rsidRPr="002136F3">
        <w:rPr>
          <w:rFonts w:ascii="Times New Roman" w:hAnsi="Times New Roman"/>
          <w:sz w:val="24"/>
          <w:szCs w:val="24"/>
        </w:rPr>
        <w:t>Giấy</w:t>
      </w:r>
      <w:proofErr w:type="spellEnd"/>
      <w:r w:rsidR="007703D8" w:rsidRPr="002136F3">
        <w:rPr>
          <w:rFonts w:ascii="Times New Roman" w:hAnsi="Times New Roman"/>
          <w:sz w:val="24"/>
          <w:szCs w:val="24"/>
        </w:rPr>
        <w:t xml:space="preserve"> </w:t>
      </w:r>
      <w:proofErr w:type="spellStart"/>
      <w:r w:rsidR="007703D8" w:rsidRPr="002136F3">
        <w:rPr>
          <w:rFonts w:ascii="Times New Roman" w:hAnsi="Times New Roman"/>
          <w:sz w:val="24"/>
          <w:szCs w:val="24"/>
        </w:rPr>
        <w:t>chứng</w:t>
      </w:r>
      <w:proofErr w:type="spellEnd"/>
      <w:r w:rsidR="007703D8" w:rsidRPr="002136F3">
        <w:rPr>
          <w:rFonts w:ascii="Times New Roman" w:hAnsi="Times New Roman"/>
          <w:sz w:val="24"/>
          <w:szCs w:val="24"/>
        </w:rPr>
        <w:t xml:space="preserve"> </w:t>
      </w:r>
      <w:proofErr w:type="spellStart"/>
      <w:r w:rsidR="007703D8" w:rsidRPr="002136F3">
        <w:rPr>
          <w:rFonts w:ascii="Times New Roman" w:hAnsi="Times New Roman"/>
          <w:sz w:val="24"/>
          <w:szCs w:val="24"/>
        </w:rPr>
        <w:t>nhận</w:t>
      </w:r>
      <w:proofErr w:type="spellEnd"/>
      <w:r w:rsidR="007703D8" w:rsidRPr="002136F3">
        <w:rPr>
          <w:rFonts w:ascii="Times New Roman" w:hAnsi="Times New Roman"/>
          <w:sz w:val="24"/>
          <w:szCs w:val="24"/>
        </w:rPr>
        <w:t xml:space="preserve"> </w:t>
      </w:r>
      <w:proofErr w:type="spellStart"/>
      <w:r w:rsidR="007703D8" w:rsidRPr="002136F3">
        <w:rPr>
          <w:rFonts w:ascii="Times New Roman" w:hAnsi="Times New Roman"/>
          <w:sz w:val="24"/>
          <w:szCs w:val="24"/>
        </w:rPr>
        <w:t>điều</w:t>
      </w:r>
      <w:proofErr w:type="spellEnd"/>
      <w:r w:rsidR="007703D8" w:rsidRPr="002136F3">
        <w:rPr>
          <w:rFonts w:ascii="Times New Roman" w:hAnsi="Times New Roman"/>
          <w:sz w:val="24"/>
          <w:szCs w:val="24"/>
        </w:rPr>
        <w:t xml:space="preserve"> </w:t>
      </w:r>
      <w:proofErr w:type="spellStart"/>
      <w:r w:rsidR="007703D8" w:rsidRPr="002136F3">
        <w:rPr>
          <w:rFonts w:ascii="Times New Roman" w:hAnsi="Times New Roman"/>
          <w:sz w:val="24"/>
          <w:szCs w:val="24"/>
        </w:rPr>
        <w:t>chỉnh</w:t>
      </w:r>
      <w:proofErr w:type="spellEnd"/>
      <w:r w:rsidR="007703D8" w:rsidRPr="002136F3">
        <w:rPr>
          <w:rFonts w:ascii="Times New Roman" w:hAnsi="Times New Roman"/>
          <w:sz w:val="24"/>
          <w:szCs w:val="24"/>
        </w:rPr>
        <w:t xml:space="preserve"> </w:t>
      </w:r>
      <w:proofErr w:type="spellStart"/>
      <w:r w:rsidR="007703D8" w:rsidRPr="002136F3">
        <w:rPr>
          <w:rFonts w:ascii="Times New Roman" w:hAnsi="Times New Roman"/>
          <w:sz w:val="24"/>
          <w:szCs w:val="24"/>
        </w:rPr>
        <w:t>Giấy</w:t>
      </w:r>
      <w:proofErr w:type="spellEnd"/>
      <w:r w:rsidR="007703D8" w:rsidRPr="002136F3">
        <w:rPr>
          <w:rFonts w:ascii="Times New Roman" w:hAnsi="Times New Roman"/>
          <w:sz w:val="24"/>
          <w:szCs w:val="24"/>
        </w:rPr>
        <w:t xml:space="preserve"> </w:t>
      </w:r>
      <w:proofErr w:type="spellStart"/>
      <w:r w:rsidR="007703D8" w:rsidRPr="002136F3">
        <w:rPr>
          <w:rFonts w:ascii="Times New Roman" w:hAnsi="Times New Roman"/>
          <w:sz w:val="24"/>
          <w:szCs w:val="24"/>
        </w:rPr>
        <w:t>chứng</w:t>
      </w:r>
      <w:proofErr w:type="spellEnd"/>
      <w:r w:rsidR="007703D8" w:rsidRPr="002136F3">
        <w:rPr>
          <w:rFonts w:ascii="Times New Roman" w:hAnsi="Times New Roman"/>
          <w:sz w:val="24"/>
          <w:szCs w:val="24"/>
        </w:rPr>
        <w:t xml:space="preserve"> </w:t>
      </w:r>
      <w:proofErr w:type="spellStart"/>
      <w:r w:rsidR="007703D8" w:rsidRPr="002136F3">
        <w:rPr>
          <w:rFonts w:ascii="Times New Roman" w:hAnsi="Times New Roman"/>
          <w:sz w:val="24"/>
          <w:szCs w:val="24"/>
        </w:rPr>
        <w:t>nhận</w:t>
      </w:r>
      <w:proofErr w:type="spellEnd"/>
      <w:r w:rsidR="007703D8" w:rsidRPr="002136F3">
        <w:rPr>
          <w:rFonts w:ascii="Times New Roman" w:hAnsi="Times New Roman"/>
          <w:sz w:val="24"/>
          <w:szCs w:val="24"/>
        </w:rPr>
        <w:t xml:space="preserve"> </w:t>
      </w:r>
      <w:proofErr w:type="spellStart"/>
      <w:r w:rsidR="007703D8" w:rsidRPr="002136F3">
        <w:rPr>
          <w:rFonts w:ascii="Times New Roman" w:hAnsi="Times New Roman"/>
          <w:sz w:val="24"/>
          <w:szCs w:val="24"/>
        </w:rPr>
        <w:t>đăng</w:t>
      </w:r>
      <w:proofErr w:type="spellEnd"/>
      <w:r w:rsidR="007703D8" w:rsidRPr="002136F3">
        <w:rPr>
          <w:rFonts w:ascii="Times New Roman" w:hAnsi="Times New Roman"/>
          <w:sz w:val="24"/>
          <w:szCs w:val="24"/>
        </w:rPr>
        <w:t xml:space="preserve"> </w:t>
      </w:r>
      <w:proofErr w:type="spellStart"/>
      <w:r w:rsidR="007703D8" w:rsidRPr="002136F3">
        <w:rPr>
          <w:rFonts w:ascii="Times New Roman" w:hAnsi="Times New Roman"/>
          <w:sz w:val="24"/>
          <w:szCs w:val="24"/>
        </w:rPr>
        <w:t>ký</w:t>
      </w:r>
      <w:proofErr w:type="spellEnd"/>
      <w:r w:rsidR="007703D8" w:rsidRPr="002136F3">
        <w:rPr>
          <w:rFonts w:ascii="Times New Roman" w:hAnsi="Times New Roman"/>
          <w:sz w:val="24"/>
          <w:szCs w:val="24"/>
        </w:rPr>
        <w:t xml:space="preserve"> </w:t>
      </w:r>
      <w:proofErr w:type="spellStart"/>
      <w:r w:rsidR="007703D8" w:rsidRPr="002136F3">
        <w:rPr>
          <w:rFonts w:ascii="Times New Roman" w:hAnsi="Times New Roman"/>
          <w:sz w:val="24"/>
          <w:szCs w:val="24"/>
        </w:rPr>
        <w:t>lập</w:t>
      </w:r>
      <w:proofErr w:type="spellEnd"/>
      <w:r w:rsidR="007703D8" w:rsidRPr="002136F3">
        <w:rPr>
          <w:rFonts w:ascii="Times New Roman" w:hAnsi="Times New Roman"/>
          <w:sz w:val="24"/>
          <w:szCs w:val="24"/>
        </w:rPr>
        <w:t xml:space="preserve"> </w:t>
      </w:r>
      <w:proofErr w:type="spellStart"/>
      <w:r w:rsidR="007703D8" w:rsidRPr="002136F3">
        <w:rPr>
          <w:rFonts w:ascii="Times New Roman" w:hAnsi="Times New Roman"/>
          <w:sz w:val="24"/>
          <w:szCs w:val="24"/>
        </w:rPr>
        <w:t>Quỹ</w:t>
      </w:r>
      <w:proofErr w:type="spellEnd"/>
      <w:r w:rsidR="007703D8" w:rsidRPr="002136F3">
        <w:rPr>
          <w:rFonts w:ascii="Times New Roman" w:hAnsi="Times New Roman"/>
          <w:sz w:val="24"/>
          <w:szCs w:val="24"/>
        </w:rPr>
        <w:t xml:space="preserve"> </w:t>
      </w:r>
      <w:proofErr w:type="spellStart"/>
      <w:r w:rsidR="007703D8" w:rsidRPr="002136F3">
        <w:rPr>
          <w:rFonts w:ascii="Times New Roman" w:hAnsi="Times New Roman"/>
          <w:sz w:val="24"/>
          <w:szCs w:val="24"/>
        </w:rPr>
        <w:t>đại</w:t>
      </w:r>
      <w:proofErr w:type="spellEnd"/>
      <w:r w:rsidR="007703D8" w:rsidRPr="002136F3">
        <w:rPr>
          <w:rFonts w:ascii="Times New Roman" w:hAnsi="Times New Roman"/>
          <w:sz w:val="24"/>
          <w:szCs w:val="24"/>
        </w:rPr>
        <w:t xml:space="preserve"> </w:t>
      </w:r>
      <w:proofErr w:type="spellStart"/>
      <w:r w:rsidR="007703D8" w:rsidRPr="002136F3">
        <w:rPr>
          <w:rFonts w:ascii="Times New Roman" w:hAnsi="Times New Roman"/>
          <w:sz w:val="24"/>
          <w:szCs w:val="24"/>
        </w:rPr>
        <w:t>chúng</w:t>
      </w:r>
      <w:proofErr w:type="spellEnd"/>
      <w:r w:rsidR="007703D8" w:rsidRPr="002136F3">
        <w:rPr>
          <w:rFonts w:ascii="Times New Roman" w:hAnsi="Times New Roman"/>
          <w:sz w:val="24"/>
          <w:szCs w:val="24"/>
        </w:rPr>
        <w:t xml:space="preserve"> </w:t>
      </w:r>
      <w:proofErr w:type="spellStart"/>
      <w:r w:rsidR="007703D8" w:rsidRPr="002136F3">
        <w:rPr>
          <w:rFonts w:ascii="Times New Roman" w:hAnsi="Times New Roman"/>
          <w:sz w:val="24"/>
          <w:szCs w:val="24"/>
        </w:rPr>
        <w:t>số</w:t>
      </w:r>
      <w:proofErr w:type="spellEnd"/>
      <w:r w:rsidR="007703D8" w:rsidRPr="002136F3">
        <w:rPr>
          <w:rFonts w:ascii="Times New Roman" w:hAnsi="Times New Roman"/>
          <w:sz w:val="24"/>
          <w:szCs w:val="24"/>
        </w:rPr>
        <w:t xml:space="preserve"> 06/GCN-UBCK </w:t>
      </w:r>
      <w:proofErr w:type="spellStart"/>
      <w:r w:rsidR="007703D8" w:rsidRPr="002136F3">
        <w:rPr>
          <w:rFonts w:ascii="Times New Roman" w:hAnsi="Times New Roman"/>
          <w:sz w:val="24"/>
          <w:szCs w:val="24"/>
        </w:rPr>
        <w:t>ngày</w:t>
      </w:r>
      <w:proofErr w:type="spellEnd"/>
      <w:r w:rsidR="007703D8" w:rsidRPr="002136F3">
        <w:rPr>
          <w:rFonts w:ascii="Times New Roman" w:hAnsi="Times New Roman"/>
          <w:sz w:val="24"/>
          <w:szCs w:val="24"/>
        </w:rPr>
        <w:t xml:space="preserve"> 28 </w:t>
      </w:r>
      <w:proofErr w:type="spellStart"/>
      <w:r w:rsidR="007703D8" w:rsidRPr="002136F3">
        <w:rPr>
          <w:rFonts w:ascii="Times New Roman" w:hAnsi="Times New Roman"/>
          <w:sz w:val="24"/>
          <w:szCs w:val="24"/>
        </w:rPr>
        <w:t>tháng</w:t>
      </w:r>
      <w:proofErr w:type="spellEnd"/>
      <w:r w:rsidR="007703D8" w:rsidRPr="002136F3">
        <w:rPr>
          <w:rFonts w:ascii="Times New Roman" w:hAnsi="Times New Roman"/>
          <w:sz w:val="24"/>
          <w:szCs w:val="24"/>
        </w:rPr>
        <w:t xml:space="preserve"> 4 </w:t>
      </w:r>
      <w:proofErr w:type="spellStart"/>
      <w:r w:rsidR="007703D8" w:rsidRPr="002136F3">
        <w:rPr>
          <w:rFonts w:ascii="Times New Roman" w:hAnsi="Times New Roman"/>
          <w:sz w:val="24"/>
          <w:szCs w:val="24"/>
        </w:rPr>
        <w:t>năm</w:t>
      </w:r>
      <w:proofErr w:type="spellEnd"/>
      <w:r w:rsidR="007703D8" w:rsidRPr="002136F3">
        <w:rPr>
          <w:rFonts w:ascii="Times New Roman" w:hAnsi="Times New Roman"/>
          <w:sz w:val="24"/>
          <w:szCs w:val="24"/>
        </w:rPr>
        <w:t xml:space="preserve"> 2021.</w:t>
      </w:r>
    </w:p>
    <w:p w14:paraId="7310E0BC" w14:textId="16566F13" w:rsidR="00891838" w:rsidRPr="002136F3" w:rsidRDefault="00891838" w:rsidP="00D54A5B">
      <w:pPr>
        <w:pStyle w:val="ListParagraph"/>
        <w:spacing w:before="120" w:after="120" w:line="312" w:lineRule="auto"/>
        <w:ind w:left="142" w:right="260"/>
        <w:contextualSpacing w:val="0"/>
        <w:jc w:val="both"/>
        <w:rPr>
          <w:rFonts w:ascii="Times New Roman" w:hAnsi="Times New Roman"/>
          <w:i/>
          <w:iCs/>
          <w:sz w:val="24"/>
          <w:szCs w:val="24"/>
        </w:rPr>
      </w:pPr>
      <w:r w:rsidRPr="002136F3">
        <w:rPr>
          <w:rFonts w:ascii="Times New Roman" w:hAnsi="Times New Roman"/>
          <w:i/>
          <w:iCs/>
          <w:sz w:val="24"/>
          <w:szCs w:val="24"/>
        </w:rPr>
        <w:t>Initial</w:t>
      </w:r>
      <w:r w:rsidRPr="002136F3">
        <w:rPr>
          <w:rFonts w:ascii="Times New Roman" w:hAnsi="Times New Roman"/>
          <w:i/>
          <w:iCs/>
          <w:sz w:val="24"/>
          <w:szCs w:val="24"/>
          <w:lang w:val="vi-VN"/>
        </w:rPr>
        <w:t xml:space="preserve"> Public Offering Certificate No. 52/GCN-UBCK dated 4 July 2014 and Establishment Registration Certificate</w:t>
      </w:r>
      <w:r w:rsidRPr="002136F3" w:rsidDel="00886A55">
        <w:rPr>
          <w:rFonts w:ascii="Times New Roman" w:hAnsi="Times New Roman"/>
          <w:i/>
          <w:iCs/>
          <w:sz w:val="24"/>
          <w:szCs w:val="24"/>
          <w:lang w:val="vi-VN"/>
        </w:rPr>
        <w:t xml:space="preserve"> </w:t>
      </w:r>
      <w:r w:rsidRPr="002136F3">
        <w:rPr>
          <w:rFonts w:ascii="Times New Roman" w:hAnsi="Times New Roman"/>
          <w:i/>
          <w:iCs/>
          <w:sz w:val="24"/>
          <w:szCs w:val="24"/>
          <w:lang w:val="vi-VN"/>
        </w:rPr>
        <w:t xml:space="preserve">of ETF VFMVN30 No. 14/GCN-UBCK dated 18 Sep 2014 were issued by the State Securities Commission. Fund name was changed to ETF DCVFMVN30 in accordance with Establishment Registration Amendment Certificate of Public Open-ended Fund No. 06/GCN-UBCK dated 28 April 2021. </w:t>
      </w:r>
    </w:p>
    <w:p w14:paraId="316A27D4" w14:textId="77777777" w:rsidR="00891838" w:rsidRPr="002136F3" w:rsidRDefault="00126795" w:rsidP="00D54A5B">
      <w:pPr>
        <w:pStyle w:val="ListParagraph"/>
        <w:spacing w:before="120" w:after="120" w:line="312" w:lineRule="auto"/>
        <w:ind w:left="142" w:right="260"/>
        <w:contextualSpacing w:val="0"/>
        <w:jc w:val="both"/>
        <w:rPr>
          <w:rFonts w:ascii="Times New Roman" w:hAnsi="Times New Roman"/>
          <w:sz w:val="24"/>
          <w:szCs w:val="24"/>
        </w:rPr>
      </w:pPr>
      <w:proofErr w:type="spellStart"/>
      <w:r w:rsidRPr="002136F3">
        <w:rPr>
          <w:rFonts w:ascii="Times New Roman" w:hAnsi="Times New Roman"/>
          <w:sz w:val="24"/>
          <w:szCs w:val="24"/>
        </w:rPr>
        <w:t>Vào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ngày</w:t>
      </w:r>
      <w:proofErr w:type="spellEnd"/>
      <w:r w:rsidRPr="002136F3">
        <w:rPr>
          <w:rFonts w:ascii="Times New Roman" w:hAnsi="Times New Roman"/>
          <w:sz w:val="24"/>
          <w:szCs w:val="24"/>
        </w:rPr>
        <w:t xml:space="preserve"> 06/10</w:t>
      </w:r>
      <w:r w:rsidR="00897749" w:rsidRPr="002136F3">
        <w:rPr>
          <w:rFonts w:ascii="Times New Roman" w:hAnsi="Times New Roman"/>
          <w:sz w:val="24"/>
          <w:szCs w:val="24"/>
        </w:rPr>
        <w:t xml:space="preserve">/2014, </w:t>
      </w:r>
      <w:proofErr w:type="spellStart"/>
      <w:r w:rsidR="00897749" w:rsidRPr="002136F3">
        <w:rPr>
          <w:rFonts w:ascii="Times New Roman" w:hAnsi="Times New Roman"/>
          <w:sz w:val="24"/>
          <w:szCs w:val="24"/>
        </w:rPr>
        <w:t>Quỹ</w:t>
      </w:r>
      <w:proofErr w:type="spellEnd"/>
      <w:r w:rsidR="00897749" w:rsidRPr="002136F3">
        <w:rPr>
          <w:rFonts w:ascii="Times New Roman" w:hAnsi="Times New Roman"/>
          <w:sz w:val="24"/>
          <w:szCs w:val="24"/>
        </w:rPr>
        <w:t xml:space="preserve"> ETF </w:t>
      </w:r>
      <w:r w:rsidR="00D52D4A" w:rsidRPr="002136F3">
        <w:rPr>
          <w:rFonts w:ascii="Times New Roman" w:hAnsi="Times New Roman"/>
          <w:sz w:val="24"/>
          <w:szCs w:val="24"/>
        </w:rPr>
        <w:t>DC</w:t>
      </w:r>
      <w:r w:rsidR="00897749" w:rsidRPr="002136F3">
        <w:rPr>
          <w:rFonts w:ascii="Times New Roman" w:hAnsi="Times New Roman"/>
          <w:sz w:val="24"/>
          <w:szCs w:val="24"/>
        </w:rPr>
        <w:t xml:space="preserve">VFMVN30 </w:t>
      </w:r>
      <w:proofErr w:type="spellStart"/>
      <w:r w:rsidR="00897749" w:rsidRPr="002136F3">
        <w:rPr>
          <w:rFonts w:ascii="Times New Roman" w:hAnsi="Times New Roman"/>
          <w:sz w:val="24"/>
          <w:szCs w:val="24"/>
        </w:rPr>
        <w:t>đã</w:t>
      </w:r>
      <w:proofErr w:type="spellEnd"/>
      <w:r w:rsidRPr="002136F3">
        <w:rPr>
          <w:rFonts w:ascii="Times New Roman" w:hAnsi="Times New Roman"/>
          <w:sz w:val="24"/>
          <w:szCs w:val="24"/>
        </w:rPr>
        <w:t xml:space="preserve"> </w:t>
      </w:r>
      <w:proofErr w:type="spellStart"/>
      <w:r w:rsidR="002C298C" w:rsidRPr="002136F3">
        <w:rPr>
          <w:rFonts w:ascii="Times New Roman" w:hAnsi="Times New Roman"/>
          <w:sz w:val="24"/>
          <w:szCs w:val="24"/>
        </w:rPr>
        <w:t>niêm</w:t>
      </w:r>
      <w:proofErr w:type="spellEnd"/>
      <w:r w:rsidR="002C298C" w:rsidRPr="002136F3">
        <w:rPr>
          <w:rFonts w:ascii="Times New Roman" w:hAnsi="Times New Roman"/>
          <w:sz w:val="24"/>
          <w:szCs w:val="24"/>
        </w:rPr>
        <w:t xml:space="preserve"> </w:t>
      </w:r>
      <w:proofErr w:type="spellStart"/>
      <w:r w:rsidR="0046229E" w:rsidRPr="002136F3">
        <w:rPr>
          <w:rFonts w:ascii="Times New Roman" w:hAnsi="Times New Roman"/>
          <w:sz w:val="24"/>
          <w:szCs w:val="24"/>
        </w:rPr>
        <w:t>yết</w:t>
      </w:r>
      <w:proofErr w:type="spellEnd"/>
      <w:r w:rsidR="002C298C" w:rsidRPr="002136F3">
        <w:rPr>
          <w:rFonts w:ascii="Times New Roman" w:hAnsi="Times New Roman"/>
          <w:sz w:val="24"/>
          <w:szCs w:val="24"/>
        </w:rPr>
        <w:t xml:space="preserve"> </w:t>
      </w:r>
      <w:proofErr w:type="spellStart"/>
      <w:r w:rsidR="002C298C" w:rsidRPr="002136F3">
        <w:rPr>
          <w:rFonts w:ascii="Times New Roman" w:hAnsi="Times New Roman"/>
          <w:sz w:val="24"/>
          <w:szCs w:val="24"/>
        </w:rPr>
        <w:t>lần</w:t>
      </w:r>
      <w:proofErr w:type="spellEnd"/>
      <w:r w:rsidR="002C298C" w:rsidRPr="002136F3">
        <w:rPr>
          <w:rFonts w:ascii="Times New Roman" w:hAnsi="Times New Roman"/>
          <w:sz w:val="24"/>
          <w:szCs w:val="24"/>
        </w:rPr>
        <w:t xml:space="preserve"> </w:t>
      </w:r>
      <w:proofErr w:type="spellStart"/>
      <w:r w:rsidR="002C298C" w:rsidRPr="002136F3">
        <w:rPr>
          <w:rFonts w:ascii="Times New Roman" w:hAnsi="Times New Roman"/>
          <w:sz w:val="24"/>
          <w:szCs w:val="24"/>
        </w:rPr>
        <w:t>đầ</w:t>
      </w:r>
      <w:r w:rsidRPr="002136F3">
        <w:rPr>
          <w:rFonts w:ascii="Times New Roman" w:hAnsi="Times New Roman"/>
          <w:sz w:val="24"/>
          <w:szCs w:val="24"/>
        </w:rPr>
        <w:t>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tiên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trên</w:t>
      </w:r>
      <w:proofErr w:type="spellEnd"/>
      <w:r w:rsidR="00897749" w:rsidRPr="002136F3">
        <w:rPr>
          <w:rFonts w:ascii="Times New Roman" w:hAnsi="Times New Roman"/>
          <w:sz w:val="24"/>
          <w:szCs w:val="24"/>
        </w:rPr>
        <w:t xml:space="preserve"> </w:t>
      </w:r>
      <w:proofErr w:type="spellStart"/>
      <w:r w:rsidR="00897749" w:rsidRPr="002136F3">
        <w:rPr>
          <w:rFonts w:ascii="Times New Roman" w:hAnsi="Times New Roman"/>
          <w:sz w:val="24"/>
          <w:szCs w:val="24"/>
        </w:rPr>
        <w:t>Sở</w:t>
      </w:r>
      <w:proofErr w:type="spellEnd"/>
      <w:r w:rsidR="00897749" w:rsidRPr="002136F3">
        <w:rPr>
          <w:rFonts w:ascii="Times New Roman" w:hAnsi="Times New Roman"/>
          <w:sz w:val="24"/>
          <w:szCs w:val="24"/>
        </w:rPr>
        <w:t xml:space="preserve"> </w:t>
      </w:r>
      <w:proofErr w:type="spellStart"/>
      <w:r w:rsidR="00897749" w:rsidRPr="002136F3">
        <w:rPr>
          <w:rFonts w:ascii="Times New Roman" w:hAnsi="Times New Roman"/>
          <w:sz w:val="24"/>
          <w:szCs w:val="24"/>
        </w:rPr>
        <w:t>giao</w:t>
      </w:r>
      <w:proofErr w:type="spellEnd"/>
      <w:r w:rsidR="00897749" w:rsidRPr="002136F3">
        <w:rPr>
          <w:rFonts w:ascii="Times New Roman" w:hAnsi="Times New Roman"/>
          <w:sz w:val="24"/>
          <w:szCs w:val="24"/>
        </w:rPr>
        <w:t xml:space="preserve"> </w:t>
      </w:r>
      <w:proofErr w:type="spellStart"/>
      <w:r w:rsidR="00897749" w:rsidRPr="002136F3">
        <w:rPr>
          <w:rFonts w:ascii="Times New Roman" w:hAnsi="Times New Roman"/>
          <w:sz w:val="24"/>
          <w:szCs w:val="24"/>
        </w:rPr>
        <w:t>dịch</w:t>
      </w:r>
      <w:proofErr w:type="spellEnd"/>
      <w:r w:rsidR="00897749" w:rsidRPr="002136F3">
        <w:rPr>
          <w:rFonts w:ascii="Times New Roman" w:hAnsi="Times New Roman"/>
          <w:sz w:val="24"/>
          <w:szCs w:val="24"/>
        </w:rPr>
        <w:t xml:space="preserve"> </w:t>
      </w:r>
      <w:proofErr w:type="spellStart"/>
      <w:r w:rsidR="00897749" w:rsidRPr="002136F3">
        <w:rPr>
          <w:rFonts w:ascii="Times New Roman" w:hAnsi="Times New Roman"/>
          <w:sz w:val="24"/>
          <w:szCs w:val="24"/>
        </w:rPr>
        <w:t>chứng</w:t>
      </w:r>
      <w:proofErr w:type="spellEnd"/>
      <w:r w:rsidR="00897749" w:rsidRPr="002136F3">
        <w:rPr>
          <w:rFonts w:ascii="Times New Roman" w:hAnsi="Times New Roman"/>
          <w:sz w:val="24"/>
          <w:szCs w:val="24"/>
        </w:rPr>
        <w:t xml:space="preserve"> </w:t>
      </w:r>
      <w:proofErr w:type="spellStart"/>
      <w:r w:rsidR="00897749" w:rsidRPr="002136F3">
        <w:rPr>
          <w:rFonts w:ascii="Times New Roman" w:hAnsi="Times New Roman"/>
          <w:sz w:val="24"/>
          <w:szCs w:val="24"/>
        </w:rPr>
        <w:t>khoán</w:t>
      </w:r>
      <w:proofErr w:type="spellEnd"/>
      <w:r w:rsidR="00897749" w:rsidRPr="002136F3">
        <w:rPr>
          <w:rFonts w:ascii="Times New Roman" w:hAnsi="Times New Roman"/>
          <w:sz w:val="24"/>
          <w:szCs w:val="24"/>
        </w:rPr>
        <w:t xml:space="preserve"> TP. HCM</w:t>
      </w:r>
      <w:r w:rsidRPr="002136F3">
        <w:rPr>
          <w:rFonts w:ascii="Times New Roman" w:hAnsi="Times New Roman"/>
          <w:sz w:val="24"/>
          <w:szCs w:val="24"/>
        </w:rPr>
        <w:t xml:space="preserve"> </w:t>
      </w:r>
      <w:proofErr w:type="spellStart"/>
      <w:r w:rsidR="002C298C" w:rsidRPr="002136F3">
        <w:rPr>
          <w:rFonts w:ascii="Times New Roman" w:hAnsi="Times New Roman"/>
          <w:sz w:val="24"/>
          <w:szCs w:val="24"/>
        </w:rPr>
        <w:t>theo</w:t>
      </w:r>
      <w:proofErr w:type="spellEnd"/>
      <w:r w:rsidR="00897749" w:rsidRPr="002136F3">
        <w:rPr>
          <w:rFonts w:ascii="Times New Roman" w:hAnsi="Times New Roman"/>
          <w:sz w:val="24"/>
          <w:szCs w:val="24"/>
        </w:rPr>
        <w:t xml:space="preserve"> </w:t>
      </w:r>
      <w:proofErr w:type="spellStart"/>
      <w:r w:rsidR="00897749" w:rsidRPr="002136F3">
        <w:rPr>
          <w:rFonts w:ascii="Times New Roman" w:hAnsi="Times New Roman"/>
          <w:sz w:val="24"/>
          <w:szCs w:val="24"/>
        </w:rPr>
        <w:t>Quyết</w:t>
      </w:r>
      <w:proofErr w:type="spellEnd"/>
      <w:r w:rsidR="00897749" w:rsidRPr="002136F3">
        <w:rPr>
          <w:rFonts w:ascii="Times New Roman" w:hAnsi="Times New Roman"/>
          <w:sz w:val="24"/>
          <w:szCs w:val="24"/>
        </w:rPr>
        <w:t xml:space="preserve"> </w:t>
      </w:r>
      <w:proofErr w:type="spellStart"/>
      <w:r w:rsidR="00897749" w:rsidRPr="002136F3">
        <w:rPr>
          <w:rFonts w:ascii="Times New Roman" w:hAnsi="Times New Roman"/>
          <w:sz w:val="24"/>
          <w:szCs w:val="24"/>
        </w:rPr>
        <w:t>định</w:t>
      </w:r>
      <w:proofErr w:type="spellEnd"/>
      <w:r w:rsidR="00897749" w:rsidRPr="002136F3">
        <w:rPr>
          <w:rFonts w:ascii="Times New Roman" w:hAnsi="Times New Roman"/>
          <w:sz w:val="24"/>
          <w:szCs w:val="24"/>
        </w:rPr>
        <w:t xml:space="preserve"> </w:t>
      </w:r>
      <w:proofErr w:type="spellStart"/>
      <w:r w:rsidR="00897749" w:rsidRPr="002136F3">
        <w:rPr>
          <w:rFonts w:ascii="Times New Roman" w:hAnsi="Times New Roman"/>
          <w:sz w:val="24"/>
          <w:szCs w:val="24"/>
        </w:rPr>
        <w:t>niêm</w:t>
      </w:r>
      <w:proofErr w:type="spellEnd"/>
      <w:r w:rsidR="00897749" w:rsidRPr="002136F3">
        <w:rPr>
          <w:rFonts w:ascii="Times New Roman" w:hAnsi="Times New Roman"/>
          <w:sz w:val="24"/>
          <w:szCs w:val="24"/>
        </w:rPr>
        <w:t xml:space="preserve"> </w:t>
      </w:r>
      <w:proofErr w:type="spellStart"/>
      <w:r w:rsidR="00897749" w:rsidRPr="002136F3">
        <w:rPr>
          <w:rFonts w:ascii="Times New Roman" w:hAnsi="Times New Roman"/>
          <w:sz w:val="24"/>
          <w:szCs w:val="24"/>
        </w:rPr>
        <w:t>yết</w:t>
      </w:r>
      <w:proofErr w:type="spellEnd"/>
      <w:r w:rsidR="00897749" w:rsidRPr="002136F3">
        <w:rPr>
          <w:rFonts w:ascii="Times New Roman" w:hAnsi="Times New Roman"/>
          <w:sz w:val="24"/>
          <w:szCs w:val="24"/>
        </w:rPr>
        <w:t xml:space="preserve"> </w:t>
      </w:r>
      <w:proofErr w:type="spellStart"/>
      <w:r w:rsidR="00897749" w:rsidRPr="002136F3">
        <w:rPr>
          <w:rFonts w:ascii="Times New Roman" w:hAnsi="Times New Roman"/>
          <w:sz w:val="24"/>
          <w:szCs w:val="24"/>
        </w:rPr>
        <w:t>chứng</w:t>
      </w:r>
      <w:proofErr w:type="spellEnd"/>
      <w:r w:rsidR="00897749" w:rsidRPr="002136F3">
        <w:rPr>
          <w:rFonts w:ascii="Times New Roman" w:hAnsi="Times New Roman"/>
          <w:sz w:val="24"/>
          <w:szCs w:val="24"/>
        </w:rPr>
        <w:t xml:space="preserve"> </w:t>
      </w:r>
      <w:proofErr w:type="spellStart"/>
      <w:r w:rsidR="00897749" w:rsidRPr="002136F3">
        <w:rPr>
          <w:rFonts w:ascii="Times New Roman" w:hAnsi="Times New Roman"/>
          <w:sz w:val="24"/>
          <w:szCs w:val="24"/>
        </w:rPr>
        <w:t>chỉ</w:t>
      </w:r>
      <w:proofErr w:type="spellEnd"/>
      <w:r w:rsidR="00897749" w:rsidRPr="002136F3">
        <w:rPr>
          <w:rFonts w:ascii="Times New Roman" w:hAnsi="Times New Roman"/>
          <w:sz w:val="24"/>
          <w:szCs w:val="24"/>
        </w:rPr>
        <w:t xml:space="preserve"> </w:t>
      </w:r>
      <w:proofErr w:type="spellStart"/>
      <w:r w:rsidR="00897749" w:rsidRPr="002136F3">
        <w:rPr>
          <w:rFonts w:ascii="Times New Roman" w:hAnsi="Times New Roman"/>
          <w:sz w:val="24"/>
          <w:szCs w:val="24"/>
        </w:rPr>
        <w:t>quỹ</w:t>
      </w:r>
      <w:proofErr w:type="spellEnd"/>
      <w:r w:rsidR="00897749" w:rsidRPr="002136F3">
        <w:rPr>
          <w:rFonts w:ascii="Times New Roman" w:hAnsi="Times New Roman"/>
          <w:sz w:val="24"/>
          <w:szCs w:val="24"/>
        </w:rPr>
        <w:t xml:space="preserve"> </w:t>
      </w:r>
      <w:proofErr w:type="spellStart"/>
      <w:r w:rsidR="00897749" w:rsidRPr="002136F3">
        <w:rPr>
          <w:rFonts w:ascii="Times New Roman" w:hAnsi="Times New Roman"/>
          <w:sz w:val="24"/>
          <w:szCs w:val="24"/>
        </w:rPr>
        <w:t>số</w:t>
      </w:r>
      <w:proofErr w:type="spellEnd"/>
      <w:r w:rsidR="00897749" w:rsidRPr="002136F3">
        <w:rPr>
          <w:rFonts w:ascii="Times New Roman" w:hAnsi="Times New Roman"/>
          <w:sz w:val="24"/>
          <w:szCs w:val="24"/>
        </w:rPr>
        <w:t xml:space="preserve"> 375/QĐ-SGDHCM </w:t>
      </w:r>
      <w:proofErr w:type="spellStart"/>
      <w:r w:rsidR="00897749" w:rsidRPr="002136F3">
        <w:rPr>
          <w:rFonts w:ascii="Times New Roman" w:hAnsi="Times New Roman"/>
          <w:sz w:val="24"/>
          <w:szCs w:val="24"/>
        </w:rPr>
        <w:t>ngày</w:t>
      </w:r>
      <w:proofErr w:type="spellEnd"/>
      <w:r w:rsidR="00897749" w:rsidRPr="002136F3">
        <w:rPr>
          <w:rFonts w:ascii="Times New Roman" w:hAnsi="Times New Roman"/>
          <w:sz w:val="24"/>
          <w:szCs w:val="24"/>
        </w:rPr>
        <w:t xml:space="preserve"> 29</w:t>
      </w:r>
      <w:r w:rsidR="00197484" w:rsidRPr="002136F3">
        <w:rPr>
          <w:rFonts w:ascii="Times New Roman" w:hAnsi="Times New Roman"/>
          <w:sz w:val="24"/>
          <w:szCs w:val="24"/>
        </w:rPr>
        <w:t xml:space="preserve"> </w:t>
      </w:r>
      <w:proofErr w:type="spellStart"/>
      <w:r w:rsidR="00197484" w:rsidRPr="002136F3">
        <w:rPr>
          <w:rFonts w:ascii="Times New Roman" w:hAnsi="Times New Roman"/>
          <w:sz w:val="24"/>
          <w:szCs w:val="24"/>
        </w:rPr>
        <w:t>tháng</w:t>
      </w:r>
      <w:proofErr w:type="spellEnd"/>
      <w:r w:rsidR="00197484" w:rsidRPr="002136F3">
        <w:rPr>
          <w:rFonts w:ascii="Times New Roman" w:hAnsi="Times New Roman"/>
          <w:sz w:val="24"/>
          <w:szCs w:val="24"/>
        </w:rPr>
        <w:t xml:space="preserve"> </w:t>
      </w:r>
      <w:r w:rsidR="00897749" w:rsidRPr="002136F3">
        <w:rPr>
          <w:rFonts w:ascii="Times New Roman" w:hAnsi="Times New Roman"/>
          <w:sz w:val="24"/>
          <w:szCs w:val="24"/>
        </w:rPr>
        <w:t>9</w:t>
      </w:r>
      <w:r w:rsidR="00197484" w:rsidRPr="002136F3">
        <w:rPr>
          <w:rFonts w:ascii="Times New Roman" w:hAnsi="Times New Roman"/>
          <w:sz w:val="24"/>
          <w:szCs w:val="24"/>
        </w:rPr>
        <w:t xml:space="preserve"> </w:t>
      </w:r>
      <w:proofErr w:type="spellStart"/>
      <w:r w:rsidR="00197484" w:rsidRPr="002136F3">
        <w:rPr>
          <w:rFonts w:ascii="Times New Roman" w:hAnsi="Times New Roman"/>
          <w:sz w:val="24"/>
          <w:szCs w:val="24"/>
        </w:rPr>
        <w:t>năm</w:t>
      </w:r>
      <w:proofErr w:type="spellEnd"/>
      <w:r w:rsidR="00197484" w:rsidRPr="002136F3">
        <w:rPr>
          <w:rFonts w:ascii="Times New Roman" w:hAnsi="Times New Roman"/>
          <w:sz w:val="24"/>
          <w:szCs w:val="24"/>
        </w:rPr>
        <w:t xml:space="preserve"> </w:t>
      </w:r>
      <w:r w:rsidR="00897749" w:rsidRPr="002136F3">
        <w:rPr>
          <w:rFonts w:ascii="Times New Roman" w:hAnsi="Times New Roman"/>
          <w:sz w:val="24"/>
          <w:szCs w:val="24"/>
        </w:rPr>
        <w:t>2014</w:t>
      </w:r>
      <w:r w:rsidR="00AE7782" w:rsidRPr="002136F3">
        <w:rPr>
          <w:rFonts w:ascii="Times New Roman" w:hAnsi="Times New Roman"/>
          <w:sz w:val="24"/>
          <w:szCs w:val="24"/>
        </w:rPr>
        <w:t>.</w:t>
      </w:r>
    </w:p>
    <w:p w14:paraId="1A1C56ED" w14:textId="279B4FA9" w:rsidR="00891838" w:rsidRPr="002136F3" w:rsidRDefault="00C45EE8" w:rsidP="00D54A5B">
      <w:pPr>
        <w:pStyle w:val="ListParagraph"/>
        <w:spacing w:before="120" w:after="120" w:line="312" w:lineRule="auto"/>
        <w:ind w:left="142" w:right="260"/>
        <w:contextualSpacing w:val="0"/>
        <w:jc w:val="both"/>
        <w:rPr>
          <w:rFonts w:ascii="Times New Roman" w:hAnsi="Times New Roman"/>
          <w:sz w:val="24"/>
          <w:szCs w:val="24"/>
        </w:rPr>
      </w:pPr>
      <w:r>
        <w:rPr>
          <w:rFonts w:ascii="Times New Roman" w:hAnsi="Times New Roman"/>
          <w:i/>
          <w:iCs/>
          <w:sz w:val="24"/>
          <w:szCs w:val="24"/>
          <w:lang w:val="vi-VN"/>
        </w:rPr>
        <w:t>On</w:t>
      </w:r>
      <w:r w:rsidR="006A42B6">
        <w:rPr>
          <w:rFonts w:ascii="Times New Roman" w:hAnsi="Times New Roman"/>
          <w:i/>
          <w:iCs/>
          <w:sz w:val="24"/>
          <w:szCs w:val="24"/>
          <w:lang w:val="vi-VN"/>
        </w:rPr>
        <w:t xml:space="preserve"> 06 October 2014, </w:t>
      </w:r>
      <w:r w:rsidR="00891838" w:rsidRPr="002136F3">
        <w:rPr>
          <w:rFonts w:ascii="Times New Roman" w:hAnsi="Times New Roman"/>
          <w:i/>
          <w:iCs/>
          <w:sz w:val="24"/>
          <w:szCs w:val="24"/>
          <w:lang w:val="vi-VN"/>
        </w:rPr>
        <w:t>The fund unit was listed and traded on the Hochiminh Stock Exchange in accordance with the Fund Certificate Listing License No. 375/QD-SGDHCM dated 29 September 2014.</w:t>
      </w:r>
    </w:p>
    <w:p w14:paraId="2FC81669" w14:textId="77777777" w:rsidR="00891838" w:rsidRPr="002136F3" w:rsidRDefault="00897749" w:rsidP="00D54A5B">
      <w:pPr>
        <w:pStyle w:val="ListParagraph"/>
        <w:spacing w:before="120" w:after="120" w:line="312" w:lineRule="auto"/>
        <w:ind w:left="142" w:right="260"/>
        <w:contextualSpacing w:val="0"/>
        <w:jc w:val="both"/>
        <w:rPr>
          <w:rFonts w:ascii="Times New Roman" w:hAnsi="Times New Roman"/>
          <w:sz w:val="24"/>
          <w:szCs w:val="24"/>
          <w:lang w:val="vi-VN"/>
        </w:rPr>
      </w:pPr>
      <w:r w:rsidRPr="002136F3">
        <w:rPr>
          <w:rFonts w:ascii="Times New Roman" w:hAnsi="Times New Roman"/>
          <w:sz w:val="24"/>
          <w:szCs w:val="24"/>
          <w:lang w:val="vi-VN"/>
        </w:rPr>
        <w:lastRenderedPageBreak/>
        <w:t xml:space="preserve">Trong giai đoạn phát hành chứng chỉ Quỹ ETF </w:t>
      </w:r>
      <w:r w:rsidR="00D52D4A" w:rsidRPr="002136F3">
        <w:rPr>
          <w:rFonts w:ascii="Times New Roman" w:hAnsi="Times New Roman"/>
          <w:sz w:val="24"/>
          <w:szCs w:val="24"/>
        </w:rPr>
        <w:t>DC</w:t>
      </w:r>
      <w:r w:rsidRPr="002136F3">
        <w:rPr>
          <w:rFonts w:ascii="Times New Roman" w:hAnsi="Times New Roman"/>
          <w:sz w:val="24"/>
          <w:szCs w:val="24"/>
          <w:lang w:val="vi-VN"/>
        </w:rPr>
        <w:t xml:space="preserve">VFMVN30 lần đầu ra công chúng, vốn điều lệ </w:t>
      </w:r>
      <w:proofErr w:type="spellStart"/>
      <w:r w:rsidRPr="002136F3">
        <w:rPr>
          <w:rFonts w:ascii="Times New Roman" w:hAnsi="Times New Roman"/>
          <w:sz w:val="24"/>
          <w:szCs w:val="24"/>
        </w:rPr>
        <w:t>đã</w:t>
      </w:r>
      <w:proofErr w:type="spellEnd"/>
      <w:r w:rsidRPr="002136F3">
        <w:rPr>
          <w:rFonts w:ascii="Times New Roman" w:hAnsi="Times New Roman"/>
          <w:sz w:val="24"/>
          <w:szCs w:val="24"/>
        </w:rPr>
        <w:t xml:space="preserve"> </w:t>
      </w:r>
      <w:r w:rsidRPr="002136F3">
        <w:rPr>
          <w:rFonts w:ascii="Times New Roman" w:hAnsi="Times New Roman"/>
          <w:sz w:val="24"/>
          <w:szCs w:val="24"/>
          <w:lang w:val="vi-VN"/>
        </w:rPr>
        <w:t xml:space="preserve">huy động là </w:t>
      </w:r>
      <w:r w:rsidRPr="002136F3">
        <w:rPr>
          <w:rFonts w:ascii="Times New Roman" w:hAnsi="Times New Roman"/>
          <w:sz w:val="24"/>
          <w:szCs w:val="24"/>
        </w:rPr>
        <w:t xml:space="preserve">202.000.000.000 </w:t>
      </w:r>
      <w:r w:rsidRPr="002136F3">
        <w:rPr>
          <w:rFonts w:ascii="Times New Roman" w:hAnsi="Times New Roman"/>
          <w:sz w:val="24"/>
          <w:szCs w:val="24"/>
          <w:lang w:val="vi-VN"/>
        </w:rPr>
        <w:t>(</w:t>
      </w:r>
      <w:proofErr w:type="spellStart"/>
      <w:r w:rsidRPr="002136F3">
        <w:rPr>
          <w:rFonts w:ascii="Times New Roman" w:hAnsi="Times New Roman"/>
          <w:sz w:val="24"/>
          <w:szCs w:val="24"/>
        </w:rPr>
        <w:t>hai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trăm</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lẻ</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hai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tỷ</w:t>
      </w:r>
      <w:proofErr w:type="spellEnd"/>
      <w:r w:rsidRPr="002136F3">
        <w:rPr>
          <w:rFonts w:ascii="Times New Roman" w:hAnsi="Times New Roman"/>
          <w:sz w:val="24"/>
          <w:szCs w:val="24"/>
          <w:lang w:val="vi-VN"/>
        </w:rPr>
        <w:t xml:space="preserve">) đồng Việt Nam và tương ứng với </w:t>
      </w:r>
      <w:r w:rsidRPr="002136F3">
        <w:rPr>
          <w:rFonts w:ascii="Times New Roman" w:hAnsi="Times New Roman"/>
          <w:sz w:val="24"/>
          <w:szCs w:val="24"/>
        </w:rPr>
        <w:t>202</w:t>
      </w:r>
      <w:r w:rsidRPr="002136F3">
        <w:rPr>
          <w:rFonts w:ascii="Times New Roman" w:hAnsi="Times New Roman"/>
          <w:sz w:val="24"/>
          <w:szCs w:val="24"/>
          <w:lang w:val="vi-VN"/>
        </w:rPr>
        <w:t xml:space="preserve"> (</w:t>
      </w:r>
      <w:proofErr w:type="spellStart"/>
      <w:r w:rsidRPr="002136F3">
        <w:rPr>
          <w:rFonts w:ascii="Times New Roman" w:hAnsi="Times New Roman"/>
          <w:sz w:val="24"/>
          <w:szCs w:val="24"/>
        </w:rPr>
        <w:t>hai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trăm</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lẻ</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hai</w:t>
      </w:r>
      <w:proofErr w:type="spellEnd"/>
      <w:r w:rsidRPr="002136F3">
        <w:rPr>
          <w:rFonts w:ascii="Times New Roman" w:hAnsi="Times New Roman"/>
          <w:sz w:val="24"/>
          <w:szCs w:val="24"/>
          <w:lang w:val="vi-VN"/>
        </w:rPr>
        <w:t xml:space="preserve">) lô chứng chỉ Quỹ ETF </w:t>
      </w:r>
      <w:r w:rsidR="00D52D4A" w:rsidRPr="002136F3">
        <w:rPr>
          <w:rFonts w:ascii="Times New Roman" w:hAnsi="Times New Roman"/>
          <w:sz w:val="24"/>
          <w:szCs w:val="24"/>
        </w:rPr>
        <w:t>DC</w:t>
      </w:r>
      <w:r w:rsidRPr="002136F3">
        <w:rPr>
          <w:rFonts w:ascii="Times New Roman" w:hAnsi="Times New Roman"/>
          <w:sz w:val="24"/>
          <w:szCs w:val="24"/>
          <w:lang w:val="vi-VN"/>
        </w:rPr>
        <w:t xml:space="preserve">VFMVN30. Mệnh giá của mỗi chứng chỉ quỹ là 10.000 (mười ngàn) </w:t>
      </w:r>
      <w:r w:rsidR="00891838" w:rsidRPr="002136F3">
        <w:rPr>
          <w:rFonts w:ascii="Times New Roman" w:hAnsi="Times New Roman"/>
          <w:sz w:val="24"/>
          <w:szCs w:val="24"/>
          <w:lang w:val="vi-VN"/>
        </w:rPr>
        <w:t>Đồng.</w:t>
      </w:r>
    </w:p>
    <w:p w14:paraId="0909449F" w14:textId="0DC0E56C" w:rsidR="00891838" w:rsidRPr="006551CD" w:rsidRDefault="00891838" w:rsidP="006551CD">
      <w:pPr>
        <w:pStyle w:val="ListParagraph"/>
        <w:spacing w:before="120" w:after="120" w:line="312" w:lineRule="auto"/>
        <w:ind w:left="142" w:right="260"/>
        <w:contextualSpacing w:val="0"/>
        <w:jc w:val="both"/>
        <w:rPr>
          <w:rFonts w:ascii="Times New Roman" w:hAnsi="Times New Roman"/>
          <w:sz w:val="24"/>
          <w:szCs w:val="24"/>
          <w:lang w:val="vi-VN"/>
        </w:rPr>
      </w:pPr>
      <w:r w:rsidRPr="002136F3">
        <w:rPr>
          <w:rFonts w:ascii="Times New Roman" w:hAnsi="Times New Roman"/>
          <w:i/>
          <w:iCs/>
          <w:sz w:val="24"/>
          <w:szCs w:val="24"/>
          <w:lang w:val="vi-VN"/>
        </w:rPr>
        <w:t xml:space="preserve">The Fund’s charter capital as stipulated in the Establishment Registration Certificate VND202,000,000,000 (two hundrded and </w:t>
      </w:r>
      <w:r w:rsidR="001C4A99">
        <w:rPr>
          <w:rFonts w:ascii="Times New Roman" w:hAnsi="Times New Roman"/>
          <w:i/>
          <w:iCs/>
          <w:sz w:val="24"/>
          <w:szCs w:val="24"/>
          <w:lang w:val="vi-VN"/>
        </w:rPr>
        <w:t>two</w:t>
      </w:r>
      <w:r w:rsidRPr="002136F3">
        <w:rPr>
          <w:rFonts w:ascii="Times New Roman" w:hAnsi="Times New Roman"/>
          <w:i/>
          <w:iCs/>
          <w:sz w:val="24"/>
          <w:szCs w:val="24"/>
          <w:lang w:val="vi-VN"/>
        </w:rPr>
        <w:t xml:space="preserve"> billion VND), equivalent to 202 (two hundred and </w:t>
      </w:r>
      <w:r w:rsidR="001C4A99">
        <w:rPr>
          <w:rFonts w:ascii="Times New Roman" w:hAnsi="Times New Roman"/>
          <w:i/>
          <w:iCs/>
          <w:sz w:val="24"/>
          <w:szCs w:val="24"/>
          <w:lang w:val="vi-VN"/>
        </w:rPr>
        <w:t>two</w:t>
      </w:r>
      <w:r w:rsidRPr="002136F3">
        <w:rPr>
          <w:rFonts w:ascii="Times New Roman" w:hAnsi="Times New Roman"/>
          <w:i/>
          <w:iCs/>
          <w:sz w:val="24"/>
          <w:szCs w:val="24"/>
          <w:lang w:val="vi-VN"/>
        </w:rPr>
        <w:t>) lots of fund units.  The par value of each fund unit is VND10,000.</w:t>
      </w:r>
      <w:r w:rsidRPr="002136F3">
        <w:rPr>
          <w:rFonts w:ascii="Times New Roman" w:hAnsi="Times New Roman"/>
          <w:sz w:val="24"/>
          <w:szCs w:val="24"/>
        </w:rPr>
        <w:t xml:space="preserve"> </w:t>
      </w:r>
      <w:r w:rsidRPr="002136F3">
        <w:rPr>
          <w:rFonts w:ascii="Times New Roman" w:eastAsia="PMingLiU" w:hAnsi="Times New Roman"/>
          <w:color w:val="000000"/>
          <w:sz w:val="24"/>
          <w:szCs w:val="24"/>
        </w:rPr>
        <w:t xml:space="preserve"> </w:t>
      </w:r>
    </w:p>
    <w:p w14:paraId="1B7CC552" w14:textId="77777777" w:rsidR="00891838" w:rsidRPr="002136F3" w:rsidRDefault="00897749" w:rsidP="00D54A5B">
      <w:pPr>
        <w:pStyle w:val="BodyText"/>
        <w:spacing w:before="120" w:after="120" w:line="312" w:lineRule="auto"/>
        <w:ind w:left="142" w:right="260"/>
        <w:rPr>
          <w:sz w:val="24"/>
          <w:szCs w:val="24"/>
        </w:rPr>
      </w:pPr>
      <w:proofErr w:type="spellStart"/>
      <w:r w:rsidRPr="002136F3">
        <w:rPr>
          <w:sz w:val="24"/>
          <w:szCs w:val="24"/>
        </w:rPr>
        <w:t>Quỹ</w:t>
      </w:r>
      <w:proofErr w:type="spellEnd"/>
      <w:r w:rsidRPr="002136F3">
        <w:rPr>
          <w:sz w:val="24"/>
          <w:szCs w:val="24"/>
        </w:rPr>
        <w:t xml:space="preserve"> </w:t>
      </w:r>
      <w:proofErr w:type="spellStart"/>
      <w:r w:rsidRPr="002136F3">
        <w:rPr>
          <w:sz w:val="24"/>
          <w:szCs w:val="24"/>
        </w:rPr>
        <w:t>hoạt</w:t>
      </w:r>
      <w:proofErr w:type="spellEnd"/>
      <w:r w:rsidRPr="002136F3">
        <w:rPr>
          <w:sz w:val="24"/>
          <w:szCs w:val="24"/>
        </w:rPr>
        <w:t xml:space="preserve"> </w:t>
      </w:r>
      <w:proofErr w:type="spellStart"/>
      <w:r w:rsidRPr="002136F3">
        <w:rPr>
          <w:sz w:val="24"/>
          <w:szCs w:val="24"/>
        </w:rPr>
        <w:t>động</w:t>
      </w:r>
      <w:proofErr w:type="spellEnd"/>
      <w:r w:rsidRPr="002136F3">
        <w:rPr>
          <w:sz w:val="24"/>
          <w:szCs w:val="24"/>
        </w:rPr>
        <w:t xml:space="preserve"> </w:t>
      </w:r>
      <w:proofErr w:type="spellStart"/>
      <w:r w:rsidRPr="002136F3">
        <w:rPr>
          <w:sz w:val="24"/>
          <w:szCs w:val="24"/>
        </w:rPr>
        <w:t>theo</w:t>
      </w:r>
      <w:proofErr w:type="spellEnd"/>
      <w:r w:rsidRPr="002136F3">
        <w:rPr>
          <w:sz w:val="24"/>
          <w:szCs w:val="24"/>
        </w:rPr>
        <w:t xml:space="preserve"> </w:t>
      </w:r>
      <w:proofErr w:type="spellStart"/>
      <w:r w:rsidRPr="002136F3">
        <w:rPr>
          <w:sz w:val="24"/>
          <w:szCs w:val="24"/>
        </w:rPr>
        <w:t>Điều</w:t>
      </w:r>
      <w:proofErr w:type="spellEnd"/>
      <w:r w:rsidRPr="002136F3">
        <w:rPr>
          <w:sz w:val="24"/>
          <w:szCs w:val="24"/>
        </w:rPr>
        <w:t xml:space="preserve"> </w:t>
      </w:r>
      <w:proofErr w:type="spellStart"/>
      <w:r w:rsidRPr="002136F3">
        <w:rPr>
          <w:sz w:val="24"/>
          <w:szCs w:val="24"/>
        </w:rPr>
        <w:t>lệ</w:t>
      </w:r>
      <w:proofErr w:type="spellEnd"/>
      <w:r w:rsidRPr="002136F3">
        <w:rPr>
          <w:sz w:val="24"/>
          <w:szCs w:val="24"/>
        </w:rPr>
        <w:t xml:space="preserve"> </w:t>
      </w:r>
      <w:proofErr w:type="spellStart"/>
      <w:r w:rsidRPr="002136F3">
        <w:rPr>
          <w:sz w:val="24"/>
          <w:szCs w:val="24"/>
        </w:rPr>
        <w:t>Tổ</w:t>
      </w:r>
      <w:proofErr w:type="spellEnd"/>
      <w:r w:rsidRPr="002136F3">
        <w:rPr>
          <w:sz w:val="24"/>
          <w:szCs w:val="24"/>
        </w:rPr>
        <w:t xml:space="preserve"> </w:t>
      </w:r>
      <w:proofErr w:type="spellStart"/>
      <w:r w:rsidRPr="002136F3">
        <w:rPr>
          <w:sz w:val="24"/>
          <w:szCs w:val="24"/>
        </w:rPr>
        <w:t>chức</w:t>
      </w:r>
      <w:proofErr w:type="spellEnd"/>
      <w:r w:rsidRPr="002136F3">
        <w:rPr>
          <w:sz w:val="24"/>
          <w:szCs w:val="24"/>
        </w:rPr>
        <w:t xml:space="preserve"> </w:t>
      </w:r>
      <w:proofErr w:type="spellStart"/>
      <w:r w:rsidRPr="002136F3">
        <w:rPr>
          <w:sz w:val="24"/>
          <w:szCs w:val="24"/>
        </w:rPr>
        <w:t>và</w:t>
      </w:r>
      <w:proofErr w:type="spellEnd"/>
      <w:r w:rsidRPr="002136F3">
        <w:rPr>
          <w:sz w:val="24"/>
          <w:szCs w:val="24"/>
        </w:rPr>
        <w:t xml:space="preserve"> </w:t>
      </w:r>
      <w:proofErr w:type="spellStart"/>
      <w:r w:rsidRPr="002136F3">
        <w:rPr>
          <w:sz w:val="24"/>
          <w:szCs w:val="24"/>
        </w:rPr>
        <w:t>Hoạt</w:t>
      </w:r>
      <w:proofErr w:type="spellEnd"/>
      <w:r w:rsidRPr="002136F3">
        <w:rPr>
          <w:sz w:val="24"/>
          <w:szCs w:val="24"/>
        </w:rPr>
        <w:t xml:space="preserve"> </w:t>
      </w:r>
      <w:proofErr w:type="spellStart"/>
      <w:r w:rsidRPr="002136F3">
        <w:rPr>
          <w:sz w:val="24"/>
          <w:szCs w:val="24"/>
        </w:rPr>
        <w:t>động</w:t>
      </w:r>
      <w:proofErr w:type="spellEnd"/>
      <w:r w:rsidRPr="002136F3">
        <w:rPr>
          <w:sz w:val="24"/>
          <w:szCs w:val="24"/>
        </w:rPr>
        <w:t xml:space="preserve"> </w:t>
      </w:r>
      <w:proofErr w:type="spellStart"/>
      <w:r w:rsidRPr="002136F3">
        <w:rPr>
          <w:sz w:val="24"/>
          <w:szCs w:val="24"/>
        </w:rPr>
        <w:t>của</w:t>
      </w:r>
      <w:proofErr w:type="spellEnd"/>
      <w:r w:rsidRPr="002136F3">
        <w:rPr>
          <w:sz w:val="24"/>
          <w:szCs w:val="24"/>
        </w:rPr>
        <w:t xml:space="preserve"> </w:t>
      </w:r>
      <w:proofErr w:type="spellStart"/>
      <w:r w:rsidRPr="002136F3">
        <w:rPr>
          <w:sz w:val="24"/>
          <w:szCs w:val="24"/>
        </w:rPr>
        <w:t>Quỹ</w:t>
      </w:r>
      <w:proofErr w:type="spellEnd"/>
      <w:r w:rsidRPr="002136F3">
        <w:rPr>
          <w:sz w:val="24"/>
          <w:szCs w:val="24"/>
        </w:rPr>
        <w:t xml:space="preserve"> ban </w:t>
      </w:r>
      <w:proofErr w:type="spellStart"/>
      <w:r w:rsidRPr="002136F3">
        <w:rPr>
          <w:sz w:val="24"/>
          <w:szCs w:val="24"/>
        </w:rPr>
        <w:t>hành</w:t>
      </w:r>
      <w:proofErr w:type="spellEnd"/>
      <w:r w:rsidRPr="002136F3">
        <w:rPr>
          <w:sz w:val="24"/>
          <w:szCs w:val="24"/>
        </w:rPr>
        <w:t xml:space="preserve"> </w:t>
      </w:r>
      <w:proofErr w:type="spellStart"/>
      <w:r w:rsidRPr="002136F3">
        <w:rPr>
          <w:sz w:val="24"/>
          <w:szCs w:val="24"/>
        </w:rPr>
        <w:t>ngày</w:t>
      </w:r>
      <w:proofErr w:type="spellEnd"/>
      <w:r w:rsidRPr="002136F3">
        <w:rPr>
          <w:sz w:val="24"/>
          <w:szCs w:val="24"/>
        </w:rPr>
        <w:t xml:space="preserve"> 30 </w:t>
      </w:r>
      <w:proofErr w:type="spellStart"/>
      <w:r w:rsidRPr="002136F3">
        <w:rPr>
          <w:sz w:val="24"/>
          <w:szCs w:val="24"/>
        </w:rPr>
        <w:t>tháng</w:t>
      </w:r>
      <w:proofErr w:type="spellEnd"/>
      <w:r w:rsidRPr="002136F3">
        <w:rPr>
          <w:sz w:val="24"/>
          <w:szCs w:val="24"/>
        </w:rPr>
        <w:t xml:space="preserve"> 5 </w:t>
      </w:r>
      <w:proofErr w:type="spellStart"/>
      <w:r w:rsidRPr="002136F3">
        <w:rPr>
          <w:sz w:val="24"/>
          <w:szCs w:val="24"/>
        </w:rPr>
        <w:t>năm</w:t>
      </w:r>
      <w:proofErr w:type="spellEnd"/>
      <w:r w:rsidRPr="002136F3">
        <w:rPr>
          <w:sz w:val="24"/>
          <w:szCs w:val="24"/>
        </w:rPr>
        <w:t xml:space="preserve"> 2014 </w:t>
      </w:r>
      <w:proofErr w:type="spellStart"/>
      <w:r w:rsidRPr="002136F3">
        <w:rPr>
          <w:sz w:val="24"/>
          <w:szCs w:val="24"/>
        </w:rPr>
        <w:t>và</w:t>
      </w:r>
      <w:proofErr w:type="spellEnd"/>
      <w:r w:rsidRPr="002136F3">
        <w:rPr>
          <w:sz w:val="24"/>
          <w:szCs w:val="24"/>
        </w:rPr>
        <w:t xml:space="preserve"> </w:t>
      </w:r>
      <w:proofErr w:type="spellStart"/>
      <w:r w:rsidRPr="002136F3">
        <w:rPr>
          <w:sz w:val="24"/>
          <w:szCs w:val="24"/>
        </w:rPr>
        <w:t>sửa</w:t>
      </w:r>
      <w:proofErr w:type="spellEnd"/>
      <w:r w:rsidRPr="002136F3">
        <w:rPr>
          <w:sz w:val="24"/>
          <w:szCs w:val="24"/>
        </w:rPr>
        <w:t xml:space="preserve"> </w:t>
      </w:r>
      <w:proofErr w:type="spellStart"/>
      <w:r w:rsidRPr="002136F3">
        <w:rPr>
          <w:sz w:val="24"/>
          <w:szCs w:val="24"/>
        </w:rPr>
        <w:t>đổi</w:t>
      </w:r>
      <w:proofErr w:type="spellEnd"/>
      <w:r w:rsidRPr="002136F3">
        <w:rPr>
          <w:sz w:val="24"/>
          <w:szCs w:val="24"/>
        </w:rPr>
        <w:t xml:space="preserve"> </w:t>
      </w:r>
      <w:proofErr w:type="spellStart"/>
      <w:r w:rsidRPr="002136F3">
        <w:rPr>
          <w:sz w:val="24"/>
          <w:szCs w:val="24"/>
        </w:rPr>
        <w:t>bổ</w:t>
      </w:r>
      <w:proofErr w:type="spellEnd"/>
      <w:r w:rsidRPr="002136F3">
        <w:rPr>
          <w:sz w:val="24"/>
          <w:szCs w:val="24"/>
        </w:rPr>
        <w:t xml:space="preserve"> sung</w:t>
      </w:r>
      <w:r w:rsidR="00377AAF" w:rsidRPr="002136F3">
        <w:rPr>
          <w:sz w:val="24"/>
          <w:szCs w:val="24"/>
        </w:rPr>
        <w:t xml:space="preserve"> </w:t>
      </w:r>
      <w:proofErr w:type="spellStart"/>
      <w:r w:rsidR="00377AAF" w:rsidRPr="002136F3">
        <w:rPr>
          <w:sz w:val="24"/>
          <w:szCs w:val="24"/>
        </w:rPr>
        <w:t>gần</w:t>
      </w:r>
      <w:proofErr w:type="spellEnd"/>
      <w:r w:rsidR="00377AAF" w:rsidRPr="002136F3">
        <w:rPr>
          <w:sz w:val="24"/>
          <w:szCs w:val="24"/>
        </w:rPr>
        <w:t xml:space="preserve"> </w:t>
      </w:r>
      <w:proofErr w:type="spellStart"/>
      <w:r w:rsidR="00377AAF" w:rsidRPr="002136F3">
        <w:rPr>
          <w:sz w:val="24"/>
          <w:szCs w:val="24"/>
        </w:rPr>
        <w:t>nhất</w:t>
      </w:r>
      <w:proofErr w:type="spellEnd"/>
      <w:r w:rsidR="00377AAF" w:rsidRPr="002136F3">
        <w:rPr>
          <w:sz w:val="24"/>
          <w:szCs w:val="24"/>
        </w:rPr>
        <w:t xml:space="preserve"> </w:t>
      </w:r>
      <w:proofErr w:type="spellStart"/>
      <w:r w:rsidR="00377AAF" w:rsidRPr="002136F3">
        <w:rPr>
          <w:sz w:val="24"/>
          <w:szCs w:val="24"/>
        </w:rPr>
        <w:t>vào</w:t>
      </w:r>
      <w:proofErr w:type="spellEnd"/>
      <w:r w:rsidR="00377AAF" w:rsidRPr="002136F3">
        <w:rPr>
          <w:sz w:val="24"/>
          <w:szCs w:val="24"/>
        </w:rPr>
        <w:t xml:space="preserve"> </w:t>
      </w:r>
      <w:proofErr w:type="spellStart"/>
      <w:r w:rsidR="00377AAF" w:rsidRPr="002136F3">
        <w:rPr>
          <w:sz w:val="24"/>
          <w:szCs w:val="24"/>
        </w:rPr>
        <w:t>ngày</w:t>
      </w:r>
      <w:proofErr w:type="spellEnd"/>
      <w:r w:rsidR="00377AAF" w:rsidRPr="002136F3">
        <w:rPr>
          <w:sz w:val="24"/>
          <w:szCs w:val="24"/>
        </w:rPr>
        <w:t xml:space="preserve"> </w:t>
      </w:r>
      <w:r w:rsidR="002F66F2" w:rsidRPr="002136F3">
        <w:rPr>
          <w:sz w:val="24"/>
          <w:szCs w:val="24"/>
        </w:rPr>
        <w:t>24</w:t>
      </w:r>
      <w:r w:rsidR="00377AAF" w:rsidRPr="002136F3">
        <w:rPr>
          <w:sz w:val="24"/>
          <w:szCs w:val="24"/>
        </w:rPr>
        <w:t xml:space="preserve"> </w:t>
      </w:r>
      <w:proofErr w:type="spellStart"/>
      <w:r w:rsidR="00377AAF" w:rsidRPr="002136F3">
        <w:rPr>
          <w:sz w:val="24"/>
          <w:szCs w:val="24"/>
        </w:rPr>
        <w:t>tháng</w:t>
      </w:r>
      <w:proofErr w:type="spellEnd"/>
      <w:r w:rsidR="00377AAF" w:rsidRPr="002136F3">
        <w:rPr>
          <w:sz w:val="24"/>
          <w:szCs w:val="24"/>
        </w:rPr>
        <w:t xml:space="preserve"> 04 </w:t>
      </w:r>
      <w:proofErr w:type="spellStart"/>
      <w:r w:rsidR="00377AAF" w:rsidRPr="002136F3">
        <w:rPr>
          <w:sz w:val="24"/>
          <w:szCs w:val="24"/>
        </w:rPr>
        <w:t>năm</w:t>
      </w:r>
      <w:proofErr w:type="spellEnd"/>
      <w:r w:rsidR="00377AAF" w:rsidRPr="002136F3">
        <w:rPr>
          <w:sz w:val="24"/>
          <w:szCs w:val="24"/>
        </w:rPr>
        <w:t xml:space="preserve"> </w:t>
      </w:r>
      <w:r w:rsidR="002F66F2" w:rsidRPr="002136F3">
        <w:rPr>
          <w:sz w:val="24"/>
          <w:szCs w:val="24"/>
        </w:rPr>
        <w:t>2024</w:t>
      </w:r>
      <w:r w:rsidRPr="002136F3">
        <w:rPr>
          <w:sz w:val="24"/>
          <w:szCs w:val="24"/>
        </w:rPr>
        <w:t xml:space="preserve"> </w:t>
      </w:r>
      <w:proofErr w:type="spellStart"/>
      <w:r w:rsidRPr="002136F3">
        <w:rPr>
          <w:sz w:val="24"/>
          <w:szCs w:val="24"/>
        </w:rPr>
        <w:t>và</w:t>
      </w:r>
      <w:proofErr w:type="spellEnd"/>
      <w:r w:rsidRPr="002136F3">
        <w:rPr>
          <w:sz w:val="24"/>
          <w:szCs w:val="24"/>
        </w:rPr>
        <w:t xml:space="preserve"> </w:t>
      </w:r>
      <w:proofErr w:type="spellStart"/>
      <w:r w:rsidRPr="002136F3">
        <w:rPr>
          <w:sz w:val="24"/>
          <w:szCs w:val="24"/>
        </w:rPr>
        <w:t>không</w:t>
      </w:r>
      <w:proofErr w:type="spellEnd"/>
      <w:r w:rsidRPr="002136F3">
        <w:rPr>
          <w:sz w:val="24"/>
          <w:szCs w:val="24"/>
        </w:rPr>
        <w:t xml:space="preserve"> </w:t>
      </w:r>
      <w:proofErr w:type="spellStart"/>
      <w:r w:rsidRPr="002136F3">
        <w:rPr>
          <w:sz w:val="24"/>
          <w:szCs w:val="24"/>
        </w:rPr>
        <w:t>bị</w:t>
      </w:r>
      <w:proofErr w:type="spellEnd"/>
      <w:r w:rsidRPr="002136F3">
        <w:rPr>
          <w:sz w:val="24"/>
          <w:szCs w:val="24"/>
        </w:rPr>
        <w:t xml:space="preserve"> </w:t>
      </w:r>
      <w:proofErr w:type="spellStart"/>
      <w:r w:rsidRPr="002136F3">
        <w:rPr>
          <w:sz w:val="24"/>
          <w:szCs w:val="24"/>
        </w:rPr>
        <w:t>giới</w:t>
      </w:r>
      <w:proofErr w:type="spellEnd"/>
      <w:r w:rsidRPr="002136F3">
        <w:rPr>
          <w:sz w:val="24"/>
          <w:szCs w:val="24"/>
        </w:rPr>
        <w:t xml:space="preserve"> </w:t>
      </w:r>
      <w:proofErr w:type="spellStart"/>
      <w:r w:rsidRPr="002136F3">
        <w:rPr>
          <w:sz w:val="24"/>
          <w:szCs w:val="24"/>
        </w:rPr>
        <w:t>hạn</w:t>
      </w:r>
      <w:proofErr w:type="spellEnd"/>
      <w:r w:rsidRPr="002136F3">
        <w:rPr>
          <w:sz w:val="24"/>
          <w:szCs w:val="24"/>
        </w:rPr>
        <w:t xml:space="preserve"> </w:t>
      </w:r>
      <w:proofErr w:type="spellStart"/>
      <w:r w:rsidRPr="002136F3">
        <w:rPr>
          <w:sz w:val="24"/>
          <w:szCs w:val="24"/>
        </w:rPr>
        <w:t>về</w:t>
      </w:r>
      <w:proofErr w:type="spellEnd"/>
      <w:r w:rsidRPr="002136F3">
        <w:rPr>
          <w:sz w:val="24"/>
          <w:szCs w:val="24"/>
        </w:rPr>
        <w:t xml:space="preserve"> </w:t>
      </w:r>
      <w:proofErr w:type="spellStart"/>
      <w:r w:rsidRPr="002136F3">
        <w:rPr>
          <w:sz w:val="24"/>
          <w:szCs w:val="24"/>
        </w:rPr>
        <w:t>thời</w:t>
      </w:r>
      <w:proofErr w:type="spellEnd"/>
      <w:r w:rsidRPr="002136F3">
        <w:rPr>
          <w:sz w:val="24"/>
          <w:szCs w:val="24"/>
        </w:rPr>
        <w:t xml:space="preserve"> </w:t>
      </w:r>
      <w:proofErr w:type="spellStart"/>
      <w:r w:rsidRPr="002136F3">
        <w:rPr>
          <w:sz w:val="24"/>
          <w:szCs w:val="24"/>
        </w:rPr>
        <w:t>gian</w:t>
      </w:r>
      <w:proofErr w:type="spellEnd"/>
      <w:r w:rsidRPr="002136F3">
        <w:rPr>
          <w:sz w:val="24"/>
          <w:szCs w:val="24"/>
        </w:rPr>
        <w:t xml:space="preserve"> </w:t>
      </w:r>
      <w:proofErr w:type="spellStart"/>
      <w:r w:rsidRPr="002136F3">
        <w:rPr>
          <w:sz w:val="24"/>
          <w:szCs w:val="24"/>
        </w:rPr>
        <w:t>hoạt</w:t>
      </w:r>
      <w:proofErr w:type="spellEnd"/>
      <w:r w:rsidRPr="002136F3">
        <w:rPr>
          <w:sz w:val="24"/>
          <w:szCs w:val="24"/>
        </w:rPr>
        <w:t xml:space="preserve"> </w:t>
      </w:r>
      <w:proofErr w:type="spellStart"/>
      <w:r w:rsidRPr="002136F3">
        <w:rPr>
          <w:sz w:val="24"/>
          <w:szCs w:val="24"/>
        </w:rPr>
        <w:t>động</w:t>
      </w:r>
      <w:proofErr w:type="spellEnd"/>
      <w:r w:rsidRPr="002136F3">
        <w:rPr>
          <w:sz w:val="24"/>
          <w:szCs w:val="24"/>
        </w:rPr>
        <w:t xml:space="preserve"> </w:t>
      </w:r>
      <w:proofErr w:type="spellStart"/>
      <w:r w:rsidRPr="002136F3">
        <w:rPr>
          <w:sz w:val="24"/>
          <w:szCs w:val="24"/>
        </w:rPr>
        <w:t>theo</w:t>
      </w:r>
      <w:proofErr w:type="spellEnd"/>
      <w:r w:rsidRPr="002136F3">
        <w:rPr>
          <w:sz w:val="24"/>
          <w:szCs w:val="24"/>
        </w:rPr>
        <w:t xml:space="preserve"> </w:t>
      </w:r>
      <w:proofErr w:type="spellStart"/>
      <w:r w:rsidRPr="002136F3">
        <w:rPr>
          <w:sz w:val="24"/>
          <w:szCs w:val="24"/>
        </w:rPr>
        <w:t>Giấy</w:t>
      </w:r>
      <w:proofErr w:type="spellEnd"/>
      <w:r w:rsidR="00AE7782" w:rsidRPr="002136F3">
        <w:rPr>
          <w:sz w:val="24"/>
          <w:szCs w:val="24"/>
        </w:rPr>
        <w:t xml:space="preserve"> </w:t>
      </w:r>
      <w:proofErr w:type="spellStart"/>
      <w:r w:rsidR="00AE7782" w:rsidRPr="002136F3">
        <w:rPr>
          <w:sz w:val="24"/>
          <w:szCs w:val="24"/>
        </w:rPr>
        <w:t>Chứng</w:t>
      </w:r>
      <w:proofErr w:type="spellEnd"/>
      <w:r w:rsidR="00AE7782" w:rsidRPr="002136F3">
        <w:rPr>
          <w:sz w:val="24"/>
          <w:szCs w:val="24"/>
        </w:rPr>
        <w:t xml:space="preserve"> </w:t>
      </w:r>
      <w:proofErr w:type="spellStart"/>
      <w:r w:rsidR="00AE7782" w:rsidRPr="002136F3">
        <w:rPr>
          <w:sz w:val="24"/>
          <w:szCs w:val="24"/>
        </w:rPr>
        <w:t>nhận</w:t>
      </w:r>
      <w:proofErr w:type="spellEnd"/>
      <w:r w:rsidR="00AE7782" w:rsidRPr="002136F3">
        <w:rPr>
          <w:sz w:val="24"/>
          <w:szCs w:val="24"/>
        </w:rPr>
        <w:t xml:space="preserve"> </w:t>
      </w:r>
      <w:proofErr w:type="spellStart"/>
      <w:r w:rsidR="00AE7782" w:rsidRPr="002136F3">
        <w:rPr>
          <w:sz w:val="24"/>
          <w:szCs w:val="24"/>
        </w:rPr>
        <w:t>Đăng</w:t>
      </w:r>
      <w:proofErr w:type="spellEnd"/>
      <w:r w:rsidR="00AE7782" w:rsidRPr="002136F3">
        <w:rPr>
          <w:sz w:val="24"/>
          <w:szCs w:val="24"/>
        </w:rPr>
        <w:t xml:space="preserve"> </w:t>
      </w:r>
      <w:proofErr w:type="spellStart"/>
      <w:r w:rsidR="00AE7782" w:rsidRPr="002136F3">
        <w:rPr>
          <w:sz w:val="24"/>
          <w:szCs w:val="24"/>
        </w:rPr>
        <w:t>ký</w:t>
      </w:r>
      <w:proofErr w:type="spellEnd"/>
      <w:r w:rsidR="00AE7782" w:rsidRPr="002136F3">
        <w:rPr>
          <w:sz w:val="24"/>
          <w:szCs w:val="24"/>
        </w:rPr>
        <w:t xml:space="preserve"> Thành </w:t>
      </w:r>
      <w:proofErr w:type="spellStart"/>
      <w:r w:rsidR="00AE7782" w:rsidRPr="002136F3">
        <w:rPr>
          <w:sz w:val="24"/>
          <w:szCs w:val="24"/>
        </w:rPr>
        <w:t>lập</w:t>
      </w:r>
      <w:proofErr w:type="spellEnd"/>
      <w:r w:rsidR="00AE7782" w:rsidRPr="002136F3">
        <w:rPr>
          <w:sz w:val="24"/>
          <w:szCs w:val="24"/>
        </w:rPr>
        <w:t xml:space="preserve">. </w:t>
      </w:r>
      <w:r w:rsidRPr="002136F3">
        <w:rPr>
          <w:sz w:val="24"/>
          <w:szCs w:val="24"/>
        </w:rPr>
        <w:t xml:space="preserve">Trong </w:t>
      </w:r>
      <w:proofErr w:type="spellStart"/>
      <w:r w:rsidRPr="002136F3">
        <w:rPr>
          <w:sz w:val="24"/>
          <w:szCs w:val="24"/>
        </w:rPr>
        <w:t>suốt</w:t>
      </w:r>
      <w:proofErr w:type="spellEnd"/>
      <w:r w:rsidRPr="002136F3">
        <w:rPr>
          <w:sz w:val="24"/>
          <w:szCs w:val="24"/>
        </w:rPr>
        <w:t xml:space="preserve"> </w:t>
      </w:r>
      <w:proofErr w:type="spellStart"/>
      <w:r w:rsidRPr="002136F3">
        <w:rPr>
          <w:sz w:val="24"/>
          <w:szCs w:val="24"/>
        </w:rPr>
        <w:t>thời</w:t>
      </w:r>
      <w:proofErr w:type="spellEnd"/>
      <w:r w:rsidRPr="002136F3">
        <w:rPr>
          <w:sz w:val="24"/>
          <w:szCs w:val="24"/>
        </w:rPr>
        <w:t xml:space="preserve"> </w:t>
      </w:r>
      <w:proofErr w:type="spellStart"/>
      <w:r w:rsidRPr="002136F3">
        <w:rPr>
          <w:sz w:val="24"/>
          <w:szCs w:val="24"/>
        </w:rPr>
        <w:t>gian</w:t>
      </w:r>
      <w:proofErr w:type="spellEnd"/>
      <w:r w:rsidRPr="002136F3">
        <w:rPr>
          <w:sz w:val="24"/>
          <w:szCs w:val="24"/>
        </w:rPr>
        <w:t xml:space="preserve"> </w:t>
      </w:r>
      <w:proofErr w:type="spellStart"/>
      <w:r w:rsidRPr="002136F3">
        <w:rPr>
          <w:sz w:val="24"/>
          <w:szCs w:val="24"/>
        </w:rPr>
        <w:t>hoạt</w:t>
      </w:r>
      <w:proofErr w:type="spellEnd"/>
      <w:r w:rsidRPr="002136F3">
        <w:rPr>
          <w:sz w:val="24"/>
          <w:szCs w:val="24"/>
        </w:rPr>
        <w:t xml:space="preserve"> </w:t>
      </w:r>
      <w:proofErr w:type="spellStart"/>
      <w:r w:rsidRPr="002136F3">
        <w:rPr>
          <w:sz w:val="24"/>
          <w:szCs w:val="24"/>
        </w:rPr>
        <w:t>động</w:t>
      </w:r>
      <w:proofErr w:type="spellEnd"/>
      <w:r w:rsidRPr="002136F3">
        <w:rPr>
          <w:sz w:val="24"/>
          <w:szCs w:val="24"/>
        </w:rPr>
        <w:t xml:space="preserve">, </w:t>
      </w:r>
      <w:proofErr w:type="spellStart"/>
      <w:r w:rsidRPr="002136F3">
        <w:rPr>
          <w:sz w:val="24"/>
          <w:szCs w:val="24"/>
        </w:rPr>
        <w:t>Quỹ</w:t>
      </w:r>
      <w:proofErr w:type="spellEnd"/>
      <w:r w:rsidRPr="002136F3">
        <w:rPr>
          <w:sz w:val="24"/>
          <w:szCs w:val="24"/>
        </w:rPr>
        <w:t xml:space="preserve"> </w:t>
      </w:r>
      <w:proofErr w:type="spellStart"/>
      <w:r w:rsidRPr="002136F3">
        <w:rPr>
          <w:sz w:val="24"/>
          <w:szCs w:val="24"/>
        </w:rPr>
        <w:t>có</w:t>
      </w:r>
      <w:proofErr w:type="spellEnd"/>
      <w:r w:rsidRPr="002136F3">
        <w:rPr>
          <w:sz w:val="24"/>
          <w:szCs w:val="24"/>
        </w:rPr>
        <w:t xml:space="preserve"> </w:t>
      </w:r>
      <w:proofErr w:type="spellStart"/>
      <w:r w:rsidRPr="002136F3">
        <w:rPr>
          <w:sz w:val="24"/>
          <w:szCs w:val="24"/>
        </w:rPr>
        <w:t>nghĩa</w:t>
      </w:r>
      <w:proofErr w:type="spellEnd"/>
      <w:r w:rsidRPr="002136F3">
        <w:rPr>
          <w:sz w:val="24"/>
          <w:szCs w:val="24"/>
        </w:rPr>
        <w:t xml:space="preserve"> </w:t>
      </w:r>
      <w:proofErr w:type="spellStart"/>
      <w:r w:rsidRPr="002136F3">
        <w:rPr>
          <w:sz w:val="24"/>
          <w:szCs w:val="24"/>
        </w:rPr>
        <w:t>vụ</w:t>
      </w:r>
      <w:proofErr w:type="spellEnd"/>
      <w:r w:rsidRPr="002136F3">
        <w:rPr>
          <w:sz w:val="24"/>
          <w:szCs w:val="24"/>
        </w:rPr>
        <w:t xml:space="preserve"> </w:t>
      </w:r>
      <w:proofErr w:type="spellStart"/>
      <w:r w:rsidRPr="002136F3">
        <w:rPr>
          <w:sz w:val="24"/>
          <w:szCs w:val="24"/>
        </w:rPr>
        <w:t>thực</w:t>
      </w:r>
      <w:proofErr w:type="spellEnd"/>
      <w:r w:rsidRPr="002136F3">
        <w:rPr>
          <w:sz w:val="24"/>
          <w:szCs w:val="24"/>
        </w:rPr>
        <w:t xml:space="preserve"> </w:t>
      </w:r>
      <w:proofErr w:type="spellStart"/>
      <w:r w:rsidRPr="002136F3">
        <w:rPr>
          <w:sz w:val="24"/>
          <w:szCs w:val="24"/>
        </w:rPr>
        <w:t>hiện</w:t>
      </w:r>
      <w:proofErr w:type="spellEnd"/>
      <w:r w:rsidRPr="002136F3">
        <w:rPr>
          <w:sz w:val="24"/>
          <w:szCs w:val="24"/>
        </w:rPr>
        <w:t xml:space="preserve"> </w:t>
      </w:r>
      <w:proofErr w:type="spellStart"/>
      <w:r w:rsidRPr="002136F3">
        <w:rPr>
          <w:sz w:val="24"/>
          <w:szCs w:val="24"/>
        </w:rPr>
        <w:t>việc</w:t>
      </w:r>
      <w:proofErr w:type="spellEnd"/>
      <w:r w:rsidRPr="002136F3">
        <w:rPr>
          <w:sz w:val="24"/>
          <w:szCs w:val="24"/>
        </w:rPr>
        <w:t xml:space="preserve"> </w:t>
      </w:r>
      <w:proofErr w:type="spellStart"/>
      <w:r w:rsidRPr="002136F3">
        <w:rPr>
          <w:sz w:val="24"/>
          <w:szCs w:val="24"/>
        </w:rPr>
        <w:t>đổi</w:t>
      </w:r>
      <w:proofErr w:type="spellEnd"/>
      <w:r w:rsidRPr="002136F3">
        <w:rPr>
          <w:sz w:val="24"/>
          <w:szCs w:val="24"/>
        </w:rPr>
        <w:t xml:space="preserve"> </w:t>
      </w:r>
      <w:proofErr w:type="spellStart"/>
      <w:r w:rsidRPr="002136F3">
        <w:rPr>
          <w:sz w:val="24"/>
          <w:szCs w:val="24"/>
        </w:rPr>
        <w:t>danh</w:t>
      </w:r>
      <w:proofErr w:type="spellEnd"/>
      <w:r w:rsidRPr="002136F3">
        <w:rPr>
          <w:sz w:val="24"/>
          <w:szCs w:val="24"/>
        </w:rPr>
        <w:t xml:space="preserve"> </w:t>
      </w:r>
      <w:proofErr w:type="spellStart"/>
      <w:r w:rsidRPr="002136F3">
        <w:rPr>
          <w:sz w:val="24"/>
          <w:szCs w:val="24"/>
        </w:rPr>
        <w:t>mục</w:t>
      </w:r>
      <w:proofErr w:type="spellEnd"/>
      <w:r w:rsidRPr="002136F3">
        <w:rPr>
          <w:sz w:val="24"/>
          <w:szCs w:val="24"/>
        </w:rPr>
        <w:t xml:space="preserve"> </w:t>
      </w:r>
      <w:proofErr w:type="spellStart"/>
      <w:r w:rsidRPr="002136F3">
        <w:rPr>
          <w:sz w:val="24"/>
          <w:szCs w:val="24"/>
        </w:rPr>
        <w:t>chứng</w:t>
      </w:r>
      <w:proofErr w:type="spellEnd"/>
      <w:r w:rsidRPr="002136F3">
        <w:rPr>
          <w:sz w:val="24"/>
          <w:szCs w:val="24"/>
        </w:rPr>
        <w:t xml:space="preserve"> </w:t>
      </w:r>
      <w:proofErr w:type="spellStart"/>
      <w:r w:rsidRPr="002136F3">
        <w:rPr>
          <w:sz w:val="24"/>
          <w:szCs w:val="24"/>
        </w:rPr>
        <w:t>khoán</w:t>
      </w:r>
      <w:proofErr w:type="spellEnd"/>
      <w:r w:rsidRPr="002136F3">
        <w:rPr>
          <w:sz w:val="24"/>
          <w:szCs w:val="24"/>
        </w:rPr>
        <w:t xml:space="preserve"> </w:t>
      </w:r>
      <w:proofErr w:type="spellStart"/>
      <w:r w:rsidRPr="002136F3">
        <w:rPr>
          <w:sz w:val="24"/>
          <w:szCs w:val="24"/>
        </w:rPr>
        <w:t>cơ</w:t>
      </w:r>
      <w:proofErr w:type="spellEnd"/>
      <w:r w:rsidRPr="002136F3">
        <w:rPr>
          <w:sz w:val="24"/>
          <w:szCs w:val="24"/>
        </w:rPr>
        <w:t xml:space="preserve"> </w:t>
      </w:r>
      <w:proofErr w:type="spellStart"/>
      <w:r w:rsidRPr="002136F3">
        <w:rPr>
          <w:sz w:val="24"/>
          <w:szCs w:val="24"/>
        </w:rPr>
        <w:t>cấu</w:t>
      </w:r>
      <w:proofErr w:type="spellEnd"/>
      <w:r w:rsidRPr="002136F3">
        <w:rPr>
          <w:sz w:val="24"/>
          <w:szCs w:val="24"/>
        </w:rPr>
        <w:t xml:space="preserve"> </w:t>
      </w:r>
      <w:proofErr w:type="spellStart"/>
      <w:r w:rsidRPr="002136F3">
        <w:rPr>
          <w:sz w:val="24"/>
          <w:szCs w:val="24"/>
        </w:rPr>
        <w:t>lấy</w:t>
      </w:r>
      <w:proofErr w:type="spellEnd"/>
      <w:r w:rsidRPr="002136F3">
        <w:rPr>
          <w:sz w:val="24"/>
          <w:szCs w:val="24"/>
        </w:rPr>
        <w:t xml:space="preserve"> </w:t>
      </w:r>
      <w:proofErr w:type="spellStart"/>
      <w:r w:rsidRPr="002136F3">
        <w:rPr>
          <w:sz w:val="24"/>
          <w:szCs w:val="24"/>
        </w:rPr>
        <w:t>lô</w:t>
      </w:r>
      <w:proofErr w:type="spellEnd"/>
      <w:r w:rsidRPr="002136F3">
        <w:rPr>
          <w:sz w:val="24"/>
          <w:szCs w:val="24"/>
        </w:rPr>
        <w:t xml:space="preserve"> </w:t>
      </w:r>
      <w:proofErr w:type="spellStart"/>
      <w:r w:rsidRPr="002136F3">
        <w:rPr>
          <w:sz w:val="24"/>
          <w:szCs w:val="24"/>
        </w:rPr>
        <w:t>chứng</w:t>
      </w:r>
      <w:proofErr w:type="spellEnd"/>
      <w:r w:rsidRPr="002136F3">
        <w:rPr>
          <w:sz w:val="24"/>
          <w:szCs w:val="24"/>
        </w:rPr>
        <w:t xml:space="preserve"> </w:t>
      </w:r>
      <w:proofErr w:type="spellStart"/>
      <w:r w:rsidRPr="002136F3">
        <w:rPr>
          <w:sz w:val="24"/>
          <w:szCs w:val="24"/>
        </w:rPr>
        <w:t>chỉ</w:t>
      </w:r>
      <w:proofErr w:type="spellEnd"/>
      <w:r w:rsidRPr="002136F3">
        <w:rPr>
          <w:sz w:val="24"/>
          <w:szCs w:val="24"/>
        </w:rPr>
        <w:t xml:space="preserve"> </w:t>
      </w:r>
      <w:proofErr w:type="spellStart"/>
      <w:r w:rsidRPr="002136F3">
        <w:rPr>
          <w:sz w:val="24"/>
          <w:szCs w:val="24"/>
        </w:rPr>
        <w:t>quỹ</w:t>
      </w:r>
      <w:proofErr w:type="spellEnd"/>
      <w:r w:rsidRPr="002136F3">
        <w:rPr>
          <w:sz w:val="24"/>
          <w:szCs w:val="24"/>
        </w:rPr>
        <w:t xml:space="preserve"> </w:t>
      </w:r>
      <w:proofErr w:type="spellStart"/>
      <w:r w:rsidRPr="002136F3">
        <w:rPr>
          <w:sz w:val="24"/>
          <w:szCs w:val="24"/>
        </w:rPr>
        <w:t>và</w:t>
      </w:r>
      <w:proofErr w:type="spellEnd"/>
      <w:r w:rsidRPr="002136F3">
        <w:rPr>
          <w:sz w:val="24"/>
          <w:szCs w:val="24"/>
        </w:rPr>
        <w:t xml:space="preserve"> </w:t>
      </w:r>
      <w:proofErr w:type="spellStart"/>
      <w:r w:rsidRPr="002136F3">
        <w:rPr>
          <w:sz w:val="24"/>
          <w:szCs w:val="24"/>
        </w:rPr>
        <w:t>ngược</w:t>
      </w:r>
      <w:proofErr w:type="spellEnd"/>
      <w:r w:rsidRPr="002136F3">
        <w:rPr>
          <w:sz w:val="24"/>
          <w:szCs w:val="24"/>
        </w:rPr>
        <w:t xml:space="preserve"> </w:t>
      </w:r>
      <w:proofErr w:type="spellStart"/>
      <w:r w:rsidRPr="002136F3">
        <w:rPr>
          <w:sz w:val="24"/>
          <w:szCs w:val="24"/>
        </w:rPr>
        <w:t>lại</w:t>
      </w:r>
      <w:proofErr w:type="spellEnd"/>
      <w:r w:rsidRPr="002136F3">
        <w:rPr>
          <w:sz w:val="24"/>
          <w:szCs w:val="24"/>
        </w:rPr>
        <w:t>.</w:t>
      </w:r>
    </w:p>
    <w:p w14:paraId="6B30E47F" w14:textId="79A9A3C4" w:rsidR="00891838" w:rsidRPr="002136F3" w:rsidRDefault="00891838" w:rsidP="00D54A5B">
      <w:pPr>
        <w:pStyle w:val="BodyText"/>
        <w:spacing w:before="120" w:after="120" w:line="312" w:lineRule="auto"/>
        <w:ind w:left="142" w:right="260"/>
        <w:rPr>
          <w:sz w:val="24"/>
          <w:szCs w:val="24"/>
        </w:rPr>
      </w:pPr>
      <w:r w:rsidRPr="002136F3">
        <w:rPr>
          <w:i/>
          <w:iCs/>
          <w:sz w:val="24"/>
          <w:szCs w:val="24"/>
          <w:lang w:val="vi-VN"/>
        </w:rPr>
        <w:t xml:space="preserve">The Fund operates in accordance with the Fund’s Charter issued on 30 May 2014 which was supplemented and amended on </w:t>
      </w:r>
      <w:r w:rsidR="001C4A99">
        <w:rPr>
          <w:i/>
          <w:iCs/>
          <w:sz w:val="24"/>
          <w:szCs w:val="24"/>
          <w:lang w:val="vi-VN"/>
        </w:rPr>
        <w:t>24</w:t>
      </w:r>
      <w:r w:rsidRPr="002136F3">
        <w:rPr>
          <w:i/>
          <w:iCs/>
          <w:sz w:val="24"/>
          <w:szCs w:val="24"/>
          <w:lang w:val="vi-VN"/>
        </w:rPr>
        <w:t xml:space="preserve"> April </w:t>
      </w:r>
      <w:r w:rsidR="001C4A99">
        <w:rPr>
          <w:i/>
          <w:iCs/>
          <w:sz w:val="24"/>
          <w:szCs w:val="24"/>
          <w:lang w:val="vi-VN"/>
        </w:rPr>
        <w:t>2024</w:t>
      </w:r>
      <w:r w:rsidRPr="002136F3">
        <w:rPr>
          <w:i/>
          <w:iCs/>
          <w:sz w:val="24"/>
          <w:szCs w:val="24"/>
          <w:lang w:val="vi-VN"/>
        </w:rPr>
        <w:t xml:space="preserve"> and has unlimited operating time according to the Establishment Registration Certificate.</w:t>
      </w:r>
      <w:r w:rsidR="00D8724F" w:rsidRPr="002136F3">
        <w:rPr>
          <w:i/>
          <w:iCs/>
          <w:sz w:val="24"/>
          <w:szCs w:val="24"/>
          <w:lang w:val="vi-VN"/>
        </w:rPr>
        <w:t xml:space="preserve"> </w:t>
      </w:r>
      <w:r w:rsidRPr="002136F3">
        <w:rPr>
          <w:i/>
          <w:iCs/>
          <w:sz w:val="24"/>
          <w:szCs w:val="24"/>
          <w:lang w:val="vi-VN"/>
        </w:rPr>
        <w:t xml:space="preserve">During the operation period, the Fund has the obligations to issue creation units in exchange for a basket of component securities and vice versa.  </w:t>
      </w:r>
    </w:p>
    <w:p w14:paraId="075A4008" w14:textId="0EB09943" w:rsidR="00897749" w:rsidRPr="002136F3" w:rsidRDefault="00897749" w:rsidP="00D54A5B">
      <w:pPr>
        <w:shd w:val="clear" w:color="auto" w:fill="FFFFFF"/>
        <w:spacing w:before="120" w:after="120" w:line="312" w:lineRule="auto"/>
        <w:ind w:left="142" w:right="260"/>
        <w:jc w:val="both"/>
        <w:rPr>
          <w:rFonts w:ascii="Times New Roman" w:hAnsi="Times New Roman"/>
          <w:b/>
          <w:sz w:val="24"/>
          <w:szCs w:val="24"/>
          <w:lang w:val="vi-VN"/>
        </w:rPr>
      </w:pPr>
      <w:r w:rsidRPr="002136F3">
        <w:rPr>
          <w:rFonts w:ascii="Times New Roman" w:hAnsi="Times New Roman"/>
          <w:b/>
          <w:sz w:val="24"/>
          <w:szCs w:val="24"/>
          <w:lang w:val="nl-NL"/>
        </w:rPr>
        <w:t xml:space="preserve">1.2. </w:t>
      </w:r>
      <w:r w:rsidR="00200471" w:rsidRPr="002136F3">
        <w:rPr>
          <w:rFonts w:ascii="Times New Roman" w:hAnsi="Times New Roman"/>
          <w:b/>
          <w:sz w:val="24"/>
          <w:szCs w:val="24"/>
          <w:lang w:val="nl-NL"/>
        </w:rPr>
        <w:tab/>
      </w:r>
      <w:r w:rsidRPr="002136F3">
        <w:rPr>
          <w:rFonts w:ascii="Times New Roman" w:hAnsi="Times New Roman"/>
          <w:b/>
          <w:sz w:val="24"/>
          <w:szCs w:val="24"/>
          <w:lang w:val="nl-NL"/>
        </w:rPr>
        <w:t>Địa chỉ liên hệ của Quỹ</w:t>
      </w:r>
      <w:r w:rsidR="00D8724F" w:rsidRPr="002136F3">
        <w:rPr>
          <w:rFonts w:ascii="Times New Roman" w:hAnsi="Times New Roman"/>
          <w:b/>
          <w:sz w:val="24"/>
          <w:szCs w:val="24"/>
          <w:lang w:val="vi-VN"/>
        </w:rPr>
        <w:t xml:space="preserve"> / </w:t>
      </w:r>
      <w:r w:rsidR="00D8724F" w:rsidRPr="002136F3">
        <w:rPr>
          <w:rFonts w:ascii="Times New Roman" w:hAnsi="Times New Roman"/>
          <w:b/>
          <w:i/>
          <w:iCs/>
          <w:sz w:val="24"/>
          <w:szCs w:val="24"/>
          <w:lang w:val="vi-VN"/>
        </w:rPr>
        <w:t>Fund’s contact point</w:t>
      </w:r>
    </w:p>
    <w:p w14:paraId="2C571A8B" w14:textId="646EFE9C" w:rsidR="00897749" w:rsidRPr="002136F3" w:rsidRDefault="00897749" w:rsidP="00D54A5B">
      <w:pPr>
        <w:shd w:val="clear" w:color="auto" w:fill="FFFFFF"/>
        <w:spacing w:before="120" w:after="120" w:line="312" w:lineRule="auto"/>
        <w:ind w:left="142" w:right="260"/>
        <w:jc w:val="both"/>
        <w:rPr>
          <w:rFonts w:ascii="Times New Roman" w:hAnsi="Times New Roman"/>
          <w:sz w:val="24"/>
          <w:szCs w:val="24"/>
          <w:lang w:val="nl-NL"/>
        </w:rPr>
      </w:pPr>
      <w:r w:rsidRPr="002136F3">
        <w:rPr>
          <w:rFonts w:ascii="Times New Roman" w:hAnsi="Times New Roman"/>
          <w:sz w:val="24"/>
          <w:szCs w:val="24"/>
          <w:lang w:val="nl-NL"/>
        </w:rPr>
        <w:t>Tầng 1</w:t>
      </w:r>
      <w:r w:rsidR="00236F1B" w:rsidRPr="002136F3">
        <w:rPr>
          <w:rFonts w:ascii="Times New Roman" w:hAnsi="Times New Roman"/>
          <w:sz w:val="24"/>
          <w:szCs w:val="24"/>
          <w:lang w:val="nl-NL"/>
        </w:rPr>
        <w:t>5</w:t>
      </w:r>
      <w:r w:rsidRPr="002136F3">
        <w:rPr>
          <w:rFonts w:ascii="Times New Roman" w:hAnsi="Times New Roman"/>
          <w:sz w:val="24"/>
          <w:szCs w:val="24"/>
          <w:lang w:val="nl-NL"/>
        </w:rPr>
        <w:t xml:space="preserve">, Tòa nhà Mê Linh Point, 02 Ngô Đức Kế, </w:t>
      </w:r>
      <w:r w:rsidR="00247DD2" w:rsidRPr="002136F3">
        <w:rPr>
          <w:rFonts w:ascii="Times New Roman" w:hAnsi="Times New Roman"/>
          <w:sz w:val="24"/>
          <w:szCs w:val="24"/>
          <w:lang w:val="nl-NL"/>
        </w:rPr>
        <w:t xml:space="preserve">Phường Bến Nghé, </w:t>
      </w:r>
      <w:r w:rsidRPr="002136F3">
        <w:rPr>
          <w:rFonts w:ascii="Times New Roman" w:hAnsi="Times New Roman"/>
          <w:sz w:val="24"/>
          <w:szCs w:val="24"/>
          <w:lang w:val="nl-NL"/>
        </w:rPr>
        <w:t>Quận 1, TPHCM, Việt Nam.</w:t>
      </w:r>
    </w:p>
    <w:p w14:paraId="370980C1" w14:textId="63B7B4EF" w:rsidR="00D8724F" w:rsidRPr="002136F3" w:rsidRDefault="00D8724F" w:rsidP="00D54A5B">
      <w:pPr>
        <w:shd w:val="clear" w:color="auto" w:fill="FFFFFF"/>
        <w:spacing w:before="120" w:after="120" w:line="312" w:lineRule="auto"/>
        <w:ind w:left="142" w:right="260"/>
        <w:jc w:val="both"/>
        <w:rPr>
          <w:rFonts w:ascii="Times New Roman" w:eastAsia="Times New Roman" w:hAnsi="Times New Roman"/>
          <w:i/>
          <w:iCs/>
          <w:sz w:val="24"/>
          <w:szCs w:val="24"/>
          <w:lang w:val="vi-VN"/>
        </w:rPr>
      </w:pPr>
      <w:r w:rsidRPr="002136F3">
        <w:rPr>
          <w:rFonts w:ascii="Times New Roman" w:eastAsia="Times New Roman" w:hAnsi="Times New Roman"/>
          <w:i/>
          <w:iCs/>
          <w:sz w:val="24"/>
          <w:szCs w:val="24"/>
          <w:lang w:val="vi-VN"/>
        </w:rPr>
        <w:t xml:space="preserve">15th Floor, Me Linh Point Building, 02 Ngo Duc Ke Street, Ben Nghe Ward, District 1, Hochiminh City, Vietnam. </w:t>
      </w:r>
    </w:p>
    <w:p w14:paraId="24A223B5" w14:textId="121D7224" w:rsidR="00897749" w:rsidRPr="002136F3" w:rsidRDefault="00897749" w:rsidP="00D54A5B">
      <w:pPr>
        <w:shd w:val="clear" w:color="auto" w:fill="FFFFFF"/>
        <w:spacing w:before="120" w:after="120" w:line="312" w:lineRule="auto"/>
        <w:ind w:left="142" w:right="260"/>
        <w:jc w:val="both"/>
        <w:rPr>
          <w:rFonts w:ascii="Times New Roman" w:hAnsi="Times New Roman"/>
          <w:b/>
          <w:sz w:val="24"/>
          <w:szCs w:val="24"/>
          <w:lang w:val="vi-VN"/>
        </w:rPr>
      </w:pPr>
      <w:r w:rsidRPr="002136F3">
        <w:rPr>
          <w:rFonts w:ascii="Times New Roman" w:hAnsi="Times New Roman"/>
          <w:b/>
          <w:sz w:val="24"/>
          <w:szCs w:val="24"/>
          <w:lang w:val="nl-NL"/>
        </w:rPr>
        <w:t>1.3.</w:t>
      </w:r>
      <w:r w:rsidR="00200471" w:rsidRPr="002136F3">
        <w:rPr>
          <w:rFonts w:ascii="Times New Roman" w:hAnsi="Times New Roman"/>
          <w:b/>
          <w:sz w:val="24"/>
          <w:szCs w:val="24"/>
          <w:lang w:val="nl-NL"/>
        </w:rPr>
        <w:tab/>
      </w:r>
      <w:r w:rsidRPr="002136F3">
        <w:rPr>
          <w:rFonts w:ascii="Times New Roman" w:hAnsi="Times New Roman"/>
          <w:b/>
          <w:sz w:val="24"/>
          <w:szCs w:val="24"/>
          <w:lang w:val="nl-NL"/>
        </w:rPr>
        <w:t>Những đặc điểm chính về hoạt động Quỹ</w:t>
      </w:r>
      <w:r w:rsidR="00D8724F" w:rsidRPr="002136F3">
        <w:rPr>
          <w:rFonts w:ascii="Times New Roman" w:hAnsi="Times New Roman"/>
          <w:b/>
          <w:sz w:val="24"/>
          <w:szCs w:val="24"/>
          <w:lang w:val="vi-VN"/>
        </w:rPr>
        <w:t xml:space="preserve"> / </w:t>
      </w:r>
      <w:r w:rsidR="00D8724F" w:rsidRPr="002136F3">
        <w:rPr>
          <w:rFonts w:ascii="Times New Roman" w:hAnsi="Times New Roman"/>
          <w:b/>
          <w:i/>
          <w:iCs/>
          <w:sz w:val="24"/>
          <w:szCs w:val="24"/>
          <w:lang w:val="vi-VN"/>
        </w:rPr>
        <w:t>General information of Fund’s operation</w:t>
      </w:r>
    </w:p>
    <w:p w14:paraId="7B40AF17" w14:textId="77777777" w:rsidR="00897749" w:rsidRPr="002136F3" w:rsidRDefault="00897749" w:rsidP="00D54A5B">
      <w:pPr>
        <w:shd w:val="clear" w:color="auto" w:fill="FFFFFF"/>
        <w:spacing w:before="120" w:after="120" w:line="312" w:lineRule="auto"/>
        <w:ind w:left="142" w:right="260"/>
        <w:jc w:val="both"/>
        <w:rPr>
          <w:rFonts w:ascii="Times New Roman" w:hAnsi="Times New Roman"/>
          <w:sz w:val="24"/>
          <w:szCs w:val="24"/>
        </w:rPr>
      </w:pPr>
      <w:r w:rsidRPr="002136F3">
        <w:rPr>
          <w:rFonts w:ascii="Times New Roman" w:hAnsi="Times New Roman"/>
          <w:sz w:val="24"/>
          <w:szCs w:val="24"/>
          <w:lang w:val="nl-NL"/>
        </w:rPr>
        <w:t>Quy mô vốn Quỹ:</w:t>
      </w:r>
      <w:r w:rsidR="00394FD6" w:rsidRPr="002136F3">
        <w:rPr>
          <w:rFonts w:ascii="Times New Roman" w:hAnsi="Times New Roman"/>
          <w:sz w:val="24"/>
          <w:szCs w:val="24"/>
          <w:lang w:val="nl-NL"/>
        </w:rPr>
        <w:t xml:space="preserve"> </w:t>
      </w:r>
      <w:proofErr w:type="spellStart"/>
      <w:r w:rsidRPr="002136F3">
        <w:rPr>
          <w:rFonts w:ascii="Times New Roman" w:hAnsi="Times New Roman"/>
          <w:sz w:val="24"/>
          <w:szCs w:val="24"/>
        </w:rPr>
        <w:t>Vốn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điều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lệ</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của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theo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Giấy</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nhận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đăng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ký</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thành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lập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là</w:t>
      </w:r>
      <w:proofErr w:type="spellEnd"/>
      <w:r w:rsidRPr="002136F3">
        <w:rPr>
          <w:rFonts w:ascii="Times New Roman" w:hAnsi="Times New Roman"/>
          <w:sz w:val="24"/>
          <w:szCs w:val="24"/>
        </w:rPr>
        <w:t xml:space="preserve">: 202.000.000.000 </w:t>
      </w:r>
      <w:proofErr w:type="spellStart"/>
      <w:r w:rsidRPr="002136F3">
        <w:rPr>
          <w:rFonts w:ascii="Times New Roman" w:hAnsi="Times New Roman"/>
          <w:sz w:val="24"/>
          <w:szCs w:val="24"/>
        </w:rPr>
        <w:t>đồng</w:t>
      </w:r>
      <w:proofErr w:type="spellEnd"/>
      <w:r w:rsidRPr="002136F3">
        <w:rPr>
          <w:rFonts w:ascii="Times New Roman" w:hAnsi="Times New Roman"/>
          <w:sz w:val="24"/>
          <w:szCs w:val="24"/>
        </w:rPr>
        <w:t>.</w:t>
      </w:r>
    </w:p>
    <w:p w14:paraId="6217393C" w14:textId="26FF4C9D" w:rsidR="00D8724F" w:rsidRPr="002136F3" w:rsidRDefault="00D8724F" w:rsidP="00D54A5B">
      <w:pPr>
        <w:shd w:val="clear" w:color="auto" w:fill="FFFFFF"/>
        <w:spacing w:before="120" w:after="120" w:line="312" w:lineRule="auto"/>
        <w:ind w:left="142" w:right="260"/>
        <w:jc w:val="both"/>
        <w:rPr>
          <w:rFonts w:ascii="Times New Roman" w:hAnsi="Times New Roman"/>
          <w:sz w:val="24"/>
          <w:szCs w:val="24"/>
          <w:lang w:val="vi-VN"/>
        </w:rPr>
      </w:pPr>
      <w:r w:rsidRPr="002136F3">
        <w:rPr>
          <w:rFonts w:ascii="Times New Roman" w:hAnsi="Times New Roman"/>
          <w:i/>
          <w:iCs/>
          <w:sz w:val="24"/>
          <w:szCs w:val="24"/>
        </w:rPr>
        <w:t>Fund</w:t>
      </w:r>
      <w:r w:rsidRPr="002136F3">
        <w:rPr>
          <w:rFonts w:ascii="Times New Roman" w:hAnsi="Times New Roman"/>
          <w:i/>
          <w:iCs/>
          <w:sz w:val="24"/>
          <w:szCs w:val="24"/>
          <w:lang w:val="vi-VN"/>
        </w:rPr>
        <w:t xml:space="preserve"> size:</w:t>
      </w:r>
      <w:r w:rsidRPr="002136F3">
        <w:rPr>
          <w:rFonts w:ascii="Times New Roman" w:hAnsi="Times New Roman"/>
          <w:sz w:val="24"/>
          <w:szCs w:val="24"/>
          <w:lang w:val="vi-VN"/>
        </w:rPr>
        <w:t xml:space="preserve"> </w:t>
      </w:r>
      <w:r w:rsidRPr="002136F3">
        <w:rPr>
          <w:rFonts w:ascii="Times New Roman" w:hAnsi="Times New Roman"/>
          <w:i/>
          <w:iCs/>
          <w:sz w:val="24"/>
          <w:szCs w:val="24"/>
          <w:lang w:val="vi-VN"/>
        </w:rPr>
        <w:t xml:space="preserve">The Fund’s charter capital as stipulated in the Establishment Registration Certificate is VND202,000,000,000. </w:t>
      </w:r>
    </w:p>
    <w:p w14:paraId="7E4F7831" w14:textId="77777777" w:rsidR="00D8724F" w:rsidRPr="002136F3" w:rsidRDefault="002849C3" w:rsidP="00D54A5B">
      <w:pPr>
        <w:shd w:val="clear" w:color="auto" w:fill="FFFFFF"/>
        <w:spacing w:before="120" w:after="120" w:line="312" w:lineRule="auto"/>
        <w:ind w:left="142" w:right="260"/>
        <w:jc w:val="both"/>
        <w:rPr>
          <w:rFonts w:ascii="Times New Roman" w:hAnsi="Times New Roman"/>
          <w:sz w:val="24"/>
          <w:szCs w:val="24"/>
          <w:lang w:val="nl-NL"/>
        </w:rPr>
      </w:pPr>
      <w:r w:rsidRPr="002136F3">
        <w:rPr>
          <w:rFonts w:ascii="Times New Roman" w:hAnsi="Times New Roman"/>
          <w:sz w:val="24"/>
          <w:szCs w:val="24"/>
          <w:lang w:val="nl-NL"/>
        </w:rPr>
        <w:t xml:space="preserve">Mục tiêu của Quỹ ETF </w:t>
      </w:r>
      <w:r w:rsidR="006B6153" w:rsidRPr="002136F3">
        <w:rPr>
          <w:rFonts w:ascii="Times New Roman" w:hAnsi="Times New Roman"/>
          <w:sz w:val="24"/>
          <w:szCs w:val="24"/>
          <w:lang w:val="nl-NL"/>
        </w:rPr>
        <w:t>DC</w:t>
      </w:r>
      <w:r w:rsidRPr="002136F3">
        <w:rPr>
          <w:rFonts w:ascii="Times New Roman" w:hAnsi="Times New Roman"/>
          <w:sz w:val="24"/>
          <w:szCs w:val="24"/>
          <w:lang w:val="nl-NL"/>
        </w:rPr>
        <w:t xml:space="preserve">VFMVN30 là mô phỏng gần nhất </w:t>
      </w:r>
      <w:r w:rsidR="00B47004" w:rsidRPr="002136F3">
        <w:rPr>
          <w:rFonts w:ascii="Times New Roman" w:hAnsi="Times New Roman"/>
          <w:sz w:val="24"/>
          <w:szCs w:val="24"/>
          <w:lang w:val="nl-NL"/>
        </w:rPr>
        <w:t>là mô phỏng gần nhất có thể về biến động (performance) của chỉ số VN30 (theo phương pháp tổng thu nhập)</w:t>
      </w:r>
      <w:r w:rsidRPr="002136F3">
        <w:rPr>
          <w:rFonts w:ascii="Times New Roman" w:hAnsi="Times New Roman"/>
          <w:sz w:val="24"/>
          <w:szCs w:val="24"/>
          <w:lang w:val="nl-NL"/>
        </w:rPr>
        <w:t>.</w:t>
      </w:r>
    </w:p>
    <w:p w14:paraId="39BD3C27" w14:textId="49C2F194" w:rsidR="00D8724F" w:rsidRPr="002136F3" w:rsidRDefault="00D8724F" w:rsidP="00D54A5B">
      <w:pPr>
        <w:shd w:val="clear" w:color="auto" w:fill="FFFFFF"/>
        <w:spacing w:before="120" w:after="120" w:line="312" w:lineRule="auto"/>
        <w:ind w:left="142" w:right="260"/>
        <w:jc w:val="both"/>
        <w:rPr>
          <w:rFonts w:ascii="Times New Roman" w:hAnsi="Times New Roman"/>
          <w:sz w:val="24"/>
          <w:szCs w:val="24"/>
          <w:lang w:val="nl-NL"/>
        </w:rPr>
      </w:pPr>
      <w:r w:rsidRPr="002136F3">
        <w:rPr>
          <w:rFonts w:ascii="Times New Roman" w:hAnsi="Times New Roman"/>
          <w:i/>
          <w:iCs/>
          <w:sz w:val="24"/>
          <w:szCs w:val="24"/>
          <w:lang w:val="vi-VN"/>
        </w:rPr>
        <w:t>The primary objective of the Fund is to replicate the performance of VN30 Index according to the total return method (“the reference index”).</w:t>
      </w:r>
    </w:p>
    <w:p w14:paraId="09BE70FF" w14:textId="77777777" w:rsidR="00D8724F" w:rsidRPr="002136F3" w:rsidRDefault="00897749" w:rsidP="00D54A5B">
      <w:pPr>
        <w:shd w:val="clear" w:color="auto" w:fill="FFFFFF"/>
        <w:spacing w:before="120" w:after="120" w:line="312" w:lineRule="auto"/>
        <w:ind w:left="142" w:right="260"/>
        <w:jc w:val="both"/>
        <w:rPr>
          <w:rFonts w:ascii="Times New Roman" w:hAnsi="Times New Roman"/>
          <w:i/>
          <w:iCs/>
          <w:sz w:val="24"/>
          <w:szCs w:val="24"/>
          <w:lang w:val="vi-VN"/>
        </w:rPr>
      </w:pPr>
      <w:r w:rsidRPr="002136F3">
        <w:rPr>
          <w:rFonts w:ascii="Times New Roman" w:hAnsi="Times New Roman"/>
          <w:sz w:val="24"/>
          <w:szCs w:val="24"/>
          <w:lang w:val="nl-NL"/>
        </w:rPr>
        <w:t>Kỳ tính giá trị tài sản ròng</w:t>
      </w:r>
      <w:r w:rsidR="00A11002" w:rsidRPr="002136F3">
        <w:rPr>
          <w:rFonts w:ascii="Times New Roman" w:hAnsi="Times New Roman"/>
          <w:sz w:val="24"/>
          <w:szCs w:val="24"/>
          <w:lang w:val="nl-NL"/>
        </w:rPr>
        <w:t xml:space="preserve">: </w:t>
      </w:r>
      <w:r w:rsidRPr="002136F3">
        <w:rPr>
          <w:rFonts w:ascii="Times New Roman" w:hAnsi="Times New Roman"/>
          <w:sz w:val="24"/>
          <w:szCs w:val="24"/>
          <w:lang w:val="nl-NL"/>
        </w:rPr>
        <w:t xml:space="preserve">Giá trị tài sản ròng của Quỹ sẽ được định </w:t>
      </w:r>
      <w:r w:rsidR="00A62CD3" w:rsidRPr="002136F3">
        <w:rPr>
          <w:rFonts w:ascii="Times New Roman" w:hAnsi="Times New Roman"/>
          <w:sz w:val="24"/>
          <w:szCs w:val="24"/>
          <w:lang w:val="nl-NL"/>
        </w:rPr>
        <w:t xml:space="preserve">giá hàng ngày vào ngày làm việc (của kỳ định giá ngày), ngày thứ Sáu hàng tuần (của kỳ định giá tuần) và ngày đầu tiên của tháng tiếp theo (của kỳ định giá hàng tháng). </w:t>
      </w:r>
      <w:r w:rsidRPr="002136F3">
        <w:rPr>
          <w:rFonts w:ascii="Times New Roman" w:hAnsi="Times New Roman"/>
          <w:sz w:val="24"/>
          <w:szCs w:val="24"/>
          <w:lang w:val="nl-NL"/>
        </w:rPr>
        <w:t>Trong trường hợp ngày định giá rơi vào ngày nghỉ hoặc ngày lễ thì ngày định giá là ngày làm việc kế tiếp liền ngay sau đó.  Đối với kỳ định giá hàng tháng, ngày định giá là ngày đầu tiên của tháng tiếp theo, và không thay đổi kể cả trường hợp ngày định giá rơi vào ngày nghỉ hoặc ngày lễ.</w:t>
      </w:r>
    </w:p>
    <w:p w14:paraId="6ADC5143" w14:textId="4968C72F" w:rsidR="00D8724F" w:rsidRPr="002136F3" w:rsidRDefault="00D8724F" w:rsidP="00D54A5B">
      <w:pPr>
        <w:shd w:val="clear" w:color="auto" w:fill="FFFFFF"/>
        <w:spacing w:before="120" w:after="120" w:line="312" w:lineRule="auto"/>
        <w:ind w:left="142" w:right="260"/>
        <w:jc w:val="both"/>
        <w:rPr>
          <w:rFonts w:ascii="Times New Roman" w:hAnsi="Times New Roman"/>
          <w:i/>
          <w:iCs/>
          <w:sz w:val="24"/>
          <w:szCs w:val="24"/>
          <w:lang w:val="vi-VN"/>
        </w:rPr>
      </w:pPr>
      <w:r w:rsidRPr="002136F3">
        <w:rPr>
          <w:rFonts w:ascii="Times New Roman" w:hAnsi="Times New Roman"/>
          <w:i/>
          <w:iCs/>
          <w:sz w:val="24"/>
          <w:szCs w:val="24"/>
          <w:lang w:val="vi-VN"/>
        </w:rPr>
        <w:lastRenderedPageBreak/>
        <w:t>The valuation date is the working day (for the daily valuation period), the Friday of each week (for the weekly valuation period) and the first day of the following month (for the monthly valuation period).  In case the valuation date falls on a day-off or holiday, the valuation date is the next working day. For the monthly valuation, the valuation day is the first day of the following month regardless of the holiday or public holiday.</w:t>
      </w:r>
    </w:p>
    <w:p w14:paraId="33BEEA55" w14:textId="77777777" w:rsidR="00897749" w:rsidRPr="002136F3" w:rsidRDefault="00897749" w:rsidP="00D54A5B">
      <w:pPr>
        <w:shd w:val="clear" w:color="auto" w:fill="FFFFFF"/>
        <w:spacing w:before="120" w:after="120" w:line="312" w:lineRule="auto"/>
        <w:ind w:left="142" w:right="260"/>
        <w:jc w:val="both"/>
        <w:rPr>
          <w:rFonts w:ascii="Times New Roman" w:hAnsi="Times New Roman"/>
          <w:sz w:val="24"/>
          <w:szCs w:val="24"/>
          <w:lang w:val="pt-BR"/>
        </w:rPr>
      </w:pPr>
      <w:r w:rsidRPr="002136F3">
        <w:rPr>
          <w:rFonts w:ascii="Times New Roman" w:hAnsi="Times New Roman"/>
          <w:sz w:val="24"/>
          <w:szCs w:val="24"/>
          <w:lang w:val="nl-NL"/>
        </w:rPr>
        <w:t>Tần suất giao dịch Chứng chỉ quỹ:</w:t>
      </w:r>
      <w:r w:rsidR="00394FD6" w:rsidRPr="002136F3">
        <w:rPr>
          <w:rFonts w:ascii="Times New Roman" w:hAnsi="Times New Roman"/>
          <w:sz w:val="24"/>
          <w:szCs w:val="24"/>
          <w:lang w:val="nl-NL"/>
        </w:rPr>
        <w:t xml:space="preserve"> </w:t>
      </w:r>
      <w:r w:rsidRPr="002136F3">
        <w:rPr>
          <w:rFonts w:ascii="Times New Roman" w:hAnsi="Times New Roman"/>
          <w:sz w:val="24"/>
          <w:szCs w:val="24"/>
          <w:lang w:val="pt-BR"/>
        </w:rPr>
        <w:t>Tần suất giao dịch hoán đổi được tổ chức định kỳ hàng ngày.</w:t>
      </w:r>
    </w:p>
    <w:p w14:paraId="7E345190" w14:textId="4B3A4DF4" w:rsidR="00D8724F" w:rsidRPr="002136F3" w:rsidRDefault="00D8724F" w:rsidP="00D54A5B">
      <w:pPr>
        <w:shd w:val="clear" w:color="auto" w:fill="FFFFFF"/>
        <w:spacing w:before="120" w:after="120" w:line="312" w:lineRule="auto"/>
        <w:ind w:left="142" w:right="260"/>
        <w:jc w:val="both"/>
        <w:rPr>
          <w:rFonts w:ascii="Times New Roman" w:hAnsi="Times New Roman"/>
          <w:i/>
          <w:iCs/>
          <w:sz w:val="24"/>
          <w:szCs w:val="24"/>
          <w:lang w:val="vi-VN"/>
        </w:rPr>
      </w:pPr>
      <w:r w:rsidRPr="002136F3">
        <w:rPr>
          <w:rFonts w:ascii="Times New Roman" w:hAnsi="Times New Roman"/>
          <w:i/>
          <w:iCs/>
          <w:sz w:val="24"/>
          <w:szCs w:val="24"/>
          <w:lang w:val="nl-NL"/>
        </w:rPr>
        <w:t>Frequency</w:t>
      </w:r>
      <w:r w:rsidRPr="002136F3">
        <w:rPr>
          <w:rFonts w:ascii="Times New Roman" w:hAnsi="Times New Roman"/>
          <w:i/>
          <w:iCs/>
          <w:sz w:val="24"/>
          <w:szCs w:val="24"/>
          <w:lang w:val="vi-VN"/>
        </w:rPr>
        <w:t xml:space="preserve"> of fund unit trading: on a daily basis</w:t>
      </w:r>
    </w:p>
    <w:p w14:paraId="3E308324" w14:textId="77777777" w:rsidR="00897749" w:rsidRPr="002136F3" w:rsidRDefault="00897749" w:rsidP="00D54A5B">
      <w:pPr>
        <w:shd w:val="clear" w:color="auto" w:fill="FFFFFF"/>
        <w:spacing w:before="120" w:after="120" w:line="312" w:lineRule="auto"/>
        <w:ind w:left="142" w:right="260"/>
        <w:jc w:val="both"/>
        <w:rPr>
          <w:rFonts w:ascii="Times New Roman" w:hAnsi="Times New Roman"/>
          <w:bCs/>
          <w:sz w:val="24"/>
          <w:szCs w:val="24"/>
        </w:rPr>
      </w:pPr>
      <w:r w:rsidRPr="002136F3">
        <w:rPr>
          <w:rFonts w:ascii="Times New Roman" w:hAnsi="Times New Roman"/>
          <w:sz w:val="24"/>
          <w:szCs w:val="24"/>
          <w:lang w:val="nl-NL"/>
        </w:rPr>
        <w:t>Hạn chế đầu tư của Quỹ:</w:t>
      </w:r>
      <w:r w:rsidR="00394FD6" w:rsidRPr="002136F3">
        <w:rPr>
          <w:rFonts w:ascii="Times New Roman" w:hAnsi="Times New Roman"/>
          <w:sz w:val="24"/>
          <w:szCs w:val="24"/>
          <w:lang w:val="nl-NL"/>
        </w:rPr>
        <w:t xml:space="preserve"> </w:t>
      </w:r>
      <w:proofErr w:type="spellStart"/>
      <w:r w:rsidRPr="002136F3">
        <w:rPr>
          <w:rFonts w:ascii="Times New Roman" w:hAnsi="Times New Roman"/>
          <w:bCs/>
          <w:sz w:val="24"/>
          <w:szCs w:val="24"/>
        </w:rPr>
        <w:t>Cơ</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cấu</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danh</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mục</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đầu</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tư</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của</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Quỹ</w:t>
      </w:r>
      <w:proofErr w:type="spellEnd"/>
      <w:r w:rsidRPr="002136F3">
        <w:rPr>
          <w:rFonts w:ascii="Times New Roman" w:hAnsi="Times New Roman"/>
          <w:bCs/>
          <w:sz w:val="24"/>
          <w:szCs w:val="24"/>
        </w:rPr>
        <w:t xml:space="preserve"> ETF </w:t>
      </w:r>
      <w:r w:rsidR="006B6153" w:rsidRPr="002136F3">
        <w:rPr>
          <w:rFonts w:ascii="Times New Roman" w:hAnsi="Times New Roman"/>
          <w:bCs/>
          <w:sz w:val="24"/>
          <w:szCs w:val="24"/>
        </w:rPr>
        <w:t>DC</w:t>
      </w:r>
      <w:r w:rsidRPr="002136F3">
        <w:rPr>
          <w:rFonts w:ascii="Times New Roman" w:hAnsi="Times New Roman"/>
          <w:bCs/>
          <w:sz w:val="24"/>
          <w:szCs w:val="24"/>
        </w:rPr>
        <w:t xml:space="preserve">VFMVN30 </w:t>
      </w:r>
      <w:proofErr w:type="spellStart"/>
      <w:r w:rsidRPr="002136F3">
        <w:rPr>
          <w:rFonts w:ascii="Times New Roman" w:hAnsi="Times New Roman"/>
          <w:bCs/>
          <w:sz w:val="24"/>
          <w:szCs w:val="24"/>
        </w:rPr>
        <w:t>phải</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phù</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hợp</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với</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các</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quy</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định</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tại</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điều</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lệ</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Quỹ</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và</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phải</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bảo</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đảm</w:t>
      </w:r>
      <w:proofErr w:type="spellEnd"/>
      <w:r w:rsidRPr="002136F3">
        <w:rPr>
          <w:rFonts w:ascii="Times New Roman" w:hAnsi="Times New Roman"/>
          <w:bCs/>
          <w:sz w:val="24"/>
          <w:szCs w:val="24"/>
        </w:rPr>
        <w:t>:</w:t>
      </w:r>
    </w:p>
    <w:p w14:paraId="702E4E44" w14:textId="49B95A20" w:rsidR="00D8724F" w:rsidRPr="002136F3" w:rsidRDefault="00D8724F" w:rsidP="00D54A5B">
      <w:pPr>
        <w:shd w:val="clear" w:color="auto" w:fill="FFFFFF"/>
        <w:spacing w:before="120" w:after="120" w:line="312" w:lineRule="auto"/>
        <w:ind w:left="142" w:right="260"/>
        <w:jc w:val="both"/>
        <w:rPr>
          <w:rFonts w:ascii="Times New Roman" w:hAnsi="Times New Roman"/>
          <w:bCs/>
          <w:i/>
          <w:iCs/>
          <w:sz w:val="24"/>
          <w:szCs w:val="24"/>
          <w:lang w:val="vi-VN"/>
        </w:rPr>
      </w:pPr>
      <w:r w:rsidRPr="002136F3">
        <w:rPr>
          <w:rFonts w:ascii="Times New Roman" w:hAnsi="Times New Roman"/>
          <w:bCs/>
          <w:i/>
          <w:iCs/>
          <w:sz w:val="24"/>
          <w:szCs w:val="24"/>
        </w:rPr>
        <w:t>Investment</w:t>
      </w:r>
      <w:r w:rsidRPr="002136F3">
        <w:rPr>
          <w:rFonts w:ascii="Times New Roman" w:hAnsi="Times New Roman"/>
          <w:bCs/>
          <w:i/>
          <w:iCs/>
          <w:sz w:val="24"/>
          <w:szCs w:val="24"/>
          <w:lang w:val="vi-VN"/>
        </w:rPr>
        <w:t xml:space="preserve"> Restrictions: Investment Portfolio Structure of ETF DCVFMVN30 must </w:t>
      </w:r>
      <w:r w:rsidR="00642860" w:rsidRPr="002136F3">
        <w:rPr>
          <w:rFonts w:ascii="Times New Roman" w:hAnsi="Times New Roman"/>
          <w:bCs/>
          <w:i/>
          <w:iCs/>
          <w:sz w:val="24"/>
          <w:szCs w:val="24"/>
          <w:lang w:val="vi-VN"/>
        </w:rPr>
        <w:t>comply with Fund’s Charter and:</w:t>
      </w:r>
    </w:p>
    <w:p w14:paraId="6623C1C2" w14:textId="50E13007" w:rsidR="00897749" w:rsidRPr="002136F3" w:rsidRDefault="00897749" w:rsidP="001F2E8F">
      <w:pPr>
        <w:pStyle w:val="ListParagraph"/>
        <w:numPr>
          <w:ilvl w:val="4"/>
          <w:numId w:val="1"/>
        </w:numPr>
        <w:spacing w:before="120" w:after="120" w:line="312" w:lineRule="auto"/>
        <w:ind w:left="450" w:right="260" w:firstLine="0"/>
        <w:contextualSpacing w:val="0"/>
        <w:jc w:val="both"/>
        <w:rPr>
          <w:rFonts w:ascii="Times New Roman" w:hAnsi="Times New Roman"/>
          <w:bCs/>
          <w:sz w:val="24"/>
          <w:szCs w:val="24"/>
        </w:rPr>
      </w:pPr>
      <w:proofErr w:type="spellStart"/>
      <w:r w:rsidRPr="002136F3">
        <w:rPr>
          <w:rFonts w:ascii="Times New Roman" w:hAnsi="Times New Roman"/>
          <w:bCs/>
          <w:sz w:val="24"/>
          <w:szCs w:val="24"/>
        </w:rPr>
        <w:t>Không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đầu</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tư</w:t>
      </w:r>
      <w:proofErr w:type="spellEnd"/>
      <w:r w:rsidRPr="002136F3">
        <w:rPr>
          <w:rFonts w:ascii="Times New Roman" w:hAnsi="Times New Roman"/>
          <w:bCs/>
          <w:sz w:val="24"/>
          <w:szCs w:val="24"/>
        </w:rPr>
        <w:t xml:space="preserve"> </w:t>
      </w:r>
      <w:proofErr w:type="spellStart"/>
      <w:r w:rsidR="008B0D5B" w:rsidRPr="002136F3">
        <w:rPr>
          <w:rFonts w:ascii="Times New Roman" w:hAnsi="Times New Roman"/>
          <w:bCs/>
          <w:sz w:val="24"/>
          <w:szCs w:val="24"/>
        </w:rPr>
        <w:t>vào</w:t>
      </w:r>
      <w:proofErr w:type="spellEnd"/>
      <w:r w:rsidR="008B0D5B" w:rsidRPr="002136F3">
        <w:rPr>
          <w:rFonts w:ascii="Times New Roman" w:hAnsi="Times New Roman"/>
          <w:bCs/>
          <w:sz w:val="24"/>
          <w:szCs w:val="24"/>
        </w:rPr>
        <w:t xml:space="preserve"> </w:t>
      </w:r>
      <w:proofErr w:type="spellStart"/>
      <w:r w:rsidR="008B0D5B" w:rsidRPr="002136F3">
        <w:rPr>
          <w:rFonts w:ascii="Times New Roman" w:hAnsi="Times New Roman"/>
          <w:bCs/>
          <w:sz w:val="24"/>
          <w:szCs w:val="24"/>
        </w:rPr>
        <w:t>chứng</w:t>
      </w:r>
      <w:proofErr w:type="spellEnd"/>
      <w:r w:rsidR="008B0D5B" w:rsidRPr="002136F3">
        <w:rPr>
          <w:rFonts w:ascii="Times New Roman" w:hAnsi="Times New Roman"/>
          <w:bCs/>
          <w:sz w:val="24"/>
          <w:szCs w:val="24"/>
        </w:rPr>
        <w:t xml:space="preserve"> </w:t>
      </w:r>
      <w:proofErr w:type="spellStart"/>
      <w:r w:rsidR="008B0D5B" w:rsidRPr="002136F3">
        <w:rPr>
          <w:rFonts w:ascii="Times New Roman" w:hAnsi="Times New Roman"/>
          <w:bCs/>
          <w:sz w:val="24"/>
          <w:szCs w:val="24"/>
        </w:rPr>
        <w:t>khoán</w:t>
      </w:r>
      <w:proofErr w:type="spellEnd"/>
      <w:r w:rsidR="008B0D5B" w:rsidRPr="002136F3">
        <w:rPr>
          <w:rFonts w:ascii="Times New Roman" w:hAnsi="Times New Roman"/>
          <w:bCs/>
          <w:sz w:val="24"/>
          <w:szCs w:val="24"/>
        </w:rPr>
        <w:t xml:space="preserve"> </w:t>
      </w:r>
      <w:proofErr w:type="spellStart"/>
      <w:r w:rsidR="008B0D5B" w:rsidRPr="002136F3">
        <w:rPr>
          <w:rFonts w:ascii="Times New Roman" w:hAnsi="Times New Roman"/>
          <w:bCs/>
          <w:sz w:val="24"/>
          <w:szCs w:val="24"/>
        </w:rPr>
        <w:t>của</w:t>
      </w:r>
      <w:proofErr w:type="spellEnd"/>
      <w:r w:rsidR="008B0D5B" w:rsidRPr="002136F3">
        <w:rPr>
          <w:rFonts w:ascii="Times New Roman" w:hAnsi="Times New Roman"/>
          <w:bCs/>
          <w:sz w:val="24"/>
          <w:szCs w:val="24"/>
        </w:rPr>
        <w:t xml:space="preserve"> </w:t>
      </w:r>
      <w:proofErr w:type="spellStart"/>
      <w:r w:rsidR="008B0D5B" w:rsidRPr="002136F3">
        <w:rPr>
          <w:rFonts w:ascii="Times New Roman" w:hAnsi="Times New Roman"/>
          <w:bCs/>
          <w:sz w:val="24"/>
          <w:szCs w:val="24"/>
        </w:rPr>
        <w:t>một</w:t>
      </w:r>
      <w:proofErr w:type="spellEnd"/>
      <w:r w:rsidR="008B0D5B" w:rsidRPr="002136F3">
        <w:rPr>
          <w:rFonts w:ascii="Times New Roman" w:hAnsi="Times New Roman"/>
          <w:bCs/>
          <w:sz w:val="24"/>
          <w:szCs w:val="24"/>
        </w:rPr>
        <w:t xml:space="preserve"> </w:t>
      </w:r>
      <w:proofErr w:type="spellStart"/>
      <w:r w:rsidR="008B0D5B" w:rsidRPr="002136F3">
        <w:rPr>
          <w:rFonts w:ascii="Times New Roman" w:hAnsi="Times New Roman"/>
          <w:bCs/>
          <w:sz w:val="24"/>
          <w:szCs w:val="24"/>
        </w:rPr>
        <w:t>tổ</w:t>
      </w:r>
      <w:proofErr w:type="spellEnd"/>
      <w:r w:rsidR="008B0D5B" w:rsidRPr="002136F3">
        <w:rPr>
          <w:rFonts w:ascii="Times New Roman" w:hAnsi="Times New Roman"/>
          <w:bCs/>
          <w:sz w:val="24"/>
          <w:szCs w:val="24"/>
        </w:rPr>
        <w:t xml:space="preserve"> </w:t>
      </w:r>
      <w:proofErr w:type="spellStart"/>
      <w:r w:rsidR="008B0D5B" w:rsidRPr="002136F3">
        <w:rPr>
          <w:rFonts w:ascii="Times New Roman" w:hAnsi="Times New Roman"/>
          <w:bCs/>
          <w:sz w:val="24"/>
          <w:szCs w:val="24"/>
        </w:rPr>
        <w:t>chức</w:t>
      </w:r>
      <w:proofErr w:type="spellEnd"/>
      <w:r w:rsidR="008B0D5B" w:rsidRPr="002136F3">
        <w:rPr>
          <w:rFonts w:ascii="Times New Roman" w:hAnsi="Times New Roman"/>
          <w:bCs/>
          <w:sz w:val="24"/>
          <w:szCs w:val="24"/>
        </w:rPr>
        <w:t xml:space="preserve"> </w:t>
      </w:r>
      <w:proofErr w:type="spellStart"/>
      <w:r w:rsidR="008B0D5B" w:rsidRPr="002136F3">
        <w:rPr>
          <w:rFonts w:ascii="Times New Roman" w:hAnsi="Times New Roman"/>
          <w:bCs/>
          <w:sz w:val="24"/>
          <w:szCs w:val="24"/>
        </w:rPr>
        <w:t>phát</w:t>
      </w:r>
      <w:proofErr w:type="spellEnd"/>
      <w:r w:rsidR="008B0D5B" w:rsidRPr="002136F3">
        <w:rPr>
          <w:rFonts w:ascii="Times New Roman" w:hAnsi="Times New Roman"/>
          <w:bCs/>
          <w:sz w:val="24"/>
          <w:szCs w:val="24"/>
        </w:rPr>
        <w:t xml:space="preserve"> </w:t>
      </w:r>
      <w:proofErr w:type="spellStart"/>
      <w:r w:rsidR="008B0D5B" w:rsidRPr="002136F3">
        <w:rPr>
          <w:rFonts w:ascii="Times New Roman" w:hAnsi="Times New Roman"/>
          <w:bCs/>
          <w:sz w:val="24"/>
          <w:szCs w:val="24"/>
        </w:rPr>
        <w:t>hành</w:t>
      </w:r>
      <w:proofErr w:type="spellEnd"/>
      <w:r w:rsidR="008B0D5B" w:rsidRPr="002136F3">
        <w:rPr>
          <w:rFonts w:ascii="Times New Roman" w:hAnsi="Times New Roman"/>
          <w:bCs/>
          <w:sz w:val="24"/>
          <w:szCs w:val="24"/>
        </w:rPr>
        <w:t xml:space="preserve"> </w:t>
      </w:r>
      <w:proofErr w:type="spellStart"/>
      <w:r w:rsidRPr="002136F3">
        <w:rPr>
          <w:rFonts w:ascii="Times New Roman" w:hAnsi="Times New Roman"/>
          <w:bCs/>
          <w:sz w:val="24"/>
          <w:szCs w:val="24"/>
        </w:rPr>
        <w:t>quá</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mười</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phần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trăm</w:t>
      </w:r>
      <w:proofErr w:type="spellEnd"/>
      <w:r w:rsidRPr="002136F3">
        <w:rPr>
          <w:rFonts w:ascii="Times New Roman" w:hAnsi="Times New Roman"/>
          <w:bCs/>
          <w:sz w:val="24"/>
          <w:szCs w:val="24"/>
        </w:rPr>
        <w:t xml:space="preserve"> (1</w:t>
      </w:r>
      <w:r w:rsidR="0080537C" w:rsidRPr="002136F3">
        <w:rPr>
          <w:rFonts w:ascii="Times New Roman" w:hAnsi="Times New Roman"/>
          <w:bCs/>
          <w:sz w:val="24"/>
          <w:szCs w:val="24"/>
        </w:rPr>
        <w:t>0</w:t>
      </w:r>
      <w:r w:rsidRPr="002136F3">
        <w:rPr>
          <w:rFonts w:ascii="Times New Roman" w:hAnsi="Times New Roman"/>
          <w:bCs/>
          <w:sz w:val="24"/>
          <w:szCs w:val="24"/>
        </w:rPr>
        <w:t xml:space="preserve">%) </w:t>
      </w:r>
      <w:proofErr w:type="spellStart"/>
      <w:r w:rsidRPr="002136F3">
        <w:rPr>
          <w:rFonts w:ascii="Times New Roman" w:hAnsi="Times New Roman"/>
          <w:bCs/>
          <w:sz w:val="24"/>
          <w:szCs w:val="24"/>
        </w:rPr>
        <w:t>tổng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giá</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trị</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chứng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khoán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đang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lưu</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hành</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của</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tổ</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chức</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phát</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hành</w:t>
      </w:r>
      <w:proofErr w:type="spellEnd"/>
      <w:r w:rsidR="008B0D5B" w:rsidRPr="002136F3">
        <w:rPr>
          <w:rFonts w:ascii="Times New Roman" w:hAnsi="Times New Roman"/>
          <w:bCs/>
          <w:sz w:val="24"/>
          <w:szCs w:val="24"/>
        </w:rPr>
        <w:t xml:space="preserve"> </w:t>
      </w:r>
      <w:proofErr w:type="spellStart"/>
      <w:r w:rsidR="008B0D5B" w:rsidRPr="002136F3">
        <w:rPr>
          <w:rFonts w:ascii="Times New Roman" w:hAnsi="Times New Roman"/>
          <w:bCs/>
          <w:sz w:val="24"/>
          <w:szCs w:val="24"/>
        </w:rPr>
        <w:t>đó</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trừ</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trái</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phiếu</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Chính</w:t>
      </w:r>
      <w:proofErr w:type="spellEnd"/>
      <w:r w:rsidRPr="002136F3">
        <w:rPr>
          <w:rFonts w:ascii="Times New Roman" w:hAnsi="Times New Roman"/>
          <w:bCs/>
          <w:sz w:val="24"/>
          <w:szCs w:val="24"/>
        </w:rPr>
        <w:t xml:space="preserve"> </w:t>
      </w:r>
      <w:proofErr w:type="spellStart"/>
      <w:proofErr w:type="gramStart"/>
      <w:r w:rsidRPr="002136F3">
        <w:rPr>
          <w:rFonts w:ascii="Times New Roman" w:hAnsi="Times New Roman"/>
          <w:bCs/>
          <w:sz w:val="24"/>
          <w:szCs w:val="24"/>
        </w:rPr>
        <w:t>phủ</w:t>
      </w:r>
      <w:proofErr w:type="spellEnd"/>
      <w:r w:rsidRPr="002136F3">
        <w:rPr>
          <w:rFonts w:ascii="Times New Roman" w:hAnsi="Times New Roman"/>
          <w:bCs/>
          <w:sz w:val="24"/>
          <w:szCs w:val="24"/>
        </w:rPr>
        <w:t>;</w:t>
      </w:r>
      <w:proofErr w:type="gramEnd"/>
    </w:p>
    <w:p w14:paraId="71CDE191" w14:textId="670BC695" w:rsidR="00642860" w:rsidRPr="002136F3" w:rsidRDefault="00642860" w:rsidP="001F2E8F">
      <w:pPr>
        <w:pStyle w:val="ListParagraph"/>
        <w:numPr>
          <w:ilvl w:val="0"/>
          <w:numId w:val="9"/>
        </w:numPr>
        <w:tabs>
          <w:tab w:val="left" w:pos="720"/>
        </w:tabs>
        <w:spacing w:before="120" w:after="120" w:line="312" w:lineRule="auto"/>
        <w:ind w:left="450" w:right="260" w:firstLine="0"/>
        <w:contextualSpacing w:val="0"/>
        <w:jc w:val="both"/>
        <w:rPr>
          <w:rFonts w:ascii="Times New Roman" w:hAnsi="Times New Roman"/>
          <w:bCs/>
          <w:i/>
          <w:iCs/>
          <w:sz w:val="24"/>
          <w:szCs w:val="24"/>
        </w:rPr>
      </w:pPr>
      <w:r w:rsidRPr="002136F3">
        <w:rPr>
          <w:rFonts w:ascii="Times New Roman" w:hAnsi="Times New Roman"/>
          <w:bCs/>
          <w:i/>
          <w:iCs/>
          <w:sz w:val="24"/>
          <w:szCs w:val="24"/>
        </w:rPr>
        <w:t xml:space="preserve">Shall not invest in more than 10% of one issuer’s total value of outstanding securities, except for Government </w:t>
      </w:r>
      <w:proofErr w:type="gramStart"/>
      <w:r w:rsidRPr="002136F3">
        <w:rPr>
          <w:rFonts w:ascii="Times New Roman" w:hAnsi="Times New Roman"/>
          <w:bCs/>
          <w:i/>
          <w:iCs/>
          <w:sz w:val="24"/>
          <w:szCs w:val="24"/>
        </w:rPr>
        <w:t>bonds;</w:t>
      </w:r>
      <w:proofErr w:type="gramEnd"/>
    </w:p>
    <w:p w14:paraId="04CD2CD6" w14:textId="05A5570A" w:rsidR="00897749" w:rsidRPr="002136F3" w:rsidRDefault="0080537C" w:rsidP="001F2E8F">
      <w:pPr>
        <w:pStyle w:val="ListParagraph"/>
        <w:numPr>
          <w:ilvl w:val="4"/>
          <w:numId w:val="1"/>
        </w:numPr>
        <w:spacing w:before="120" w:after="120" w:line="312" w:lineRule="auto"/>
        <w:ind w:left="450" w:right="260" w:firstLine="0"/>
        <w:contextualSpacing w:val="0"/>
        <w:jc w:val="both"/>
        <w:rPr>
          <w:rFonts w:ascii="Times New Roman" w:hAnsi="Times New Roman"/>
          <w:bCs/>
          <w:sz w:val="24"/>
          <w:szCs w:val="24"/>
        </w:rPr>
      </w:pPr>
      <w:proofErr w:type="spellStart"/>
      <w:r w:rsidRPr="002136F3">
        <w:rPr>
          <w:rFonts w:ascii="Times New Roman" w:hAnsi="Times New Roman"/>
          <w:bCs/>
          <w:sz w:val="24"/>
          <w:szCs w:val="24"/>
        </w:rPr>
        <w:t>Không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đầu</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tư</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quá</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hai</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mươi</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phần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trăm</w:t>
      </w:r>
      <w:proofErr w:type="spellEnd"/>
      <w:r w:rsidRPr="002136F3">
        <w:rPr>
          <w:rFonts w:ascii="Times New Roman" w:hAnsi="Times New Roman"/>
          <w:bCs/>
          <w:sz w:val="24"/>
          <w:szCs w:val="24"/>
        </w:rPr>
        <w:t xml:space="preserve"> (20%) </w:t>
      </w:r>
      <w:proofErr w:type="spellStart"/>
      <w:r w:rsidRPr="002136F3">
        <w:rPr>
          <w:rFonts w:ascii="Times New Roman" w:hAnsi="Times New Roman"/>
          <w:bCs/>
          <w:sz w:val="24"/>
          <w:szCs w:val="24"/>
        </w:rPr>
        <w:t>tổng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giá</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trị</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tài</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sản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của</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quỹ</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vào</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chứng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khoán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đang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lưu</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hành</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và</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các</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tài</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sản</w:t>
      </w:r>
      <w:proofErr w:type="spellEnd"/>
      <w:r w:rsidRPr="002136F3">
        <w:rPr>
          <w:rFonts w:ascii="Times New Roman" w:hAnsi="Times New Roman"/>
          <w:bCs/>
          <w:sz w:val="24"/>
          <w:szCs w:val="24"/>
        </w:rPr>
        <w:t xml:space="preserve"> </w:t>
      </w:r>
      <w:r w:rsidR="008B0D5B" w:rsidRPr="002136F3">
        <w:rPr>
          <w:rFonts w:ascii="Times New Roman" w:hAnsi="Times New Roman"/>
          <w:bCs/>
          <w:sz w:val="24"/>
          <w:szCs w:val="24"/>
        </w:rPr>
        <w:t>(</w:t>
      </w:r>
      <w:proofErr w:type="spellStart"/>
      <w:r w:rsidR="008B0D5B" w:rsidRPr="002136F3">
        <w:rPr>
          <w:rFonts w:ascii="Times New Roman" w:hAnsi="Times New Roman"/>
          <w:bCs/>
          <w:sz w:val="24"/>
          <w:szCs w:val="24"/>
        </w:rPr>
        <w:t>nếu</w:t>
      </w:r>
      <w:proofErr w:type="spellEnd"/>
      <w:r w:rsidR="008B0D5B" w:rsidRPr="002136F3">
        <w:rPr>
          <w:rFonts w:ascii="Times New Roman" w:hAnsi="Times New Roman"/>
          <w:bCs/>
          <w:sz w:val="24"/>
          <w:szCs w:val="24"/>
        </w:rPr>
        <w:t xml:space="preserve"> </w:t>
      </w:r>
      <w:proofErr w:type="spellStart"/>
      <w:r w:rsidR="008B0D5B" w:rsidRPr="002136F3">
        <w:rPr>
          <w:rFonts w:ascii="Times New Roman" w:hAnsi="Times New Roman"/>
          <w:bCs/>
          <w:sz w:val="24"/>
          <w:szCs w:val="24"/>
        </w:rPr>
        <w:t>có</w:t>
      </w:r>
      <w:proofErr w:type="spellEnd"/>
      <w:r w:rsidR="008B0D5B" w:rsidRPr="002136F3">
        <w:rPr>
          <w:rFonts w:ascii="Times New Roman" w:hAnsi="Times New Roman"/>
          <w:bCs/>
          <w:sz w:val="24"/>
          <w:szCs w:val="24"/>
        </w:rPr>
        <w:t xml:space="preserve">) </w:t>
      </w:r>
      <w:proofErr w:type="spellStart"/>
      <w:r w:rsidRPr="002136F3">
        <w:rPr>
          <w:rFonts w:ascii="Times New Roman" w:hAnsi="Times New Roman"/>
          <w:bCs/>
          <w:sz w:val="24"/>
          <w:szCs w:val="24"/>
        </w:rPr>
        <w:t>quy</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định</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tại</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điểm</w:t>
      </w:r>
      <w:proofErr w:type="spellEnd"/>
      <w:r w:rsidRPr="002136F3">
        <w:rPr>
          <w:rFonts w:ascii="Times New Roman" w:hAnsi="Times New Roman"/>
          <w:bCs/>
          <w:sz w:val="24"/>
          <w:szCs w:val="24"/>
        </w:rPr>
        <w:t xml:space="preserve"> </w:t>
      </w:r>
      <w:r w:rsidR="008B0D5B" w:rsidRPr="002136F3">
        <w:rPr>
          <w:rFonts w:ascii="Times New Roman" w:hAnsi="Times New Roman"/>
          <w:bCs/>
          <w:sz w:val="24"/>
          <w:szCs w:val="24"/>
        </w:rPr>
        <w:t xml:space="preserve">a, </w:t>
      </w:r>
      <w:r w:rsidRPr="002136F3">
        <w:rPr>
          <w:rFonts w:ascii="Times New Roman" w:hAnsi="Times New Roman"/>
          <w:bCs/>
          <w:sz w:val="24"/>
          <w:szCs w:val="24"/>
        </w:rPr>
        <w:t xml:space="preserve">b </w:t>
      </w:r>
      <w:proofErr w:type="spellStart"/>
      <w:r w:rsidRPr="002136F3">
        <w:rPr>
          <w:rFonts w:ascii="Times New Roman" w:hAnsi="Times New Roman"/>
          <w:bCs/>
          <w:sz w:val="24"/>
          <w:szCs w:val="24"/>
        </w:rPr>
        <w:t>khoản</w:t>
      </w:r>
      <w:proofErr w:type="spellEnd"/>
      <w:r w:rsidRPr="002136F3">
        <w:rPr>
          <w:rFonts w:ascii="Times New Roman" w:hAnsi="Times New Roman"/>
          <w:bCs/>
          <w:sz w:val="24"/>
          <w:szCs w:val="24"/>
        </w:rPr>
        <w:t xml:space="preserve"> 3 </w:t>
      </w:r>
      <w:proofErr w:type="spellStart"/>
      <w:r w:rsidRPr="002136F3">
        <w:rPr>
          <w:rFonts w:ascii="Times New Roman" w:hAnsi="Times New Roman"/>
          <w:bCs/>
          <w:sz w:val="24"/>
          <w:szCs w:val="24"/>
        </w:rPr>
        <w:t>Điều</w:t>
      </w:r>
      <w:proofErr w:type="spellEnd"/>
      <w:r w:rsidRPr="002136F3">
        <w:rPr>
          <w:rFonts w:ascii="Times New Roman" w:hAnsi="Times New Roman"/>
          <w:bCs/>
          <w:sz w:val="24"/>
          <w:szCs w:val="24"/>
        </w:rPr>
        <w:t xml:space="preserve"> 9 </w:t>
      </w:r>
      <w:proofErr w:type="spellStart"/>
      <w:r w:rsidRPr="002136F3">
        <w:rPr>
          <w:rFonts w:ascii="Times New Roman" w:hAnsi="Times New Roman"/>
          <w:bCs/>
          <w:sz w:val="24"/>
          <w:szCs w:val="24"/>
        </w:rPr>
        <w:t>Điều</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lệ</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quỹ</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của</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một</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tổ</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chức</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phát</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hành</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trừ</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công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cụ</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nợ</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của</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Chính</w:t>
      </w:r>
      <w:proofErr w:type="spellEnd"/>
      <w:r w:rsidRPr="002136F3">
        <w:rPr>
          <w:rFonts w:ascii="Times New Roman" w:hAnsi="Times New Roman"/>
          <w:bCs/>
          <w:sz w:val="24"/>
          <w:szCs w:val="24"/>
        </w:rPr>
        <w:t xml:space="preserve"> </w:t>
      </w:r>
      <w:proofErr w:type="spellStart"/>
      <w:proofErr w:type="gramStart"/>
      <w:r w:rsidRPr="002136F3">
        <w:rPr>
          <w:rFonts w:ascii="Times New Roman" w:hAnsi="Times New Roman"/>
          <w:bCs/>
          <w:sz w:val="24"/>
          <w:szCs w:val="24"/>
        </w:rPr>
        <w:t>phủ</w:t>
      </w:r>
      <w:proofErr w:type="spellEnd"/>
      <w:r w:rsidR="00897749" w:rsidRPr="002136F3">
        <w:rPr>
          <w:rFonts w:ascii="Times New Roman" w:hAnsi="Times New Roman"/>
          <w:bCs/>
          <w:sz w:val="24"/>
          <w:szCs w:val="24"/>
        </w:rPr>
        <w:t>;</w:t>
      </w:r>
      <w:proofErr w:type="gramEnd"/>
    </w:p>
    <w:p w14:paraId="05C2CBDC" w14:textId="166A6C93" w:rsidR="00642860" w:rsidRPr="002136F3" w:rsidRDefault="00642860" w:rsidP="001F2E8F">
      <w:pPr>
        <w:pStyle w:val="ListParagraph"/>
        <w:numPr>
          <w:ilvl w:val="0"/>
          <w:numId w:val="10"/>
        </w:numPr>
        <w:spacing w:before="120" w:after="120" w:line="312" w:lineRule="auto"/>
        <w:ind w:left="450" w:right="260" w:firstLine="0"/>
        <w:contextualSpacing w:val="0"/>
        <w:jc w:val="both"/>
        <w:rPr>
          <w:rFonts w:ascii="Times New Roman" w:hAnsi="Times New Roman"/>
          <w:bCs/>
          <w:i/>
          <w:iCs/>
          <w:sz w:val="24"/>
          <w:szCs w:val="24"/>
        </w:rPr>
      </w:pPr>
      <w:r w:rsidRPr="002136F3">
        <w:rPr>
          <w:rFonts w:ascii="Times New Roman" w:hAnsi="Times New Roman"/>
          <w:bCs/>
          <w:i/>
          <w:iCs/>
          <w:sz w:val="24"/>
          <w:szCs w:val="24"/>
        </w:rPr>
        <w:t>Shall</w:t>
      </w:r>
      <w:r w:rsidRPr="002136F3">
        <w:rPr>
          <w:rFonts w:ascii="Times New Roman" w:hAnsi="Times New Roman"/>
          <w:bCs/>
          <w:i/>
          <w:iCs/>
          <w:sz w:val="24"/>
          <w:szCs w:val="24"/>
          <w:lang w:val="vi-VN"/>
        </w:rPr>
        <w:t xml:space="preserve"> not investement more than 20 percent of Fund’s total assets in </w:t>
      </w:r>
      <w:r w:rsidR="001470DA" w:rsidRPr="002136F3">
        <w:rPr>
          <w:rFonts w:ascii="Times New Roman" w:hAnsi="Times New Roman"/>
          <w:bCs/>
          <w:i/>
          <w:iCs/>
          <w:sz w:val="24"/>
          <w:szCs w:val="24"/>
          <w:lang w:val="vi-VN"/>
        </w:rPr>
        <w:t xml:space="preserve">one issuer’s outstanding securities and assets (if any) in accordance with Point </w:t>
      </w:r>
      <w:r w:rsidR="001C4A99">
        <w:rPr>
          <w:rFonts w:ascii="Times New Roman" w:hAnsi="Times New Roman"/>
          <w:bCs/>
          <w:i/>
          <w:iCs/>
          <w:sz w:val="24"/>
          <w:szCs w:val="24"/>
          <w:lang w:val="vi-VN"/>
        </w:rPr>
        <w:t>a</w:t>
      </w:r>
      <w:r w:rsidR="001470DA" w:rsidRPr="002136F3">
        <w:rPr>
          <w:rFonts w:ascii="Times New Roman" w:hAnsi="Times New Roman"/>
          <w:bCs/>
          <w:i/>
          <w:iCs/>
          <w:sz w:val="24"/>
          <w:szCs w:val="24"/>
          <w:lang w:val="vi-VN"/>
        </w:rPr>
        <w:t xml:space="preserve">, b Clause 3 Article 9 of Fund’s Charter, except for Government Debit </w:t>
      </w:r>
      <w:proofErr w:type="gramStart"/>
      <w:r w:rsidR="006551CD">
        <w:rPr>
          <w:rFonts w:ascii="Times New Roman" w:hAnsi="Times New Roman"/>
          <w:bCs/>
          <w:i/>
          <w:iCs/>
          <w:sz w:val="24"/>
          <w:szCs w:val="24"/>
          <w:lang w:val="vi-VN"/>
        </w:rPr>
        <w:t>Instruments</w:t>
      </w:r>
      <w:r w:rsidR="001470DA" w:rsidRPr="002136F3">
        <w:rPr>
          <w:rFonts w:ascii="Times New Roman" w:hAnsi="Times New Roman"/>
          <w:bCs/>
          <w:i/>
          <w:iCs/>
          <w:sz w:val="24"/>
          <w:szCs w:val="24"/>
          <w:lang w:val="vi-VN"/>
        </w:rPr>
        <w:t>;</w:t>
      </w:r>
      <w:proofErr w:type="gramEnd"/>
    </w:p>
    <w:p w14:paraId="4E3DBCCC" w14:textId="344294BC" w:rsidR="00897749" w:rsidRPr="002136F3" w:rsidRDefault="00506DCA" w:rsidP="001F2E8F">
      <w:pPr>
        <w:pStyle w:val="ListParagraph"/>
        <w:numPr>
          <w:ilvl w:val="0"/>
          <w:numId w:val="10"/>
        </w:numPr>
        <w:spacing w:before="120" w:after="120" w:line="312" w:lineRule="auto"/>
        <w:ind w:left="450" w:right="260" w:firstLine="0"/>
        <w:contextualSpacing w:val="0"/>
        <w:jc w:val="both"/>
        <w:rPr>
          <w:rFonts w:ascii="Times New Roman" w:hAnsi="Times New Roman"/>
          <w:bCs/>
          <w:sz w:val="24"/>
          <w:szCs w:val="24"/>
        </w:rPr>
      </w:pPr>
      <w:proofErr w:type="spellStart"/>
      <w:r w:rsidRPr="002136F3">
        <w:rPr>
          <w:rFonts w:ascii="Times New Roman" w:hAnsi="Times New Roman"/>
          <w:bCs/>
          <w:sz w:val="24"/>
          <w:szCs w:val="24"/>
        </w:rPr>
        <w:t>Trừ</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trường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hợp</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là</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chứng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khoán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cơ</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cấu</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nằm</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trong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danh</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mục</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chỉ</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số</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tham</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chiếu</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không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đầu</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tư</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quá</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ba</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mươi</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phần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trăm</w:t>
      </w:r>
      <w:proofErr w:type="spellEnd"/>
      <w:r w:rsidRPr="002136F3">
        <w:rPr>
          <w:rFonts w:ascii="Times New Roman" w:hAnsi="Times New Roman"/>
          <w:bCs/>
          <w:sz w:val="24"/>
          <w:szCs w:val="24"/>
        </w:rPr>
        <w:t xml:space="preserve"> (30%) </w:t>
      </w:r>
      <w:proofErr w:type="spellStart"/>
      <w:r w:rsidRPr="002136F3">
        <w:rPr>
          <w:rFonts w:ascii="Times New Roman" w:hAnsi="Times New Roman"/>
          <w:bCs/>
          <w:sz w:val="24"/>
          <w:szCs w:val="24"/>
        </w:rPr>
        <w:t>tổng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giá</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trị</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tài</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sản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của</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quỹ</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vào</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các</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tài</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sản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quy</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định</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tại</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điểm</w:t>
      </w:r>
      <w:proofErr w:type="spellEnd"/>
      <w:r w:rsidRPr="002136F3">
        <w:rPr>
          <w:rFonts w:ascii="Times New Roman" w:hAnsi="Times New Roman"/>
          <w:bCs/>
          <w:sz w:val="24"/>
          <w:szCs w:val="24"/>
        </w:rPr>
        <w:t xml:space="preserve"> a, b, </w:t>
      </w:r>
      <w:r w:rsidR="008B0D5B" w:rsidRPr="002136F3">
        <w:rPr>
          <w:rFonts w:ascii="Times New Roman" w:hAnsi="Times New Roman"/>
          <w:bCs/>
          <w:sz w:val="24"/>
          <w:szCs w:val="24"/>
        </w:rPr>
        <w:t xml:space="preserve">d </w:t>
      </w:r>
      <w:proofErr w:type="spellStart"/>
      <w:r w:rsidR="008B0D5B" w:rsidRPr="002136F3">
        <w:rPr>
          <w:rFonts w:ascii="Times New Roman" w:hAnsi="Times New Roman"/>
          <w:bCs/>
          <w:sz w:val="24"/>
          <w:szCs w:val="24"/>
        </w:rPr>
        <w:t>và</w:t>
      </w:r>
      <w:proofErr w:type="spellEnd"/>
      <w:r w:rsidR="008B0D5B" w:rsidRPr="002136F3">
        <w:rPr>
          <w:rFonts w:ascii="Times New Roman" w:hAnsi="Times New Roman"/>
          <w:bCs/>
          <w:sz w:val="24"/>
          <w:szCs w:val="24"/>
        </w:rPr>
        <w:t xml:space="preserve"> e</w:t>
      </w:r>
      <w:r w:rsidRPr="002136F3">
        <w:rPr>
          <w:rFonts w:ascii="Times New Roman" w:hAnsi="Times New Roman"/>
          <w:bCs/>
          <w:sz w:val="24"/>
          <w:szCs w:val="24"/>
        </w:rPr>
        <w:t xml:space="preserve"> </w:t>
      </w:r>
      <w:proofErr w:type="spellStart"/>
      <w:r w:rsidRPr="002136F3">
        <w:rPr>
          <w:rFonts w:ascii="Times New Roman" w:hAnsi="Times New Roman"/>
          <w:bCs/>
          <w:sz w:val="24"/>
          <w:szCs w:val="24"/>
        </w:rPr>
        <w:t>khoản</w:t>
      </w:r>
      <w:proofErr w:type="spellEnd"/>
      <w:r w:rsidRPr="002136F3">
        <w:rPr>
          <w:rFonts w:ascii="Times New Roman" w:hAnsi="Times New Roman"/>
          <w:bCs/>
          <w:sz w:val="24"/>
          <w:szCs w:val="24"/>
        </w:rPr>
        <w:t xml:space="preserve"> 3, </w:t>
      </w:r>
      <w:proofErr w:type="spellStart"/>
      <w:r w:rsidRPr="002136F3">
        <w:rPr>
          <w:rFonts w:ascii="Times New Roman" w:hAnsi="Times New Roman"/>
          <w:bCs/>
          <w:sz w:val="24"/>
          <w:szCs w:val="24"/>
        </w:rPr>
        <w:t>Điều</w:t>
      </w:r>
      <w:proofErr w:type="spellEnd"/>
      <w:r w:rsidRPr="002136F3">
        <w:rPr>
          <w:rFonts w:ascii="Times New Roman" w:hAnsi="Times New Roman"/>
          <w:bCs/>
          <w:sz w:val="24"/>
          <w:szCs w:val="24"/>
        </w:rPr>
        <w:t xml:space="preserve"> 9, </w:t>
      </w:r>
      <w:proofErr w:type="spellStart"/>
      <w:r w:rsidRPr="002136F3">
        <w:rPr>
          <w:rFonts w:ascii="Times New Roman" w:hAnsi="Times New Roman"/>
          <w:bCs/>
          <w:sz w:val="24"/>
          <w:szCs w:val="24"/>
        </w:rPr>
        <w:t>Điều</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lệ</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quỹ</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phát</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hành</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bởi</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các</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công</w:t>
      </w:r>
      <w:proofErr w:type="spellEnd"/>
      <w:r w:rsidRPr="002136F3">
        <w:rPr>
          <w:rFonts w:ascii="Times New Roman" w:hAnsi="Times New Roman"/>
          <w:bCs/>
          <w:sz w:val="24"/>
          <w:szCs w:val="24"/>
        </w:rPr>
        <w:t xml:space="preserve"> ty </w:t>
      </w:r>
      <w:proofErr w:type="spellStart"/>
      <w:r w:rsidRPr="002136F3">
        <w:rPr>
          <w:rFonts w:ascii="Times New Roman" w:hAnsi="Times New Roman"/>
          <w:bCs/>
          <w:sz w:val="24"/>
          <w:szCs w:val="24"/>
        </w:rPr>
        <w:t>trong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cùng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một</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nhóm</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công</w:t>
      </w:r>
      <w:proofErr w:type="spellEnd"/>
      <w:r w:rsidRPr="002136F3">
        <w:rPr>
          <w:rFonts w:ascii="Times New Roman" w:hAnsi="Times New Roman"/>
          <w:bCs/>
          <w:sz w:val="24"/>
          <w:szCs w:val="24"/>
        </w:rPr>
        <w:t xml:space="preserve"> ty </w:t>
      </w:r>
      <w:proofErr w:type="spellStart"/>
      <w:r w:rsidRPr="002136F3">
        <w:rPr>
          <w:rFonts w:ascii="Times New Roman" w:hAnsi="Times New Roman"/>
          <w:bCs/>
          <w:sz w:val="24"/>
          <w:szCs w:val="24"/>
        </w:rPr>
        <w:t>có</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quan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hệ</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sở</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hữu</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với</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nhau</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thuộc</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các</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trường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hợp</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sau</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đây</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công</w:t>
      </w:r>
      <w:proofErr w:type="spellEnd"/>
      <w:r w:rsidRPr="002136F3">
        <w:rPr>
          <w:rFonts w:ascii="Times New Roman" w:hAnsi="Times New Roman"/>
          <w:bCs/>
          <w:sz w:val="24"/>
          <w:szCs w:val="24"/>
        </w:rPr>
        <w:t xml:space="preserve"> ty </w:t>
      </w:r>
      <w:proofErr w:type="spellStart"/>
      <w:r w:rsidRPr="002136F3">
        <w:rPr>
          <w:rFonts w:ascii="Times New Roman" w:hAnsi="Times New Roman"/>
          <w:bCs/>
          <w:sz w:val="24"/>
          <w:szCs w:val="24"/>
        </w:rPr>
        <w:t>mẹ</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công</w:t>
      </w:r>
      <w:proofErr w:type="spellEnd"/>
      <w:r w:rsidRPr="002136F3">
        <w:rPr>
          <w:rFonts w:ascii="Times New Roman" w:hAnsi="Times New Roman"/>
          <w:bCs/>
          <w:sz w:val="24"/>
          <w:szCs w:val="24"/>
        </w:rPr>
        <w:t xml:space="preserve"> ty con; </w:t>
      </w:r>
      <w:proofErr w:type="spellStart"/>
      <w:r w:rsidRPr="002136F3">
        <w:rPr>
          <w:rFonts w:ascii="Times New Roman" w:hAnsi="Times New Roman"/>
          <w:bCs/>
          <w:sz w:val="24"/>
          <w:szCs w:val="24"/>
        </w:rPr>
        <w:t>các</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công</w:t>
      </w:r>
      <w:proofErr w:type="spellEnd"/>
      <w:r w:rsidRPr="002136F3">
        <w:rPr>
          <w:rFonts w:ascii="Times New Roman" w:hAnsi="Times New Roman"/>
          <w:bCs/>
          <w:sz w:val="24"/>
          <w:szCs w:val="24"/>
        </w:rPr>
        <w:t xml:space="preserve"> ty </w:t>
      </w:r>
      <w:proofErr w:type="spellStart"/>
      <w:r w:rsidRPr="002136F3">
        <w:rPr>
          <w:rFonts w:ascii="Times New Roman" w:hAnsi="Times New Roman"/>
          <w:bCs/>
          <w:sz w:val="24"/>
          <w:szCs w:val="24"/>
        </w:rPr>
        <w:t>sở</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hữu</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trên</w:t>
      </w:r>
      <w:proofErr w:type="spellEnd"/>
      <w:r w:rsidRPr="002136F3">
        <w:rPr>
          <w:rFonts w:ascii="Times New Roman" w:hAnsi="Times New Roman"/>
          <w:bCs/>
          <w:sz w:val="24"/>
          <w:szCs w:val="24"/>
        </w:rPr>
        <w:t xml:space="preserve"> 35% </w:t>
      </w:r>
      <w:proofErr w:type="spellStart"/>
      <w:r w:rsidRPr="002136F3">
        <w:rPr>
          <w:rFonts w:ascii="Times New Roman" w:hAnsi="Times New Roman"/>
          <w:bCs/>
          <w:sz w:val="24"/>
          <w:szCs w:val="24"/>
        </w:rPr>
        <w:t>cổ</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phần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phần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vốn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góp</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của</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nhau</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nhóm</w:t>
      </w:r>
      <w:proofErr w:type="spellEnd"/>
      <w:r w:rsidRPr="002136F3">
        <w:rPr>
          <w:rFonts w:ascii="Times New Roman" w:hAnsi="Times New Roman"/>
          <w:bCs/>
          <w:sz w:val="24"/>
          <w:szCs w:val="24"/>
        </w:rPr>
        <w:t xml:space="preserve"> </w:t>
      </w:r>
      <w:proofErr w:type="spellStart"/>
      <w:r w:rsidR="008A3596" w:rsidRPr="002136F3">
        <w:rPr>
          <w:rFonts w:ascii="Times New Roman" w:hAnsi="Times New Roman"/>
          <w:bCs/>
          <w:sz w:val="24"/>
          <w:szCs w:val="24"/>
        </w:rPr>
        <w:t>c</w:t>
      </w:r>
      <w:r w:rsidRPr="002136F3">
        <w:rPr>
          <w:rFonts w:ascii="Times New Roman" w:hAnsi="Times New Roman"/>
          <w:bCs/>
          <w:sz w:val="24"/>
          <w:szCs w:val="24"/>
        </w:rPr>
        <w:t>ông</w:t>
      </w:r>
      <w:proofErr w:type="spellEnd"/>
      <w:r w:rsidRPr="002136F3">
        <w:rPr>
          <w:rFonts w:ascii="Times New Roman" w:hAnsi="Times New Roman"/>
          <w:bCs/>
          <w:sz w:val="24"/>
          <w:szCs w:val="24"/>
        </w:rPr>
        <w:t xml:space="preserve"> ty con </w:t>
      </w:r>
      <w:proofErr w:type="spellStart"/>
      <w:r w:rsidRPr="002136F3">
        <w:rPr>
          <w:rFonts w:ascii="Times New Roman" w:hAnsi="Times New Roman"/>
          <w:bCs/>
          <w:sz w:val="24"/>
          <w:szCs w:val="24"/>
        </w:rPr>
        <w:t>có</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cùng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một</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công</w:t>
      </w:r>
      <w:proofErr w:type="spellEnd"/>
      <w:r w:rsidRPr="002136F3">
        <w:rPr>
          <w:rFonts w:ascii="Times New Roman" w:hAnsi="Times New Roman"/>
          <w:bCs/>
          <w:sz w:val="24"/>
          <w:szCs w:val="24"/>
        </w:rPr>
        <w:t xml:space="preserve"> ty </w:t>
      </w:r>
      <w:proofErr w:type="spellStart"/>
      <w:r w:rsidRPr="002136F3">
        <w:rPr>
          <w:rFonts w:ascii="Times New Roman" w:hAnsi="Times New Roman"/>
          <w:bCs/>
          <w:sz w:val="24"/>
          <w:szCs w:val="24"/>
        </w:rPr>
        <w:t>mẹ</w:t>
      </w:r>
      <w:proofErr w:type="spellEnd"/>
      <w:r w:rsidR="00897749" w:rsidRPr="002136F3">
        <w:rPr>
          <w:rFonts w:ascii="Times New Roman" w:hAnsi="Times New Roman"/>
          <w:bCs/>
          <w:sz w:val="24"/>
          <w:szCs w:val="24"/>
        </w:rPr>
        <w:t>;</w:t>
      </w:r>
    </w:p>
    <w:p w14:paraId="7040571D" w14:textId="795B27B3" w:rsidR="001470DA" w:rsidRPr="002136F3" w:rsidRDefault="001470DA" w:rsidP="001F2E8F">
      <w:pPr>
        <w:pStyle w:val="ListParagraph"/>
        <w:numPr>
          <w:ilvl w:val="0"/>
          <w:numId w:val="11"/>
        </w:numPr>
        <w:tabs>
          <w:tab w:val="left" w:pos="720"/>
        </w:tabs>
        <w:spacing w:before="120" w:after="120" w:line="312" w:lineRule="auto"/>
        <w:ind w:left="450" w:right="260" w:firstLine="0"/>
        <w:contextualSpacing w:val="0"/>
        <w:jc w:val="both"/>
        <w:rPr>
          <w:rFonts w:ascii="Times New Roman" w:hAnsi="Times New Roman"/>
          <w:bCs/>
          <w:i/>
          <w:iCs/>
          <w:sz w:val="24"/>
          <w:szCs w:val="24"/>
        </w:rPr>
      </w:pPr>
      <w:r w:rsidRPr="002136F3">
        <w:rPr>
          <w:rFonts w:ascii="Times New Roman" w:hAnsi="Times New Roman"/>
          <w:bCs/>
          <w:i/>
          <w:iCs/>
          <w:sz w:val="24"/>
          <w:szCs w:val="24"/>
        </w:rPr>
        <w:t>Shall</w:t>
      </w:r>
      <w:r w:rsidRPr="002136F3">
        <w:rPr>
          <w:rFonts w:ascii="Times New Roman" w:hAnsi="Times New Roman"/>
          <w:bCs/>
          <w:i/>
          <w:iCs/>
          <w:sz w:val="24"/>
          <w:szCs w:val="24"/>
          <w:lang w:val="vi-VN"/>
        </w:rPr>
        <w:t xml:space="preserve"> not invest more than 30 percent </w:t>
      </w:r>
      <w:r w:rsidR="008A3596" w:rsidRPr="002136F3">
        <w:rPr>
          <w:rFonts w:ascii="Times New Roman" w:hAnsi="Times New Roman"/>
          <w:bCs/>
          <w:i/>
          <w:iCs/>
          <w:sz w:val="24"/>
          <w:szCs w:val="24"/>
          <w:lang w:val="vi-VN"/>
        </w:rPr>
        <w:t>of its</w:t>
      </w:r>
      <w:r w:rsidRPr="002136F3">
        <w:rPr>
          <w:rFonts w:ascii="Times New Roman" w:hAnsi="Times New Roman"/>
          <w:bCs/>
          <w:i/>
          <w:iCs/>
          <w:sz w:val="24"/>
          <w:szCs w:val="24"/>
          <w:lang w:val="vi-VN"/>
        </w:rPr>
        <w:t xml:space="preserve"> total asset in </w:t>
      </w:r>
      <w:r w:rsidR="008A3596" w:rsidRPr="002136F3">
        <w:rPr>
          <w:rFonts w:ascii="Times New Roman" w:hAnsi="Times New Roman"/>
          <w:bCs/>
          <w:i/>
          <w:iCs/>
          <w:sz w:val="24"/>
          <w:szCs w:val="24"/>
          <w:lang w:val="vi-VN"/>
        </w:rPr>
        <w:t xml:space="preserve">the assets (stated </w:t>
      </w:r>
      <w:r w:rsidR="00F80365" w:rsidRPr="002136F3">
        <w:rPr>
          <w:rFonts w:ascii="Times New Roman" w:hAnsi="Times New Roman"/>
          <w:bCs/>
          <w:i/>
          <w:iCs/>
          <w:sz w:val="24"/>
          <w:szCs w:val="24"/>
          <w:lang w:val="vi-VN"/>
        </w:rPr>
        <w:t xml:space="preserve">in Point a, b, d </w:t>
      </w:r>
      <w:r w:rsidR="001C4A99">
        <w:rPr>
          <w:rFonts w:ascii="Times New Roman" w:hAnsi="Times New Roman"/>
          <w:bCs/>
          <w:i/>
          <w:iCs/>
          <w:sz w:val="24"/>
          <w:szCs w:val="24"/>
          <w:lang w:val="vi-VN"/>
        </w:rPr>
        <w:t>and</w:t>
      </w:r>
      <w:r w:rsidR="00F80365" w:rsidRPr="002136F3">
        <w:rPr>
          <w:rFonts w:ascii="Times New Roman" w:hAnsi="Times New Roman"/>
          <w:bCs/>
          <w:i/>
          <w:iCs/>
          <w:sz w:val="24"/>
          <w:szCs w:val="24"/>
          <w:lang w:val="vi-VN"/>
        </w:rPr>
        <w:t xml:space="preserve"> e Clause 3, Article 9 of Fund’s </w:t>
      </w:r>
      <w:r w:rsidR="008A3596" w:rsidRPr="002136F3">
        <w:rPr>
          <w:rFonts w:ascii="Times New Roman" w:hAnsi="Times New Roman"/>
          <w:bCs/>
          <w:i/>
          <w:iCs/>
          <w:sz w:val="24"/>
          <w:szCs w:val="24"/>
          <w:lang w:val="vi-VN"/>
        </w:rPr>
        <w:t xml:space="preserve">Charter) issued by companies in the grup of related parties in the following cases: parent company, subsidiaries; companies holding more than 35% of each other’s shares/capital; subsidiaries of the same partent company, except for component securities in the basket of the reference </w:t>
      </w:r>
      <w:proofErr w:type="gramStart"/>
      <w:r w:rsidR="008A3596" w:rsidRPr="002136F3">
        <w:rPr>
          <w:rFonts w:ascii="Times New Roman" w:hAnsi="Times New Roman"/>
          <w:bCs/>
          <w:i/>
          <w:iCs/>
          <w:sz w:val="24"/>
          <w:szCs w:val="24"/>
          <w:lang w:val="vi-VN"/>
        </w:rPr>
        <w:t>index;</w:t>
      </w:r>
      <w:proofErr w:type="gramEnd"/>
    </w:p>
    <w:p w14:paraId="3180BAA6" w14:textId="034346A1" w:rsidR="00897749" w:rsidRPr="002136F3" w:rsidRDefault="00506DCA" w:rsidP="001F2E8F">
      <w:pPr>
        <w:pStyle w:val="ListParagraph"/>
        <w:numPr>
          <w:ilvl w:val="0"/>
          <w:numId w:val="11"/>
        </w:numPr>
        <w:tabs>
          <w:tab w:val="left" w:pos="720"/>
        </w:tabs>
        <w:spacing w:before="120" w:after="120" w:line="312" w:lineRule="auto"/>
        <w:ind w:left="450" w:right="260" w:firstLine="0"/>
        <w:contextualSpacing w:val="0"/>
        <w:jc w:val="both"/>
        <w:rPr>
          <w:rFonts w:ascii="Times New Roman" w:hAnsi="Times New Roman"/>
          <w:bCs/>
          <w:i/>
          <w:iCs/>
          <w:sz w:val="24"/>
          <w:szCs w:val="24"/>
        </w:rPr>
      </w:pPr>
      <w:proofErr w:type="spellStart"/>
      <w:r w:rsidRPr="002136F3">
        <w:rPr>
          <w:rFonts w:ascii="Times New Roman" w:hAnsi="Times New Roman"/>
          <w:bCs/>
          <w:sz w:val="24"/>
          <w:szCs w:val="24"/>
        </w:rPr>
        <w:t>Không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đầu</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tư</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vào</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chứng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chỉ</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của</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chính</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quỹ</w:t>
      </w:r>
      <w:proofErr w:type="spellEnd"/>
      <w:r w:rsidRPr="002136F3">
        <w:rPr>
          <w:rFonts w:ascii="Times New Roman" w:hAnsi="Times New Roman"/>
          <w:bCs/>
          <w:sz w:val="24"/>
          <w:szCs w:val="24"/>
        </w:rPr>
        <w:t xml:space="preserve"> </w:t>
      </w:r>
      <w:proofErr w:type="spellStart"/>
      <w:proofErr w:type="gramStart"/>
      <w:r w:rsidRPr="002136F3">
        <w:rPr>
          <w:rFonts w:ascii="Times New Roman" w:hAnsi="Times New Roman"/>
          <w:bCs/>
          <w:sz w:val="24"/>
          <w:szCs w:val="24"/>
        </w:rPr>
        <w:t>đó</w:t>
      </w:r>
      <w:proofErr w:type="spellEnd"/>
      <w:r w:rsidR="00897749" w:rsidRPr="002136F3">
        <w:rPr>
          <w:rFonts w:ascii="Times New Roman" w:hAnsi="Times New Roman"/>
          <w:bCs/>
          <w:sz w:val="24"/>
          <w:szCs w:val="24"/>
        </w:rPr>
        <w:t>;</w:t>
      </w:r>
      <w:proofErr w:type="gramEnd"/>
    </w:p>
    <w:p w14:paraId="2837166F" w14:textId="0A020422" w:rsidR="00D54A5B" w:rsidRPr="002136F3" w:rsidRDefault="008A3596" w:rsidP="001F2E8F">
      <w:pPr>
        <w:pStyle w:val="ListParagraph"/>
        <w:numPr>
          <w:ilvl w:val="0"/>
          <w:numId w:val="12"/>
        </w:numPr>
        <w:tabs>
          <w:tab w:val="left" w:pos="720"/>
        </w:tabs>
        <w:spacing w:before="120" w:after="120" w:line="312" w:lineRule="auto"/>
        <w:ind w:left="450" w:right="260" w:firstLine="0"/>
        <w:contextualSpacing w:val="0"/>
        <w:jc w:val="both"/>
        <w:rPr>
          <w:rFonts w:ascii="Times New Roman" w:hAnsi="Times New Roman"/>
          <w:bCs/>
          <w:i/>
          <w:iCs/>
          <w:sz w:val="24"/>
          <w:szCs w:val="24"/>
        </w:rPr>
      </w:pPr>
      <w:r w:rsidRPr="002136F3">
        <w:rPr>
          <w:rFonts w:ascii="Times New Roman" w:hAnsi="Times New Roman"/>
          <w:bCs/>
          <w:i/>
          <w:iCs/>
          <w:sz w:val="24"/>
          <w:szCs w:val="24"/>
        </w:rPr>
        <w:t>Shall</w:t>
      </w:r>
      <w:r w:rsidRPr="002136F3">
        <w:rPr>
          <w:rFonts w:ascii="Times New Roman" w:hAnsi="Times New Roman"/>
          <w:bCs/>
          <w:i/>
          <w:iCs/>
          <w:sz w:val="24"/>
          <w:szCs w:val="24"/>
          <w:lang w:val="vi-VN"/>
        </w:rPr>
        <w:t xml:space="preserve"> not invest in its owned fund </w:t>
      </w:r>
      <w:proofErr w:type="gramStart"/>
      <w:r w:rsidR="00D54A5B" w:rsidRPr="002136F3">
        <w:rPr>
          <w:rFonts w:ascii="Times New Roman" w:hAnsi="Times New Roman"/>
          <w:bCs/>
          <w:i/>
          <w:iCs/>
          <w:sz w:val="24"/>
          <w:szCs w:val="24"/>
          <w:lang w:val="vi-VN"/>
        </w:rPr>
        <w:t>unit</w:t>
      </w:r>
      <w:r w:rsidRPr="002136F3">
        <w:rPr>
          <w:rFonts w:ascii="Times New Roman" w:hAnsi="Times New Roman"/>
          <w:bCs/>
          <w:i/>
          <w:iCs/>
          <w:sz w:val="24"/>
          <w:szCs w:val="24"/>
          <w:lang w:val="vi-VN"/>
        </w:rPr>
        <w:t>;</w:t>
      </w:r>
      <w:proofErr w:type="gramEnd"/>
    </w:p>
    <w:p w14:paraId="5E7E459E" w14:textId="77777777" w:rsidR="00D54A5B" w:rsidRPr="002136F3" w:rsidRDefault="00D54A5B" w:rsidP="001F2E8F">
      <w:pPr>
        <w:pStyle w:val="ListParagraph"/>
        <w:numPr>
          <w:ilvl w:val="0"/>
          <w:numId w:val="12"/>
        </w:numPr>
        <w:spacing w:before="120" w:after="120" w:line="312" w:lineRule="auto"/>
        <w:ind w:left="450" w:right="260" w:firstLine="0"/>
        <w:jc w:val="both"/>
        <w:rPr>
          <w:rFonts w:ascii="Times New Roman" w:hAnsi="Times New Roman"/>
          <w:bCs/>
          <w:sz w:val="24"/>
          <w:szCs w:val="24"/>
        </w:rPr>
      </w:pPr>
      <w:proofErr w:type="spellStart"/>
      <w:r w:rsidRPr="002136F3">
        <w:rPr>
          <w:rFonts w:ascii="Times New Roman" w:hAnsi="Times New Roman"/>
          <w:bCs/>
          <w:sz w:val="24"/>
          <w:szCs w:val="24"/>
        </w:rPr>
        <w:t>Chỉ</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được</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đầu</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tư</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vào</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chứng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chỉ</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quỹ</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đại</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chúng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cổ</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phiếu</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công</w:t>
      </w:r>
      <w:proofErr w:type="spellEnd"/>
      <w:r w:rsidRPr="002136F3">
        <w:rPr>
          <w:rFonts w:ascii="Times New Roman" w:hAnsi="Times New Roman"/>
          <w:bCs/>
          <w:sz w:val="24"/>
          <w:szCs w:val="24"/>
        </w:rPr>
        <w:t xml:space="preserve"> ty </w:t>
      </w:r>
      <w:proofErr w:type="spellStart"/>
      <w:r w:rsidRPr="002136F3">
        <w:rPr>
          <w:rFonts w:ascii="Times New Roman" w:hAnsi="Times New Roman"/>
          <w:bCs/>
          <w:sz w:val="24"/>
          <w:szCs w:val="24"/>
        </w:rPr>
        <w:t>đầu</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tư</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chứng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khoán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khác</w:t>
      </w:r>
      <w:proofErr w:type="spellEnd"/>
      <w:r w:rsidRPr="002136F3">
        <w:rPr>
          <w:rFonts w:ascii="Times New Roman" w:hAnsi="Times New Roman"/>
          <w:bCs/>
          <w:sz w:val="24"/>
          <w:szCs w:val="24"/>
        </w:rPr>
        <w:t xml:space="preserve"> do </w:t>
      </w:r>
      <w:proofErr w:type="spellStart"/>
      <w:r w:rsidRPr="002136F3">
        <w:rPr>
          <w:rFonts w:ascii="Times New Roman" w:hAnsi="Times New Roman"/>
          <w:bCs/>
          <w:sz w:val="24"/>
          <w:szCs w:val="24"/>
        </w:rPr>
        <w:t>công</w:t>
      </w:r>
      <w:proofErr w:type="spellEnd"/>
      <w:r w:rsidRPr="002136F3">
        <w:rPr>
          <w:rFonts w:ascii="Times New Roman" w:hAnsi="Times New Roman"/>
          <w:bCs/>
          <w:sz w:val="24"/>
          <w:szCs w:val="24"/>
        </w:rPr>
        <w:t xml:space="preserve"> ty </w:t>
      </w:r>
      <w:proofErr w:type="spellStart"/>
      <w:r w:rsidRPr="002136F3">
        <w:rPr>
          <w:rFonts w:ascii="Times New Roman" w:hAnsi="Times New Roman"/>
          <w:bCs/>
          <w:sz w:val="24"/>
          <w:szCs w:val="24"/>
        </w:rPr>
        <w:t>quản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lý</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quỹ</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khác</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quản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lý</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và</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bảo</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đảm</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các</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hạn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chế</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sau</w:t>
      </w:r>
      <w:proofErr w:type="spellEnd"/>
      <w:r w:rsidRPr="002136F3">
        <w:rPr>
          <w:rFonts w:ascii="Times New Roman" w:hAnsi="Times New Roman"/>
          <w:bCs/>
          <w:sz w:val="24"/>
          <w:szCs w:val="24"/>
        </w:rPr>
        <w:t>:</w:t>
      </w:r>
    </w:p>
    <w:p w14:paraId="3AE745BB" w14:textId="761DE56C" w:rsidR="00506DCA" w:rsidRPr="002136F3" w:rsidRDefault="00506DCA" w:rsidP="001F2E8F">
      <w:pPr>
        <w:pStyle w:val="ListParagraph"/>
        <w:numPr>
          <w:ilvl w:val="0"/>
          <w:numId w:val="13"/>
        </w:numPr>
        <w:spacing w:before="120" w:after="120" w:line="312" w:lineRule="auto"/>
        <w:ind w:left="450" w:right="260" w:firstLine="360"/>
        <w:jc w:val="both"/>
        <w:rPr>
          <w:rFonts w:ascii="Times New Roman" w:hAnsi="Times New Roman"/>
          <w:bCs/>
          <w:sz w:val="24"/>
          <w:szCs w:val="24"/>
        </w:rPr>
      </w:pPr>
      <w:proofErr w:type="spellStart"/>
      <w:r w:rsidRPr="002136F3">
        <w:rPr>
          <w:rFonts w:ascii="Times New Roman" w:hAnsi="Times New Roman"/>
          <w:bCs/>
          <w:sz w:val="24"/>
          <w:szCs w:val="24"/>
        </w:rPr>
        <w:lastRenderedPageBreak/>
        <w:t>Không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đầu</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tư</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vào</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quá</w:t>
      </w:r>
      <w:proofErr w:type="spellEnd"/>
      <w:r w:rsidRPr="002136F3">
        <w:rPr>
          <w:rFonts w:ascii="Times New Roman" w:hAnsi="Times New Roman"/>
          <w:bCs/>
          <w:sz w:val="24"/>
          <w:szCs w:val="24"/>
        </w:rPr>
        <w:t xml:space="preserve"> 10% </w:t>
      </w:r>
      <w:proofErr w:type="spellStart"/>
      <w:r w:rsidRPr="002136F3">
        <w:rPr>
          <w:rFonts w:ascii="Times New Roman" w:hAnsi="Times New Roman"/>
          <w:bCs/>
          <w:sz w:val="24"/>
          <w:szCs w:val="24"/>
        </w:rPr>
        <w:t>tổng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số</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chứng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chỉ</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quỹ</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đang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lưu</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hành</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của</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một</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quỹ</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đại</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chúng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cổ</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phiếu</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đang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lưu</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hành</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của</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một</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công</w:t>
      </w:r>
      <w:proofErr w:type="spellEnd"/>
      <w:r w:rsidRPr="002136F3">
        <w:rPr>
          <w:rFonts w:ascii="Times New Roman" w:hAnsi="Times New Roman"/>
          <w:bCs/>
          <w:sz w:val="24"/>
          <w:szCs w:val="24"/>
        </w:rPr>
        <w:t xml:space="preserve"> ty </w:t>
      </w:r>
      <w:proofErr w:type="spellStart"/>
      <w:r w:rsidRPr="002136F3">
        <w:rPr>
          <w:rFonts w:ascii="Times New Roman" w:hAnsi="Times New Roman"/>
          <w:bCs/>
          <w:sz w:val="24"/>
          <w:szCs w:val="24"/>
        </w:rPr>
        <w:t>đầu</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tư</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chứng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khoán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đại</w:t>
      </w:r>
      <w:proofErr w:type="spellEnd"/>
      <w:r w:rsidRPr="002136F3">
        <w:rPr>
          <w:rFonts w:ascii="Times New Roman" w:hAnsi="Times New Roman"/>
          <w:bCs/>
          <w:sz w:val="24"/>
          <w:szCs w:val="24"/>
        </w:rPr>
        <w:t xml:space="preserve"> </w:t>
      </w:r>
      <w:proofErr w:type="spellStart"/>
      <w:proofErr w:type="gramStart"/>
      <w:r w:rsidRPr="002136F3">
        <w:rPr>
          <w:rFonts w:ascii="Times New Roman" w:hAnsi="Times New Roman"/>
          <w:bCs/>
          <w:sz w:val="24"/>
          <w:szCs w:val="24"/>
        </w:rPr>
        <w:t>chúng</w:t>
      </w:r>
      <w:proofErr w:type="spellEnd"/>
      <w:r w:rsidRPr="002136F3">
        <w:rPr>
          <w:rFonts w:ascii="Times New Roman" w:hAnsi="Times New Roman"/>
          <w:bCs/>
          <w:sz w:val="24"/>
          <w:szCs w:val="24"/>
        </w:rPr>
        <w:t>;</w:t>
      </w:r>
      <w:proofErr w:type="gramEnd"/>
    </w:p>
    <w:p w14:paraId="556AF2A5" w14:textId="11BDAC96" w:rsidR="00506DCA" w:rsidRPr="002136F3" w:rsidRDefault="00506DCA" w:rsidP="001F2E8F">
      <w:pPr>
        <w:pStyle w:val="ListParagraph"/>
        <w:numPr>
          <w:ilvl w:val="0"/>
          <w:numId w:val="13"/>
        </w:numPr>
        <w:spacing w:before="120" w:after="120" w:line="312" w:lineRule="auto"/>
        <w:ind w:left="450" w:right="260" w:firstLine="360"/>
        <w:jc w:val="both"/>
        <w:rPr>
          <w:rFonts w:ascii="Times New Roman" w:hAnsi="Times New Roman"/>
          <w:bCs/>
          <w:sz w:val="24"/>
          <w:szCs w:val="24"/>
        </w:rPr>
      </w:pPr>
      <w:proofErr w:type="spellStart"/>
      <w:r w:rsidRPr="002136F3">
        <w:rPr>
          <w:rFonts w:ascii="Times New Roman" w:hAnsi="Times New Roman"/>
          <w:bCs/>
          <w:sz w:val="24"/>
          <w:szCs w:val="24"/>
        </w:rPr>
        <w:t>Không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đầu</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tư</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quá</w:t>
      </w:r>
      <w:proofErr w:type="spellEnd"/>
      <w:r w:rsidRPr="002136F3">
        <w:rPr>
          <w:rFonts w:ascii="Times New Roman" w:hAnsi="Times New Roman"/>
          <w:bCs/>
          <w:sz w:val="24"/>
          <w:szCs w:val="24"/>
        </w:rPr>
        <w:t xml:space="preserve"> 20% </w:t>
      </w:r>
      <w:proofErr w:type="spellStart"/>
      <w:r w:rsidRPr="002136F3">
        <w:rPr>
          <w:rFonts w:ascii="Times New Roman" w:hAnsi="Times New Roman"/>
          <w:bCs/>
          <w:sz w:val="24"/>
          <w:szCs w:val="24"/>
        </w:rPr>
        <w:t>tổng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giá</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trị</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tài</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sản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của</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quỹ</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vào</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chứng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chỉ</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quỹ</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của</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một</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quỹ</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đại</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chúng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một</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công</w:t>
      </w:r>
      <w:proofErr w:type="spellEnd"/>
      <w:r w:rsidRPr="002136F3">
        <w:rPr>
          <w:rFonts w:ascii="Times New Roman" w:hAnsi="Times New Roman"/>
          <w:bCs/>
          <w:sz w:val="24"/>
          <w:szCs w:val="24"/>
        </w:rPr>
        <w:t xml:space="preserve"> ty </w:t>
      </w:r>
      <w:proofErr w:type="spellStart"/>
      <w:r w:rsidRPr="002136F3">
        <w:rPr>
          <w:rFonts w:ascii="Times New Roman" w:hAnsi="Times New Roman"/>
          <w:bCs/>
          <w:sz w:val="24"/>
          <w:szCs w:val="24"/>
        </w:rPr>
        <w:t>đầu</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tư</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chứng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khoán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đại</w:t>
      </w:r>
      <w:proofErr w:type="spellEnd"/>
      <w:r w:rsidRPr="002136F3">
        <w:rPr>
          <w:rFonts w:ascii="Times New Roman" w:hAnsi="Times New Roman"/>
          <w:bCs/>
          <w:sz w:val="24"/>
          <w:szCs w:val="24"/>
        </w:rPr>
        <w:t xml:space="preserve"> </w:t>
      </w:r>
      <w:proofErr w:type="spellStart"/>
      <w:proofErr w:type="gramStart"/>
      <w:r w:rsidRPr="002136F3">
        <w:rPr>
          <w:rFonts w:ascii="Times New Roman" w:hAnsi="Times New Roman"/>
          <w:bCs/>
          <w:sz w:val="24"/>
          <w:szCs w:val="24"/>
        </w:rPr>
        <w:t>chúng</w:t>
      </w:r>
      <w:proofErr w:type="spellEnd"/>
      <w:r w:rsidRPr="002136F3">
        <w:rPr>
          <w:rFonts w:ascii="Times New Roman" w:hAnsi="Times New Roman"/>
          <w:bCs/>
          <w:sz w:val="24"/>
          <w:szCs w:val="24"/>
        </w:rPr>
        <w:t>;</w:t>
      </w:r>
      <w:proofErr w:type="gramEnd"/>
    </w:p>
    <w:p w14:paraId="02EB8A5F" w14:textId="3492A89F" w:rsidR="00506DCA" w:rsidRPr="002136F3" w:rsidRDefault="00506DCA" w:rsidP="001F2E8F">
      <w:pPr>
        <w:pStyle w:val="ListParagraph"/>
        <w:numPr>
          <w:ilvl w:val="0"/>
          <w:numId w:val="13"/>
        </w:numPr>
        <w:spacing w:before="120" w:after="120" w:line="312" w:lineRule="auto"/>
        <w:ind w:left="450" w:right="260" w:firstLine="360"/>
        <w:contextualSpacing w:val="0"/>
        <w:jc w:val="both"/>
        <w:rPr>
          <w:rFonts w:ascii="Times New Roman" w:hAnsi="Times New Roman"/>
          <w:bCs/>
          <w:sz w:val="24"/>
          <w:szCs w:val="24"/>
        </w:rPr>
      </w:pPr>
      <w:proofErr w:type="spellStart"/>
      <w:r w:rsidRPr="002136F3">
        <w:rPr>
          <w:rFonts w:ascii="Times New Roman" w:hAnsi="Times New Roman"/>
          <w:bCs/>
          <w:sz w:val="24"/>
          <w:szCs w:val="24"/>
        </w:rPr>
        <w:t>Không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đầu</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tư</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quá</w:t>
      </w:r>
      <w:proofErr w:type="spellEnd"/>
      <w:r w:rsidRPr="002136F3">
        <w:rPr>
          <w:rFonts w:ascii="Times New Roman" w:hAnsi="Times New Roman"/>
          <w:bCs/>
          <w:sz w:val="24"/>
          <w:szCs w:val="24"/>
        </w:rPr>
        <w:t xml:space="preserve"> 30% </w:t>
      </w:r>
      <w:proofErr w:type="spellStart"/>
      <w:r w:rsidRPr="002136F3">
        <w:rPr>
          <w:rFonts w:ascii="Times New Roman" w:hAnsi="Times New Roman"/>
          <w:bCs/>
          <w:sz w:val="24"/>
          <w:szCs w:val="24"/>
        </w:rPr>
        <w:t>tổng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giá</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trị</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tài</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sản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của</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quỹ</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vào</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các</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chứng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chỉ</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quỹ</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đại</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chúng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cổ</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phiếu</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công</w:t>
      </w:r>
      <w:proofErr w:type="spellEnd"/>
      <w:r w:rsidRPr="002136F3">
        <w:rPr>
          <w:rFonts w:ascii="Times New Roman" w:hAnsi="Times New Roman"/>
          <w:bCs/>
          <w:sz w:val="24"/>
          <w:szCs w:val="24"/>
        </w:rPr>
        <w:t xml:space="preserve"> ty </w:t>
      </w:r>
      <w:proofErr w:type="spellStart"/>
      <w:r w:rsidRPr="002136F3">
        <w:rPr>
          <w:rFonts w:ascii="Times New Roman" w:hAnsi="Times New Roman"/>
          <w:bCs/>
          <w:sz w:val="24"/>
          <w:szCs w:val="24"/>
        </w:rPr>
        <w:t>đầu</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tư</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chứng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khoán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đại</w:t>
      </w:r>
      <w:proofErr w:type="spellEnd"/>
      <w:r w:rsidRPr="002136F3">
        <w:rPr>
          <w:rFonts w:ascii="Times New Roman" w:hAnsi="Times New Roman"/>
          <w:bCs/>
          <w:sz w:val="24"/>
          <w:szCs w:val="24"/>
        </w:rPr>
        <w:t xml:space="preserve"> </w:t>
      </w:r>
      <w:proofErr w:type="spellStart"/>
      <w:proofErr w:type="gramStart"/>
      <w:r w:rsidRPr="002136F3">
        <w:rPr>
          <w:rFonts w:ascii="Times New Roman" w:hAnsi="Times New Roman"/>
          <w:bCs/>
          <w:sz w:val="24"/>
          <w:szCs w:val="24"/>
        </w:rPr>
        <w:t>chúng</w:t>
      </w:r>
      <w:proofErr w:type="spellEnd"/>
      <w:r w:rsidRPr="002136F3">
        <w:rPr>
          <w:rFonts w:ascii="Times New Roman" w:hAnsi="Times New Roman"/>
          <w:bCs/>
          <w:sz w:val="24"/>
          <w:szCs w:val="24"/>
        </w:rPr>
        <w:t>;</w:t>
      </w:r>
      <w:proofErr w:type="gramEnd"/>
    </w:p>
    <w:p w14:paraId="5BC18BFB" w14:textId="592EC6B1" w:rsidR="00D54A5B" w:rsidRPr="002136F3" w:rsidRDefault="00D54A5B" w:rsidP="006D5144">
      <w:pPr>
        <w:pStyle w:val="ListParagraph"/>
        <w:keepNext/>
        <w:keepLines/>
        <w:widowControl w:val="0"/>
        <w:numPr>
          <w:ilvl w:val="0"/>
          <w:numId w:val="15"/>
        </w:numPr>
        <w:overflowPunct w:val="0"/>
        <w:autoSpaceDE w:val="0"/>
        <w:autoSpaceDN w:val="0"/>
        <w:adjustRightInd w:val="0"/>
        <w:spacing w:before="120" w:after="120" w:line="360" w:lineRule="auto"/>
        <w:ind w:left="450" w:right="296" w:firstLine="0"/>
        <w:jc w:val="both"/>
        <w:textAlignment w:val="baseline"/>
        <w:rPr>
          <w:rFonts w:ascii="Times New Roman" w:hAnsi="Times New Roman"/>
          <w:bCs/>
          <w:i/>
          <w:iCs/>
          <w:sz w:val="24"/>
          <w:szCs w:val="24"/>
        </w:rPr>
      </w:pPr>
      <w:r w:rsidRPr="002136F3">
        <w:rPr>
          <w:rFonts w:ascii="Times New Roman" w:hAnsi="Times New Roman"/>
          <w:bCs/>
          <w:i/>
          <w:iCs/>
          <w:sz w:val="24"/>
          <w:szCs w:val="24"/>
        </w:rPr>
        <w:t>The Fund may invest in other public fund unit and public securities investment companies managed by other fund management companies, but shall not:</w:t>
      </w:r>
    </w:p>
    <w:p w14:paraId="2B240A41" w14:textId="77777777" w:rsidR="00D54A5B" w:rsidRPr="002136F3" w:rsidRDefault="00D54A5B" w:rsidP="006D5144">
      <w:pPr>
        <w:pStyle w:val="ListParagraph"/>
        <w:keepNext/>
        <w:widowControl w:val="0"/>
        <w:numPr>
          <w:ilvl w:val="0"/>
          <w:numId w:val="14"/>
        </w:numPr>
        <w:spacing w:before="120" w:after="120" w:line="360" w:lineRule="auto"/>
        <w:ind w:left="450" w:right="296" w:firstLine="360"/>
        <w:jc w:val="both"/>
        <w:rPr>
          <w:rFonts w:ascii="Times New Roman" w:eastAsia="PMingLiU" w:hAnsi="Times New Roman"/>
          <w:i/>
          <w:iCs/>
          <w:color w:val="000000"/>
          <w:sz w:val="24"/>
          <w:szCs w:val="24"/>
        </w:rPr>
      </w:pPr>
      <w:r w:rsidRPr="002136F3">
        <w:rPr>
          <w:rFonts w:ascii="Times New Roman" w:eastAsia="PMingLiU" w:hAnsi="Times New Roman"/>
          <w:i/>
          <w:iCs/>
          <w:color w:val="000000"/>
          <w:sz w:val="24"/>
          <w:szCs w:val="24"/>
        </w:rPr>
        <w:t xml:space="preserve">Invest in more than 10% of total outstanding fund unit of a public fund or total outstanding securities of a public securities investment </w:t>
      </w:r>
      <w:proofErr w:type="gramStart"/>
      <w:r w:rsidRPr="002136F3">
        <w:rPr>
          <w:rFonts w:ascii="Times New Roman" w:eastAsia="PMingLiU" w:hAnsi="Times New Roman"/>
          <w:i/>
          <w:iCs/>
          <w:color w:val="000000"/>
          <w:sz w:val="24"/>
          <w:szCs w:val="24"/>
        </w:rPr>
        <w:t>company;</w:t>
      </w:r>
      <w:proofErr w:type="gramEnd"/>
    </w:p>
    <w:p w14:paraId="20AA32F0" w14:textId="77777777" w:rsidR="00D54A5B" w:rsidRPr="002136F3" w:rsidRDefault="00D54A5B" w:rsidP="006D5144">
      <w:pPr>
        <w:pStyle w:val="ListParagraph"/>
        <w:keepNext/>
        <w:widowControl w:val="0"/>
        <w:numPr>
          <w:ilvl w:val="0"/>
          <w:numId w:val="14"/>
        </w:numPr>
        <w:spacing w:before="120" w:after="120" w:line="360" w:lineRule="auto"/>
        <w:ind w:left="450" w:right="296" w:firstLine="360"/>
        <w:jc w:val="both"/>
        <w:rPr>
          <w:rFonts w:ascii="Times New Roman" w:eastAsia="PMingLiU" w:hAnsi="Times New Roman"/>
          <w:i/>
          <w:iCs/>
          <w:color w:val="000000"/>
          <w:sz w:val="24"/>
          <w:szCs w:val="24"/>
        </w:rPr>
      </w:pPr>
      <w:r w:rsidRPr="002136F3">
        <w:rPr>
          <w:rFonts w:ascii="Times New Roman" w:eastAsia="PMingLiU" w:hAnsi="Times New Roman"/>
          <w:i/>
          <w:iCs/>
          <w:color w:val="000000"/>
          <w:sz w:val="24"/>
          <w:szCs w:val="24"/>
        </w:rPr>
        <w:t xml:space="preserve">Invest more than 20% of total value of its assets in fund unit of a public fund or outstanding shares of a public securities investment </w:t>
      </w:r>
      <w:proofErr w:type="gramStart"/>
      <w:r w:rsidRPr="002136F3">
        <w:rPr>
          <w:rFonts w:ascii="Times New Roman" w:eastAsia="PMingLiU" w:hAnsi="Times New Roman"/>
          <w:i/>
          <w:iCs/>
          <w:color w:val="000000"/>
          <w:sz w:val="24"/>
          <w:szCs w:val="24"/>
        </w:rPr>
        <w:t>company;</w:t>
      </w:r>
      <w:proofErr w:type="gramEnd"/>
    </w:p>
    <w:p w14:paraId="1AF1250F" w14:textId="4346FABA" w:rsidR="00D54A5B" w:rsidRPr="002136F3" w:rsidRDefault="00D54A5B" w:rsidP="006D5144">
      <w:pPr>
        <w:pStyle w:val="ListParagraph"/>
        <w:keepNext/>
        <w:widowControl w:val="0"/>
        <w:numPr>
          <w:ilvl w:val="0"/>
          <w:numId w:val="14"/>
        </w:numPr>
        <w:spacing w:before="120" w:after="120" w:line="360" w:lineRule="auto"/>
        <w:ind w:left="450" w:right="296" w:firstLine="360"/>
        <w:jc w:val="both"/>
        <w:rPr>
          <w:rFonts w:ascii="Times New Roman" w:eastAsia="PMingLiU" w:hAnsi="Times New Roman"/>
          <w:i/>
          <w:iCs/>
          <w:color w:val="000000"/>
          <w:sz w:val="24"/>
          <w:szCs w:val="24"/>
        </w:rPr>
      </w:pPr>
      <w:r w:rsidRPr="002136F3">
        <w:rPr>
          <w:rFonts w:ascii="Times New Roman" w:eastAsia="PMingLiU" w:hAnsi="Times New Roman"/>
          <w:i/>
          <w:iCs/>
          <w:color w:val="000000"/>
          <w:sz w:val="24"/>
          <w:szCs w:val="24"/>
        </w:rPr>
        <w:t>Invest more than 30% of total value of its assets in public fund unit or shares of public securities investment companies.</w:t>
      </w:r>
    </w:p>
    <w:p w14:paraId="21281D9B" w14:textId="254520B1" w:rsidR="00897749" w:rsidRPr="002136F3" w:rsidRDefault="00506DCA" w:rsidP="001F2E8F">
      <w:pPr>
        <w:pStyle w:val="ListParagraph"/>
        <w:numPr>
          <w:ilvl w:val="0"/>
          <w:numId w:val="15"/>
        </w:numPr>
        <w:spacing w:before="120" w:after="120" w:line="360" w:lineRule="auto"/>
        <w:ind w:left="450" w:right="260" w:firstLine="0"/>
        <w:contextualSpacing w:val="0"/>
        <w:jc w:val="both"/>
        <w:rPr>
          <w:rFonts w:ascii="Times New Roman" w:hAnsi="Times New Roman"/>
          <w:bCs/>
          <w:sz w:val="24"/>
          <w:szCs w:val="24"/>
        </w:rPr>
      </w:pPr>
      <w:proofErr w:type="spellStart"/>
      <w:r w:rsidRPr="002136F3">
        <w:rPr>
          <w:rFonts w:ascii="Times New Roman" w:hAnsi="Times New Roman"/>
          <w:bCs/>
          <w:sz w:val="24"/>
          <w:szCs w:val="24"/>
        </w:rPr>
        <w:t>Không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được</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đầu</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tư</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vào</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bất</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động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sản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cổ</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phiếu</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chưa</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niêm</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yết</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cổ</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phiếu</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chưa</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đăng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ký</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giao</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dịch</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của</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công</w:t>
      </w:r>
      <w:proofErr w:type="spellEnd"/>
      <w:r w:rsidRPr="002136F3">
        <w:rPr>
          <w:rFonts w:ascii="Times New Roman" w:hAnsi="Times New Roman"/>
          <w:bCs/>
          <w:sz w:val="24"/>
          <w:szCs w:val="24"/>
        </w:rPr>
        <w:t xml:space="preserve"> ty </w:t>
      </w:r>
      <w:proofErr w:type="spellStart"/>
      <w:r w:rsidRPr="002136F3">
        <w:rPr>
          <w:rFonts w:ascii="Times New Roman" w:hAnsi="Times New Roman"/>
          <w:bCs/>
          <w:sz w:val="24"/>
          <w:szCs w:val="24"/>
        </w:rPr>
        <w:t>đại</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chúng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phần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vốn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góp</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tại</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công</w:t>
      </w:r>
      <w:proofErr w:type="spellEnd"/>
      <w:r w:rsidRPr="002136F3">
        <w:rPr>
          <w:rFonts w:ascii="Times New Roman" w:hAnsi="Times New Roman"/>
          <w:bCs/>
          <w:sz w:val="24"/>
          <w:szCs w:val="24"/>
        </w:rPr>
        <w:t xml:space="preserve"> ty </w:t>
      </w:r>
      <w:proofErr w:type="spellStart"/>
      <w:r w:rsidRPr="002136F3">
        <w:rPr>
          <w:rFonts w:ascii="Times New Roman" w:hAnsi="Times New Roman"/>
          <w:bCs/>
          <w:sz w:val="24"/>
          <w:szCs w:val="24"/>
        </w:rPr>
        <w:t>trách</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nhiệm</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hữu</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hạn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trái</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phiếu</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phát</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hành</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riêng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lẻ</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trừ</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trường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hợp</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đó</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là</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các</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tài</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sản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quỹ</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được</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hưởng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lợi</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từ</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các</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quyền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của</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chủ</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sở</w:t>
      </w:r>
      <w:proofErr w:type="spellEnd"/>
      <w:r w:rsidRPr="002136F3">
        <w:rPr>
          <w:rFonts w:ascii="Times New Roman" w:hAnsi="Times New Roman"/>
          <w:bCs/>
          <w:sz w:val="24"/>
          <w:szCs w:val="24"/>
        </w:rPr>
        <w:t xml:space="preserve"> </w:t>
      </w:r>
      <w:proofErr w:type="spellStart"/>
      <w:proofErr w:type="gramStart"/>
      <w:r w:rsidRPr="002136F3">
        <w:rPr>
          <w:rFonts w:ascii="Times New Roman" w:hAnsi="Times New Roman"/>
          <w:bCs/>
          <w:sz w:val="24"/>
          <w:szCs w:val="24"/>
        </w:rPr>
        <w:t>hữu</w:t>
      </w:r>
      <w:proofErr w:type="spellEnd"/>
      <w:r w:rsidR="00897749" w:rsidRPr="002136F3">
        <w:rPr>
          <w:rFonts w:ascii="Times New Roman" w:hAnsi="Times New Roman"/>
          <w:bCs/>
          <w:sz w:val="24"/>
          <w:szCs w:val="24"/>
        </w:rPr>
        <w:t>;</w:t>
      </w:r>
      <w:proofErr w:type="gramEnd"/>
    </w:p>
    <w:p w14:paraId="3912F1A0" w14:textId="5AE66F2A" w:rsidR="005B3F27" w:rsidRPr="002136F3" w:rsidRDefault="005B3F27" w:rsidP="001F2E8F">
      <w:pPr>
        <w:pStyle w:val="ListParagraph"/>
        <w:numPr>
          <w:ilvl w:val="0"/>
          <w:numId w:val="16"/>
        </w:numPr>
        <w:spacing w:before="120" w:after="120" w:line="360" w:lineRule="auto"/>
        <w:ind w:left="450" w:right="260" w:firstLine="0"/>
        <w:contextualSpacing w:val="0"/>
        <w:jc w:val="both"/>
        <w:rPr>
          <w:rFonts w:ascii="Times New Roman" w:hAnsi="Times New Roman"/>
          <w:bCs/>
          <w:i/>
          <w:iCs/>
          <w:sz w:val="24"/>
          <w:szCs w:val="24"/>
        </w:rPr>
      </w:pPr>
      <w:r w:rsidRPr="002136F3">
        <w:rPr>
          <w:rFonts w:ascii="Times New Roman" w:hAnsi="Times New Roman"/>
          <w:bCs/>
          <w:i/>
          <w:iCs/>
          <w:sz w:val="24"/>
          <w:szCs w:val="24"/>
        </w:rPr>
        <w:t xml:space="preserve">Shall not invest in real estate, unlisted stocks, unregistered for trading stocks of a public company, capital of a limited liability company, or separately issued bonds; except when they are fund assets which are beneficial from the rights of </w:t>
      </w:r>
      <w:proofErr w:type="gramStart"/>
      <w:r w:rsidR="008E0B85">
        <w:rPr>
          <w:rFonts w:ascii="Times New Roman" w:hAnsi="Times New Roman"/>
          <w:bCs/>
          <w:i/>
          <w:iCs/>
          <w:sz w:val="24"/>
          <w:szCs w:val="24"/>
        </w:rPr>
        <w:t>owners</w:t>
      </w:r>
      <w:r w:rsidR="008E0B85">
        <w:rPr>
          <w:rFonts w:ascii="Times New Roman" w:hAnsi="Times New Roman"/>
          <w:bCs/>
          <w:i/>
          <w:iCs/>
          <w:sz w:val="24"/>
          <w:szCs w:val="24"/>
          <w:lang w:val="vi-VN"/>
        </w:rPr>
        <w:t>;</w:t>
      </w:r>
      <w:proofErr w:type="gramEnd"/>
    </w:p>
    <w:p w14:paraId="1B04748B" w14:textId="3A709D17" w:rsidR="00897749" w:rsidRPr="002136F3" w:rsidRDefault="00506DCA" w:rsidP="001F2E8F">
      <w:pPr>
        <w:pStyle w:val="ListParagraph"/>
        <w:numPr>
          <w:ilvl w:val="0"/>
          <w:numId w:val="16"/>
        </w:numPr>
        <w:spacing w:before="120" w:after="120" w:line="312" w:lineRule="auto"/>
        <w:ind w:left="450" w:right="260" w:firstLine="0"/>
        <w:contextualSpacing w:val="0"/>
        <w:jc w:val="both"/>
        <w:rPr>
          <w:rFonts w:ascii="Times New Roman" w:hAnsi="Times New Roman"/>
          <w:bCs/>
          <w:sz w:val="24"/>
          <w:szCs w:val="24"/>
        </w:rPr>
      </w:pPr>
      <w:proofErr w:type="spellStart"/>
      <w:r w:rsidRPr="002136F3">
        <w:rPr>
          <w:rFonts w:ascii="Times New Roman" w:hAnsi="Times New Roman"/>
          <w:bCs/>
          <w:sz w:val="24"/>
          <w:szCs w:val="24"/>
        </w:rPr>
        <w:t>Không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được</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đầu</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tư</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vào</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chứng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khoán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phát</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hành</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bởi</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Công</w:t>
      </w:r>
      <w:proofErr w:type="spellEnd"/>
      <w:r w:rsidRPr="002136F3">
        <w:rPr>
          <w:rFonts w:ascii="Times New Roman" w:hAnsi="Times New Roman"/>
          <w:bCs/>
          <w:sz w:val="24"/>
          <w:szCs w:val="24"/>
        </w:rPr>
        <w:t xml:space="preserve"> ty </w:t>
      </w:r>
      <w:proofErr w:type="spellStart"/>
      <w:r w:rsidRPr="002136F3">
        <w:rPr>
          <w:rFonts w:ascii="Times New Roman" w:hAnsi="Times New Roman"/>
          <w:bCs/>
          <w:sz w:val="24"/>
          <w:szCs w:val="24"/>
        </w:rPr>
        <w:t>quản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lý</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quỹ</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người</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có</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liên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quan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của</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Công</w:t>
      </w:r>
      <w:proofErr w:type="spellEnd"/>
      <w:r w:rsidRPr="002136F3">
        <w:rPr>
          <w:rFonts w:ascii="Times New Roman" w:hAnsi="Times New Roman"/>
          <w:bCs/>
          <w:sz w:val="24"/>
          <w:szCs w:val="24"/>
        </w:rPr>
        <w:t xml:space="preserve"> ty </w:t>
      </w:r>
      <w:proofErr w:type="spellStart"/>
      <w:r w:rsidRPr="002136F3">
        <w:rPr>
          <w:rFonts w:ascii="Times New Roman" w:hAnsi="Times New Roman"/>
          <w:bCs/>
          <w:sz w:val="24"/>
          <w:szCs w:val="24"/>
        </w:rPr>
        <w:t>quản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lý</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quỹ</w:t>
      </w:r>
      <w:proofErr w:type="spellEnd"/>
      <w:r w:rsidRPr="002136F3">
        <w:rPr>
          <w:rFonts w:ascii="Times New Roman" w:hAnsi="Times New Roman"/>
          <w:bCs/>
          <w:sz w:val="24"/>
          <w:szCs w:val="24"/>
        </w:rPr>
        <w:t xml:space="preserve">, Thành </w:t>
      </w:r>
      <w:proofErr w:type="spellStart"/>
      <w:r w:rsidRPr="002136F3">
        <w:rPr>
          <w:rFonts w:ascii="Times New Roman" w:hAnsi="Times New Roman"/>
          <w:bCs/>
          <w:sz w:val="24"/>
          <w:szCs w:val="24"/>
        </w:rPr>
        <w:t>viên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lập</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quỹ</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trừ</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trường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hợp</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đó</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là</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chứng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khoán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cơ</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cấu</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nằm</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trong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danh</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mục</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chỉ</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số</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tham</w:t>
      </w:r>
      <w:proofErr w:type="spellEnd"/>
      <w:r w:rsidRPr="002136F3">
        <w:rPr>
          <w:rFonts w:ascii="Times New Roman" w:hAnsi="Times New Roman"/>
          <w:bCs/>
          <w:sz w:val="24"/>
          <w:szCs w:val="24"/>
        </w:rPr>
        <w:t xml:space="preserve"> </w:t>
      </w:r>
      <w:proofErr w:type="spellStart"/>
      <w:proofErr w:type="gramStart"/>
      <w:r w:rsidRPr="002136F3">
        <w:rPr>
          <w:rFonts w:ascii="Times New Roman" w:hAnsi="Times New Roman"/>
          <w:bCs/>
          <w:sz w:val="24"/>
          <w:szCs w:val="24"/>
        </w:rPr>
        <w:t>chiếu</w:t>
      </w:r>
      <w:proofErr w:type="spellEnd"/>
      <w:r w:rsidRPr="002136F3">
        <w:rPr>
          <w:rFonts w:ascii="Times New Roman" w:hAnsi="Times New Roman"/>
          <w:bCs/>
          <w:sz w:val="24"/>
          <w:szCs w:val="24"/>
        </w:rPr>
        <w:t>;</w:t>
      </w:r>
      <w:proofErr w:type="gramEnd"/>
    </w:p>
    <w:p w14:paraId="63BFEFEB" w14:textId="727F9F70" w:rsidR="005B3F27" w:rsidRPr="002136F3" w:rsidRDefault="005B3F27" w:rsidP="001F2E8F">
      <w:pPr>
        <w:pStyle w:val="ListParagraph"/>
        <w:numPr>
          <w:ilvl w:val="0"/>
          <w:numId w:val="18"/>
        </w:numPr>
        <w:spacing w:before="120" w:after="120" w:line="312" w:lineRule="auto"/>
        <w:ind w:left="450" w:right="260" w:firstLine="0"/>
        <w:contextualSpacing w:val="0"/>
        <w:jc w:val="both"/>
        <w:rPr>
          <w:rFonts w:ascii="Times New Roman" w:hAnsi="Times New Roman"/>
          <w:bCs/>
          <w:i/>
          <w:iCs/>
          <w:sz w:val="24"/>
          <w:szCs w:val="24"/>
        </w:rPr>
      </w:pPr>
      <w:r w:rsidRPr="002136F3">
        <w:rPr>
          <w:rFonts w:ascii="Times New Roman" w:hAnsi="Times New Roman"/>
          <w:bCs/>
          <w:i/>
          <w:iCs/>
          <w:sz w:val="24"/>
          <w:szCs w:val="24"/>
        </w:rPr>
        <w:t xml:space="preserve">The Fund does not invest in securities issued by the Fund Management Company, a related party of the Fund Management Company, founding members of the Fund except when they are component securities in the basket of the reference </w:t>
      </w:r>
      <w:proofErr w:type="gramStart"/>
      <w:r w:rsidRPr="002136F3">
        <w:rPr>
          <w:rFonts w:ascii="Times New Roman" w:hAnsi="Times New Roman"/>
          <w:bCs/>
          <w:i/>
          <w:iCs/>
          <w:sz w:val="24"/>
          <w:szCs w:val="24"/>
        </w:rPr>
        <w:t>index;</w:t>
      </w:r>
      <w:proofErr w:type="gramEnd"/>
      <w:r w:rsidRPr="002136F3">
        <w:rPr>
          <w:rFonts w:ascii="Times New Roman" w:hAnsi="Times New Roman"/>
          <w:bCs/>
          <w:i/>
          <w:iCs/>
          <w:sz w:val="24"/>
          <w:szCs w:val="24"/>
        </w:rPr>
        <w:t xml:space="preserve"> </w:t>
      </w:r>
    </w:p>
    <w:p w14:paraId="14F7A994" w14:textId="59529980" w:rsidR="00506DCA" w:rsidRPr="002136F3" w:rsidRDefault="00506DCA" w:rsidP="001F2E8F">
      <w:pPr>
        <w:pStyle w:val="ListParagraph"/>
        <w:numPr>
          <w:ilvl w:val="0"/>
          <w:numId w:val="17"/>
        </w:numPr>
        <w:spacing w:before="120" w:after="120" w:line="312" w:lineRule="auto"/>
        <w:ind w:left="450" w:right="260" w:firstLine="0"/>
        <w:jc w:val="both"/>
        <w:rPr>
          <w:rFonts w:ascii="Times New Roman" w:hAnsi="Times New Roman"/>
          <w:bCs/>
          <w:sz w:val="24"/>
          <w:szCs w:val="24"/>
        </w:rPr>
      </w:pPr>
      <w:proofErr w:type="spellStart"/>
      <w:r w:rsidRPr="002136F3">
        <w:rPr>
          <w:rFonts w:ascii="Times New Roman" w:hAnsi="Times New Roman"/>
          <w:bCs/>
          <w:sz w:val="24"/>
          <w:szCs w:val="24"/>
        </w:rPr>
        <w:t>Tại</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mọi</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thời</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điểm</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tổng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giá</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trị</w:t>
      </w:r>
      <w:proofErr w:type="spellEnd"/>
      <w:r w:rsidRPr="002136F3">
        <w:rPr>
          <w:rFonts w:ascii="Times New Roman" w:hAnsi="Times New Roman"/>
          <w:bCs/>
          <w:sz w:val="24"/>
          <w:szCs w:val="24"/>
        </w:rPr>
        <w:t xml:space="preserve"> cam </w:t>
      </w:r>
      <w:proofErr w:type="spellStart"/>
      <w:r w:rsidRPr="002136F3">
        <w:rPr>
          <w:rFonts w:ascii="Times New Roman" w:hAnsi="Times New Roman"/>
          <w:bCs/>
          <w:sz w:val="24"/>
          <w:szCs w:val="24"/>
        </w:rPr>
        <w:t>kết</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trong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các</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hợp</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đồng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chứng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khoán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phái</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sinh</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và</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dư</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nợ</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các</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khoản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phải</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trả</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của</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quỹ</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không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được</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vượt</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quá</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giá</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trị</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tài</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sản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ròng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của</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quỹ</w:t>
      </w:r>
      <w:proofErr w:type="spellEnd"/>
      <w:r w:rsidRPr="002136F3">
        <w:rPr>
          <w:rFonts w:ascii="Times New Roman" w:hAnsi="Times New Roman"/>
          <w:bCs/>
          <w:sz w:val="24"/>
          <w:szCs w:val="24"/>
        </w:rPr>
        <w:t>.</w:t>
      </w:r>
    </w:p>
    <w:p w14:paraId="0B727C09" w14:textId="062326BC" w:rsidR="005B3F27" w:rsidRPr="002136F3" w:rsidRDefault="005B3F27" w:rsidP="006D5144">
      <w:pPr>
        <w:keepNext/>
        <w:keepLines/>
        <w:widowControl w:val="0"/>
        <w:numPr>
          <w:ilvl w:val="0"/>
          <w:numId w:val="19"/>
        </w:numPr>
        <w:overflowPunct w:val="0"/>
        <w:autoSpaceDE w:val="0"/>
        <w:autoSpaceDN w:val="0"/>
        <w:adjustRightInd w:val="0"/>
        <w:spacing w:after="0" w:line="240" w:lineRule="auto"/>
        <w:ind w:left="450" w:right="296" w:firstLine="0"/>
        <w:jc w:val="both"/>
        <w:textAlignment w:val="baseline"/>
        <w:rPr>
          <w:rFonts w:ascii="Times New Roman" w:hAnsi="Times New Roman"/>
          <w:bCs/>
          <w:i/>
          <w:iCs/>
          <w:sz w:val="24"/>
          <w:szCs w:val="24"/>
        </w:rPr>
      </w:pPr>
      <w:r w:rsidRPr="002136F3">
        <w:rPr>
          <w:rFonts w:ascii="Times New Roman" w:hAnsi="Times New Roman"/>
          <w:bCs/>
          <w:i/>
          <w:iCs/>
          <w:sz w:val="24"/>
          <w:szCs w:val="24"/>
        </w:rPr>
        <w:t>At any time, the total commitment values of derivative securities contracts and payable amounts of the Fund shall not exceed its Net Asset Value.</w:t>
      </w:r>
    </w:p>
    <w:p w14:paraId="7C314544" w14:textId="59C2B597" w:rsidR="00506DCA" w:rsidRPr="002136F3" w:rsidRDefault="00506DCA" w:rsidP="005B3F27">
      <w:pPr>
        <w:pStyle w:val="ListParagraph"/>
        <w:spacing w:before="120" w:after="120" w:line="312" w:lineRule="auto"/>
        <w:ind w:left="180" w:right="260"/>
        <w:jc w:val="both"/>
        <w:rPr>
          <w:rFonts w:ascii="Times New Roman" w:hAnsi="Times New Roman"/>
          <w:bCs/>
          <w:sz w:val="24"/>
          <w:szCs w:val="24"/>
        </w:rPr>
      </w:pPr>
      <w:proofErr w:type="spellStart"/>
      <w:r w:rsidRPr="002136F3">
        <w:rPr>
          <w:rFonts w:ascii="Times New Roman" w:hAnsi="Times New Roman"/>
          <w:bCs/>
          <w:sz w:val="24"/>
          <w:szCs w:val="24"/>
        </w:rPr>
        <w:t>Cơ</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cấu</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đầu</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tư</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của</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quỹ</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chỉ</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được</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vượt</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mức</w:t>
      </w:r>
      <w:proofErr w:type="spellEnd"/>
      <w:r w:rsidRPr="002136F3">
        <w:rPr>
          <w:rFonts w:ascii="Times New Roman" w:hAnsi="Times New Roman"/>
          <w:bCs/>
          <w:sz w:val="24"/>
          <w:szCs w:val="24"/>
        </w:rPr>
        <w:t xml:space="preserve"> so </w:t>
      </w:r>
      <w:proofErr w:type="spellStart"/>
      <w:r w:rsidRPr="002136F3">
        <w:rPr>
          <w:rFonts w:ascii="Times New Roman" w:hAnsi="Times New Roman"/>
          <w:bCs/>
          <w:sz w:val="24"/>
          <w:szCs w:val="24"/>
        </w:rPr>
        <w:t>với</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hạn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chế</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đầu</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tư</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quy</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định</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tại</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điểm</w:t>
      </w:r>
      <w:proofErr w:type="spellEnd"/>
      <w:r w:rsidRPr="002136F3">
        <w:rPr>
          <w:rFonts w:ascii="Times New Roman" w:hAnsi="Times New Roman"/>
          <w:bCs/>
          <w:sz w:val="24"/>
          <w:szCs w:val="24"/>
        </w:rPr>
        <w:t xml:space="preserve"> a, b, c, đ </w:t>
      </w:r>
      <w:proofErr w:type="spellStart"/>
      <w:r w:rsidRPr="002136F3">
        <w:rPr>
          <w:rFonts w:ascii="Times New Roman" w:hAnsi="Times New Roman"/>
          <w:bCs/>
          <w:sz w:val="24"/>
          <w:szCs w:val="24"/>
        </w:rPr>
        <w:t>khoản</w:t>
      </w:r>
      <w:proofErr w:type="spellEnd"/>
      <w:r w:rsidRPr="002136F3">
        <w:rPr>
          <w:rFonts w:ascii="Times New Roman" w:hAnsi="Times New Roman"/>
          <w:bCs/>
          <w:sz w:val="24"/>
          <w:szCs w:val="24"/>
        </w:rPr>
        <w:t xml:space="preserve"> 2 </w:t>
      </w:r>
      <w:proofErr w:type="spellStart"/>
      <w:r w:rsidR="00F61330" w:rsidRPr="002136F3">
        <w:rPr>
          <w:rFonts w:ascii="Times New Roman" w:hAnsi="Times New Roman"/>
          <w:bCs/>
          <w:sz w:val="24"/>
          <w:szCs w:val="24"/>
        </w:rPr>
        <w:t>điều</w:t>
      </w:r>
      <w:proofErr w:type="spellEnd"/>
      <w:r w:rsidR="00F61330" w:rsidRPr="002136F3">
        <w:rPr>
          <w:rFonts w:ascii="Times New Roman" w:hAnsi="Times New Roman"/>
          <w:bCs/>
          <w:sz w:val="24"/>
          <w:szCs w:val="24"/>
        </w:rPr>
        <w:t xml:space="preserve"> 10 </w:t>
      </w:r>
      <w:proofErr w:type="spellStart"/>
      <w:r w:rsidR="00F61330" w:rsidRPr="002136F3">
        <w:rPr>
          <w:rFonts w:ascii="Times New Roman" w:hAnsi="Times New Roman"/>
          <w:bCs/>
          <w:sz w:val="24"/>
          <w:szCs w:val="24"/>
        </w:rPr>
        <w:t>của</w:t>
      </w:r>
      <w:proofErr w:type="spellEnd"/>
      <w:r w:rsidR="00F61330" w:rsidRPr="002136F3">
        <w:rPr>
          <w:rFonts w:ascii="Times New Roman" w:hAnsi="Times New Roman"/>
          <w:bCs/>
          <w:sz w:val="24"/>
          <w:szCs w:val="24"/>
        </w:rPr>
        <w:t xml:space="preserve"> </w:t>
      </w:r>
      <w:proofErr w:type="spellStart"/>
      <w:r w:rsidR="00F61330" w:rsidRPr="002136F3">
        <w:rPr>
          <w:rFonts w:ascii="Times New Roman" w:hAnsi="Times New Roman"/>
          <w:bCs/>
          <w:sz w:val="24"/>
          <w:szCs w:val="24"/>
        </w:rPr>
        <w:t>Điều</w:t>
      </w:r>
      <w:proofErr w:type="spellEnd"/>
      <w:r w:rsidR="00F61330" w:rsidRPr="002136F3">
        <w:rPr>
          <w:rFonts w:ascii="Times New Roman" w:hAnsi="Times New Roman"/>
          <w:bCs/>
          <w:sz w:val="24"/>
          <w:szCs w:val="24"/>
        </w:rPr>
        <w:t xml:space="preserve"> </w:t>
      </w:r>
      <w:proofErr w:type="spellStart"/>
      <w:r w:rsidR="00F61330" w:rsidRPr="002136F3">
        <w:rPr>
          <w:rFonts w:ascii="Times New Roman" w:hAnsi="Times New Roman"/>
          <w:bCs/>
          <w:sz w:val="24"/>
          <w:szCs w:val="24"/>
        </w:rPr>
        <w:t>lệ</w:t>
      </w:r>
      <w:proofErr w:type="spellEnd"/>
      <w:r w:rsidR="00F61330" w:rsidRPr="002136F3">
        <w:rPr>
          <w:rFonts w:ascii="Times New Roman" w:hAnsi="Times New Roman"/>
          <w:bCs/>
          <w:sz w:val="24"/>
          <w:szCs w:val="24"/>
        </w:rPr>
        <w:t xml:space="preserve"> </w:t>
      </w:r>
      <w:proofErr w:type="spellStart"/>
      <w:r w:rsidR="00F61330" w:rsidRPr="002136F3">
        <w:rPr>
          <w:rFonts w:ascii="Times New Roman" w:hAnsi="Times New Roman"/>
          <w:bCs/>
          <w:sz w:val="24"/>
          <w:szCs w:val="24"/>
        </w:rPr>
        <w:t>quỹ</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và</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chỉ</w:t>
      </w:r>
      <w:proofErr w:type="spellEnd"/>
      <w:r w:rsidRPr="002136F3">
        <w:rPr>
          <w:rFonts w:ascii="Times New Roman" w:hAnsi="Times New Roman"/>
          <w:bCs/>
          <w:sz w:val="24"/>
          <w:szCs w:val="24"/>
        </w:rPr>
        <w:t xml:space="preserve"> do </w:t>
      </w:r>
      <w:proofErr w:type="spellStart"/>
      <w:r w:rsidRPr="002136F3">
        <w:rPr>
          <w:rFonts w:ascii="Times New Roman" w:hAnsi="Times New Roman"/>
          <w:bCs/>
          <w:sz w:val="24"/>
          <w:szCs w:val="24"/>
        </w:rPr>
        <w:t>các</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nguyên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nhân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sau</w:t>
      </w:r>
      <w:proofErr w:type="spellEnd"/>
      <w:r w:rsidRPr="002136F3">
        <w:rPr>
          <w:rFonts w:ascii="Times New Roman" w:hAnsi="Times New Roman"/>
          <w:bCs/>
          <w:sz w:val="24"/>
          <w:szCs w:val="24"/>
        </w:rPr>
        <w:t>:</w:t>
      </w:r>
    </w:p>
    <w:p w14:paraId="093B2BE1" w14:textId="77777777" w:rsidR="00506DCA" w:rsidRPr="002136F3" w:rsidRDefault="00506DCA" w:rsidP="001F2E8F">
      <w:pPr>
        <w:pStyle w:val="ListParagraph"/>
        <w:numPr>
          <w:ilvl w:val="4"/>
          <w:numId w:val="2"/>
        </w:numPr>
        <w:spacing w:before="120" w:after="120" w:line="312" w:lineRule="auto"/>
        <w:ind w:left="450" w:right="260" w:firstLine="0"/>
        <w:jc w:val="both"/>
        <w:rPr>
          <w:rFonts w:ascii="Times New Roman" w:hAnsi="Times New Roman"/>
          <w:bCs/>
          <w:sz w:val="24"/>
          <w:szCs w:val="24"/>
        </w:rPr>
      </w:pPr>
      <w:proofErr w:type="spellStart"/>
      <w:r w:rsidRPr="002136F3">
        <w:rPr>
          <w:rFonts w:ascii="Times New Roman" w:hAnsi="Times New Roman"/>
          <w:bCs/>
          <w:sz w:val="24"/>
          <w:szCs w:val="24"/>
        </w:rPr>
        <w:t>Biến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động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giá</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trên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thị</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trường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của</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tài</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sản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trong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danh</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mục</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đầu</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tư</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của</w:t>
      </w:r>
      <w:proofErr w:type="spellEnd"/>
      <w:r w:rsidRPr="002136F3">
        <w:rPr>
          <w:rFonts w:ascii="Times New Roman" w:hAnsi="Times New Roman"/>
          <w:bCs/>
          <w:sz w:val="24"/>
          <w:szCs w:val="24"/>
        </w:rPr>
        <w:t xml:space="preserve"> </w:t>
      </w:r>
      <w:proofErr w:type="spellStart"/>
      <w:proofErr w:type="gramStart"/>
      <w:r w:rsidRPr="002136F3">
        <w:rPr>
          <w:rFonts w:ascii="Times New Roman" w:hAnsi="Times New Roman"/>
          <w:bCs/>
          <w:sz w:val="24"/>
          <w:szCs w:val="24"/>
        </w:rPr>
        <w:t>Quỹ</w:t>
      </w:r>
      <w:proofErr w:type="spellEnd"/>
      <w:r w:rsidRPr="002136F3">
        <w:rPr>
          <w:rFonts w:ascii="Times New Roman" w:hAnsi="Times New Roman"/>
          <w:bCs/>
          <w:sz w:val="24"/>
          <w:szCs w:val="24"/>
        </w:rPr>
        <w:t>;</w:t>
      </w:r>
      <w:proofErr w:type="gramEnd"/>
    </w:p>
    <w:p w14:paraId="3E0F190D" w14:textId="77777777" w:rsidR="00506DCA" w:rsidRPr="002136F3" w:rsidRDefault="00506DCA" w:rsidP="001F2E8F">
      <w:pPr>
        <w:pStyle w:val="ListParagraph"/>
        <w:numPr>
          <w:ilvl w:val="4"/>
          <w:numId w:val="2"/>
        </w:numPr>
        <w:spacing w:before="120" w:after="120" w:line="312" w:lineRule="auto"/>
        <w:ind w:left="450" w:right="260" w:firstLine="0"/>
        <w:jc w:val="both"/>
        <w:rPr>
          <w:rFonts w:ascii="Times New Roman" w:hAnsi="Times New Roman"/>
          <w:bCs/>
          <w:sz w:val="24"/>
          <w:szCs w:val="24"/>
        </w:rPr>
      </w:pPr>
      <w:proofErr w:type="spellStart"/>
      <w:r w:rsidRPr="002136F3">
        <w:rPr>
          <w:rFonts w:ascii="Times New Roman" w:hAnsi="Times New Roman"/>
          <w:bCs/>
          <w:sz w:val="24"/>
          <w:szCs w:val="24"/>
        </w:rPr>
        <w:t>Hoạt</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động</w:t>
      </w:r>
      <w:proofErr w:type="spellEnd"/>
      <w:r w:rsidRPr="002136F3">
        <w:rPr>
          <w:rFonts w:ascii="Times New Roman" w:hAnsi="Times New Roman"/>
          <w:bCs/>
          <w:sz w:val="24"/>
          <w:szCs w:val="24"/>
        </w:rPr>
        <w:t xml:space="preserve"> chia, </w:t>
      </w:r>
      <w:proofErr w:type="spellStart"/>
      <w:r w:rsidRPr="002136F3">
        <w:rPr>
          <w:rFonts w:ascii="Times New Roman" w:hAnsi="Times New Roman"/>
          <w:bCs/>
          <w:sz w:val="24"/>
          <w:szCs w:val="24"/>
        </w:rPr>
        <w:t>tách</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hợp</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nhất</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sáp</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nhập</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các</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tổ</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chức</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phát</w:t>
      </w:r>
      <w:proofErr w:type="spellEnd"/>
      <w:r w:rsidRPr="002136F3">
        <w:rPr>
          <w:rFonts w:ascii="Times New Roman" w:hAnsi="Times New Roman"/>
          <w:bCs/>
          <w:sz w:val="24"/>
          <w:szCs w:val="24"/>
        </w:rPr>
        <w:t xml:space="preserve"> </w:t>
      </w:r>
      <w:proofErr w:type="spellStart"/>
      <w:proofErr w:type="gramStart"/>
      <w:r w:rsidRPr="002136F3">
        <w:rPr>
          <w:rFonts w:ascii="Times New Roman" w:hAnsi="Times New Roman"/>
          <w:bCs/>
          <w:sz w:val="24"/>
          <w:szCs w:val="24"/>
        </w:rPr>
        <w:t>hành</w:t>
      </w:r>
      <w:proofErr w:type="spellEnd"/>
      <w:r w:rsidRPr="002136F3">
        <w:rPr>
          <w:rFonts w:ascii="Times New Roman" w:hAnsi="Times New Roman"/>
          <w:bCs/>
          <w:sz w:val="24"/>
          <w:szCs w:val="24"/>
        </w:rPr>
        <w:t>;</w:t>
      </w:r>
      <w:proofErr w:type="gramEnd"/>
    </w:p>
    <w:p w14:paraId="6440D80B" w14:textId="77777777" w:rsidR="00506DCA" w:rsidRPr="002136F3" w:rsidRDefault="00506DCA" w:rsidP="001F2E8F">
      <w:pPr>
        <w:pStyle w:val="ListParagraph"/>
        <w:numPr>
          <w:ilvl w:val="4"/>
          <w:numId w:val="2"/>
        </w:numPr>
        <w:spacing w:before="120" w:after="120" w:line="312" w:lineRule="auto"/>
        <w:ind w:left="450" w:right="260" w:firstLine="0"/>
        <w:jc w:val="both"/>
        <w:rPr>
          <w:rFonts w:ascii="Times New Roman" w:hAnsi="Times New Roman"/>
          <w:bCs/>
          <w:sz w:val="24"/>
          <w:szCs w:val="24"/>
        </w:rPr>
      </w:pPr>
      <w:proofErr w:type="spellStart"/>
      <w:r w:rsidRPr="002136F3">
        <w:rPr>
          <w:rFonts w:ascii="Times New Roman" w:hAnsi="Times New Roman"/>
          <w:bCs/>
          <w:sz w:val="24"/>
          <w:szCs w:val="24"/>
        </w:rPr>
        <w:t>Cơ</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cấu</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danh</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mục</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chứng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khoán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của</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chỉ</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số</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tham</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chiếu</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thay</w:t>
      </w:r>
      <w:proofErr w:type="spellEnd"/>
      <w:r w:rsidRPr="002136F3">
        <w:rPr>
          <w:rFonts w:ascii="Times New Roman" w:hAnsi="Times New Roman"/>
          <w:bCs/>
          <w:sz w:val="24"/>
          <w:szCs w:val="24"/>
        </w:rPr>
        <w:t xml:space="preserve"> </w:t>
      </w:r>
      <w:proofErr w:type="spellStart"/>
      <w:proofErr w:type="gramStart"/>
      <w:r w:rsidRPr="002136F3">
        <w:rPr>
          <w:rFonts w:ascii="Times New Roman" w:hAnsi="Times New Roman"/>
          <w:bCs/>
          <w:sz w:val="24"/>
          <w:szCs w:val="24"/>
        </w:rPr>
        <w:t>đổi</w:t>
      </w:r>
      <w:proofErr w:type="spellEnd"/>
      <w:r w:rsidRPr="002136F3">
        <w:rPr>
          <w:rFonts w:ascii="Times New Roman" w:hAnsi="Times New Roman"/>
          <w:bCs/>
          <w:sz w:val="24"/>
          <w:szCs w:val="24"/>
        </w:rPr>
        <w:t>;</w:t>
      </w:r>
      <w:proofErr w:type="gramEnd"/>
    </w:p>
    <w:p w14:paraId="26AD1369" w14:textId="77777777" w:rsidR="00506DCA" w:rsidRPr="002136F3" w:rsidRDefault="00506DCA" w:rsidP="001F2E8F">
      <w:pPr>
        <w:pStyle w:val="ListParagraph"/>
        <w:numPr>
          <w:ilvl w:val="4"/>
          <w:numId w:val="2"/>
        </w:numPr>
        <w:spacing w:before="120" w:after="120" w:line="312" w:lineRule="auto"/>
        <w:ind w:left="450" w:right="260" w:firstLine="0"/>
        <w:jc w:val="both"/>
        <w:rPr>
          <w:rFonts w:ascii="Times New Roman" w:hAnsi="Times New Roman"/>
          <w:bCs/>
          <w:sz w:val="24"/>
          <w:szCs w:val="24"/>
        </w:rPr>
      </w:pPr>
      <w:proofErr w:type="spellStart"/>
      <w:r w:rsidRPr="002136F3">
        <w:rPr>
          <w:rFonts w:ascii="Times New Roman" w:hAnsi="Times New Roman"/>
          <w:bCs/>
          <w:sz w:val="24"/>
          <w:szCs w:val="24"/>
        </w:rPr>
        <w:lastRenderedPageBreak/>
        <w:t>Quỹ</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mới</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được</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cấp</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phép</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thành</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lập</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mà</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thời</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gian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hoạt</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động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chưa</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quá</w:t>
      </w:r>
      <w:proofErr w:type="spellEnd"/>
      <w:r w:rsidRPr="002136F3">
        <w:rPr>
          <w:rFonts w:ascii="Times New Roman" w:hAnsi="Times New Roman"/>
          <w:bCs/>
          <w:sz w:val="24"/>
          <w:szCs w:val="24"/>
        </w:rPr>
        <w:t xml:space="preserve"> 03 </w:t>
      </w:r>
      <w:proofErr w:type="spellStart"/>
      <w:r w:rsidRPr="002136F3">
        <w:rPr>
          <w:rFonts w:ascii="Times New Roman" w:hAnsi="Times New Roman"/>
          <w:bCs/>
          <w:sz w:val="24"/>
          <w:szCs w:val="24"/>
        </w:rPr>
        <w:t>tháng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kể</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từ</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ngày</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được</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cấp</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Giấy</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chứng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nhận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đăng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ký</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lập</w:t>
      </w:r>
      <w:proofErr w:type="spellEnd"/>
      <w:r w:rsidRPr="002136F3">
        <w:rPr>
          <w:rFonts w:ascii="Times New Roman" w:hAnsi="Times New Roman"/>
          <w:bCs/>
          <w:sz w:val="24"/>
          <w:szCs w:val="24"/>
        </w:rPr>
        <w:t xml:space="preserve"> </w:t>
      </w:r>
      <w:proofErr w:type="spellStart"/>
      <w:proofErr w:type="gramStart"/>
      <w:r w:rsidRPr="002136F3">
        <w:rPr>
          <w:rFonts w:ascii="Times New Roman" w:hAnsi="Times New Roman"/>
          <w:bCs/>
          <w:sz w:val="24"/>
          <w:szCs w:val="24"/>
        </w:rPr>
        <w:t>quỹ</w:t>
      </w:r>
      <w:proofErr w:type="spellEnd"/>
      <w:r w:rsidRPr="002136F3">
        <w:rPr>
          <w:rFonts w:ascii="Times New Roman" w:hAnsi="Times New Roman"/>
          <w:bCs/>
          <w:sz w:val="24"/>
          <w:szCs w:val="24"/>
        </w:rPr>
        <w:t>;</w:t>
      </w:r>
      <w:proofErr w:type="gramEnd"/>
    </w:p>
    <w:p w14:paraId="58CE6ED2" w14:textId="77777777" w:rsidR="00506DCA" w:rsidRPr="002136F3" w:rsidRDefault="00506DCA" w:rsidP="001F2E8F">
      <w:pPr>
        <w:pStyle w:val="ListParagraph"/>
        <w:numPr>
          <w:ilvl w:val="4"/>
          <w:numId w:val="2"/>
        </w:numPr>
        <w:spacing w:before="120" w:after="120" w:line="312" w:lineRule="auto"/>
        <w:ind w:left="450" w:right="260" w:firstLine="0"/>
        <w:jc w:val="both"/>
        <w:rPr>
          <w:rFonts w:ascii="Times New Roman" w:hAnsi="Times New Roman"/>
          <w:bCs/>
          <w:sz w:val="24"/>
          <w:szCs w:val="24"/>
        </w:rPr>
      </w:pPr>
      <w:proofErr w:type="spellStart"/>
      <w:r w:rsidRPr="002136F3">
        <w:rPr>
          <w:rFonts w:ascii="Times New Roman" w:hAnsi="Times New Roman"/>
          <w:bCs/>
          <w:sz w:val="24"/>
          <w:szCs w:val="24"/>
        </w:rPr>
        <w:t>Thực</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hiện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các</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khoản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thanh</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toán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của</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quỹ</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theo</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quy</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định</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của</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pháp</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luật</w:t>
      </w:r>
      <w:proofErr w:type="spellEnd"/>
      <w:r w:rsidRPr="002136F3">
        <w:rPr>
          <w:rFonts w:ascii="Times New Roman" w:hAnsi="Times New Roman"/>
          <w:bCs/>
          <w:sz w:val="24"/>
          <w:szCs w:val="24"/>
        </w:rPr>
        <w:t xml:space="preserve">, bao </w:t>
      </w:r>
      <w:proofErr w:type="spellStart"/>
      <w:r w:rsidRPr="002136F3">
        <w:rPr>
          <w:rFonts w:ascii="Times New Roman" w:hAnsi="Times New Roman"/>
          <w:bCs/>
          <w:sz w:val="24"/>
          <w:szCs w:val="24"/>
        </w:rPr>
        <w:t>gồm</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việc</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thực</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hiện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lệnh</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giao</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dịch</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của</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nhà</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đầu</w:t>
      </w:r>
      <w:proofErr w:type="spellEnd"/>
      <w:r w:rsidRPr="002136F3">
        <w:rPr>
          <w:rFonts w:ascii="Times New Roman" w:hAnsi="Times New Roman"/>
          <w:bCs/>
          <w:sz w:val="24"/>
          <w:szCs w:val="24"/>
        </w:rPr>
        <w:t xml:space="preserve"> </w:t>
      </w:r>
      <w:proofErr w:type="spellStart"/>
      <w:proofErr w:type="gramStart"/>
      <w:r w:rsidRPr="002136F3">
        <w:rPr>
          <w:rFonts w:ascii="Times New Roman" w:hAnsi="Times New Roman"/>
          <w:bCs/>
          <w:sz w:val="24"/>
          <w:szCs w:val="24"/>
        </w:rPr>
        <w:t>tư</w:t>
      </w:r>
      <w:proofErr w:type="spellEnd"/>
      <w:r w:rsidRPr="002136F3">
        <w:rPr>
          <w:rFonts w:ascii="Times New Roman" w:hAnsi="Times New Roman"/>
          <w:bCs/>
          <w:sz w:val="24"/>
          <w:szCs w:val="24"/>
        </w:rPr>
        <w:t>;</w:t>
      </w:r>
      <w:proofErr w:type="gramEnd"/>
    </w:p>
    <w:p w14:paraId="3C951C19" w14:textId="5961AABD" w:rsidR="009F503F" w:rsidRPr="002136F3" w:rsidRDefault="00506DCA" w:rsidP="001F2E8F">
      <w:pPr>
        <w:pStyle w:val="ListParagraph"/>
        <w:numPr>
          <w:ilvl w:val="4"/>
          <w:numId w:val="2"/>
        </w:numPr>
        <w:spacing w:before="120" w:after="120" w:line="312" w:lineRule="auto"/>
        <w:ind w:left="450" w:right="260" w:firstLine="0"/>
        <w:contextualSpacing w:val="0"/>
        <w:jc w:val="both"/>
        <w:rPr>
          <w:rFonts w:ascii="Times New Roman" w:hAnsi="Times New Roman"/>
          <w:bCs/>
          <w:sz w:val="24"/>
          <w:szCs w:val="24"/>
        </w:rPr>
      </w:pPr>
      <w:proofErr w:type="spellStart"/>
      <w:r w:rsidRPr="002136F3">
        <w:rPr>
          <w:rFonts w:ascii="Times New Roman" w:hAnsi="Times New Roman"/>
          <w:bCs/>
          <w:sz w:val="24"/>
          <w:szCs w:val="24"/>
        </w:rPr>
        <w:t>Quỹ</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đang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trong</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thời</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gian</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giải</w:t>
      </w:r>
      <w:proofErr w:type="spellEnd"/>
      <w:r w:rsidRPr="002136F3">
        <w:rPr>
          <w:rFonts w:ascii="Times New Roman" w:hAnsi="Times New Roman"/>
          <w:bCs/>
          <w:sz w:val="24"/>
          <w:szCs w:val="24"/>
        </w:rPr>
        <w:t xml:space="preserve"> </w:t>
      </w:r>
      <w:proofErr w:type="spellStart"/>
      <w:r w:rsidRPr="002136F3">
        <w:rPr>
          <w:rFonts w:ascii="Times New Roman" w:hAnsi="Times New Roman"/>
          <w:bCs/>
          <w:sz w:val="24"/>
          <w:szCs w:val="24"/>
        </w:rPr>
        <w:t>thể</w:t>
      </w:r>
      <w:proofErr w:type="spellEnd"/>
      <w:r w:rsidR="00897749" w:rsidRPr="002136F3">
        <w:rPr>
          <w:rFonts w:ascii="Times New Roman" w:hAnsi="Times New Roman"/>
          <w:bCs/>
          <w:sz w:val="24"/>
          <w:szCs w:val="24"/>
        </w:rPr>
        <w:t>.</w:t>
      </w:r>
    </w:p>
    <w:p w14:paraId="70CE66CB" w14:textId="61599E75" w:rsidR="005B3F27" w:rsidRPr="002136F3" w:rsidRDefault="005B3F27" w:rsidP="006D5144">
      <w:pPr>
        <w:pStyle w:val="ListParagraph"/>
        <w:keepNext/>
        <w:keepLines/>
        <w:widowControl w:val="0"/>
        <w:spacing w:after="0" w:line="240" w:lineRule="auto"/>
        <w:ind w:left="180" w:right="296"/>
        <w:jc w:val="both"/>
        <w:rPr>
          <w:rFonts w:ascii="Times New Roman" w:hAnsi="Times New Roman"/>
          <w:i/>
          <w:iCs/>
          <w:sz w:val="24"/>
          <w:szCs w:val="24"/>
          <w:lang w:val="nl-NL"/>
        </w:rPr>
      </w:pPr>
      <w:r w:rsidRPr="002136F3">
        <w:rPr>
          <w:rFonts w:ascii="Times New Roman" w:hAnsi="Times New Roman"/>
          <w:i/>
          <w:iCs/>
          <w:sz w:val="24"/>
          <w:szCs w:val="24"/>
          <w:lang w:val="nl-NL"/>
        </w:rPr>
        <w:t xml:space="preserve">The investment portfolio of the Fund is allowed to be deviated with the restrictions for the cases referred in points a), b), c) </w:t>
      </w:r>
      <w:r w:rsidR="001A0E4F">
        <w:rPr>
          <w:rFonts w:ascii="Times New Roman" w:hAnsi="Times New Roman"/>
          <w:i/>
          <w:iCs/>
          <w:sz w:val="24"/>
          <w:szCs w:val="24"/>
          <w:lang w:val="nl-NL"/>
        </w:rPr>
        <w:t>d</w:t>
      </w:r>
      <w:r w:rsidRPr="002136F3">
        <w:rPr>
          <w:rFonts w:ascii="Times New Roman" w:hAnsi="Times New Roman"/>
          <w:i/>
          <w:iCs/>
          <w:sz w:val="24"/>
          <w:szCs w:val="24"/>
          <w:lang w:val="nl-NL"/>
        </w:rPr>
        <w:t xml:space="preserve">) </w:t>
      </w:r>
      <w:r w:rsidR="001A0E4F" w:rsidRPr="002136F3">
        <w:rPr>
          <w:rFonts w:ascii="Times New Roman" w:hAnsi="Times New Roman"/>
          <w:bCs/>
          <w:i/>
          <w:iCs/>
          <w:sz w:val="24"/>
          <w:szCs w:val="24"/>
          <w:lang w:val="vi-VN"/>
        </w:rPr>
        <w:t xml:space="preserve">Clause </w:t>
      </w:r>
      <w:r w:rsidR="001A0E4F">
        <w:rPr>
          <w:rFonts w:ascii="Times New Roman" w:hAnsi="Times New Roman"/>
          <w:bCs/>
          <w:i/>
          <w:iCs/>
          <w:sz w:val="24"/>
          <w:szCs w:val="24"/>
          <w:lang w:val="vi-VN"/>
        </w:rPr>
        <w:t>2</w:t>
      </w:r>
      <w:r w:rsidR="001A0E4F" w:rsidRPr="002136F3">
        <w:rPr>
          <w:rFonts w:ascii="Times New Roman" w:hAnsi="Times New Roman"/>
          <w:bCs/>
          <w:i/>
          <w:iCs/>
          <w:sz w:val="24"/>
          <w:szCs w:val="24"/>
          <w:lang w:val="vi-VN"/>
        </w:rPr>
        <w:t xml:space="preserve">, Article </w:t>
      </w:r>
      <w:r w:rsidR="001A0E4F">
        <w:rPr>
          <w:rFonts w:ascii="Times New Roman" w:hAnsi="Times New Roman"/>
          <w:bCs/>
          <w:i/>
          <w:iCs/>
          <w:sz w:val="24"/>
          <w:szCs w:val="24"/>
          <w:lang w:val="vi-VN"/>
        </w:rPr>
        <w:t>10</w:t>
      </w:r>
      <w:r w:rsidR="001A0E4F" w:rsidRPr="002136F3">
        <w:rPr>
          <w:rFonts w:ascii="Times New Roman" w:hAnsi="Times New Roman"/>
          <w:bCs/>
          <w:i/>
          <w:iCs/>
          <w:sz w:val="24"/>
          <w:szCs w:val="24"/>
          <w:lang w:val="vi-VN"/>
        </w:rPr>
        <w:t xml:space="preserve"> of Fund’s Charter</w:t>
      </w:r>
      <w:r w:rsidRPr="002136F3">
        <w:rPr>
          <w:rFonts w:ascii="Times New Roman" w:hAnsi="Times New Roman"/>
          <w:i/>
          <w:iCs/>
          <w:sz w:val="24"/>
          <w:szCs w:val="24"/>
          <w:lang w:val="nl-NL"/>
        </w:rPr>
        <w:t>, and must be due to the following objective causes:</w:t>
      </w:r>
    </w:p>
    <w:p w14:paraId="394A7527" w14:textId="77777777" w:rsidR="005B3F27" w:rsidRPr="002136F3" w:rsidRDefault="005B3F27" w:rsidP="006D5144">
      <w:pPr>
        <w:pStyle w:val="ListParagraph"/>
        <w:keepNext/>
        <w:keepLines/>
        <w:widowControl w:val="0"/>
        <w:numPr>
          <w:ilvl w:val="0"/>
          <w:numId w:val="20"/>
        </w:numPr>
        <w:shd w:val="clear" w:color="auto" w:fill="FFFFFF"/>
        <w:spacing w:after="100" w:line="240" w:lineRule="auto"/>
        <w:ind w:left="450" w:right="296" w:firstLine="0"/>
        <w:contextualSpacing w:val="0"/>
        <w:jc w:val="both"/>
        <w:rPr>
          <w:rFonts w:ascii="Times New Roman" w:hAnsi="Times New Roman"/>
          <w:i/>
          <w:iCs/>
          <w:color w:val="000000"/>
          <w:sz w:val="24"/>
          <w:szCs w:val="24"/>
        </w:rPr>
      </w:pPr>
      <w:r w:rsidRPr="002136F3">
        <w:rPr>
          <w:rFonts w:ascii="Times New Roman" w:hAnsi="Times New Roman"/>
          <w:i/>
          <w:iCs/>
          <w:sz w:val="24"/>
          <w:szCs w:val="24"/>
        </w:rPr>
        <w:t xml:space="preserve">The changes in market prices of the Fund’s investment </w:t>
      </w:r>
      <w:proofErr w:type="gramStart"/>
      <w:r w:rsidRPr="002136F3">
        <w:rPr>
          <w:rFonts w:ascii="Times New Roman" w:hAnsi="Times New Roman"/>
          <w:i/>
          <w:iCs/>
          <w:sz w:val="24"/>
          <w:szCs w:val="24"/>
        </w:rPr>
        <w:t>portfolio;</w:t>
      </w:r>
      <w:proofErr w:type="gramEnd"/>
    </w:p>
    <w:p w14:paraId="787D394C" w14:textId="77777777" w:rsidR="005B3F27" w:rsidRPr="002136F3" w:rsidRDefault="005B3F27" w:rsidP="006D5144">
      <w:pPr>
        <w:pStyle w:val="ListParagraph"/>
        <w:keepNext/>
        <w:keepLines/>
        <w:widowControl w:val="0"/>
        <w:numPr>
          <w:ilvl w:val="0"/>
          <w:numId w:val="20"/>
        </w:numPr>
        <w:shd w:val="clear" w:color="auto" w:fill="FFFFFF"/>
        <w:spacing w:after="100" w:line="240" w:lineRule="auto"/>
        <w:ind w:left="450" w:right="296" w:firstLine="0"/>
        <w:contextualSpacing w:val="0"/>
        <w:jc w:val="both"/>
        <w:rPr>
          <w:rFonts w:ascii="Times New Roman" w:hAnsi="Times New Roman"/>
          <w:i/>
          <w:iCs/>
          <w:color w:val="000000"/>
          <w:sz w:val="24"/>
          <w:szCs w:val="24"/>
        </w:rPr>
      </w:pPr>
      <w:r w:rsidRPr="002136F3">
        <w:rPr>
          <w:rFonts w:ascii="Times New Roman" w:hAnsi="Times New Roman"/>
          <w:i/>
          <w:iCs/>
          <w:sz w:val="24"/>
          <w:szCs w:val="24"/>
        </w:rPr>
        <w:t xml:space="preserve">Activities of splitting, consolidation, merger of </w:t>
      </w:r>
      <w:proofErr w:type="gramStart"/>
      <w:r w:rsidRPr="002136F3">
        <w:rPr>
          <w:rFonts w:ascii="Times New Roman" w:hAnsi="Times New Roman"/>
          <w:i/>
          <w:iCs/>
          <w:sz w:val="24"/>
          <w:szCs w:val="24"/>
        </w:rPr>
        <w:t>issuers;</w:t>
      </w:r>
      <w:proofErr w:type="gramEnd"/>
    </w:p>
    <w:p w14:paraId="770C1A88" w14:textId="77777777" w:rsidR="005B3F27" w:rsidRPr="002136F3" w:rsidRDefault="005B3F27" w:rsidP="006D5144">
      <w:pPr>
        <w:pStyle w:val="ListParagraph"/>
        <w:keepNext/>
        <w:keepLines/>
        <w:widowControl w:val="0"/>
        <w:numPr>
          <w:ilvl w:val="0"/>
          <w:numId w:val="20"/>
        </w:numPr>
        <w:shd w:val="clear" w:color="auto" w:fill="FFFFFF"/>
        <w:spacing w:after="100" w:line="240" w:lineRule="auto"/>
        <w:ind w:left="450" w:right="296" w:firstLine="0"/>
        <w:contextualSpacing w:val="0"/>
        <w:jc w:val="both"/>
        <w:rPr>
          <w:rFonts w:ascii="Times New Roman" w:hAnsi="Times New Roman"/>
          <w:i/>
          <w:iCs/>
          <w:color w:val="000000"/>
          <w:sz w:val="24"/>
          <w:szCs w:val="24"/>
        </w:rPr>
      </w:pPr>
      <w:r w:rsidRPr="002136F3">
        <w:rPr>
          <w:rFonts w:ascii="Times New Roman" w:eastAsia="PMingLiU" w:hAnsi="Times New Roman"/>
          <w:i/>
          <w:iCs/>
          <w:sz w:val="24"/>
          <w:szCs w:val="24"/>
        </w:rPr>
        <w:t xml:space="preserve">The basket of component securities of the reference index </w:t>
      </w:r>
      <w:proofErr w:type="gramStart"/>
      <w:r w:rsidRPr="002136F3">
        <w:rPr>
          <w:rFonts w:ascii="Times New Roman" w:eastAsia="PMingLiU" w:hAnsi="Times New Roman"/>
          <w:i/>
          <w:iCs/>
          <w:sz w:val="24"/>
          <w:szCs w:val="24"/>
        </w:rPr>
        <w:t>changes;</w:t>
      </w:r>
      <w:proofErr w:type="gramEnd"/>
    </w:p>
    <w:p w14:paraId="2662D269" w14:textId="77777777" w:rsidR="005B3F27" w:rsidRPr="002136F3" w:rsidRDefault="005B3F27" w:rsidP="006D5144">
      <w:pPr>
        <w:pStyle w:val="ListParagraph"/>
        <w:keepNext/>
        <w:keepLines/>
        <w:widowControl w:val="0"/>
        <w:numPr>
          <w:ilvl w:val="0"/>
          <w:numId w:val="20"/>
        </w:numPr>
        <w:shd w:val="clear" w:color="auto" w:fill="FFFFFF"/>
        <w:spacing w:after="100" w:line="240" w:lineRule="auto"/>
        <w:ind w:left="450" w:right="296" w:firstLine="0"/>
        <w:contextualSpacing w:val="0"/>
        <w:jc w:val="both"/>
        <w:rPr>
          <w:rFonts w:ascii="Times New Roman" w:hAnsi="Times New Roman"/>
          <w:i/>
          <w:iCs/>
          <w:color w:val="000000"/>
          <w:sz w:val="24"/>
          <w:szCs w:val="24"/>
        </w:rPr>
      </w:pPr>
      <w:r w:rsidRPr="002136F3">
        <w:rPr>
          <w:rFonts w:ascii="Times New Roman" w:hAnsi="Times New Roman"/>
          <w:i/>
          <w:iCs/>
          <w:color w:val="000000"/>
          <w:sz w:val="24"/>
          <w:szCs w:val="24"/>
        </w:rPr>
        <w:t xml:space="preserve">The Fund is newly established within the last 03 months from the issue date of the Fund’s establishment registration </w:t>
      </w:r>
      <w:proofErr w:type="gramStart"/>
      <w:r w:rsidRPr="002136F3">
        <w:rPr>
          <w:rFonts w:ascii="Times New Roman" w:hAnsi="Times New Roman"/>
          <w:i/>
          <w:iCs/>
          <w:color w:val="000000"/>
          <w:sz w:val="24"/>
          <w:szCs w:val="24"/>
        </w:rPr>
        <w:t>certificate;</w:t>
      </w:r>
      <w:proofErr w:type="gramEnd"/>
    </w:p>
    <w:p w14:paraId="382EDB7D" w14:textId="77777777" w:rsidR="005B3F27" w:rsidRPr="002136F3" w:rsidRDefault="005B3F27" w:rsidP="006D5144">
      <w:pPr>
        <w:pStyle w:val="ListParagraph"/>
        <w:keepNext/>
        <w:keepLines/>
        <w:widowControl w:val="0"/>
        <w:numPr>
          <w:ilvl w:val="0"/>
          <w:numId w:val="20"/>
        </w:numPr>
        <w:shd w:val="clear" w:color="auto" w:fill="FFFFFF"/>
        <w:spacing w:after="100" w:line="240" w:lineRule="auto"/>
        <w:ind w:left="450" w:right="296" w:firstLine="0"/>
        <w:contextualSpacing w:val="0"/>
        <w:jc w:val="both"/>
        <w:rPr>
          <w:rFonts w:ascii="Times New Roman" w:hAnsi="Times New Roman"/>
          <w:i/>
          <w:iCs/>
          <w:color w:val="000000"/>
          <w:sz w:val="24"/>
          <w:szCs w:val="24"/>
        </w:rPr>
      </w:pPr>
      <w:r w:rsidRPr="002136F3">
        <w:rPr>
          <w:rFonts w:ascii="Times New Roman" w:hAnsi="Times New Roman"/>
          <w:i/>
          <w:iCs/>
          <w:sz w:val="24"/>
          <w:szCs w:val="24"/>
        </w:rPr>
        <w:t>Making legitimate payments; executing the exchange of basket of underlying securities in accordance with regulations; and</w:t>
      </w:r>
    </w:p>
    <w:p w14:paraId="78A71FFA" w14:textId="77777777" w:rsidR="005B3F27" w:rsidRPr="002136F3" w:rsidRDefault="005B3F27" w:rsidP="006D5144">
      <w:pPr>
        <w:pStyle w:val="ListParagraph"/>
        <w:keepNext/>
        <w:keepLines/>
        <w:widowControl w:val="0"/>
        <w:numPr>
          <w:ilvl w:val="0"/>
          <w:numId w:val="20"/>
        </w:numPr>
        <w:shd w:val="clear" w:color="auto" w:fill="FFFFFF"/>
        <w:spacing w:after="0" w:line="240" w:lineRule="auto"/>
        <w:ind w:left="450" w:right="296" w:firstLine="0"/>
        <w:contextualSpacing w:val="0"/>
        <w:jc w:val="both"/>
        <w:rPr>
          <w:rFonts w:ascii="Times New Roman" w:hAnsi="Times New Roman"/>
          <w:i/>
          <w:iCs/>
          <w:color w:val="000000"/>
          <w:sz w:val="24"/>
          <w:szCs w:val="24"/>
        </w:rPr>
      </w:pPr>
      <w:r w:rsidRPr="002136F3">
        <w:rPr>
          <w:rFonts w:ascii="Times New Roman" w:hAnsi="Times New Roman"/>
          <w:i/>
          <w:iCs/>
          <w:sz w:val="24"/>
          <w:szCs w:val="24"/>
        </w:rPr>
        <w:t>The Fund is in the process of liquidation.</w:t>
      </w:r>
    </w:p>
    <w:p w14:paraId="3F63B5DC" w14:textId="3BD7E617" w:rsidR="00897749" w:rsidRPr="002136F3" w:rsidRDefault="00897749" w:rsidP="00D54A5B">
      <w:pPr>
        <w:shd w:val="clear" w:color="auto" w:fill="FFFFFF"/>
        <w:spacing w:before="120" w:after="120" w:line="312" w:lineRule="auto"/>
        <w:ind w:left="142" w:right="260"/>
        <w:jc w:val="both"/>
        <w:rPr>
          <w:rFonts w:ascii="Times New Roman" w:hAnsi="Times New Roman"/>
          <w:b/>
          <w:sz w:val="24"/>
          <w:szCs w:val="24"/>
          <w:lang w:val="nl-NL"/>
        </w:rPr>
      </w:pPr>
      <w:r w:rsidRPr="002136F3">
        <w:rPr>
          <w:rFonts w:ascii="Times New Roman" w:hAnsi="Times New Roman"/>
          <w:b/>
          <w:sz w:val="24"/>
          <w:szCs w:val="24"/>
          <w:lang w:val="nl-NL"/>
        </w:rPr>
        <w:t xml:space="preserve">2. </w:t>
      </w:r>
      <w:r w:rsidR="00200471" w:rsidRPr="002136F3">
        <w:rPr>
          <w:rFonts w:ascii="Times New Roman" w:hAnsi="Times New Roman"/>
          <w:b/>
          <w:sz w:val="24"/>
          <w:szCs w:val="24"/>
          <w:lang w:val="nl-NL"/>
        </w:rPr>
        <w:tab/>
      </w:r>
      <w:r w:rsidRPr="002136F3">
        <w:rPr>
          <w:rFonts w:ascii="Times New Roman" w:hAnsi="Times New Roman"/>
          <w:b/>
          <w:sz w:val="24"/>
          <w:szCs w:val="24"/>
          <w:lang w:val="nl-NL"/>
        </w:rPr>
        <w:t>Kỳ kế toán, đơn vị tiền tệ sử dụng trong kế toán</w:t>
      </w:r>
      <w:r w:rsidR="005B3F27" w:rsidRPr="002136F3">
        <w:rPr>
          <w:rFonts w:ascii="Times New Roman" w:hAnsi="Times New Roman"/>
          <w:b/>
          <w:sz w:val="24"/>
          <w:szCs w:val="24"/>
          <w:lang w:val="nl-NL"/>
        </w:rPr>
        <w:t xml:space="preserve"> / Fiscal year and currency</w:t>
      </w:r>
    </w:p>
    <w:p w14:paraId="55015433" w14:textId="214FD68D" w:rsidR="005B3F27" w:rsidRPr="002136F3" w:rsidRDefault="00897749" w:rsidP="005B3F27">
      <w:pPr>
        <w:shd w:val="clear" w:color="auto" w:fill="FFFFFF"/>
        <w:spacing w:before="120" w:after="120" w:line="312" w:lineRule="auto"/>
        <w:ind w:left="142" w:right="260"/>
        <w:jc w:val="both"/>
        <w:rPr>
          <w:rFonts w:ascii="Times New Roman" w:hAnsi="Times New Roman"/>
          <w:b/>
          <w:sz w:val="24"/>
          <w:szCs w:val="24"/>
          <w:lang w:val="nl-NL"/>
        </w:rPr>
      </w:pPr>
      <w:r w:rsidRPr="002136F3">
        <w:rPr>
          <w:rFonts w:ascii="Times New Roman" w:hAnsi="Times New Roman"/>
          <w:b/>
          <w:sz w:val="24"/>
          <w:szCs w:val="24"/>
          <w:lang w:val="nl-NL"/>
        </w:rPr>
        <w:t xml:space="preserve">2.1. </w:t>
      </w:r>
      <w:r w:rsidR="00200471" w:rsidRPr="002136F3">
        <w:rPr>
          <w:rFonts w:ascii="Times New Roman" w:hAnsi="Times New Roman"/>
          <w:b/>
          <w:sz w:val="24"/>
          <w:szCs w:val="24"/>
          <w:lang w:val="nl-NL"/>
        </w:rPr>
        <w:tab/>
      </w:r>
      <w:r w:rsidRPr="002136F3">
        <w:rPr>
          <w:rFonts w:ascii="Times New Roman" w:hAnsi="Times New Roman"/>
          <w:b/>
          <w:sz w:val="24"/>
          <w:szCs w:val="24"/>
          <w:lang w:val="nl-NL"/>
        </w:rPr>
        <w:t>Kỳ kế toán</w:t>
      </w:r>
      <w:r w:rsidR="005B3F27" w:rsidRPr="002136F3">
        <w:rPr>
          <w:rFonts w:ascii="Times New Roman" w:hAnsi="Times New Roman"/>
          <w:b/>
          <w:sz w:val="24"/>
          <w:szCs w:val="24"/>
          <w:lang w:val="nl-NL"/>
        </w:rPr>
        <w:t xml:space="preserve"> / Fiscal year</w:t>
      </w:r>
    </w:p>
    <w:p w14:paraId="36574226" w14:textId="77777777" w:rsidR="00897749" w:rsidRPr="002136F3" w:rsidRDefault="00897749" w:rsidP="00D54A5B">
      <w:pPr>
        <w:tabs>
          <w:tab w:val="left" w:pos="0"/>
        </w:tabs>
        <w:spacing w:before="120" w:after="120" w:line="312" w:lineRule="auto"/>
        <w:ind w:left="142" w:right="260"/>
        <w:jc w:val="both"/>
        <w:rPr>
          <w:rFonts w:ascii="Times New Roman" w:hAnsi="Times New Roman"/>
          <w:sz w:val="24"/>
          <w:szCs w:val="24"/>
        </w:rPr>
      </w:pPr>
      <w:proofErr w:type="spellStart"/>
      <w:r w:rsidRPr="002136F3">
        <w:rPr>
          <w:rFonts w:ascii="Times New Roman" w:hAnsi="Times New Roman"/>
          <w:sz w:val="24"/>
          <w:szCs w:val="24"/>
        </w:rPr>
        <w:t>Kỳ</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kế</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toán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năm</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của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từ</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ngày</w:t>
      </w:r>
      <w:proofErr w:type="spellEnd"/>
      <w:r w:rsidRPr="002136F3">
        <w:rPr>
          <w:rFonts w:ascii="Times New Roman" w:hAnsi="Times New Roman"/>
          <w:sz w:val="24"/>
          <w:szCs w:val="24"/>
        </w:rPr>
        <w:t xml:space="preserve"> 01 </w:t>
      </w:r>
      <w:proofErr w:type="spellStart"/>
      <w:r w:rsidRPr="002136F3">
        <w:rPr>
          <w:rFonts w:ascii="Times New Roman" w:hAnsi="Times New Roman"/>
          <w:sz w:val="24"/>
          <w:szCs w:val="24"/>
        </w:rPr>
        <w:t>tháng</w:t>
      </w:r>
      <w:proofErr w:type="spellEnd"/>
      <w:r w:rsidRPr="002136F3">
        <w:rPr>
          <w:rFonts w:ascii="Times New Roman" w:hAnsi="Times New Roman"/>
          <w:sz w:val="24"/>
          <w:szCs w:val="24"/>
        </w:rPr>
        <w:t xml:space="preserve"> 01 </w:t>
      </w:r>
      <w:proofErr w:type="spellStart"/>
      <w:r w:rsidRPr="002136F3">
        <w:rPr>
          <w:rFonts w:ascii="Times New Roman" w:hAnsi="Times New Roman"/>
          <w:sz w:val="24"/>
          <w:szCs w:val="24"/>
        </w:rPr>
        <w:t>đến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ngày</w:t>
      </w:r>
      <w:proofErr w:type="spellEnd"/>
      <w:r w:rsidRPr="002136F3">
        <w:rPr>
          <w:rFonts w:ascii="Times New Roman" w:hAnsi="Times New Roman"/>
          <w:sz w:val="24"/>
          <w:szCs w:val="24"/>
        </w:rPr>
        <w:t xml:space="preserve"> 31 </w:t>
      </w:r>
      <w:proofErr w:type="spellStart"/>
      <w:r w:rsidRPr="002136F3">
        <w:rPr>
          <w:rFonts w:ascii="Times New Roman" w:hAnsi="Times New Roman"/>
          <w:sz w:val="24"/>
          <w:szCs w:val="24"/>
        </w:rPr>
        <w:t>tháng</w:t>
      </w:r>
      <w:proofErr w:type="spellEnd"/>
      <w:r w:rsidRPr="002136F3">
        <w:rPr>
          <w:rFonts w:ascii="Times New Roman" w:hAnsi="Times New Roman"/>
          <w:sz w:val="24"/>
          <w:szCs w:val="24"/>
        </w:rPr>
        <w:t xml:space="preserve"> 12.</w:t>
      </w:r>
    </w:p>
    <w:p w14:paraId="5EE0BAD3" w14:textId="14B309A0" w:rsidR="005B3F27" w:rsidRPr="002136F3" w:rsidRDefault="005B3F27" w:rsidP="006551CD">
      <w:pPr>
        <w:spacing w:before="120" w:after="120"/>
        <w:ind w:left="180"/>
        <w:jc w:val="both"/>
        <w:rPr>
          <w:rFonts w:ascii="Times New Roman" w:eastAsia="Times New Roman" w:hAnsi="Times New Roman"/>
          <w:i/>
          <w:iCs/>
          <w:sz w:val="24"/>
          <w:szCs w:val="24"/>
        </w:rPr>
      </w:pPr>
      <w:r w:rsidRPr="002136F3">
        <w:rPr>
          <w:rFonts w:ascii="Times New Roman" w:eastAsia="Times New Roman" w:hAnsi="Times New Roman"/>
          <w:i/>
          <w:iCs/>
          <w:sz w:val="24"/>
          <w:szCs w:val="24"/>
        </w:rPr>
        <w:t>The Fund’s fiscal year starts on 1 January and ends on 31 December.</w:t>
      </w:r>
    </w:p>
    <w:p w14:paraId="4C917B74" w14:textId="6269A498" w:rsidR="00897749" w:rsidRPr="002136F3" w:rsidRDefault="00897749" w:rsidP="00D54A5B">
      <w:pPr>
        <w:shd w:val="clear" w:color="auto" w:fill="FFFFFF"/>
        <w:spacing w:before="120" w:after="120" w:line="312" w:lineRule="auto"/>
        <w:ind w:left="142" w:right="259"/>
        <w:jc w:val="both"/>
        <w:rPr>
          <w:rFonts w:ascii="Times New Roman" w:hAnsi="Times New Roman"/>
          <w:b/>
          <w:sz w:val="24"/>
          <w:szCs w:val="24"/>
          <w:lang w:val="nl-NL"/>
        </w:rPr>
      </w:pPr>
      <w:r w:rsidRPr="002136F3">
        <w:rPr>
          <w:rFonts w:ascii="Times New Roman" w:hAnsi="Times New Roman"/>
          <w:b/>
          <w:sz w:val="24"/>
          <w:szCs w:val="24"/>
          <w:lang w:val="nl-NL"/>
        </w:rPr>
        <w:t>2.2.</w:t>
      </w:r>
      <w:r w:rsidR="00200471" w:rsidRPr="002136F3">
        <w:rPr>
          <w:rFonts w:ascii="Times New Roman" w:hAnsi="Times New Roman"/>
          <w:b/>
          <w:sz w:val="24"/>
          <w:szCs w:val="24"/>
          <w:lang w:val="nl-NL"/>
        </w:rPr>
        <w:tab/>
      </w:r>
      <w:r w:rsidRPr="002136F3">
        <w:rPr>
          <w:rFonts w:ascii="Times New Roman" w:hAnsi="Times New Roman"/>
          <w:b/>
          <w:sz w:val="24"/>
          <w:szCs w:val="24"/>
          <w:lang w:val="nl-NL"/>
        </w:rPr>
        <w:t>Đơn vị tiền tệ sử dụng trong kế toán</w:t>
      </w:r>
      <w:r w:rsidR="005B3F27" w:rsidRPr="002136F3">
        <w:rPr>
          <w:rFonts w:ascii="Times New Roman" w:hAnsi="Times New Roman"/>
          <w:b/>
          <w:sz w:val="24"/>
          <w:szCs w:val="24"/>
          <w:lang w:val="nl-NL"/>
        </w:rPr>
        <w:t xml:space="preserve"> / Currencies</w:t>
      </w:r>
    </w:p>
    <w:p w14:paraId="0439EE35" w14:textId="77777777" w:rsidR="00897749" w:rsidRPr="002136F3" w:rsidRDefault="00897749" w:rsidP="00D54A5B">
      <w:pPr>
        <w:shd w:val="clear" w:color="auto" w:fill="FFFFFF"/>
        <w:spacing w:before="120" w:after="120" w:line="312" w:lineRule="auto"/>
        <w:ind w:left="142" w:right="260"/>
        <w:jc w:val="both"/>
        <w:rPr>
          <w:rFonts w:ascii="Times New Roman" w:hAnsi="Times New Roman"/>
          <w:sz w:val="24"/>
          <w:szCs w:val="24"/>
        </w:rPr>
      </w:pPr>
      <w:proofErr w:type="spellStart"/>
      <w:r w:rsidRPr="002136F3">
        <w:rPr>
          <w:rFonts w:ascii="Times New Roman" w:hAnsi="Times New Roman"/>
          <w:sz w:val="24"/>
          <w:szCs w:val="24"/>
        </w:rPr>
        <w:t>Báo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tài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chính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lập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trình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bày</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bằng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Đồng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Việt</w:t>
      </w:r>
      <w:proofErr w:type="spellEnd"/>
      <w:r w:rsidRPr="002136F3">
        <w:rPr>
          <w:rFonts w:ascii="Times New Roman" w:hAnsi="Times New Roman"/>
          <w:sz w:val="24"/>
          <w:szCs w:val="24"/>
        </w:rPr>
        <w:t xml:space="preserve"> Nam (“VND”).</w:t>
      </w:r>
    </w:p>
    <w:p w14:paraId="4AF19EBF" w14:textId="62264DA3" w:rsidR="005B3F27" w:rsidRPr="002136F3" w:rsidRDefault="005B3F27" w:rsidP="006D5144">
      <w:pPr>
        <w:spacing w:before="120" w:after="120"/>
        <w:ind w:left="180" w:right="296"/>
        <w:jc w:val="both"/>
        <w:rPr>
          <w:rFonts w:ascii="Times New Roman" w:eastAsia="Times New Roman" w:hAnsi="Times New Roman"/>
          <w:i/>
          <w:iCs/>
          <w:sz w:val="24"/>
          <w:szCs w:val="24"/>
        </w:rPr>
      </w:pPr>
      <w:r w:rsidRPr="002136F3">
        <w:rPr>
          <w:rFonts w:ascii="Times New Roman" w:hAnsi="Times New Roman"/>
          <w:i/>
          <w:iCs/>
          <w:sz w:val="24"/>
          <w:szCs w:val="24"/>
        </w:rPr>
        <w:t>The Fund’s financial statements are presented in Vietnamese Dong, which is also the Fund’s accounting currency.</w:t>
      </w:r>
    </w:p>
    <w:p w14:paraId="3D740B4B" w14:textId="6A57A4DF" w:rsidR="00897749" w:rsidRPr="002136F3" w:rsidRDefault="00200471" w:rsidP="00D54A5B">
      <w:pPr>
        <w:shd w:val="clear" w:color="auto" w:fill="FFFFFF"/>
        <w:spacing w:before="120" w:after="120" w:line="312" w:lineRule="auto"/>
        <w:ind w:left="142" w:right="260"/>
        <w:jc w:val="both"/>
        <w:rPr>
          <w:rFonts w:ascii="Times New Roman" w:hAnsi="Times New Roman"/>
          <w:b/>
          <w:sz w:val="24"/>
          <w:szCs w:val="24"/>
          <w:lang w:val="nl-NL"/>
        </w:rPr>
      </w:pPr>
      <w:r w:rsidRPr="002136F3">
        <w:rPr>
          <w:rFonts w:ascii="Times New Roman" w:hAnsi="Times New Roman"/>
          <w:b/>
          <w:sz w:val="24"/>
          <w:szCs w:val="24"/>
          <w:lang w:val="nl-NL"/>
        </w:rPr>
        <w:t>3.</w:t>
      </w:r>
      <w:r w:rsidRPr="002136F3">
        <w:rPr>
          <w:rFonts w:ascii="Times New Roman" w:hAnsi="Times New Roman"/>
          <w:b/>
          <w:sz w:val="24"/>
          <w:szCs w:val="24"/>
          <w:lang w:val="nl-NL"/>
        </w:rPr>
        <w:tab/>
      </w:r>
      <w:r w:rsidR="00897749" w:rsidRPr="002136F3">
        <w:rPr>
          <w:rFonts w:ascii="Times New Roman" w:hAnsi="Times New Roman"/>
          <w:b/>
          <w:sz w:val="24"/>
          <w:szCs w:val="24"/>
          <w:lang w:val="nl-NL"/>
        </w:rPr>
        <w:t>Chuẩn mực và Chế độ kế toán áp dụng</w:t>
      </w:r>
      <w:r w:rsidR="005B3F27" w:rsidRPr="002136F3">
        <w:rPr>
          <w:rFonts w:ascii="Times New Roman" w:hAnsi="Times New Roman"/>
          <w:b/>
          <w:sz w:val="24"/>
          <w:szCs w:val="24"/>
          <w:lang w:val="nl-NL"/>
        </w:rPr>
        <w:t xml:space="preserve"> / Accounting standards and applicable reporting framework</w:t>
      </w:r>
    </w:p>
    <w:p w14:paraId="27E22440" w14:textId="0D663C3B" w:rsidR="00897749" w:rsidRPr="002136F3" w:rsidRDefault="00897749" w:rsidP="00D54A5B">
      <w:pPr>
        <w:shd w:val="clear" w:color="auto" w:fill="FFFFFF"/>
        <w:spacing w:before="120" w:after="120" w:line="312" w:lineRule="auto"/>
        <w:ind w:left="142" w:right="260"/>
        <w:jc w:val="both"/>
        <w:rPr>
          <w:rFonts w:ascii="Times New Roman" w:hAnsi="Times New Roman"/>
          <w:b/>
          <w:sz w:val="24"/>
          <w:szCs w:val="24"/>
          <w:lang w:val="nl-NL"/>
        </w:rPr>
      </w:pPr>
      <w:r w:rsidRPr="002136F3">
        <w:rPr>
          <w:rFonts w:ascii="Times New Roman" w:hAnsi="Times New Roman"/>
          <w:b/>
          <w:sz w:val="24"/>
          <w:szCs w:val="24"/>
          <w:lang w:val="nl-NL"/>
        </w:rPr>
        <w:t xml:space="preserve">3.1. </w:t>
      </w:r>
      <w:r w:rsidR="009C2966" w:rsidRPr="002136F3">
        <w:rPr>
          <w:rFonts w:ascii="Times New Roman" w:hAnsi="Times New Roman"/>
          <w:b/>
          <w:sz w:val="24"/>
          <w:szCs w:val="24"/>
          <w:lang w:val="nl-NL"/>
        </w:rPr>
        <w:t xml:space="preserve">   </w:t>
      </w:r>
      <w:r w:rsidRPr="002136F3">
        <w:rPr>
          <w:rFonts w:ascii="Times New Roman" w:hAnsi="Times New Roman"/>
          <w:b/>
          <w:sz w:val="24"/>
          <w:szCs w:val="24"/>
          <w:lang w:val="nl-NL"/>
        </w:rPr>
        <w:t>Chế độ kế toán áp dụng</w:t>
      </w:r>
      <w:r w:rsidR="005B3F27" w:rsidRPr="002136F3">
        <w:rPr>
          <w:rFonts w:ascii="Times New Roman" w:hAnsi="Times New Roman"/>
          <w:b/>
          <w:sz w:val="24"/>
          <w:szCs w:val="24"/>
          <w:lang w:val="nl-NL"/>
        </w:rPr>
        <w:t xml:space="preserve"> / Applicable reporting framework</w:t>
      </w:r>
    </w:p>
    <w:p w14:paraId="71CF465F" w14:textId="222575AE" w:rsidR="005B3F27" w:rsidRPr="002136F3" w:rsidRDefault="00897749" w:rsidP="006D5144">
      <w:pPr>
        <w:shd w:val="clear" w:color="auto" w:fill="FFFFFF"/>
        <w:spacing w:before="120" w:after="120" w:line="312" w:lineRule="auto"/>
        <w:ind w:left="142" w:right="206"/>
        <w:jc w:val="both"/>
        <w:rPr>
          <w:rFonts w:ascii="Times New Roman" w:hAnsi="Times New Roman"/>
          <w:sz w:val="24"/>
          <w:szCs w:val="24"/>
          <w:lang w:val="nl-NL"/>
        </w:rPr>
      </w:pPr>
      <w:r w:rsidRPr="002136F3">
        <w:rPr>
          <w:rFonts w:ascii="Times New Roman" w:hAnsi="Times New Roman"/>
          <w:sz w:val="24"/>
          <w:szCs w:val="24"/>
          <w:lang w:val="nl-NL"/>
        </w:rPr>
        <w:t>Quỹ áp dụ</w:t>
      </w:r>
      <w:r w:rsidR="00A51415" w:rsidRPr="002136F3">
        <w:rPr>
          <w:rFonts w:ascii="Times New Roman" w:hAnsi="Times New Roman"/>
          <w:sz w:val="24"/>
          <w:szCs w:val="24"/>
          <w:lang w:val="nl-NL"/>
        </w:rPr>
        <w:t>ng Chế độ kế toán Quỹ ETF ban hành theo Thông tư số 181/2015/TT-BTC ngày 13/11/2015 của Bộ Tài chính</w:t>
      </w:r>
      <w:r w:rsidRPr="002136F3">
        <w:rPr>
          <w:rFonts w:ascii="Times New Roman" w:hAnsi="Times New Roman"/>
          <w:sz w:val="24"/>
          <w:szCs w:val="24"/>
          <w:lang w:val="nl-NL"/>
        </w:rPr>
        <w:t xml:space="preserve">, </w:t>
      </w:r>
      <w:r w:rsidR="00AC16A3" w:rsidRPr="002136F3">
        <w:rPr>
          <w:rFonts w:ascii="Times New Roman" w:hAnsi="Times New Roman"/>
          <w:sz w:val="24"/>
          <w:szCs w:val="24"/>
          <w:lang w:val="nl-NL"/>
        </w:rPr>
        <w:t xml:space="preserve">Thông tư 98/2020/TT-BTC ngày 16 tháng 11 năm 2020 </w:t>
      </w:r>
      <w:r w:rsidR="00513862" w:rsidRPr="002136F3">
        <w:rPr>
          <w:rFonts w:ascii="Times New Roman" w:hAnsi="Times New Roman"/>
          <w:sz w:val="24"/>
          <w:szCs w:val="24"/>
          <w:lang w:val="nl-NL"/>
        </w:rPr>
        <w:t>của</w:t>
      </w:r>
      <w:r w:rsidR="00A71E04" w:rsidRPr="002136F3">
        <w:rPr>
          <w:rFonts w:ascii="Times New Roman" w:hAnsi="Times New Roman"/>
          <w:sz w:val="24"/>
          <w:szCs w:val="24"/>
          <w:lang w:val="nl-NL"/>
        </w:rPr>
        <w:t xml:space="preserve"> </w:t>
      </w:r>
      <w:r w:rsidR="00AC16A3" w:rsidRPr="002136F3">
        <w:rPr>
          <w:rFonts w:ascii="Times New Roman" w:hAnsi="Times New Roman"/>
          <w:sz w:val="24"/>
          <w:szCs w:val="24"/>
          <w:lang w:val="nl-NL"/>
        </w:rPr>
        <w:t>Bộ Tài chính ban hành về hướng dẫn hoạt động và quản lý quỹ đầu tư chứng khoán</w:t>
      </w:r>
      <w:r w:rsidR="00A71E04" w:rsidRPr="002136F3">
        <w:rPr>
          <w:rFonts w:ascii="Times New Roman" w:hAnsi="Times New Roman"/>
          <w:sz w:val="24"/>
          <w:szCs w:val="24"/>
          <w:lang w:val="nl-NL"/>
        </w:rPr>
        <w:t xml:space="preserve"> </w:t>
      </w:r>
      <w:r w:rsidR="00EB5911" w:rsidRPr="002136F3">
        <w:rPr>
          <w:rFonts w:ascii="Times New Roman" w:hAnsi="Times New Roman"/>
          <w:sz w:val="24"/>
          <w:szCs w:val="24"/>
          <w:lang w:val="nl-NL"/>
        </w:rPr>
        <w:t xml:space="preserve">(“Thông tư 98”) </w:t>
      </w:r>
      <w:r w:rsidR="00A71E04" w:rsidRPr="002136F3">
        <w:rPr>
          <w:rFonts w:ascii="Times New Roman" w:hAnsi="Times New Roman"/>
          <w:sz w:val="24"/>
          <w:szCs w:val="24"/>
          <w:lang w:val="nl-NL"/>
        </w:rPr>
        <w:t>và các quy định có liên quan khác.</w:t>
      </w:r>
    </w:p>
    <w:p w14:paraId="2D804AE6" w14:textId="76AA394F" w:rsidR="005B3F27" w:rsidRPr="002136F3" w:rsidRDefault="00AE2D55" w:rsidP="006D5144">
      <w:pPr>
        <w:widowControl w:val="0"/>
        <w:ind w:left="180" w:right="206"/>
        <w:jc w:val="both"/>
        <w:rPr>
          <w:rFonts w:ascii="Times New Roman" w:hAnsi="Times New Roman"/>
          <w:i/>
          <w:iCs/>
          <w:sz w:val="24"/>
          <w:szCs w:val="24"/>
          <w:lang w:val="nl-NL"/>
        </w:rPr>
      </w:pPr>
      <w:r w:rsidRPr="002136F3">
        <w:rPr>
          <w:rFonts w:ascii="Times New Roman" w:hAnsi="Times New Roman"/>
          <w:i/>
          <w:iCs/>
          <w:sz w:val="24"/>
          <w:szCs w:val="24"/>
          <w:lang w:val="nl-NL"/>
        </w:rPr>
        <w:t xml:space="preserve">Fund is apply Accounting regime for ETF in accordance with </w:t>
      </w:r>
      <w:r w:rsidR="005B3F27" w:rsidRPr="002136F3">
        <w:rPr>
          <w:rFonts w:ascii="Times New Roman" w:hAnsi="Times New Roman"/>
          <w:i/>
          <w:iCs/>
          <w:sz w:val="24"/>
          <w:szCs w:val="24"/>
          <w:lang w:val="nl-NL"/>
        </w:rPr>
        <w:t>Circular No. 181/2015/TT-BTC dated 13 November 2015 issued by the Ministry of  Finance</w:t>
      </w:r>
      <w:r w:rsidRPr="002136F3">
        <w:rPr>
          <w:rFonts w:ascii="Times New Roman" w:hAnsi="Times New Roman"/>
          <w:i/>
          <w:iCs/>
          <w:sz w:val="24"/>
          <w:szCs w:val="24"/>
          <w:lang w:val="nl-NL"/>
        </w:rPr>
        <w:t xml:space="preserve">, </w:t>
      </w:r>
      <w:r w:rsidR="005B3F27" w:rsidRPr="002136F3">
        <w:rPr>
          <w:rFonts w:ascii="Times New Roman" w:hAnsi="Times New Roman"/>
          <w:i/>
          <w:iCs/>
          <w:sz w:val="24"/>
          <w:szCs w:val="24"/>
          <w:lang w:val="nl-NL"/>
        </w:rPr>
        <w:t>Circular No. 98/2020/TT-BTC dated 16 November 2020 (“Circular 98”) issued by the Ministry of Finance providing guidance on operation and management of securities investment funds and the other relevant statutory requirements applicable to financial reporting.</w:t>
      </w:r>
    </w:p>
    <w:p w14:paraId="630C4F7B" w14:textId="6DC03337" w:rsidR="00897749" w:rsidRPr="006551CD" w:rsidRDefault="00200471" w:rsidP="00D54A5B">
      <w:pPr>
        <w:shd w:val="clear" w:color="auto" w:fill="FFFFFF"/>
        <w:spacing w:before="120" w:after="120" w:line="312" w:lineRule="auto"/>
        <w:ind w:left="142" w:right="260"/>
        <w:jc w:val="both"/>
        <w:rPr>
          <w:rFonts w:ascii="Times New Roman" w:hAnsi="Times New Roman"/>
          <w:b/>
          <w:sz w:val="24"/>
          <w:szCs w:val="24"/>
          <w:lang w:val="nl-NL"/>
        </w:rPr>
      </w:pPr>
      <w:r w:rsidRPr="002136F3">
        <w:rPr>
          <w:rFonts w:ascii="Times New Roman" w:hAnsi="Times New Roman"/>
          <w:b/>
          <w:sz w:val="24"/>
          <w:szCs w:val="24"/>
          <w:lang w:val="nl-NL"/>
        </w:rPr>
        <w:t>3.2.</w:t>
      </w:r>
      <w:r w:rsidRPr="002136F3">
        <w:rPr>
          <w:rFonts w:ascii="Times New Roman" w:hAnsi="Times New Roman"/>
          <w:b/>
          <w:sz w:val="24"/>
          <w:szCs w:val="24"/>
          <w:lang w:val="nl-NL"/>
        </w:rPr>
        <w:tab/>
      </w:r>
      <w:r w:rsidR="00897749" w:rsidRPr="002136F3">
        <w:rPr>
          <w:rFonts w:ascii="Times New Roman" w:hAnsi="Times New Roman"/>
          <w:b/>
          <w:sz w:val="24"/>
          <w:szCs w:val="24"/>
          <w:lang w:val="nl-NL"/>
        </w:rPr>
        <w:t>Tuyên bố về việc tuân thủ Chuẩn mực kế toán và Chế độ kế toán</w:t>
      </w:r>
      <w:r w:rsidR="005B3F27" w:rsidRPr="002136F3">
        <w:rPr>
          <w:rFonts w:ascii="Times New Roman" w:hAnsi="Times New Roman"/>
          <w:b/>
          <w:sz w:val="24"/>
          <w:szCs w:val="24"/>
          <w:lang w:val="nl-NL"/>
        </w:rPr>
        <w:t xml:space="preserve"> / </w:t>
      </w:r>
      <w:r w:rsidR="005B3F27" w:rsidRPr="006551CD">
        <w:rPr>
          <w:rFonts w:ascii="Times New Roman" w:hAnsi="Times New Roman"/>
          <w:b/>
          <w:sz w:val="24"/>
          <w:szCs w:val="24"/>
          <w:lang w:val="nl-NL"/>
        </w:rPr>
        <w:t>Acknowledgement of compliance of Accounting standards and reporting framework</w:t>
      </w:r>
    </w:p>
    <w:p w14:paraId="6A52105A" w14:textId="27616B45" w:rsidR="00897749" w:rsidRPr="002136F3" w:rsidRDefault="00897749" w:rsidP="00D54A5B">
      <w:pPr>
        <w:widowControl w:val="0"/>
        <w:spacing w:before="120" w:after="120" w:line="312" w:lineRule="auto"/>
        <w:ind w:left="142" w:right="260"/>
        <w:jc w:val="both"/>
        <w:rPr>
          <w:rFonts w:ascii="Times New Roman" w:hAnsi="Times New Roman"/>
          <w:sz w:val="24"/>
          <w:szCs w:val="24"/>
        </w:rPr>
      </w:pPr>
      <w:proofErr w:type="spellStart"/>
      <w:r w:rsidRPr="002136F3">
        <w:rPr>
          <w:rFonts w:ascii="Times New Roman" w:hAnsi="Times New Roman"/>
          <w:sz w:val="24"/>
          <w:szCs w:val="24"/>
        </w:rPr>
        <w:lastRenderedPageBreak/>
        <w:t>Báo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tài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chính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lập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theo</w:t>
      </w:r>
      <w:proofErr w:type="spellEnd"/>
      <w:r w:rsidRPr="002136F3">
        <w:rPr>
          <w:rFonts w:ascii="Times New Roman" w:hAnsi="Times New Roman"/>
          <w:sz w:val="24"/>
          <w:szCs w:val="24"/>
        </w:rPr>
        <w:t xml:space="preserve"> </w:t>
      </w:r>
      <w:r w:rsidR="00A51415" w:rsidRPr="002136F3">
        <w:rPr>
          <w:rFonts w:ascii="Times New Roman" w:hAnsi="Times New Roman"/>
          <w:sz w:val="24"/>
          <w:szCs w:val="24"/>
        </w:rPr>
        <w:t xml:space="preserve">Thông </w:t>
      </w:r>
      <w:proofErr w:type="spellStart"/>
      <w:r w:rsidR="00A51415" w:rsidRPr="002136F3">
        <w:rPr>
          <w:rFonts w:ascii="Times New Roman" w:hAnsi="Times New Roman"/>
          <w:sz w:val="24"/>
          <w:szCs w:val="24"/>
        </w:rPr>
        <w:t>tư</w:t>
      </w:r>
      <w:proofErr w:type="spellEnd"/>
      <w:r w:rsidR="00A51415" w:rsidRPr="002136F3">
        <w:rPr>
          <w:rFonts w:ascii="Times New Roman" w:hAnsi="Times New Roman"/>
          <w:sz w:val="24"/>
          <w:szCs w:val="24"/>
        </w:rPr>
        <w:t xml:space="preserve"> </w:t>
      </w:r>
      <w:proofErr w:type="spellStart"/>
      <w:r w:rsidR="00A51415" w:rsidRPr="002136F3">
        <w:rPr>
          <w:rFonts w:ascii="Times New Roman" w:hAnsi="Times New Roman"/>
          <w:sz w:val="24"/>
          <w:szCs w:val="24"/>
        </w:rPr>
        <w:t>số</w:t>
      </w:r>
      <w:proofErr w:type="spellEnd"/>
      <w:r w:rsidR="00A51415" w:rsidRPr="002136F3">
        <w:rPr>
          <w:rFonts w:ascii="Times New Roman" w:hAnsi="Times New Roman"/>
          <w:sz w:val="24"/>
          <w:szCs w:val="24"/>
        </w:rPr>
        <w:t xml:space="preserve"> 181/2015/TT-BTC </w:t>
      </w:r>
      <w:proofErr w:type="spellStart"/>
      <w:r w:rsidR="00A51415" w:rsidRPr="002136F3">
        <w:rPr>
          <w:rFonts w:ascii="Times New Roman" w:hAnsi="Times New Roman"/>
          <w:sz w:val="24"/>
          <w:szCs w:val="24"/>
        </w:rPr>
        <w:t>ngày</w:t>
      </w:r>
      <w:proofErr w:type="spellEnd"/>
      <w:r w:rsidR="00A51415" w:rsidRPr="002136F3">
        <w:rPr>
          <w:rFonts w:ascii="Times New Roman" w:hAnsi="Times New Roman"/>
          <w:sz w:val="24"/>
          <w:szCs w:val="24"/>
        </w:rPr>
        <w:t xml:space="preserve"> 13/11/2015 </w:t>
      </w:r>
      <w:proofErr w:type="spellStart"/>
      <w:r w:rsidR="00A51415" w:rsidRPr="002136F3">
        <w:rPr>
          <w:rFonts w:ascii="Times New Roman" w:hAnsi="Times New Roman"/>
          <w:sz w:val="24"/>
          <w:szCs w:val="24"/>
        </w:rPr>
        <w:t>của</w:t>
      </w:r>
      <w:proofErr w:type="spellEnd"/>
      <w:r w:rsidR="00A51415" w:rsidRPr="002136F3">
        <w:rPr>
          <w:rFonts w:ascii="Times New Roman" w:hAnsi="Times New Roman"/>
          <w:sz w:val="24"/>
          <w:szCs w:val="24"/>
        </w:rPr>
        <w:t xml:space="preserve"> </w:t>
      </w:r>
      <w:proofErr w:type="spellStart"/>
      <w:r w:rsidR="00A51415" w:rsidRPr="002136F3">
        <w:rPr>
          <w:rFonts w:ascii="Times New Roman" w:hAnsi="Times New Roman"/>
          <w:sz w:val="24"/>
          <w:szCs w:val="24"/>
        </w:rPr>
        <w:t>Bộ</w:t>
      </w:r>
      <w:proofErr w:type="spellEnd"/>
      <w:r w:rsidR="00A51415" w:rsidRPr="002136F3">
        <w:rPr>
          <w:rFonts w:ascii="Times New Roman" w:hAnsi="Times New Roman"/>
          <w:sz w:val="24"/>
          <w:szCs w:val="24"/>
        </w:rPr>
        <w:t xml:space="preserve"> </w:t>
      </w:r>
      <w:proofErr w:type="spellStart"/>
      <w:r w:rsidR="00A51415" w:rsidRPr="002136F3">
        <w:rPr>
          <w:rFonts w:ascii="Times New Roman" w:hAnsi="Times New Roman"/>
          <w:sz w:val="24"/>
          <w:szCs w:val="24"/>
        </w:rPr>
        <w:t>Tài</w:t>
      </w:r>
      <w:proofErr w:type="spellEnd"/>
      <w:r w:rsidR="00A51415" w:rsidRPr="002136F3">
        <w:rPr>
          <w:rFonts w:ascii="Times New Roman" w:hAnsi="Times New Roman"/>
          <w:sz w:val="24"/>
          <w:szCs w:val="24"/>
        </w:rPr>
        <w:t xml:space="preserve"> </w:t>
      </w:r>
      <w:proofErr w:type="spellStart"/>
      <w:r w:rsidR="00A51415" w:rsidRPr="002136F3">
        <w:rPr>
          <w:rFonts w:ascii="Times New Roman" w:hAnsi="Times New Roman"/>
          <w:sz w:val="24"/>
          <w:szCs w:val="24"/>
        </w:rPr>
        <w:t>chính</w:t>
      </w:r>
      <w:proofErr w:type="spellEnd"/>
      <w:r w:rsidRPr="002136F3">
        <w:rPr>
          <w:rFonts w:ascii="Times New Roman" w:hAnsi="Times New Roman"/>
          <w:sz w:val="24"/>
          <w:szCs w:val="24"/>
        </w:rPr>
        <w:t xml:space="preserve">, </w:t>
      </w:r>
      <w:bookmarkStart w:id="0" w:name="_Hlk68767941"/>
      <w:r w:rsidR="00AC16A3" w:rsidRPr="002136F3">
        <w:rPr>
          <w:rFonts w:ascii="Times New Roman" w:hAnsi="Times New Roman"/>
          <w:sz w:val="24"/>
          <w:szCs w:val="24"/>
        </w:rPr>
        <w:t xml:space="preserve">Thông </w:t>
      </w:r>
      <w:proofErr w:type="spellStart"/>
      <w:r w:rsidR="00AC16A3" w:rsidRPr="002136F3">
        <w:rPr>
          <w:rFonts w:ascii="Times New Roman" w:hAnsi="Times New Roman"/>
          <w:sz w:val="24"/>
          <w:szCs w:val="24"/>
        </w:rPr>
        <w:t>tư</w:t>
      </w:r>
      <w:proofErr w:type="spellEnd"/>
      <w:r w:rsidR="00AC16A3" w:rsidRPr="002136F3">
        <w:rPr>
          <w:rFonts w:ascii="Times New Roman" w:hAnsi="Times New Roman"/>
          <w:sz w:val="24"/>
          <w:szCs w:val="24"/>
        </w:rPr>
        <w:t xml:space="preserve"> 98/2020/TT-BTC </w:t>
      </w:r>
      <w:proofErr w:type="spellStart"/>
      <w:r w:rsidR="00AC16A3" w:rsidRPr="002136F3">
        <w:rPr>
          <w:rFonts w:ascii="Times New Roman" w:hAnsi="Times New Roman"/>
          <w:sz w:val="24"/>
          <w:szCs w:val="24"/>
        </w:rPr>
        <w:t>ngày</w:t>
      </w:r>
      <w:proofErr w:type="spellEnd"/>
      <w:r w:rsidR="00AC16A3" w:rsidRPr="002136F3">
        <w:rPr>
          <w:rFonts w:ascii="Times New Roman" w:hAnsi="Times New Roman"/>
          <w:sz w:val="24"/>
          <w:szCs w:val="24"/>
        </w:rPr>
        <w:t xml:space="preserve"> 16 </w:t>
      </w:r>
      <w:proofErr w:type="spellStart"/>
      <w:r w:rsidR="00AC16A3" w:rsidRPr="002136F3">
        <w:rPr>
          <w:rFonts w:ascii="Times New Roman" w:hAnsi="Times New Roman"/>
          <w:sz w:val="24"/>
          <w:szCs w:val="24"/>
        </w:rPr>
        <w:t>tháng</w:t>
      </w:r>
      <w:proofErr w:type="spellEnd"/>
      <w:r w:rsidR="00AC16A3" w:rsidRPr="002136F3">
        <w:rPr>
          <w:rFonts w:ascii="Times New Roman" w:hAnsi="Times New Roman"/>
          <w:sz w:val="24"/>
          <w:szCs w:val="24"/>
        </w:rPr>
        <w:t xml:space="preserve"> 11 </w:t>
      </w:r>
      <w:proofErr w:type="spellStart"/>
      <w:r w:rsidR="00AC16A3" w:rsidRPr="002136F3">
        <w:rPr>
          <w:rFonts w:ascii="Times New Roman" w:hAnsi="Times New Roman"/>
          <w:sz w:val="24"/>
          <w:szCs w:val="24"/>
        </w:rPr>
        <w:t>năm</w:t>
      </w:r>
      <w:proofErr w:type="spellEnd"/>
      <w:r w:rsidR="00AC16A3" w:rsidRPr="002136F3">
        <w:rPr>
          <w:rFonts w:ascii="Times New Roman" w:hAnsi="Times New Roman"/>
          <w:sz w:val="24"/>
          <w:szCs w:val="24"/>
        </w:rPr>
        <w:t xml:space="preserve"> 2020 </w:t>
      </w:r>
      <w:proofErr w:type="spellStart"/>
      <w:r w:rsidR="00513862" w:rsidRPr="002136F3">
        <w:rPr>
          <w:rFonts w:ascii="Times New Roman" w:hAnsi="Times New Roman"/>
          <w:sz w:val="24"/>
          <w:szCs w:val="24"/>
        </w:rPr>
        <w:t>của</w:t>
      </w:r>
      <w:proofErr w:type="spellEnd"/>
      <w:r w:rsidR="00A71E04" w:rsidRPr="002136F3">
        <w:rPr>
          <w:rFonts w:ascii="Times New Roman" w:hAnsi="Times New Roman"/>
          <w:sz w:val="24"/>
          <w:szCs w:val="24"/>
        </w:rPr>
        <w:t xml:space="preserve"> </w:t>
      </w:r>
      <w:proofErr w:type="spellStart"/>
      <w:r w:rsidR="00AC16A3" w:rsidRPr="002136F3">
        <w:rPr>
          <w:rFonts w:ascii="Times New Roman" w:hAnsi="Times New Roman"/>
          <w:sz w:val="24"/>
          <w:szCs w:val="24"/>
        </w:rPr>
        <w:t>Bộ</w:t>
      </w:r>
      <w:proofErr w:type="spellEnd"/>
      <w:r w:rsidR="00AC16A3" w:rsidRPr="002136F3">
        <w:rPr>
          <w:rFonts w:ascii="Times New Roman" w:hAnsi="Times New Roman"/>
          <w:sz w:val="24"/>
          <w:szCs w:val="24"/>
        </w:rPr>
        <w:t xml:space="preserve"> </w:t>
      </w:r>
      <w:proofErr w:type="spellStart"/>
      <w:r w:rsidR="00AC16A3" w:rsidRPr="002136F3">
        <w:rPr>
          <w:rFonts w:ascii="Times New Roman" w:hAnsi="Times New Roman"/>
          <w:sz w:val="24"/>
          <w:szCs w:val="24"/>
        </w:rPr>
        <w:t>Tài</w:t>
      </w:r>
      <w:proofErr w:type="spellEnd"/>
      <w:r w:rsidR="00AC16A3" w:rsidRPr="002136F3">
        <w:rPr>
          <w:rFonts w:ascii="Times New Roman" w:hAnsi="Times New Roman"/>
          <w:sz w:val="24"/>
          <w:szCs w:val="24"/>
        </w:rPr>
        <w:t xml:space="preserve"> </w:t>
      </w:r>
      <w:proofErr w:type="spellStart"/>
      <w:r w:rsidR="00AC16A3" w:rsidRPr="002136F3">
        <w:rPr>
          <w:rFonts w:ascii="Times New Roman" w:hAnsi="Times New Roman"/>
          <w:sz w:val="24"/>
          <w:szCs w:val="24"/>
        </w:rPr>
        <w:t>chính</w:t>
      </w:r>
      <w:proofErr w:type="spellEnd"/>
      <w:r w:rsidR="00AC16A3" w:rsidRPr="002136F3">
        <w:rPr>
          <w:rFonts w:ascii="Times New Roman" w:hAnsi="Times New Roman"/>
          <w:sz w:val="24"/>
          <w:szCs w:val="24"/>
        </w:rPr>
        <w:t xml:space="preserve"> ban </w:t>
      </w:r>
      <w:proofErr w:type="spellStart"/>
      <w:r w:rsidR="00AC16A3" w:rsidRPr="002136F3">
        <w:rPr>
          <w:rFonts w:ascii="Times New Roman" w:hAnsi="Times New Roman"/>
          <w:sz w:val="24"/>
          <w:szCs w:val="24"/>
        </w:rPr>
        <w:t>hành</w:t>
      </w:r>
      <w:proofErr w:type="spellEnd"/>
      <w:r w:rsidR="00AC16A3" w:rsidRPr="002136F3">
        <w:rPr>
          <w:rFonts w:ascii="Times New Roman" w:hAnsi="Times New Roman"/>
          <w:sz w:val="24"/>
          <w:szCs w:val="24"/>
        </w:rPr>
        <w:t xml:space="preserve"> </w:t>
      </w:r>
      <w:proofErr w:type="spellStart"/>
      <w:r w:rsidR="00AC16A3" w:rsidRPr="002136F3">
        <w:rPr>
          <w:rFonts w:ascii="Times New Roman" w:hAnsi="Times New Roman"/>
          <w:sz w:val="24"/>
          <w:szCs w:val="24"/>
        </w:rPr>
        <w:t>về</w:t>
      </w:r>
      <w:proofErr w:type="spellEnd"/>
      <w:r w:rsidR="00AC16A3" w:rsidRPr="002136F3">
        <w:rPr>
          <w:rFonts w:ascii="Times New Roman" w:hAnsi="Times New Roman"/>
          <w:sz w:val="24"/>
          <w:szCs w:val="24"/>
        </w:rPr>
        <w:t xml:space="preserve"> </w:t>
      </w:r>
      <w:proofErr w:type="spellStart"/>
      <w:r w:rsidR="00AC16A3" w:rsidRPr="002136F3">
        <w:rPr>
          <w:rFonts w:ascii="Times New Roman" w:hAnsi="Times New Roman"/>
          <w:sz w:val="24"/>
          <w:szCs w:val="24"/>
        </w:rPr>
        <w:t>hướng</w:t>
      </w:r>
      <w:proofErr w:type="spellEnd"/>
      <w:r w:rsidR="00AC16A3" w:rsidRPr="002136F3">
        <w:rPr>
          <w:rFonts w:ascii="Times New Roman" w:hAnsi="Times New Roman"/>
          <w:sz w:val="24"/>
          <w:szCs w:val="24"/>
        </w:rPr>
        <w:t xml:space="preserve"> </w:t>
      </w:r>
      <w:proofErr w:type="spellStart"/>
      <w:r w:rsidR="00AC16A3" w:rsidRPr="002136F3">
        <w:rPr>
          <w:rFonts w:ascii="Times New Roman" w:hAnsi="Times New Roman"/>
          <w:sz w:val="24"/>
          <w:szCs w:val="24"/>
        </w:rPr>
        <w:t>dẫn</w:t>
      </w:r>
      <w:proofErr w:type="spellEnd"/>
      <w:r w:rsidR="00AC16A3" w:rsidRPr="002136F3">
        <w:rPr>
          <w:rFonts w:ascii="Times New Roman" w:hAnsi="Times New Roman"/>
          <w:sz w:val="24"/>
          <w:szCs w:val="24"/>
        </w:rPr>
        <w:t xml:space="preserve"> </w:t>
      </w:r>
      <w:proofErr w:type="spellStart"/>
      <w:r w:rsidR="00AC16A3" w:rsidRPr="002136F3">
        <w:rPr>
          <w:rFonts w:ascii="Times New Roman" w:hAnsi="Times New Roman"/>
          <w:sz w:val="24"/>
          <w:szCs w:val="24"/>
        </w:rPr>
        <w:t>hoạt</w:t>
      </w:r>
      <w:proofErr w:type="spellEnd"/>
      <w:r w:rsidR="00AC16A3" w:rsidRPr="002136F3">
        <w:rPr>
          <w:rFonts w:ascii="Times New Roman" w:hAnsi="Times New Roman"/>
          <w:sz w:val="24"/>
          <w:szCs w:val="24"/>
        </w:rPr>
        <w:t xml:space="preserve"> </w:t>
      </w:r>
      <w:proofErr w:type="spellStart"/>
      <w:r w:rsidR="00AC16A3" w:rsidRPr="002136F3">
        <w:rPr>
          <w:rFonts w:ascii="Times New Roman" w:hAnsi="Times New Roman"/>
          <w:sz w:val="24"/>
          <w:szCs w:val="24"/>
        </w:rPr>
        <w:t>động</w:t>
      </w:r>
      <w:proofErr w:type="spellEnd"/>
      <w:r w:rsidR="00AC16A3" w:rsidRPr="002136F3">
        <w:rPr>
          <w:rFonts w:ascii="Times New Roman" w:hAnsi="Times New Roman"/>
          <w:sz w:val="24"/>
          <w:szCs w:val="24"/>
        </w:rPr>
        <w:t xml:space="preserve"> </w:t>
      </w:r>
      <w:proofErr w:type="spellStart"/>
      <w:r w:rsidR="00AC16A3" w:rsidRPr="002136F3">
        <w:rPr>
          <w:rFonts w:ascii="Times New Roman" w:hAnsi="Times New Roman"/>
          <w:sz w:val="24"/>
          <w:szCs w:val="24"/>
        </w:rPr>
        <w:t>và</w:t>
      </w:r>
      <w:proofErr w:type="spellEnd"/>
      <w:r w:rsidR="00AC16A3" w:rsidRPr="002136F3">
        <w:rPr>
          <w:rFonts w:ascii="Times New Roman" w:hAnsi="Times New Roman"/>
          <w:sz w:val="24"/>
          <w:szCs w:val="24"/>
        </w:rPr>
        <w:t xml:space="preserve"> </w:t>
      </w:r>
      <w:proofErr w:type="spellStart"/>
      <w:r w:rsidR="00AC16A3" w:rsidRPr="002136F3">
        <w:rPr>
          <w:rFonts w:ascii="Times New Roman" w:hAnsi="Times New Roman"/>
          <w:sz w:val="24"/>
          <w:szCs w:val="24"/>
        </w:rPr>
        <w:t>quản</w:t>
      </w:r>
      <w:proofErr w:type="spellEnd"/>
      <w:r w:rsidR="00AC16A3" w:rsidRPr="002136F3">
        <w:rPr>
          <w:rFonts w:ascii="Times New Roman" w:hAnsi="Times New Roman"/>
          <w:sz w:val="24"/>
          <w:szCs w:val="24"/>
        </w:rPr>
        <w:t xml:space="preserve"> </w:t>
      </w:r>
      <w:proofErr w:type="spellStart"/>
      <w:r w:rsidR="00AC16A3" w:rsidRPr="002136F3">
        <w:rPr>
          <w:rFonts w:ascii="Times New Roman" w:hAnsi="Times New Roman"/>
          <w:sz w:val="24"/>
          <w:szCs w:val="24"/>
        </w:rPr>
        <w:t>lý</w:t>
      </w:r>
      <w:proofErr w:type="spellEnd"/>
      <w:r w:rsidR="00AC16A3" w:rsidRPr="002136F3">
        <w:rPr>
          <w:rFonts w:ascii="Times New Roman" w:hAnsi="Times New Roman"/>
          <w:sz w:val="24"/>
          <w:szCs w:val="24"/>
        </w:rPr>
        <w:t xml:space="preserve"> </w:t>
      </w:r>
      <w:proofErr w:type="spellStart"/>
      <w:r w:rsidR="00AC16A3" w:rsidRPr="002136F3">
        <w:rPr>
          <w:rFonts w:ascii="Times New Roman" w:hAnsi="Times New Roman"/>
          <w:sz w:val="24"/>
          <w:szCs w:val="24"/>
        </w:rPr>
        <w:t>quỹ</w:t>
      </w:r>
      <w:proofErr w:type="spellEnd"/>
      <w:r w:rsidR="00AC16A3" w:rsidRPr="002136F3">
        <w:rPr>
          <w:rFonts w:ascii="Times New Roman" w:hAnsi="Times New Roman"/>
          <w:sz w:val="24"/>
          <w:szCs w:val="24"/>
        </w:rPr>
        <w:t xml:space="preserve"> </w:t>
      </w:r>
      <w:proofErr w:type="spellStart"/>
      <w:r w:rsidR="00AC16A3" w:rsidRPr="002136F3">
        <w:rPr>
          <w:rFonts w:ascii="Times New Roman" w:hAnsi="Times New Roman"/>
          <w:sz w:val="24"/>
          <w:szCs w:val="24"/>
        </w:rPr>
        <w:t>đầu</w:t>
      </w:r>
      <w:proofErr w:type="spellEnd"/>
      <w:r w:rsidR="00AC16A3" w:rsidRPr="002136F3">
        <w:rPr>
          <w:rFonts w:ascii="Times New Roman" w:hAnsi="Times New Roman"/>
          <w:sz w:val="24"/>
          <w:szCs w:val="24"/>
        </w:rPr>
        <w:t xml:space="preserve"> </w:t>
      </w:r>
      <w:proofErr w:type="spellStart"/>
      <w:r w:rsidR="00AC16A3" w:rsidRPr="002136F3">
        <w:rPr>
          <w:rFonts w:ascii="Times New Roman" w:hAnsi="Times New Roman"/>
          <w:sz w:val="24"/>
          <w:szCs w:val="24"/>
        </w:rPr>
        <w:t>tư</w:t>
      </w:r>
      <w:proofErr w:type="spellEnd"/>
      <w:r w:rsidR="00AC16A3" w:rsidRPr="002136F3">
        <w:rPr>
          <w:rFonts w:ascii="Times New Roman" w:hAnsi="Times New Roman"/>
          <w:sz w:val="24"/>
          <w:szCs w:val="24"/>
        </w:rPr>
        <w:t xml:space="preserve"> </w:t>
      </w:r>
      <w:proofErr w:type="spellStart"/>
      <w:r w:rsidR="00AC16A3" w:rsidRPr="002136F3">
        <w:rPr>
          <w:rFonts w:ascii="Times New Roman" w:hAnsi="Times New Roman"/>
          <w:sz w:val="24"/>
          <w:szCs w:val="24"/>
        </w:rPr>
        <w:t>chứng</w:t>
      </w:r>
      <w:proofErr w:type="spellEnd"/>
      <w:r w:rsidR="00AC16A3" w:rsidRPr="002136F3">
        <w:rPr>
          <w:rFonts w:ascii="Times New Roman" w:hAnsi="Times New Roman"/>
          <w:sz w:val="24"/>
          <w:szCs w:val="24"/>
        </w:rPr>
        <w:t xml:space="preserve"> </w:t>
      </w:r>
      <w:proofErr w:type="spellStart"/>
      <w:r w:rsidR="00AC16A3" w:rsidRPr="002136F3">
        <w:rPr>
          <w:rFonts w:ascii="Times New Roman" w:hAnsi="Times New Roman"/>
          <w:sz w:val="24"/>
          <w:szCs w:val="24"/>
        </w:rPr>
        <w:t>khoán</w:t>
      </w:r>
      <w:bookmarkEnd w:id="0"/>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Chuẩn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mực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Kế</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toán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Việt</w:t>
      </w:r>
      <w:proofErr w:type="spellEnd"/>
      <w:r w:rsidRPr="002136F3">
        <w:rPr>
          <w:rFonts w:ascii="Times New Roman" w:hAnsi="Times New Roman"/>
          <w:sz w:val="24"/>
          <w:szCs w:val="24"/>
        </w:rPr>
        <w:t xml:space="preserve"> Nam, </w:t>
      </w:r>
      <w:proofErr w:type="spellStart"/>
      <w:r w:rsidRPr="002136F3">
        <w:rPr>
          <w:rFonts w:ascii="Times New Roman" w:hAnsi="Times New Roman"/>
          <w:sz w:val="24"/>
          <w:szCs w:val="24"/>
        </w:rPr>
        <w:t>Chế</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độ</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Kế</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toán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doanh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nghiệp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Việt</w:t>
      </w:r>
      <w:proofErr w:type="spellEnd"/>
      <w:r w:rsidRPr="002136F3">
        <w:rPr>
          <w:rFonts w:ascii="Times New Roman" w:hAnsi="Times New Roman"/>
          <w:sz w:val="24"/>
          <w:szCs w:val="24"/>
        </w:rPr>
        <w:t xml:space="preserve"> Nam </w:t>
      </w:r>
      <w:proofErr w:type="spellStart"/>
      <w:r w:rsidRPr="002136F3">
        <w:rPr>
          <w:rFonts w:ascii="Times New Roman" w:hAnsi="Times New Roman"/>
          <w:sz w:val="24"/>
          <w:szCs w:val="24"/>
        </w:rPr>
        <w:t>và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quy</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định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có</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liên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quan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đến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việc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lập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trình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bày</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báo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tài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chính</w:t>
      </w:r>
      <w:proofErr w:type="spellEnd"/>
      <w:r w:rsidR="00E03BF4" w:rsidRPr="002136F3">
        <w:rPr>
          <w:rFonts w:ascii="Times New Roman" w:hAnsi="Times New Roman"/>
          <w:sz w:val="24"/>
          <w:szCs w:val="24"/>
        </w:rPr>
        <w:t>.</w:t>
      </w:r>
    </w:p>
    <w:p w14:paraId="7C581942" w14:textId="73E63BCD" w:rsidR="00DA14F5" w:rsidRPr="002136F3" w:rsidRDefault="00AE2D55" w:rsidP="00AE2D55">
      <w:pPr>
        <w:widowControl w:val="0"/>
        <w:spacing w:before="120" w:after="120" w:line="312" w:lineRule="auto"/>
        <w:ind w:left="142" w:right="260"/>
        <w:jc w:val="both"/>
        <w:rPr>
          <w:rFonts w:ascii="Times New Roman" w:hAnsi="Times New Roman"/>
          <w:i/>
          <w:iCs/>
          <w:sz w:val="24"/>
          <w:szCs w:val="24"/>
          <w:lang w:val="nl-NL"/>
        </w:rPr>
      </w:pPr>
      <w:r w:rsidRPr="002136F3">
        <w:rPr>
          <w:rFonts w:ascii="Times New Roman" w:hAnsi="Times New Roman"/>
          <w:i/>
          <w:iCs/>
          <w:sz w:val="24"/>
          <w:szCs w:val="24"/>
          <w:lang w:val="nl-NL"/>
        </w:rPr>
        <w:t>The financial statements have been prepared in accordance with Vietnamese Accounting Standards, Circular No. 181/2015/TT-BTC dated 13 November 2015 issued by the Ministry of  Finance on the promulgation of accounting system for exchange-traded funds (“Circular 181”), Circular No. 98/2020/TT-BTC dated 16 November 2020 (“Circular 98”) issued by the Ministry of Finance providing guidance on operation and management of securities investment funds and the other relevant statutory requirements applicable to financial reporting.</w:t>
      </w:r>
    </w:p>
    <w:p w14:paraId="694A3166" w14:textId="15C65E3C" w:rsidR="00897749" w:rsidRPr="002136F3" w:rsidRDefault="00200471" w:rsidP="00D54A5B">
      <w:pPr>
        <w:shd w:val="clear" w:color="auto" w:fill="FFFFFF"/>
        <w:spacing w:before="120" w:after="120" w:line="312" w:lineRule="auto"/>
        <w:ind w:left="142" w:right="260"/>
        <w:jc w:val="both"/>
        <w:rPr>
          <w:rFonts w:ascii="Times New Roman" w:hAnsi="Times New Roman"/>
          <w:b/>
          <w:sz w:val="24"/>
          <w:szCs w:val="24"/>
          <w:lang w:val="nl-NL"/>
        </w:rPr>
      </w:pPr>
      <w:r w:rsidRPr="002136F3">
        <w:rPr>
          <w:rFonts w:ascii="Times New Roman" w:hAnsi="Times New Roman"/>
          <w:b/>
          <w:sz w:val="24"/>
          <w:szCs w:val="24"/>
          <w:lang w:val="nl-NL"/>
        </w:rPr>
        <w:t>3.3.</w:t>
      </w:r>
      <w:r w:rsidRPr="002136F3">
        <w:rPr>
          <w:rFonts w:ascii="Times New Roman" w:hAnsi="Times New Roman"/>
          <w:b/>
          <w:sz w:val="24"/>
          <w:szCs w:val="24"/>
          <w:lang w:val="nl-NL"/>
        </w:rPr>
        <w:tab/>
      </w:r>
      <w:r w:rsidR="00897749" w:rsidRPr="002136F3">
        <w:rPr>
          <w:rFonts w:ascii="Times New Roman" w:hAnsi="Times New Roman"/>
          <w:b/>
          <w:sz w:val="24"/>
          <w:szCs w:val="24"/>
          <w:lang w:val="nl-NL"/>
        </w:rPr>
        <w:t>Hình thức kế toán áp dụng: Nhật ký chung</w:t>
      </w:r>
      <w:r w:rsidR="00AE2D55" w:rsidRPr="002136F3">
        <w:rPr>
          <w:rFonts w:ascii="Times New Roman" w:hAnsi="Times New Roman"/>
          <w:b/>
          <w:sz w:val="24"/>
          <w:szCs w:val="24"/>
          <w:lang w:val="nl-NL"/>
        </w:rPr>
        <w:t xml:space="preserve"> / Form of accounting record: General Journal Ledger</w:t>
      </w:r>
    </w:p>
    <w:p w14:paraId="5E55F4B0" w14:textId="00266ECC" w:rsidR="00897749" w:rsidRPr="002136F3" w:rsidRDefault="00200471" w:rsidP="00D54A5B">
      <w:pPr>
        <w:keepNext/>
        <w:keepLines/>
        <w:shd w:val="clear" w:color="auto" w:fill="FFFFFF"/>
        <w:spacing w:before="120" w:after="120" w:line="312" w:lineRule="auto"/>
        <w:ind w:left="142" w:right="260"/>
        <w:jc w:val="both"/>
        <w:rPr>
          <w:rFonts w:ascii="Times New Roman" w:hAnsi="Times New Roman"/>
          <w:b/>
          <w:sz w:val="24"/>
          <w:szCs w:val="24"/>
          <w:lang w:val="nl-NL"/>
        </w:rPr>
      </w:pPr>
      <w:r w:rsidRPr="002136F3">
        <w:rPr>
          <w:rFonts w:ascii="Times New Roman" w:hAnsi="Times New Roman"/>
          <w:b/>
          <w:sz w:val="24"/>
          <w:szCs w:val="24"/>
          <w:lang w:val="nl-NL"/>
        </w:rPr>
        <w:t>4.</w:t>
      </w:r>
      <w:r w:rsidRPr="002136F3">
        <w:rPr>
          <w:rFonts w:ascii="Times New Roman" w:hAnsi="Times New Roman"/>
          <w:b/>
          <w:sz w:val="24"/>
          <w:szCs w:val="24"/>
          <w:lang w:val="nl-NL"/>
        </w:rPr>
        <w:tab/>
      </w:r>
      <w:r w:rsidR="00897749" w:rsidRPr="002136F3">
        <w:rPr>
          <w:rFonts w:ascii="Times New Roman" w:hAnsi="Times New Roman"/>
          <w:b/>
          <w:sz w:val="24"/>
          <w:szCs w:val="24"/>
          <w:lang w:val="nl-NL"/>
        </w:rPr>
        <w:t>Các chính sách kế toán áp dụng</w:t>
      </w:r>
      <w:r w:rsidR="00AE2D55" w:rsidRPr="002136F3">
        <w:rPr>
          <w:rFonts w:ascii="Times New Roman" w:hAnsi="Times New Roman"/>
          <w:b/>
          <w:sz w:val="24"/>
          <w:szCs w:val="24"/>
          <w:lang w:val="nl-NL"/>
        </w:rPr>
        <w:t xml:space="preserve"> / Summery of significant accounting policies: </w:t>
      </w:r>
    </w:p>
    <w:p w14:paraId="2298ED97" w14:textId="6FE93AE7" w:rsidR="00897749" w:rsidRPr="002136F3" w:rsidRDefault="00200471" w:rsidP="00D54A5B">
      <w:pPr>
        <w:keepNext/>
        <w:keepLines/>
        <w:shd w:val="clear" w:color="auto" w:fill="FFFFFF"/>
        <w:spacing w:before="120" w:after="120" w:line="312" w:lineRule="auto"/>
        <w:ind w:left="142" w:right="260"/>
        <w:jc w:val="both"/>
        <w:rPr>
          <w:rFonts w:ascii="Times New Roman" w:hAnsi="Times New Roman"/>
          <w:b/>
          <w:sz w:val="24"/>
          <w:szCs w:val="24"/>
          <w:lang w:val="nl-NL"/>
        </w:rPr>
      </w:pPr>
      <w:r w:rsidRPr="002136F3">
        <w:rPr>
          <w:rFonts w:ascii="Times New Roman" w:hAnsi="Times New Roman"/>
          <w:b/>
          <w:sz w:val="24"/>
          <w:szCs w:val="24"/>
          <w:lang w:val="nl-NL"/>
        </w:rPr>
        <w:t>4.1</w:t>
      </w:r>
      <w:r w:rsidRPr="002136F3">
        <w:rPr>
          <w:rFonts w:ascii="Times New Roman" w:hAnsi="Times New Roman"/>
          <w:b/>
          <w:sz w:val="24"/>
          <w:szCs w:val="24"/>
          <w:lang w:val="nl-NL"/>
        </w:rPr>
        <w:tab/>
      </w:r>
      <w:r w:rsidR="00897749" w:rsidRPr="002136F3">
        <w:rPr>
          <w:rFonts w:ascii="Times New Roman" w:hAnsi="Times New Roman"/>
          <w:b/>
          <w:sz w:val="24"/>
          <w:szCs w:val="24"/>
          <w:lang w:val="nl-NL"/>
        </w:rPr>
        <w:t>Tiền gửi ngân hàng và các khoản tương đương tiền</w:t>
      </w:r>
      <w:r w:rsidR="00AE2D55" w:rsidRPr="002136F3">
        <w:rPr>
          <w:rFonts w:ascii="Times New Roman" w:hAnsi="Times New Roman"/>
          <w:b/>
          <w:sz w:val="24"/>
          <w:szCs w:val="24"/>
          <w:lang w:val="nl-NL"/>
        </w:rPr>
        <w:t xml:space="preserve"> / Cash in bank and cash equivalents</w:t>
      </w:r>
    </w:p>
    <w:p w14:paraId="5FDF71AD" w14:textId="77777777" w:rsidR="001212DB" w:rsidRPr="002136F3" w:rsidRDefault="00EB5911" w:rsidP="00D54A5B">
      <w:pPr>
        <w:keepNext/>
        <w:keepLines/>
        <w:shd w:val="clear" w:color="auto" w:fill="FFFFFF"/>
        <w:spacing w:before="120" w:after="120" w:line="312" w:lineRule="auto"/>
        <w:ind w:left="142" w:right="260"/>
        <w:jc w:val="both"/>
        <w:rPr>
          <w:rFonts w:ascii="Times New Roman" w:hAnsi="Times New Roman"/>
          <w:sz w:val="24"/>
          <w:szCs w:val="24"/>
        </w:rPr>
      </w:pPr>
      <w:bookmarkStart w:id="1" w:name="_Toc24202934"/>
      <w:bookmarkStart w:id="2" w:name="_Toc118086214"/>
      <w:bookmarkStart w:id="3" w:name="_Toc127268620"/>
      <w:proofErr w:type="spellStart"/>
      <w:r w:rsidRPr="002136F3">
        <w:rPr>
          <w:rFonts w:ascii="Times New Roman" w:hAnsi="Times New Roman"/>
          <w:sz w:val="24"/>
          <w:szCs w:val="24"/>
        </w:rPr>
        <w:t>Tiền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gửi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ngân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hàng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tương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đương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tiền</w:t>
      </w:r>
      <w:proofErr w:type="spellEnd"/>
      <w:r w:rsidRPr="002136F3">
        <w:rPr>
          <w:rFonts w:ascii="Times New Roman" w:hAnsi="Times New Roman"/>
          <w:sz w:val="24"/>
          <w:szCs w:val="24"/>
        </w:rPr>
        <w:t xml:space="preserve"> bao </w:t>
      </w:r>
      <w:proofErr w:type="spellStart"/>
      <w:r w:rsidRPr="002136F3">
        <w:rPr>
          <w:rFonts w:ascii="Times New Roman" w:hAnsi="Times New Roman"/>
          <w:sz w:val="24"/>
          <w:szCs w:val="24"/>
        </w:rPr>
        <w:t>gồm</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tiền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gửi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không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kỳ</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tiền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gửi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có</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kỳ</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gốc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không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ba</w:t>
      </w:r>
      <w:proofErr w:type="spellEnd"/>
      <w:r w:rsidRPr="002136F3">
        <w:rPr>
          <w:rFonts w:ascii="Times New Roman" w:hAnsi="Times New Roman"/>
          <w:sz w:val="24"/>
          <w:szCs w:val="24"/>
        </w:rPr>
        <w:t xml:space="preserve"> (03) </w:t>
      </w:r>
      <w:proofErr w:type="spellStart"/>
      <w:r w:rsidRPr="002136F3">
        <w:rPr>
          <w:rFonts w:ascii="Times New Roman" w:hAnsi="Times New Roman"/>
          <w:sz w:val="24"/>
          <w:szCs w:val="24"/>
        </w:rPr>
        <w:t>tháng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tại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ngân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hàng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kể</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từ</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ngày</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giao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dịch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tương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đương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tiền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đầu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tư</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ngắn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có</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tính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thanh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cao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có</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thể</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dễ</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dàng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chuyển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đổi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thành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một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lượng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tiền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xác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định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không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có</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nhiều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rủi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ro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về</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thay</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đổi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trị</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sử</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dụng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mục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đích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đáp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cam </w:t>
      </w:r>
      <w:proofErr w:type="spellStart"/>
      <w:r w:rsidRPr="002136F3">
        <w:rPr>
          <w:rFonts w:ascii="Times New Roman" w:hAnsi="Times New Roman"/>
          <w:sz w:val="24"/>
          <w:szCs w:val="24"/>
        </w:rPr>
        <w:t>kết</w:t>
      </w:r>
      <w:proofErr w:type="spellEnd"/>
      <w:r w:rsidRPr="002136F3">
        <w:rPr>
          <w:rFonts w:ascii="Times New Roman" w:hAnsi="Times New Roman"/>
          <w:sz w:val="24"/>
          <w:szCs w:val="24"/>
        </w:rPr>
        <w:t xml:space="preserve"> chi </w:t>
      </w:r>
      <w:proofErr w:type="spellStart"/>
      <w:r w:rsidRPr="002136F3">
        <w:rPr>
          <w:rFonts w:ascii="Times New Roman" w:hAnsi="Times New Roman"/>
          <w:sz w:val="24"/>
          <w:szCs w:val="24"/>
        </w:rPr>
        <w:t>tiền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ngắn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mục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đích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đầu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tư</w:t>
      </w:r>
      <w:proofErr w:type="spellEnd"/>
      <w:r w:rsidRPr="002136F3">
        <w:rPr>
          <w:rFonts w:ascii="Times New Roman" w:hAnsi="Times New Roman"/>
          <w:sz w:val="24"/>
          <w:szCs w:val="24"/>
        </w:rPr>
        <w:t xml:space="preserve"> hay </w:t>
      </w:r>
      <w:proofErr w:type="spellStart"/>
      <w:r w:rsidRPr="002136F3">
        <w:rPr>
          <w:rFonts w:ascii="Times New Roman" w:hAnsi="Times New Roman"/>
          <w:sz w:val="24"/>
          <w:szCs w:val="24"/>
        </w:rPr>
        <w:t>là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mục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đích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khác</w:t>
      </w:r>
      <w:proofErr w:type="spellEnd"/>
      <w:r w:rsidRPr="002136F3">
        <w:rPr>
          <w:rFonts w:ascii="Times New Roman" w:hAnsi="Times New Roman"/>
          <w:sz w:val="24"/>
          <w:szCs w:val="24"/>
        </w:rPr>
        <w:t>.</w:t>
      </w:r>
    </w:p>
    <w:p w14:paraId="5831937C" w14:textId="3A5C4916" w:rsidR="00AE2D55" w:rsidRPr="006551CD" w:rsidRDefault="00AE2D55" w:rsidP="006D5144">
      <w:pPr>
        <w:widowControl w:val="0"/>
        <w:ind w:left="180" w:right="296"/>
        <w:jc w:val="both"/>
        <w:rPr>
          <w:rFonts w:ascii="Times New Roman" w:hAnsi="Times New Roman"/>
          <w:i/>
          <w:iCs/>
          <w:color w:val="000000"/>
          <w:sz w:val="24"/>
          <w:szCs w:val="24"/>
        </w:rPr>
      </w:pPr>
      <w:r w:rsidRPr="006551CD">
        <w:rPr>
          <w:rFonts w:ascii="Times New Roman" w:hAnsi="Times New Roman"/>
          <w:i/>
          <w:iCs/>
          <w:sz w:val="24"/>
          <w:szCs w:val="24"/>
        </w:rPr>
        <w:t xml:space="preserve">Cash in banks and cash equivalents comprise current accounts and term deposits with original terms to maturity of three (03) months or less from the transaction date.  Cash equivalents are highly liquid investments that are readily convertible to known amounts of </w:t>
      </w:r>
      <w:proofErr w:type="gramStart"/>
      <w:r w:rsidRPr="006551CD">
        <w:rPr>
          <w:rFonts w:ascii="Times New Roman" w:hAnsi="Times New Roman"/>
          <w:i/>
          <w:iCs/>
          <w:sz w:val="24"/>
          <w:szCs w:val="24"/>
        </w:rPr>
        <w:t>cash, and</w:t>
      </w:r>
      <w:proofErr w:type="gramEnd"/>
      <w:r w:rsidRPr="006551CD">
        <w:rPr>
          <w:rFonts w:ascii="Times New Roman" w:hAnsi="Times New Roman"/>
          <w:i/>
          <w:iCs/>
          <w:sz w:val="24"/>
          <w:szCs w:val="24"/>
        </w:rPr>
        <w:t xml:space="preserve"> are subject to an insignificant risk of changes in value and are held for the purpose of meeting short-term cash commitments rather than for investment purpose or other purposes.</w:t>
      </w:r>
    </w:p>
    <w:p w14:paraId="1A18E00D" w14:textId="77777777" w:rsidR="00897749" w:rsidRPr="002136F3" w:rsidRDefault="00200471" w:rsidP="006551CD">
      <w:pPr>
        <w:shd w:val="clear" w:color="auto" w:fill="FFFFFF"/>
        <w:spacing w:before="120" w:after="120" w:line="312" w:lineRule="auto"/>
        <w:ind w:left="180" w:right="260"/>
        <w:jc w:val="both"/>
        <w:rPr>
          <w:rFonts w:ascii="Times New Roman" w:hAnsi="Times New Roman"/>
          <w:b/>
          <w:sz w:val="24"/>
          <w:szCs w:val="24"/>
          <w:lang w:val="nl-NL"/>
        </w:rPr>
      </w:pPr>
      <w:r w:rsidRPr="002136F3">
        <w:rPr>
          <w:rFonts w:ascii="Times New Roman" w:hAnsi="Times New Roman"/>
          <w:b/>
          <w:sz w:val="24"/>
          <w:szCs w:val="24"/>
          <w:lang w:val="nl-NL"/>
        </w:rPr>
        <w:t>4.2</w:t>
      </w:r>
      <w:r w:rsidRPr="002136F3">
        <w:rPr>
          <w:rFonts w:ascii="Times New Roman" w:hAnsi="Times New Roman"/>
          <w:b/>
          <w:sz w:val="24"/>
          <w:szCs w:val="24"/>
          <w:lang w:val="nl-NL"/>
        </w:rPr>
        <w:tab/>
      </w:r>
      <w:r w:rsidR="00897749" w:rsidRPr="002136F3">
        <w:rPr>
          <w:rFonts w:ascii="Times New Roman" w:hAnsi="Times New Roman"/>
          <w:b/>
          <w:sz w:val="24"/>
          <w:szCs w:val="24"/>
          <w:lang w:val="nl-NL"/>
        </w:rPr>
        <w:t xml:space="preserve">Các khoản đầu tư </w:t>
      </w:r>
      <w:bookmarkEnd w:id="1"/>
      <w:bookmarkEnd w:id="2"/>
      <w:bookmarkEnd w:id="3"/>
    </w:p>
    <w:p w14:paraId="47582345" w14:textId="77777777" w:rsidR="00897749" w:rsidRPr="002136F3" w:rsidRDefault="00897749" w:rsidP="006551CD">
      <w:pPr>
        <w:shd w:val="clear" w:color="auto" w:fill="FFFFFF"/>
        <w:spacing w:before="120" w:after="120" w:line="312" w:lineRule="auto"/>
        <w:ind w:left="180" w:right="260"/>
        <w:jc w:val="both"/>
        <w:rPr>
          <w:rFonts w:ascii="Times New Roman" w:hAnsi="Times New Roman"/>
          <w:sz w:val="24"/>
          <w:szCs w:val="24"/>
        </w:rPr>
      </w:pP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đầu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tư</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ghi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nhận</w:t>
      </w:r>
      <w:proofErr w:type="spellEnd"/>
      <w:r w:rsidRPr="002136F3">
        <w:rPr>
          <w:rFonts w:ascii="Times New Roman" w:hAnsi="Times New Roman"/>
          <w:sz w:val="24"/>
          <w:szCs w:val="24"/>
        </w:rPr>
        <w:t xml:space="preserve"> ban </w:t>
      </w:r>
      <w:proofErr w:type="spellStart"/>
      <w:r w:rsidRPr="002136F3">
        <w:rPr>
          <w:rFonts w:ascii="Times New Roman" w:hAnsi="Times New Roman"/>
          <w:sz w:val="24"/>
          <w:szCs w:val="24"/>
        </w:rPr>
        <w:t>đầu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theo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gốc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chỉ</w:t>
      </w:r>
      <w:proofErr w:type="spellEnd"/>
      <w:r w:rsidRPr="002136F3">
        <w:rPr>
          <w:rFonts w:ascii="Times New Roman" w:hAnsi="Times New Roman"/>
          <w:sz w:val="24"/>
          <w:szCs w:val="24"/>
        </w:rPr>
        <w:t xml:space="preserve"> bao </w:t>
      </w:r>
      <w:proofErr w:type="spellStart"/>
      <w:r w:rsidRPr="002136F3">
        <w:rPr>
          <w:rFonts w:ascii="Times New Roman" w:hAnsi="Times New Roman"/>
          <w:sz w:val="24"/>
          <w:szCs w:val="24"/>
        </w:rPr>
        <w:t>gồm</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mua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không</w:t>
      </w:r>
      <w:proofErr w:type="spellEnd"/>
      <w:r w:rsidRPr="002136F3">
        <w:rPr>
          <w:rFonts w:ascii="Times New Roman" w:hAnsi="Times New Roman"/>
          <w:sz w:val="24"/>
          <w:szCs w:val="24"/>
        </w:rPr>
        <w:t xml:space="preserve"> bao </w:t>
      </w:r>
      <w:proofErr w:type="spellStart"/>
      <w:r w:rsidRPr="002136F3">
        <w:rPr>
          <w:rFonts w:ascii="Times New Roman" w:hAnsi="Times New Roman"/>
          <w:sz w:val="24"/>
          <w:szCs w:val="24"/>
        </w:rPr>
        <w:t>gồm</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khoản</w:t>
      </w:r>
      <w:proofErr w:type="spellEnd"/>
      <w:r w:rsidRPr="002136F3">
        <w:rPr>
          <w:rFonts w:ascii="Times New Roman" w:hAnsi="Times New Roman"/>
          <w:sz w:val="24"/>
          <w:szCs w:val="24"/>
        </w:rPr>
        <w:t xml:space="preserve"> chi </w:t>
      </w:r>
      <w:proofErr w:type="spellStart"/>
      <w:r w:rsidRPr="002136F3">
        <w:rPr>
          <w:rFonts w:ascii="Times New Roman" w:hAnsi="Times New Roman"/>
          <w:sz w:val="24"/>
          <w:szCs w:val="24"/>
        </w:rPr>
        <w:t>phí</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liên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quan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đến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việc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mua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đầu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tư</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đó</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kể</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cả</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phí</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môi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giới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phí</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giao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dịch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phí</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ngân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hàng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đánh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lại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tại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ngày</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của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báo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tình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hình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tài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chính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theo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phương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pháp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xác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định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trị</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nêu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tại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mục</w:t>
      </w:r>
      <w:proofErr w:type="spellEnd"/>
      <w:r w:rsidRPr="002136F3">
        <w:rPr>
          <w:rFonts w:ascii="Times New Roman" w:hAnsi="Times New Roman"/>
          <w:sz w:val="24"/>
          <w:szCs w:val="24"/>
        </w:rPr>
        <w:t xml:space="preserve"> 4.2 (iii).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lãi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hoặc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lỗ</w:t>
      </w:r>
      <w:proofErr w:type="spellEnd"/>
      <w:r w:rsidRPr="002136F3">
        <w:rPr>
          <w:rFonts w:ascii="Times New Roman" w:hAnsi="Times New Roman"/>
          <w:sz w:val="24"/>
          <w:szCs w:val="24"/>
        </w:rPr>
        <w:t xml:space="preserve"> do </w:t>
      </w:r>
      <w:proofErr w:type="spellStart"/>
      <w:r w:rsidRPr="002136F3">
        <w:rPr>
          <w:rFonts w:ascii="Times New Roman" w:hAnsi="Times New Roman"/>
          <w:sz w:val="24"/>
          <w:szCs w:val="24"/>
        </w:rPr>
        <w:t>đánh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lại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đầu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tư</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ghi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nhận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báo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nhập</w:t>
      </w:r>
      <w:proofErr w:type="spellEnd"/>
      <w:r w:rsidRPr="002136F3">
        <w:rPr>
          <w:rFonts w:ascii="Times New Roman" w:hAnsi="Times New Roman"/>
          <w:sz w:val="24"/>
          <w:szCs w:val="24"/>
        </w:rPr>
        <w:t xml:space="preserve">. </w:t>
      </w:r>
    </w:p>
    <w:p w14:paraId="0A13AC6D" w14:textId="41170878" w:rsidR="00AE2D55" w:rsidRPr="006551CD" w:rsidRDefault="00AE2D55" w:rsidP="006D5144">
      <w:pPr>
        <w:widowControl w:val="0"/>
        <w:ind w:left="180" w:right="206"/>
        <w:jc w:val="both"/>
        <w:rPr>
          <w:rFonts w:ascii="Times New Roman" w:hAnsi="Times New Roman"/>
          <w:i/>
          <w:iCs/>
          <w:color w:val="000000"/>
          <w:sz w:val="24"/>
          <w:szCs w:val="24"/>
        </w:rPr>
      </w:pPr>
      <w:r w:rsidRPr="006551CD">
        <w:rPr>
          <w:rFonts w:ascii="Times New Roman" w:hAnsi="Times New Roman"/>
          <w:i/>
          <w:iCs/>
          <w:color w:val="000000"/>
          <w:sz w:val="24"/>
          <w:szCs w:val="24"/>
        </w:rPr>
        <w:t xml:space="preserve">Investments in securities are initially </w:t>
      </w:r>
      <w:proofErr w:type="spellStart"/>
      <w:r w:rsidRPr="006551CD">
        <w:rPr>
          <w:rFonts w:ascii="Times New Roman" w:hAnsi="Times New Roman"/>
          <w:i/>
          <w:iCs/>
          <w:color w:val="000000"/>
          <w:sz w:val="24"/>
          <w:szCs w:val="24"/>
        </w:rPr>
        <w:t>recognised</w:t>
      </w:r>
      <w:proofErr w:type="spellEnd"/>
      <w:r w:rsidRPr="006551CD">
        <w:rPr>
          <w:rFonts w:ascii="Times New Roman" w:hAnsi="Times New Roman"/>
          <w:i/>
          <w:iCs/>
          <w:color w:val="000000"/>
          <w:sz w:val="24"/>
          <w:szCs w:val="24"/>
        </w:rPr>
        <w:t xml:space="preserve"> at purchase price without any attributable transaction costs such as broker fees, transaction fees and bank charges, etc. </w:t>
      </w:r>
      <w:proofErr w:type="gramStart"/>
      <w:r w:rsidRPr="006551CD">
        <w:rPr>
          <w:rFonts w:ascii="Times New Roman" w:hAnsi="Times New Roman"/>
          <w:i/>
          <w:iCs/>
          <w:color w:val="000000"/>
          <w:sz w:val="24"/>
          <w:szCs w:val="24"/>
        </w:rPr>
        <w:t>Subsequent to</w:t>
      </w:r>
      <w:proofErr w:type="gramEnd"/>
      <w:r w:rsidRPr="006551CD">
        <w:rPr>
          <w:rFonts w:ascii="Times New Roman" w:hAnsi="Times New Roman"/>
          <w:i/>
          <w:iCs/>
          <w:color w:val="000000"/>
          <w:sz w:val="24"/>
          <w:szCs w:val="24"/>
        </w:rPr>
        <w:t xml:space="preserve"> initial recognition, they are measured at the end of the accounting period based on revaluation method mentioned in Note </w:t>
      </w:r>
      <w:r w:rsidRPr="006551CD">
        <w:rPr>
          <w:rFonts w:ascii="Times New Roman" w:hAnsi="Times New Roman"/>
          <w:i/>
          <w:iCs/>
          <w:sz w:val="24"/>
          <w:szCs w:val="24"/>
        </w:rPr>
        <w:t xml:space="preserve">4.2. (iii). </w:t>
      </w:r>
      <w:proofErr w:type="spellStart"/>
      <w:r w:rsidRPr="006551CD">
        <w:rPr>
          <w:rFonts w:ascii="Times New Roman" w:hAnsi="Times New Roman"/>
          <w:i/>
          <w:iCs/>
          <w:color w:val="000000"/>
          <w:sz w:val="24"/>
          <w:szCs w:val="24"/>
        </w:rPr>
        <w:t>Unrealised</w:t>
      </w:r>
      <w:proofErr w:type="spellEnd"/>
      <w:r w:rsidRPr="006551CD">
        <w:rPr>
          <w:rFonts w:ascii="Times New Roman" w:hAnsi="Times New Roman"/>
          <w:i/>
          <w:iCs/>
          <w:color w:val="000000"/>
          <w:sz w:val="24"/>
          <w:szCs w:val="24"/>
        </w:rPr>
        <w:t xml:space="preserve"> gains or losses from revaluation of investments are recorded in the statement of income during the </w:t>
      </w:r>
      <w:r w:rsidRPr="006551CD">
        <w:rPr>
          <w:rFonts w:ascii="Times New Roman" w:hAnsi="Times New Roman"/>
          <w:i/>
          <w:iCs/>
          <w:sz w:val="24"/>
          <w:szCs w:val="24"/>
        </w:rPr>
        <w:t>period</w:t>
      </w:r>
      <w:r w:rsidRPr="006551CD">
        <w:rPr>
          <w:rFonts w:ascii="Times New Roman" w:hAnsi="Times New Roman"/>
          <w:i/>
          <w:iCs/>
          <w:color w:val="000000"/>
          <w:sz w:val="24"/>
          <w:szCs w:val="24"/>
        </w:rPr>
        <w:t>.</w:t>
      </w:r>
    </w:p>
    <w:p w14:paraId="1B4DF206" w14:textId="440D4BE2" w:rsidR="00897749" w:rsidRPr="006551CD" w:rsidRDefault="00897749" w:rsidP="006551CD">
      <w:pPr>
        <w:shd w:val="clear" w:color="auto" w:fill="FFFFFF"/>
        <w:spacing w:before="120" w:after="120" w:line="312" w:lineRule="auto"/>
        <w:ind w:left="180" w:right="260"/>
        <w:jc w:val="both"/>
        <w:rPr>
          <w:rFonts w:ascii="Times New Roman" w:hAnsi="Times New Roman"/>
          <w:b/>
          <w:i/>
          <w:sz w:val="24"/>
          <w:szCs w:val="24"/>
          <w:lang w:val="vi-VN"/>
        </w:rPr>
      </w:pPr>
      <w:r w:rsidRPr="002136F3">
        <w:rPr>
          <w:rFonts w:ascii="Times New Roman" w:hAnsi="Times New Roman"/>
          <w:b/>
          <w:i/>
          <w:sz w:val="24"/>
          <w:szCs w:val="24"/>
          <w:lang w:val="nl-NL"/>
        </w:rPr>
        <w:t>i)</w:t>
      </w:r>
      <w:r w:rsidR="00200471" w:rsidRPr="002136F3">
        <w:rPr>
          <w:rFonts w:ascii="Times New Roman" w:hAnsi="Times New Roman"/>
          <w:b/>
          <w:i/>
          <w:sz w:val="24"/>
          <w:szCs w:val="24"/>
          <w:lang w:val="nl-NL"/>
        </w:rPr>
        <w:tab/>
      </w:r>
      <w:r w:rsidRPr="002136F3">
        <w:rPr>
          <w:rFonts w:ascii="Times New Roman" w:hAnsi="Times New Roman"/>
          <w:b/>
          <w:i/>
          <w:sz w:val="24"/>
          <w:szCs w:val="24"/>
          <w:lang w:val="nl-NL"/>
        </w:rPr>
        <w:t>Phân loại</w:t>
      </w:r>
      <w:r w:rsidRPr="002136F3" w:rsidDel="00DF6B61">
        <w:rPr>
          <w:rFonts w:ascii="Times New Roman" w:hAnsi="Times New Roman"/>
          <w:b/>
          <w:i/>
          <w:sz w:val="24"/>
          <w:szCs w:val="24"/>
          <w:lang w:val="nl-NL"/>
        </w:rPr>
        <w:t xml:space="preserve"> </w:t>
      </w:r>
      <w:r w:rsidR="006551CD">
        <w:rPr>
          <w:rFonts w:ascii="Times New Roman" w:hAnsi="Times New Roman"/>
          <w:b/>
          <w:i/>
          <w:sz w:val="24"/>
          <w:szCs w:val="24"/>
          <w:lang w:val="vi-VN"/>
        </w:rPr>
        <w:t>/ Classification</w:t>
      </w:r>
    </w:p>
    <w:p w14:paraId="184A8F7F" w14:textId="77777777" w:rsidR="0014799C" w:rsidRPr="002136F3" w:rsidRDefault="00353AA9" w:rsidP="006551CD">
      <w:pPr>
        <w:shd w:val="clear" w:color="auto" w:fill="FFFFFF"/>
        <w:spacing w:before="120" w:after="120" w:line="312" w:lineRule="auto"/>
        <w:ind w:left="180" w:right="260"/>
        <w:jc w:val="both"/>
        <w:rPr>
          <w:rFonts w:ascii="Times New Roman" w:hAnsi="Times New Roman"/>
          <w:sz w:val="24"/>
          <w:szCs w:val="24"/>
        </w:rPr>
      </w:pPr>
      <w:proofErr w:type="spellStart"/>
      <w:r w:rsidRPr="002136F3">
        <w:rPr>
          <w:rFonts w:ascii="Times New Roman" w:hAnsi="Times New Roman"/>
          <w:sz w:val="24"/>
          <w:szCs w:val="24"/>
        </w:rPr>
        <w:lastRenderedPageBreak/>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phân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loại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niêm</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yết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chưa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niêm</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yết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mua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với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mục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đích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kinh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doanh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kinh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doanh</w:t>
      </w:r>
      <w:proofErr w:type="spellEnd"/>
      <w:r w:rsidR="00897749" w:rsidRPr="002136F3">
        <w:rPr>
          <w:rFonts w:ascii="Times New Roman" w:hAnsi="Times New Roman"/>
          <w:sz w:val="24"/>
          <w:szCs w:val="24"/>
        </w:rPr>
        <w:t>.</w:t>
      </w:r>
    </w:p>
    <w:p w14:paraId="7F6FC144" w14:textId="55437FBD" w:rsidR="0027409B" w:rsidRPr="008E0B85" w:rsidRDefault="00AE2D55" w:rsidP="008E0B85">
      <w:pPr>
        <w:widowControl w:val="0"/>
        <w:ind w:left="180" w:right="206"/>
        <w:jc w:val="both"/>
        <w:rPr>
          <w:rFonts w:ascii="Times New Roman" w:hAnsi="Times New Roman"/>
          <w:i/>
          <w:iCs/>
          <w:color w:val="000000"/>
          <w:sz w:val="24"/>
          <w:szCs w:val="24"/>
          <w:lang w:val="vi-VN"/>
        </w:rPr>
      </w:pPr>
      <w:r w:rsidRPr="006551CD">
        <w:rPr>
          <w:rFonts w:ascii="Times New Roman" w:hAnsi="Times New Roman"/>
          <w:i/>
          <w:iCs/>
          <w:color w:val="000000"/>
          <w:sz w:val="24"/>
          <w:szCs w:val="24"/>
        </w:rPr>
        <w:t>Listed securities and unlisted securities which are purchased for trading purposes are classified as trading securities.</w:t>
      </w:r>
    </w:p>
    <w:p w14:paraId="7D564E80" w14:textId="77777777" w:rsidR="00897749" w:rsidRPr="002136F3" w:rsidRDefault="00897749" w:rsidP="006551CD">
      <w:pPr>
        <w:shd w:val="clear" w:color="auto" w:fill="FFFFFF"/>
        <w:spacing w:before="120" w:after="120" w:line="312" w:lineRule="auto"/>
        <w:ind w:left="180" w:right="260"/>
        <w:jc w:val="both"/>
        <w:rPr>
          <w:rFonts w:ascii="Times New Roman" w:hAnsi="Times New Roman"/>
          <w:b/>
          <w:i/>
          <w:sz w:val="24"/>
          <w:szCs w:val="24"/>
          <w:lang w:val="nl-NL"/>
        </w:rPr>
      </w:pPr>
      <w:r w:rsidRPr="002136F3">
        <w:rPr>
          <w:rFonts w:ascii="Times New Roman" w:hAnsi="Times New Roman"/>
          <w:b/>
          <w:i/>
          <w:sz w:val="24"/>
          <w:szCs w:val="24"/>
          <w:lang w:val="nl-NL"/>
        </w:rPr>
        <w:t>ii)</w:t>
      </w:r>
      <w:r w:rsidR="00200471" w:rsidRPr="002136F3">
        <w:rPr>
          <w:rFonts w:ascii="Times New Roman" w:hAnsi="Times New Roman"/>
          <w:b/>
          <w:i/>
          <w:sz w:val="24"/>
          <w:szCs w:val="24"/>
          <w:lang w:val="nl-NL"/>
        </w:rPr>
        <w:tab/>
      </w:r>
      <w:r w:rsidRPr="002136F3">
        <w:rPr>
          <w:rFonts w:ascii="Times New Roman" w:hAnsi="Times New Roman"/>
          <w:b/>
          <w:i/>
          <w:sz w:val="24"/>
          <w:szCs w:val="24"/>
          <w:lang w:val="nl-NL"/>
        </w:rPr>
        <w:t>Ghi nhận ban đầu</w:t>
      </w:r>
    </w:p>
    <w:p w14:paraId="730E8DFE" w14:textId="77777777" w:rsidR="00353AA9" w:rsidRPr="002136F3" w:rsidRDefault="00353AA9" w:rsidP="006551CD">
      <w:pPr>
        <w:shd w:val="clear" w:color="auto" w:fill="FFFFFF"/>
        <w:spacing w:before="120" w:after="120" w:line="312" w:lineRule="auto"/>
        <w:ind w:left="180" w:right="260"/>
        <w:jc w:val="both"/>
        <w:rPr>
          <w:rFonts w:ascii="Times New Roman" w:hAnsi="Times New Roman"/>
          <w:sz w:val="24"/>
          <w:szCs w:val="24"/>
        </w:rPr>
      </w:pP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ghi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nhận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danh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mục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cấu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hoán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đổi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lấy</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chỉ</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tại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ngày</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làm</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việc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thứ</w:t>
      </w:r>
      <w:proofErr w:type="spellEnd"/>
      <w:r w:rsidRPr="002136F3">
        <w:rPr>
          <w:rFonts w:ascii="Times New Roman" w:hAnsi="Times New Roman"/>
          <w:sz w:val="24"/>
          <w:szCs w:val="24"/>
        </w:rPr>
        <w:t xml:space="preserve"> </w:t>
      </w:r>
      <w:proofErr w:type="spellStart"/>
      <w:r w:rsidR="0089529C" w:rsidRPr="002136F3">
        <w:rPr>
          <w:rFonts w:ascii="Times New Roman" w:hAnsi="Times New Roman"/>
          <w:sz w:val="24"/>
          <w:szCs w:val="24"/>
        </w:rPr>
        <w:t>nhất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kể</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từ</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ngày</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giao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dịch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hoán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đổi</w:t>
      </w:r>
      <w:proofErr w:type="spellEnd"/>
      <w:r w:rsidRPr="002136F3">
        <w:rPr>
          <w:rFonts w:ascii="Times New Roman" w:hAnsi="Times New Roman"/>
          <w:sz w:val="24"/>
          <w:szCs w:val="24"/>
        </w:rPr>
        <w:t xml:space="preserve"> – </w:t>
      </w:r>
      <w:proofErr w:type="spellStart"/>
      <w:r w:rsidRPr="002136F3">
        <w:rPr>
          <w:rFonts w:ascii="Times New Roman" w:hAnsi="Times New Roman"/>
          <w:sz w:val="24"/>
          <w:szCs w:val="24"/>
        </w:rPr>
        <w:t>ngày</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xác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nhận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hoàn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tất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giao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dịch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xác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nhận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quyền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sở</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hữu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w:t>
      </w:r>
    </w:p>
    <w:p w14:paraId="382D8D6C" w14:textId="317BC8AE" w:rsidR="00AE2D55" w:rsidRPr="006551CD" w:rsidRDefault="00AE2D55" w:rsidP="006D5144">
      <w:pPr>
        <w:ind w:left="180" w:right="206"/>
        <w:jc w:val="both"/>
        <w:rPr>
          <w:rFonts w:ascii="Times New Roman" w:hAnsi="Times New Roman"/>
          <w:i/>
          <w:iCs/>
          <w:sz w:val="24"/>
          <w:szCs w:val="24"/>
        </w:rPr>
      </w:pPr>
      <w:r w:rsidRPr="006551CD">
        <w:rPr>
          <w:rFonts w:ascii="Times New Roman" w:hAnsi="Times New Roman"/>
          <w:i/>
          <w:iCs/>
          <w:sz w:val="24"/>
          <w:szCs w:val="24"/>
        </w:rPr>
        <w:t>A basket of component securities which was exchanged with fund unit</w:t>
      </w:r>
      <w:r w:rsidRPr="006551CD">
        <w:rPr>
          <w:rFonts w:ascii="Times New Roman" w:hAnsi="Times New Roman"/>
          <w:i/>
          <w:iCs/>
          <w:sz w:val="24"/>
          <w:szCs w:val="24"/>
          <w:lang w:val="vi-VN"/>
        </w:rPr>
        <w:t>s</w:t>
      </w:r>
      <w:r w:rsidRPr="006551CD">
        <w:rPr>
          <w:rFonts w:ascii="Times New Roman" w:hAnsi="Times New Roman"/>
          <w:i/>
          <w:iCs/>
          <w:sz w:val="24"/>
          <w:szCs w:val="24"/>
        </w:rPr>
        <w:t xml:space="preserve"> is </w:t>
      </w:r>
      <w:proofErr w:type="spellStart"/>
      <w:r w:rsidRPr="006551CD">
        <w:rPr>
          <w:rFonts w:ascii="Times New Roman" w:hAnsi="Times New Roman"/>
          <w:i/>
          <w:iCs/>
          <w:sz w:val="24"/>
          <w:szCs w:val="24"/>
        </w:rPr>
        <w:t>recognised</w:t>
      </w:r>
      <w:proofErr w:type="spellEnd"/>
      <w:r w:rsidRPr="006551CD">
        <w:rPr>
          <w:rFonts w:ascii="Times New Roman" w:hAnsi="Times New Roman"/>
          <w:i/>
          <w:iCs/>
          <w:sz w:val="24"/>
          <w:szCs w:val="24"/>
        </w:rPr>
        <w:t xml:space="preserve"> on the first working day after the exchange-traded date – date of transaction completion and transferring the ownership of the basket of component securities to the Fund.</w:t>
      </w:r>
    </w:p>
    <w:p w14:paraId="106A2F1B" w14:textId="77777777" w:rsidR="00353AA9" w:rsidRPr="002136F3" w:rsidRDefault="00353AA9" w:rsidP="006551CD">
      <w:pPr>
        <w:shd w:val="clear" w:color="auto" w:fill="FFFFFF"/>
        <w:spacing w:before="120" w:after="120" w:line="312" w:lineRule="auto"/>
        <w:ind w:left="180" w:right="260"/>
        <w:jc w:val="both"/>
        <w:rPr>
          <w:rFonts w:ascii="Times New Roman" w:hAnsi="Times New Roman"/>
          <w:sz w:val="24"/>
          <w:szCs w:val="24"/>
        </w:rPr>
      </w:pP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ghi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nhận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danh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mục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thực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hiện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đầu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tư</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tại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ngày</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giao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dịch</w:t>
      </w:r>
      <w:proofErr w:type="spellEnd"/>
      <w:r w:rsidRPr="002136F3">
        <w:rPr>
          <w:rFonts w:ascii="Times New Roman" w:hAnsi="Times New Roman"/>
          <w:sz w:val="24"/>
          <w:szCs w:val="24"/>
        </w:rPr>
        <w:t>.</w:t>
      </w:r>
    </w:p>
    <w:p w14:paraId="68C48C73" w14:textId="74CE7A86" w:rsidR="00AE2D55" w:rsidRPr="006551CD" w:rsidRDefault="00AE2D55" w:rsidP="006551CD">
      <w:pPr>
        <w:ind w:left="180"/>
        <w:rPr>
          <w:rFonts w:ascii="Times New Roman" w:hAnsi="Times New Roman"/>
          <w:i/>
          <w:iCs/>
          <w:sz w:val="24"/>
          <w:szCs w:val="24"/>
        </w:rPr>
      </w:pPr>
      <w:r w:rsidRPr="006551CD">
        <w:rPr>
          <w:rFonts w:ascii="Times New Roman" w:hAnsi="Times New Roman"/>
          <w:i/>
          <w:iCs/>
          <w:sz w:val="24"/>
          <w:szCs w:val="24"/>
        </w:rPr>
        <w:t xml:space="preserve">Investments in securities are </w:t>
      </w:r>
      <w:proofErr w:type="spellStart"/>
      <w:r w:rsidRPr="006551CD">
        <w:rPr>
          <w:rFonts w:ascii="Times New Roman" w:hAnsi="Times New Roman"/>
          <w:i/>
          <w:iCs/>
          <w:sz w:val="24"/>
          <w:szCs w:val="24"/>
        </w:rPr>
        <w:t>recognised</w:t>
      </w:r>
      <w:proofErr w:type="spellEnd"/>
      <w:r w:rsidRPr="006551CD">
        <w:rPr>
          <w:rFonts w:ascii="Times New Roman" w:hAnsi="Times New Roman"/>
          <w:i/>
          <w:iCs/>
          <w:sz w:val="24"/>
          <w:szCs w:val="24"/>
        </w:rPr>
        <w:t xml:space="preserve"> on trade date.</w:t>
      </w:r>
    </w:p>
    <w:p w14:paraId="549DCC97" w14:textId="77777777" w:rsidR="00353AA9" w:rsidRPr="002136F3" w:rsidRDefault="00353AA9" w:rsidP="006D5144">
      <w:pPr>
        <w:shd w:val="clear" w:color="auto" w:fill="FFFFFF"/>
        <w:spacing w:before="120" w:after="120" w:line="312" w:lineRule="auto"/>
        <w:ind w:left="180" w:right="260"/>
        <w:jc w:val="both"/>
        <w:rPr>
          <w:rFonts w:ascii="Times New Roman" w:hAnsi="Times New Roman"/>
          <w:sz w:val="24"/>
          <w:szCs w:val="24"/>
        </w:rPr>
      </w:pPr>
      <w:proofErr w:type="spellStart"/>
      <w:r w:rsidRPr="002136F3">
        <w:rPr>
          <w:rFonts w:ascii="Times New Roman" w:hAnsi="Times New Roman"/>
          <w:sz w:val="24"/>
          <w:szCs w:val="24"/>
        </w:rPr>
        <w:t>Cổ</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phiếu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thưởng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cổ</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tức</w:t>
      </w:r>
      <w:proofErr w:type="spellEnd"/>
      <w:r w:rsidRPr="002136F3">
        <w:rPr>
          <w:rFonts w:ascii="Times New Roman" w:hAnsi="Times New Roman"/>
          <w:sz w:val="24"/>
          <w:szCs w:val="24"/>
        </w:rPr>
        <w:t xml:space="preserve"> chia </w:t>
      </w:r>
      <w:proofErr w:type="spellStart"/>
      <w:r w:rsidRPr="002136F3">
        <w:rPr>
          <w:rFonts w:ascii="Times New Roman" w:hAnsi="Times New Roman"/>
          <w:sz w:val="24"/>
          <w:szCs w:val="24"/>
        </w:rPr>
        <w:t>bằng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cổ</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phiếu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hạch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toán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đầu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tư</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với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trị</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bằng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không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đánh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lại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trị</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của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cổ</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phiếu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đó</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ngày</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lập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báo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tình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hình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tài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chính</w:t>
      </w:r>
      <w:proofErr w:type="spellEnd"/>
      <w:r w:rsidRPr="002136F3">
        <w:rPr>
          <w:rFonts w:ascii="Times New Roman" w:hAnsi="Times New Roman"/>
          <w:sz w:val="24"/>
          <w:szCs w:val="24"/>
        </w:rPr>
        <w:t>.</w:t>
      </w:r>
    </w:p>
    <w:p w14:paraId="5A25E963" w14:textId="303F532D" w:rsidR="00AE2D55" w:rsidRPr="006551CD" w:rsidRDefault="00AE2D55" w:rsidP="006D5144">
      <w:pPr>
        <w:keepNext/>
        <w:widowControl w:val="0"/>
        <w:spacing w:before="80"/>
        <w:ind w:left="180" w:right="260"/>
        <w:jc w:val="both"/>
        <w:rPr>
          <w:rFonts w:ascii="Times New Roman" w:hAnsi="Times New Roman"/>
          <w:i/>
          <w:iCs/>
          <w:color w:val="000000"/>
          <w:sz w:val="24"/>
          <w:szCs w:val="24"/>
        </w:rPr>
      </w:pPr>
      <w:r w:rsidRPr="006551CD">
        <w:rPr>
          <w:rFonts w:ascii="Times New Roman" w:hAnsi="Times New Roman"/>
          <w:i/>
          <w:iCs/>
          <w:color w:val="000000"/>
          <w:sz w:val="24"/>
          <w:szCs w:val="24"/>
        </w:rPr>
        <w:t xml:space="preserve">Shares bonus </w:t>
      </w:r>
      <w:r w:rsidRPr="006551CD">
        <w:rPr>
          <w:rFonts w:ascii="Times New Roman" w:hAnsi="Times New Roman"/>
          <w:i/>
          <w:iCs/>
          <w:sz w:val="24"/>
          <w:szCs w:val="24"/>
        </w:rPr>
        <w:t>issues</w:t>
      </w:r>
      <w:r w:rsidRPr="006551CD">
        <w:rPr>
          <w:rFonts w:ascii="Times New Roman" w:hAnsi="Times New Roman"/>
          <w:i/>
          <w:iCs/>
          <w:color w:val="000000"/>
          <w:sz w:val="24"/>
          <w:szCs w:val="24"/>
        </w:rPr>
        <w:t xml:space="preserve"> and shares dividend are initially recorded as nil and revalued at market value of the underlying securities </w:t>
      </w:r>
      <w:r w:rsidRPr="006551CD">
        <w:rPr>
          <w:rFonts w:ascii="Times New Roman" w:hAnsi="Times New Roman"/>
          <w:i/>
          <w:iCs/>
          <w:sz w:val="24"/>
          <w:szCs w:val="24"/>
        </w:rPr>
        <w:t>at the end of the accounting period</w:t>
      </w:r>
      <w:r w:rsidRPr="006551CD">
        <w:rPr>
          <w:rFonts w:ascii="Times New Roman" w:hAnsi="Times New Roman"/>
          <w:i/>
          <w:iCs/>
          <w:color w:val="000000"/>
          <w:sz w:val="24"/>
          <w:szCs w:val="24"/>
        </w:rPr>
        <w:t>.</w:t>
      </w:r>
    </w:p>
    <w:p w14:paraId="44BE9605" w14:textId="77777777" w:rsidR="00897749" w:rsidRPr="002136F3" w:rsidRDefault="00353AA9" w:rsidP="006D5144">
      <w:pPr>
        <w:shd w:val="clear" w:color="auto" w:fill="FFFFFF"/>
        <w:spacing w:before="120" w:after="120" w:line="312" w:lineRule="auto"/>
        <w:ind w:left="180" w:right="260"/>
        <w:jc w:val="both"/>
        <w:rPr>
          <w:rFonts w:ascii="Times New Roman" w:hAnsi="Times New Roman"/>
          <w:sz w:val="24"/>
          <w:szCs w:val="24"/>
        </w:rPr>
      </w:pPr>
      <w:proofErr w:type="spellStart"/>
      <w:r w:rsidRPr="002136F3">
        <w:rPr>
          <w:rFonts w:ascii="Times New Roman" w:hAnsi="Times New Roman"/>
          <w:sz w:val="24"/>
          <w:szCs w:val="24"/>
        </w:rPr>
        <w:t>Giá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trị</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của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quyền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mua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cổ</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phiếu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xác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định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phần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chênh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lệch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giữa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thị</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trường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của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cổ</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phiếu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tại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ngày</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lập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báo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tài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chính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số</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tiền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thực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hiện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quyền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mua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ngày</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thông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báo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thực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hiện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quyền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mua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nhân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với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tỷ</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lệ</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cần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có</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để</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mua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một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cổ</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phần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mới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trị</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của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quyền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mua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sẽ</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đánh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lại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ngày</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báo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tình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hình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tài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chính</w:t>
      </w:r>
      <w:proofErr w:type="spellEnd"/>
      <w:r w:rsidR="00897749" w:rsidRPr="002136F3">
        <w:rPr>
          <w:rFonts w:ascii="Times New Roman" w:hAnsi="Times New Roman"/>
          <w:sz w:val="24"/>
          <w:szCs w:val="24"/>
        </w:rPr>
        <w:t>.</w:t>
      </w:r>
    </w:p>
    <w:p w14:paraId="5E8E1D80" w14:textId="0866BFCA" w:rsidR="00262E5F" w:rsidRPr="006551CD" w:rsidRDefault="00AE2D55" w:rsidP="006D5144">
      <w:pPr>
        <w:widowControl w:val="0"/>
        <w:ind w:left="180" w:right="260"/>
        <w:jc w:val="both"/>
        <w:rPr>
          <w:rFonts w:ascii="Times New Roman" w:hAnsi="Times New Roman"/>
          <w:i/>
          <w:iCs/>
          <w:color w:val="000000"/>
          <w:sz w:val="24"/>
          <w:szCs w:val="24"/>
        </w:rPr>
      </w:pPr>
      <w:r w:rsidRPr="006551CD">
        <w:rPr>
          <w:rFonts w:ascii="Times New Roman" w:hAnsi="Times New Roman"/>
          <w:i/>
          <w:iCs/>
          <w:color w:val="000000"/>
          <w:sz w:val="24"/>
          <w:szCs w:val="24"/>
        </w:rPr>
        <w:t>Rights issues are initially recorded as nil and are revaluated at the positive difference between the market price of the underlying shares at valuation date and the exercise price multiplied by the rights exercise ratio.  Rights issues are revaluated at the end of the accounting period.</w:t>
      </w:r>
    </w:p>
    <w:p w14:paraId="0D0E8F9E" w14:textId="16614DCD" w:rsidR="00897749" w:rsidRPr="006551CD" w:rsidRDefault="00897749" w:rsidP="006551CD">
      <w:pPr>
        <w:shd w:val="clear" w:color="auto" w:fill="FFFFFF"/>
        <w:spacing w:before="120" w:after="120" w:line="312" w:lineRule="auto"/>
        <w:ind w:left="180" w:right="260"/>
        <w:jc w:val="both"/>
        <w:rPr>
          <w:rFonts w:ascii="Times New Roman" w:hAnsi="Times New Roman"/>
          <w:b/>
          <w:i/>
          <w:sz w:val="24"/>
          <w:szCs w:val="24"/>
          <w:lang w:val="vi-VN"/>
        </w:rPr>
      </w:pPr>
      <w:r w:rsidRPr="002136F3">
        <w:rPr>
          <w:rFonts w:ascii="Times New Roman" w:hAnsi="Times New Roman"/>
          <w:b/>
          <w:i/>
          <w:sz w:val="24"/>
          <w:szCs w:val="24"/>
          <w:lang w:val="nl-NL"/>
        </w:rPr>
        <w:t>iii)</w:t>
      </w:r>
      <w:r w:rsidR="00200471" w:rsidRPr="002136F3">
        <w:rPr>
          <w:rFonts w:ascii="Times New Roman" w:hAnsi="Times New Roman"/>
          <w:b/>
          <w:i/>
          <w:sz w:val="24"/>
          <w:szCs w:val="24"/>
          <w:lang w:val="nl-NL"/>
        </w:rPr>
        <w:tab/>
      </w:r>
      <w:r w:rsidRPr="002136F3">
        <w:rPr>
          <w:rFonts w:ascii="Times New Roman" w:hAnsi="Times New Roman"/>
          <w:b/>
          <w:i/>
          <w:sz w:val="24"/>
          <w:szCs w:val="24"/>
          <w:lang w:val="nl-NL"/>
        </w:rPr>
        <w:t>Xác định giá trị</w:t>
      </w:r>
      <w:r w:rsidR="006551CD">
        <w:rPr>
          <w:rFonts w:ascii="Times New Roman" w:hAnsi="Times New Roman"/>
          <w:b/>
          <w:i/>
          <w:sz w:val="24"/>
          <w:szCs w:val="24"/>
          <w:lang w:val="vi-VN"/>
        </w:rPr>
        <w:t xml:space="preserve"> / Vaulation</w:t>
      </w:r>
    </w:p>
    <w:p w14:paraId="02A86B42" w14:textId="206525BF" w:rsidR="008A64A9" w:rsidRPr="002136F3" w:rsidRDefault="00897749" w:rsidP="006551CD">
      <w:pPr>
        <w:shd w:val="clear" w:color="auto" w:fill="FFFFFF"/>
        <w:spacing w:before="120" w:after="120" w:line="312" w:lineRule="auto"/>
        <w:ind w:left="180" w:right="260"/>
        <w:jc w:val="both"/>
        <w:rPr>
          <w:rFonts w:ascii="Times New Roman" w:hAnsi="Times New Roman"/>
          <w:sz w:val="24"/>
          <w:szCs w:val="24"/>
        </w:rPr>
      </w:pPr>
      <w:r w:rsidRPr="002136F3">
        <w:rPr>
          <w:rFonts w:ascii="Times New Roman" w:hAnsi="Times New Roman"/>
          <w:sz w:val="24"/>
          <w:szCs w:val="24"/>
        </w:rPr>
        <w:t xml:space="preserve">Theo </w:t>
      </w:r>
      <w:proofErr w:type="spellStart"/>
      <w:r w:rsidR="005E333C" w:rsidRPr="002136F3">
        <w:rPr>
          <w:rFonts w:ascii="Times New Roman" w:hAnsi="Times New Roman"/>
          <w:sz w:val="24"/>
          <w:szCs w:val="24"/>
        </w:rPr>
        <w:t>quy</w:t>
      </w:r>
      <w:proofErr w:type="spellEnd"/>
      <w:r w:rsidR="005E333C" w:rsidRPr="002136F3">
        <w:rPr>
          <w:rFonts w:ascii="Times New Roman" w:hAnsi="Times New Roman"/>
          <w:sz w:val="24"/>
          <w:szCs w:val="24"/>
        </w:rPr>
        <w:t xml:space="preserve"> </w:t>
      </w:r>
      <w:proofErr w:type="spellStart"/>
      <w:r w:rsidR="005E333C" w:rsidRPr="002136F3">
        <w:rPr>
          <w:rFonts w:ascii="Times New Roman" w:hAnsi="Times New Roman"/>
          <w:sz w:val="24"/>
          <w:szCs w:val="24"/>
        </w:rPr>
        <w:t>định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đầu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tư</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thuộc</w:t>
      </w:r>
      <w:proofErr w:type="spellEnd"/>
      <w:r w:rsidRPr="002136F3">
        <w:rPr>
          <w:rFonts w:ascii="Times New Roman" w:hAnsi="Times New Roman"/>
          <w:sz w:val="24"/>
          <w:szCs w:val="24"/>
        </w:rPr>
        <w:t xml:space="preserve"> Danh </w:t>
      </w:r>
      <w:proofErr w:type="spellStart"/>
      <w:r w:rsidRPr="002136F3">
        <w:rPr>
          <w:rFonts w:ascii="Times New Roman" w:hAnsi="Times New Roman"/>
          <w:sz w:val="24"/>
          <w:szCs w:val="24"/>
        </w:rPr>
        <w:t>mục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đầu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tư</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của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đánh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lại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theo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thị</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trường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tại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ngày</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của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báo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tình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hình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tài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chính</w:t>
      </w:r>
      <w:proofErr w:type="spellEnd"/>
      <w:r w:rsidRPr="002136F3">
        <w:rPr>
          <w:rFonts w:ascii="Times New Roman" w:hAnsi="Times New Roman"/>
          <w:sz w:val="24"/>
          <w:szCs w:val="24"/>
        </w:rPr>
        <w:t>.</w:t>
      </w:r>
      <w:r w:rsidR="006E6F19" w:rsidRPr="002136F3">
        <w:rPr>
          <w:rFonts w:ascii="Times New Roman" w:hAnsi="Times New Roman"/>
          <w:sz w:val="24"/>
          <w:szCs w:val="24"/>
        </w:rPr>
        <w:t xml:space="preserve"> </w:t>
      </w:r>
      <w:r w:rsidRPr="002136F3">
        <w:rPr>
          <w:rFonts w:ascii="Times New Roman" w:hAnsi="Times New Roman"/>
          <w:sz w:val="24"/>
          <w:szCs w:val="24"/>
        </w:rPr>
        <w:t xml:space="preserve">Trong </w:t>
      </w:r>
      <w:proofErr w:type="spellStart"/>
      <w:r w:rsidRPr="002136F3">
        <w:rPr>
          <w:rFonts w:ascii="Times New Roman" w:hAnsi="Times New Roman"/>
          <w:sz w:val="24"/>
          <w:szCs w:val="24"/>
        </w:rPr>
        <w:t>trường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hợp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không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có</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thị</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trường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tại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ngày</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giao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dịch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gần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nhất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hoặc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thị</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trường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có</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nhiều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biến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động</w:t>
      </w:r>
      <w:proofErr w:type="spellEnd"/>
      <w:r w:rsidRPr="002136F3">
        <w:rPr>
          <w:rFonts w:ascii="Times New Roman" w:hAnsi="Times New Roman"/>
          <w:sz w:val="24"/>
          <w:szCs w:val="24"/>
        </w:rPr>
        <w:t>, C</w:t>
      </w:r>
      <w:r w:rsidRPr="002136F3">
        <w:rPr>
          <w:rFonts w:ascii="Times New Roman" w:hAnsi="Times New Roman"/>
          <w:sz w:val="24"/>
          <w:szCs w:val="24"/>
          <w:lang w:val="vi-VN"/>
        </w:rPr>
        <w:t xml:space="preserve">ông ty </w:t>
      </w:r>
      <w:r w:rsidRPr="002136F3">
        <w:rPr>
          <w:rFonts w:ascii="Times New Roman" w:hAnsi="Times New Roman"/>
          <w:sz w:val="24"/>
          <w:szCs w:val="24"/>
        </w:rPr>
        <w:t>Q</w:t>
      </w:r>
      <w:r w:rsidRPr="002136F3">
        <w:rPr>
          <w:rFonts w:ascii="Times New Roman" w:hAnsi="Times New Roman"/>
          <w:sz w:val="24"/>
          <w:szCs w:val="24"/>
          <w:lang w:val="vi-VN"/>
        </w:rPr>
        <w:t xml:space="preserve">uản lý </w:t>
      </w:r>
      <w:r w:rsidRPr="002136F3">
        <w:rPr>
          <w:rFonts w:ascii="Times New Roman" w:hAnsi="Times New Roman"/>
          <w:sz w:val="24"/>
          <w:szCs w:val="24"/>
        </w:rPr>
        <w:t>Q</w:t>
      </w:r>
      <w:r w:rsidRPr="002136F3">
        <w:rPr>
          <w:rFonts w:ascii="Times New Roman" w:hAnsi="Times New Roman"/>
          <w:sz w:val="24"/>
          <w:szCs w:val="24"/>
          <w:lang w:val="vi-VN"/>
        </w:rPr>
        <w:t>uỹ được sử dụng giá trị hợp lý</w:t>
      </w:r>
      <w:r w:rsidRPr="002136F3">
        <w:rPr>
          <w:rFonts w:ascii="Times New Roman" w:hAnsi="Times New Roman"/>
          <w:sz w:val="24"/>
          <w:szCs w:val="24"/>
        </w:rPr>
        <w:t xml:space="preserve"> </w:t>
      </w:r>
      <w:proofErr w:type="spellStart"/>
      <w:r w:rsidRPr="002136F3">
        <w:rPr>
          <w:rFonts w:ascii="Times New Roman" w:hAnsi="Times New Roman"/>
          <w:sz w:val="24"/>
          <w:szCs w:val="24"/>
        </w:rPr>
        <w:t>để</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đánh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lại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đầu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tư</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trị</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hợp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lý</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lang w:val="vi-VN"/>
        </w:rPr>
        <w:t xml:space="preserve"> xác định theo nguyên tắc, phương pháp hoặc mô hình lý thuyết định giá tài sản</w:t>
      </w:r>
      <w:r w:rsidRPr="002136F3">
        <w:rPr>
          <w:rFonts w:ascii="Times New Roman" w:hAnsi="Times New Roman"/>
          <w:sz w:val="24"/>
          <w:szCs w:val="24"/>
        </w:rPr>
        <w:t xml:space="preserve"> </w:t>
      </w:r>
      <w:proofErr w:type="spellStart"/>
      <w:r w:rsidRPr="002136F3">
        <w:rPr>
          <w:rFonts w:ascii="Times New Roman" w:hAnsi="Times New Roman"/>
          <w:sz w:val="24"/>
          <w:szCs w:val="24"/>
        </w:rPr>
        <w:t>tài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chính</w:t>
      </w:r>
      <w:proofErr w:type="spellEnd"/>
      <w:r w:rsidRPr="002136F3">
        <w:rPr>
          <w:rFonts w:ascii="Times New Roman" w:hAnsi="Times New Roman"/>
          <w:sz w:val="24"/>
          <w:szCs w:val="24"/>
          <w:lang w:val="vi-VN"/>
        </w:rPr>
        <w:t xml:space="preserve"> đã được quy định tại điều lệ </w:t>
      </w:r>
      <w:r w:rsidRPr="002136F3">
        <w:rPr>
          <w:rFonts w:ascii="Times New Roman" w:hAnsi="Times New Roman"/>
          <w:sz w:val="24"/>
          <w:szCs w:val="24"/>
        </w:rPr>
        <w:t>Q</w:t>
      </w:r>
      <w:r w:rsidRPr="002136F3">
        <w:rPr>
          <w:rFonts w:ascii="Times New Roman" w:hAnsi="Times New Roman"/>
          <w:sz w:val="24"/>
          <w:szCs w:val="24"/>
          <w:lang w:val="vi-VN"/>
        </w:rPr>
        <w:t xml:space="preserve">uỹ, hoặc sổ tay định giá của </w:t>
      </w:r>
      <w:r w:rsidRPr="002136F3">
        <w:rPr>
          <w:rFonts w:ascii="Times New Roman" w:hAnsi="Times New Roman"/>
          <w:sz w:val="24"/>
          <w:szCs w:val="24"/>
        </w:rPr>
        <w:t>Q</w:t>
      </w:r>
      <w:r w:rsidRPr="002136F3">
        <w:rPr>
          <w:rFonts w:ascii="Times New Roman" w:hAnsi="Times New Roman"/>
          <w:sz w:val="24"/>
          <w:szCs w:val="24"/>
          <w:lang w:val="vi-VN"/>
        </w:rPr>
        <w:t>uỹ</w:t>
      </w:r>
      <w:r w:rsidRPr="002136F3">
        <w:rPr>
          <w:rFonts w:ascii="Times New Roman" w:hAnsi="Times New Roman"/>
          <w:sz w:val="24"/>
          <w:szCs w:val="24"/>
        </w:rPr>
        <w:t xml:space="preserve"> </w:t>
      </w:r>
      <w:proofErr w:type="spellStart"/>
      <w:r w:rsidRPr="002136F3">
        <w:rPr>
          <w:rFonts w:ascii="Times New Roman" w:hAnsi="Times New Roman"/>
          <w:sz w:val="24"/>
          <w:szCs w:val="24"/>
        </w:rPr>
        <w:t>hoặc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sau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đã</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Ban </w:t>
      </w:r>
      <w:proofErr w:type="spellStart"/>
      <w:r w:rsidRPr="002136F3">
        <w:rPr>
          <w:rFonts w:ascii="Times New Roman" w:hAnsi="Times New Roman"/>
          <w:sz w:val="24"/>
          <w:szCs w:val="24"/>
        </w:rPr>
        <w:t>Đại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diện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chấp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thuận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bằng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văn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bản</w:t>
      </w:r>
      <w:proofErr w:type="spellEnd"/>
      <w:r w:rsidRPr="002136F3">
        <w:rPr>
          <w:rFonts w:ascii="Times New Roman" w:hAnsi="Times New Roman"/>
          <w:sz w:val="24"/>
          <w:szCs w:val="24"/>
        </w:rPr>
        <w:t xml:space="preserve">. </w:t>
      </w:r>
    </w:p>
    <w:p w14:paraId="6B97B02A" w14:textId="4B8086E4" w:rsidR="00EF14E7" w:rsidRPr="006551CD" w:rsidRDefault="00AE2D55" w:rsidP="006D5144">
      <w:pPr>
        <w:ind w:left="180" w:right="296"/>
        <w:jc w:val="both"/>
        <w:rPr>
          <w:rFonts w:ascii="Times New Roman" w:hAnsi="Times New Roman"/>
          <w:i/>
          <w:iCs/>
          <w:color w:val="000000"/>
          <w:sz w:val="24"/>
          <w:szCs w:val="24"/>
        </w:rPr>
      </w:pPr>
      <w:r w:rsidRPr="006551CD">
        <w:rPr>
          <w:rFonts w:ascii="Times New Roman" w:hAnsi="Times New Roman"/>
          <w:i/>
          <w:iCs/>
          <w:color w:val="000000"/>
          <w:sz w:val="24"/>
          <w:szCs w:val="24"/>
        </w:rPr>
        <w:t xml:space="preserve">The Fund’s investments are revalued at market price at the end of the accounting period.  If there is no market price at the last trading date or the market prices fluctuate significantly, fair value is used to </w:t>
      </w:r>
      <w:proofErr w:type="spellStart"/>
      <w:r w:rsidRPr="006551CD">
        <w:rPr>
          <w:rFonts w:ascii="Times New Roman" w:hAnsi="Times New Roman"/>
          <w:i/>
          <w:iCs/>
          <w:color w:val="000000"/>
          <w:sz w:val="24"/>
          <w:szCs w:val="24"/>
        </w:rPr>
        <w:t>revaluate</w:t>
      </w:r>
      <w:proofErr w:type="spellEnd"/>
      <w:r w:rsidRPr="006551CD">
        <w:rPr>
          <w:rFonts w:ascii="Times New Roman" w:hAnsi="Times New Roman"/>
          <w:i/>
          <w:iCs/>
          <w:color w:val="000000"/>
          <w:sz w:val="24"/>
          <w:szCs w:val="24"/>
        </w:rPr>
        <w:t xml:space="preserve"> its investments. Fair value is determined in accordance with the principles, methodologies or theoretical valuation models as stipulated in the Fund’s Charter, </w:t>
      </w:r>
      <w:r w:rsidRPr="006551CD">
        <w:rPr>
          <w:rFonts w:ascii="Times New Roman" w:hAnsi="Times New Roman"/>
          <w:i/>
          <w:iCs/>
          <w:color w:val="000000"/>
          <w:sz w:val="24"/>
          <w:szCs w:val="24"/>
        </w:rPr>
        <w:lastRenderedPageBreak/>
        <w:t>or in the Fund’s Valuation Manual or method approved by Board of Remuneration in document</w:t>
      </w:r>
      <w:r w:rsidRPr="006551CD">
        <w:rPr>
          <w:rFonts w:ascii="Times New Roman" w:hAnsi="Times New Roman"/>
          <w:i/>
          <w:iCs/>
          <w:sz w:val="24"/>
          <w:szCs w:val="24"/>
        </w:rPr>
        <w:t>.</w:t>
      </w:r>
      <w:r w:rsidRPr="006551CD">
        <w:rPr>
          <w:rFonts w:ascii="Times New Roman" w:hAnsi="Times New Roman"/>
          <w:i/>
          <w:iCs/>
          <w:color w:val="000000"/>
          <w:sz w:val="24"/>
          <w:szCs w:val="24"/>
        </w:rPr>
        <w:t xml:space="preserve"> </w:t>
      </w:r>
    </w:p>
    <w:p w14:paraId="354E1F5E" w14:textId="77777777" w:rsidR="00033268" w:rsidRPr="002136F3" w:rsidRDefault="00897749" w:rsidP="006551CD">
      <w:pPr>
        <w:widowControl w:val="0"/>
        <w:spacing w:before="120" w:after="120" w:line="312" w:lineRule="auto"/>
        <w:ind w:left="180" w:right="260"/>
        <w:jc w:val="both"/>
        <w:rPr>
          <w:rFonts w:ascii="Times New Roman" w:hAnsi="Times New Roman"/>
          <w:b/>
          <w:i/>
          <w:sz w:val="24"/>
          <w:szCs w:val="24"/>
        </w:rPr>
      </w:pPr>
      <w:r w:rsidRPr="002136F3">
        <w:rPr>
          <w:rFonts w:ascii="Times New Roman" w:hAnsi="Times New Roman"/>
          <w:b/>
          <w:i/>
          <w:sz w:val="24"/>
          <w:szCs w:val="24"/>
        </w:rPr>
        <w:t>iv)</w:t>
      </w:r>
      <w:r w:rsidR="00033268" w:rsidRPr="002136F3">
        <w:rPr>
          <w:rFonts w:ascii="Times New Roman" w:hAnsi="Times New Roman"/>
          <w:b/>
          <w:i/>
          <w:sz w:val="24"/>
          <w:szCs w:val="24"/>
        </w:rPr>
        <w:t xml:space="preserve"> </w:t>
      </w:r>
      <w:r w:rsidR="0095419D" w:rsidRPr="002136F3">
        <w:rPr>
          <w:rFonts w:ascii="Times New Roman" w:hAnsi="Times New Roman"/>
          <w:b/>
          <w:i/>
          <w:sz w:val="24"/>
          <w:szCs w:val="24"/>
        </w:rPr>
        <w:tab/>
      </w:r>
      <w:proofErr w:type="spellStart"/>
      <w:r w:rsidRPr="002136F3">
        <w:rPr>
          <w:rFonts w:ascii="Times New Roman" w:hAnsi="Times New Roman"/>
          <w:b/>
          <w:i/>
          <w:sz w:val="24"/>
          <w:szCs w:val="24"/>
        </w:rPr>
        <w:t>Chấm</w:t>
      </w:r>
      <w:proofErr w:type="spellEnd"/>
      <w:r w:rsidRPr="002136F3">
        <w:rPr>
          <w:rFonts w:ascii="Times New Roman" w:hAnsi="Times New Roman"/>
          <w:b/>
          <w:i/>
          <w:sz w:val="24"/>
          <w:szCs w:val="24"/>
        </w:rPr>
        <w:t xml:space="preserve"> </w:t>
      </w:r>
      <w:proofErr w:type="spellStart"/>
      <w:r w:rsidRPr="002136F3">
        <w:rPr>
          <w:rFonts w:ascii="Times New Roman" w:hAnsi="Times New Roman"/>
          <w:b/>
          <w:i/>
          <w:sz w:val="24"/>
          <w:szCs w:val="24"/>
        </w:rPr>
        <w:t>dứt</w:t>
      </w:r>
      <w:proofErr w:type="spellEnd"/>
      <w:r w:rsidRPr="002136F3">
        <w:rPr>
          <w:rFonts w:ascii="Times New Roman" w:hAnsi="Times New Roman"/>
          <w:b/>
          <w:i/>
          <w:sz w:val="24"/>
          <w:szCs w:val="24"/>
        </w:rPr>
        <w:t xml:space="preserve"> </w:t>
      </w:r>
      <w:proofErr w:type="spellStart"/>
      <w:r w:rsidRPr="002136F3">
        <w:rPr>
          <w:rFonts w:ascii="Times New Roman" w:hAnsi="Times New Roman"/>
          <w:b/>
          <w:i/>
          <w:sz w:val="24"/>
          <w:szCs w:val="24"/>
        </w:rPr>
        <w:t>ghi</w:t>
      </w:r>
      <w:proofErr w:type="spellEnd"/>
      <w:r w:rsidRPr="002136F3">
        <w:rPr>
          <w:rFonts w:ascii="Times New Roman" w:hAnsi="Times New Roman"/>
          <w:b/>
          <w:i/>
          <w:sz w:val="24"/>
          <w:szCs w:val="24"/>
        </w:rPr>
        <w:t xml:space="preserve"> </w:t>
      </w:r>
      <w:proofErr w:type="spellStart"/>
      <w:r w:rsidRPr="002136F3">
        <w:rPr>
          <w:rFonts w:ascii="Times New Roman" w:hAnsi="Times New Roman"/>
          <w:b/>
          <w:i/>
          <w:sz w:val="24"/>
          <w:szCs w:val="24"/>
        </w:rPr>
        <w:t>nhận</w:t>
      </w:r>
      <w:proofErr w:type="spellEnd"/>
      <w:r w:rsidRPr="002136F3" w:rsidDel="007E0EA6">
        <w:rPr>
          <w:rFonts w:ascii="Times New Roman" w:hAnsi="Times New Roman"/>
          <w:b/>
          <w:i/>
          <w:sz w:val="24"/>
          <w:szCs w:val="24"/>
        </w:rPr>
        <w:t xml:space="preserve"> </w:t>
      </w:r>
      <w:r w:rsidRPr="002136F3" w:rsidDel="000B0074">
        <w:rPr>
          <w:rFonts w:ascii="Times New Roman" w:hAnsi="Times New Roman"/>
          <w:b/>
          <w:i/>
          <w:sz w:val="24"/>
          <w:szCs w:val="24"/>
        </w:rPr>
        <w:t xml:space="preserve"> </w:t>
      </w:r>
    </w:p>
    <w:p w14:paraId="1116171E" w14:textId="77777777" w:rsidR="00033268" w:rsidRDefault="00897749" w:rsidP="006551CD">
      <w:pPr>
        <w:widowControl w:val="0"/>
        <w:spacing w:before="120" w:after="120" w:line="312" w:lineRule="auto"/>
        <w:ind w:left="180" w:right="260"/>
        <w:jc w:val="both"/>
        <w:rPr>
          <w:rFonts w:ascii="Times New Roman" w:hAnsi="Times New Roman"/>
          <w:sz w:val="24"/>
          <w:szCs w:val="24"/>
        </w:rPr>
      </w:pP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đầu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tư</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chấm</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dứt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ghi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nhận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quyền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nhận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dòng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tiền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từ</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đầu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tư</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đó</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đã</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chấm</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dứt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hoặc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đã</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chuyển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giao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phần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lớn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rủi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ro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lợi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ích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gắn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liền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với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quyền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sở</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hữu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khoán</w:t>
      </w:r>
      <w:proofErr w:type="spellEnd"/>
      <w:r w:rsidRPr="002136F3">
        <w:rPr>
          <w:rFonts w:ascii="Times New Roman" w:hAnsi="Times New Roman"/>
          <w:sz w:val="24"/>
          <w:szCs w:val="24"/>
        </w:rPr>
        <w:t>.</w:t>
      </w:r>
    </w:p>
    <w:p w14:paraId="13105512" w14:textId="2AC1D19A" w:rsidR="0051259B" w:rsidRPr="0051259B" w:rsidRDefault="0051259B" w:rsidP="006D5144">
      <w:pPr>
        <w:keepNext/>
        <w:widowControl w:val="0"/>
        <w:ind w:left="180" w:right="296"/>
        <w:jc w:val="both"/>
        <w:rPr>
          <w:rFonts w:ascii="Times New Roman" w:hAnsi="Times New Roman"/>
          <w:i/>
          <w:iCs/>
          <w:sz w:val="24"/>
          <w:szCs w:val="24"/>
        </w:rPr>
      </w:pPr>
      <w:r w:rsidRPr="0051259B">
        <w:rPr>
          <w:rFonts w:ascii="Times New Roman" w:hAnsi="Times New Roman"/>
          <w:i/>
          <w:iCs/>
          <w:sz w:val="24"/>
          <w:szCs w:val="24"/>
        </w:rPr>
        <w:t xml:space="preserve">Investments in securities are </w:t>
      </w:r>
      <w:proofErr w:type="spellStart"/>
      <w:r w:rsidRPr="0051259B">
        <w:rPr>
          <w:rFonts w:ascii="Times New Roman" w:hAnsi="Times New Roman"/>
          <w:i/>
          <w:iCs/>
          <w:sz w:val="24"/>
          <w:szCs w:val="24"/>
        </w:rPr>
        <w:t>derecognised</w:t>
      </w:r>
      <w:proofErr w:type="spellEnd"/>
      <w:r w:rsidRPr="0051259B">
        <w:rPr>
          <w:rFonts w:ascii="Times New Roman" w:hAnsi="Times New Roman"/>
          <w:i/>
          <w:iCs/>
          <w:sz w:val="24"/>
          <w:szCs w:val="24"/>
        </w:rPr>
        <w:t xml:space="preserve"> when the rights to receive cash flows from the investments have expired or the Fund has transferred substantially all risks and rewards of ownership.</w:t>
      </w:r>
    </w:p>
    <w:p w14:paraId="178195B2" w14:textId="77777777" w:rsidR="00BA77A1" w:rsidRPr="002136F3" w:rsidRDefault="00897749" w:rsidP="006551CD">
      <w:pPr>
        <w:widowControl w:val="0"/>
        <w:spacing w:before="120" w:after="120" w:line="312" w:lineRule="auto"/>
        <w:ind w:left="180" w:right="260"/>
        <w:jc w:val="both"/>
        <w:rPr>
          <w:rFonts w:ascii="Times New Roman" w:hAnsi="Times New Roman"/>
          <w:sz w:val="24"/>
          <w:szCs w:val="24"/>
        </w:rPr>
      </w:pPr>
      <w:proofErr w:type="spellStart"/>
      <w:r w:rsidRPr="002136F3">
        <w:rPr>
          <w:rFonts w:ascii="Times New Roman" w:hAnsi="Times New Roman"/>
          <w:sz w:val="24"/>
          <w:szCs w:val="24"/>
        </w:rPr>
        <w:t>Giá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vốn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của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kinh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doanh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tính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theo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phương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pháp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bình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quân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quyền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cuối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ngày</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giao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dịch</w:t>
      </w:r>
      <w:proofErr w:type="spellEnd"/>
      <w:r w:rsidRPr="002136F3">
        <w:rPr>
          <w:rFonts w:ascii="Times New Roman" w:hAnsi="Times New Roman"/>
          <w:sz w:val="24"/>
          <w:szCs w:val="24"/>
        </w:rPr>
        <w:t>.</w:t>
      </w:r>
    </w:p>
    <w:p w14:paraId="6862652D" w14:textId="0ECA5E7E" w:rsidR="00AE2D55" w:rsidRPr="0051259B" w:rsidRDefault="00AE2D55" w:rsidP="006551CD">
      <w:pPr>
        <w:widowControl w:val="0"/>
        <w:spacing w:before="120" w:after="120" w:line="312" w:lineRule="auto"/>
        <w:ind w:left="180" w:right="260"/>
        <w:jc w:val="both"/>
        <w:rPr>
          <w:rFonts w:ascii="Times New Roman" w:hAnsi="Times New Roman"/>
          <w:i/>
          <w:iCs/>
          <w:sz w:val="24"/>
          <w:szCs w:val="24"/>
        </w:rPr>
      </w:pPr>
      <w:r w:rsidRPr="0051259B">
        <w:rPr>
          <w:rFonts w:ascii="Times New Roman" w:hAnsi="Times New Roman"/>
          <w:i/>
          <w:iCs/>
          <w:sz w:val="24"/>
          <w:szCs w:val="24"/>
        </w:rPr>
        <w:t>Cost of trading securities is determined on a weighted average basis.</w:t>
      </w:r>
    </w:p>
    <w:p w14:paraId="61587F31" w14:textId="184FE964" w:rsidR="00033268" w:rsidRPr="0051259B" w:rsidRDefault="00200471" w:rsidP="006551CD">
      <w:pPr>
        <w:shd w:val="clear" w:color="auto" w:fill="FFFFFF"/>
        <w:spacing w:before="120" w:after="120" w:line="312" w:lineRule="auto"/>
        <w:ind w:left="180" w:right="260"/>
        <w:jc w:val="both"/>
        <w:rPr>
          <w:rFonts w:ascii="Times New Roman" w:hAnsi="Times New Roman"/>
          <w:b/>
          <w:sz w:val="24"/>
          <w:szCs w:val="24"/>
          <w:lang w:val="vi-VN"/>
        </w:rPr>
      </w:pPr>
      <w:r w:rsidRPr="002136F3">
        <w:rPr>
          <w:rFonts w:ascii="Times New Roman" w:hAnsi="Times New Roman"/>
          <w:b/>
          <w:sz w:val="24"/>
          <w:szCs w:val="24"/>
          <w:lang w:val="nl-NL"/>
        </w:rPr>
        <w:t>4.3</w:t>
      </w:r>
      <w:r w:rsidRPr="002136F3">
        <w:rPr>
          <w:rFonts w:ascii="Times New Roman" w:hAnsi="Times New Roman"/>
          <w:b/>
          <w:sz w:val="24"/>
          <w:szCs w:val="24"/>
          <w:lang w:val="nl-NL"/>
        </w:rPr>
        <w:tab/>
      </w:r>
      <w:r w:rsidR="00897749" w:rsidRPr="002136F3">
        <w:rPr>
          <w:rFonts w:ascii="Times New Roman" w:hAnsi="Times New Roman"/>
          <w:b/>
          <w:sz w:val="24"/>
          <w:szCs w:val="24"/>
          <w:lang w:val="nl-NL"/>
        </w:rPr>
        <w:t>Các khoản phải thu</w:t>
      </w:r>
      <w:r w:rsidR="00897749" w:rsidRPr="002136F3" w:rsidDel="003609D9">
        <w:rPr>
          <w:rFonts w:ascii="Times New Roman" w:hAnsi="Times New Roman"/>
          <w:b/>
          <w:sz w:val="24"/>
          <w:szCs w:val="24"/>
          <w:lang w:val="nl-NL"/>
        </w:rPr>
        <w:t xml:space="preserve"> </w:t>
      </w:r>
      <w:r w:rsidR="0051259B">
        <w:rPr>
          <w:rFonts w:ascii="Times New Roman" w:hAnsi="Times New Roman"/>
          <w:b/>
          <w:sz w:val="24"/>
          <w:szCs w:val="24"/>
          <w:lang w:val="vi-VN"/>
        </w:rPr>
        <w:t>/ Receivables</w:t>
      </w:r>
    </w:p>
    <w:p w14:paraId="1B14571D" w14:textId="77777777" w:rsidR="004C05D9" w:rsidRPr="002136F3" w:rsidRDefault="00353AA9" w:rsidP="006551CD">
      <w:pPr>
        <w:widowControl w:val="0"/>
        <w:spacing w:before="120" w:after="120" w:line="312" w:lineRule="auto"/>
        <w:ind w:left="180" w:right="260"/>
        <w:jc w:val="both"/>
        <w:rPr>
          <w:rFonts w:ascii="Times New Roman" w:hAnsi="Times New Roman"/>
          <w:sz w:val="24"/>
          <w:szCs w:val="24"/>
        </w:rPr>
      </w:pP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phải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thu</w:t>
      </w:r>
      <w:proofErr w:type="spellEnd"/>
      <w:r w:rsidRPr="002136F3">
        <w:rPr>
          <w:rFonts w:ascii="Times New Roman" w:hAnsi="Times New Roman"/>
          <w:sz w:val="24"/>
          <w:szCs w:val="24"/>
        </w:rPr>
        <w:t xml:space="preserve"> bao </w:t>
      </w:r>
      <w:proofErr w:type="spellStart"/>
      <w:r w:rsidRPr="002136F3">
        <w:rPr>
          <w:rFonts w:ascii="Times New Roman" w:hAnsi="Times New Roman"/>
          <w:sz w:val="24"/>
          <w:szCs w:val="24"/>
        </w:rPr>
        <w:t>gồm</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phải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về</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đầu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tư</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phải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dự</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cổ</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tức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tiền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lãi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đầu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tư</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phải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từ</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việc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quyết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toán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với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đầu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tư</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mua</w:t>
      </w:r>
      <w:proofErr w:type="spellEnd"/>
      <w:r w:rsidRPr="002136F3">
        <w:rPr>
          <w:rFonts w:ascii="Times New Roman" w:hAnsi="Times New Roman"/>
          <w:sz w:val="24"/>
          <w:szCs w:val="24"/>
        </w:rPr>
        <w:t>/</w:t>
      </w:r>
      <w:proofErr w:type="spellStart"/>
      <w:r w:rsidRPr="002136F3">
        <w:rPr>
          <w:rFonts w:ascii="Times New Roman" w:hAnsi="Times New Roman"/>
          <w:sz w:val="24"/>
          <w:szCs w:val="24"/>
        </w:rPr>
        <w:t>bán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hộ</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bị</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chế</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phải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từ</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vị</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đầu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tư</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trong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trường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hợp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có</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sự</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kiện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doanh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nghiệp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cổ</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tức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bằng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tiền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cổ</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tức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bằng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cổ</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phiếu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cổ</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phiếu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thưởng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quyền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mua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cổ</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phiếu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phát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hành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thêm</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phát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sinh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liên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quan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đến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danh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mục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cấu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hoán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đổi</w:t>
      </w:r>
      <w:proofErr w:type="spellEnd"/>
      <w:r w:rsidRPr="002136F3">
        <w:rPr>
          <w:rFonts w:ascii="Times New Roman" w:hAnsi="Times New Roman"/>
          <w:sz w:val="24"/>
          <w:szCs w:val="24"/>
        </w:rPr>
        <w:t xml:space="preserve"> do </w:t>
      </w:r>
      <w:proofErr w:type="spellStart"/>
      <w:r w:rsidRPr="002136F3">
        <w:rPr>
          <w:rFonts w:ascii="Times New Roman" w:hAnsi="Times New Roman"/>
          <w:sz w:val="24"/>
          <w:szCs w:val="24"/>
        </w:rPr>
        <w:t>việc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ghi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nhận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sở</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hữu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chưa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thực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hiện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giữa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đầu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tư</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hoặc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liên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quan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đến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bị</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chế</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đang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trong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trình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mua</w:t>
      </w:r>
      <w:proofErr w:type="spellEnd"/>
      <w:r w:rsidRPr="002136F3">
        <w:rPr>
          <w:rFonts w:ascii="Times New Roman" w:hAnsi="Times New Roman"/>
          <w:sz w:val="24"/>
          <w:szCs w:val="24"/>
        </w:rPr>
        <w:t>/</w:t>
      </w:r>
      <w:proofErr w:type="spellStart"/>
      <w:r w:rsidRPr="002136F3">
        <w:rPr>
          <w:rFonts w:ascii="Times New Roman" w:hAnsi="Times New Roman"/>
          <w:sz w:val="24"/>
          <w:szCs w:val="24"/>
        </w:rPr>
        <w:t>bán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hộ</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đầu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tư</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phải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liên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quan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đến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hoạt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động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của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phải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ánh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theo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nguyên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trừ</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dự</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phòng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phải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khó</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đòi</w:t>
      </w:r>
      <w:proofErr w:type="spellEnd"/>
      <w:r w:rsidR="004C05D9" w:rsidRPr="002136F3">
        <w:rPr>
          <w:rFonts w:ascii="Times New Roman" w:hAnsi="Times New Roman"/>
          <w:sz w:val="24"/>
          <w:szCs w:val="24"/>
        </w:rPr>
        <w:t>.</w:t>
      </w:r>
    </w:p>
    <w:p w14:paraId="5C001CB2" w14:textId="4CB97266" w:rsidR="00AE2D55" w:rsidRPr="0051259B" w:rsidRDefault="00AE2D55" w:rsidP="006D5144">
      <w:pPr>
        <w:ind w:left="180" w:right="296"/>
        <w:jc w:val="both"/>
        <w:rPr>
          <w:rFonts w:ascii="Times New Roman" w:hAnsi="Times New Roman"/>
          <w:i/>
          <w:iCs/>
          <w:color w:val="000000"/>
          <w:sz w:val="24"/>
          <w:szCs w:val="24"/>
        </w:rPr>
      </w:pPr>
      <w:r w:rsidRPr="0051259B">
        <w:rPr>
          <w:rFonts w:ascii="Times New Roman" w:hAnsi="Times New Roman"/>
          <w:i/>
          <w:iCs/>
          <w:color w:val="000000"/>
          <w:sz w:val="24"/>
          <w:szCs w:val="24"/>
        </w:rPr>
        <w:t>Receivables include receivables from disposal of investments, dividend receivables, accrued interest receivables from investments and cash equivalents, receivables from the Fund Unitholders</w:t>
      </w:r>
      <w:r w:rsidRPr="0051259B" w:rsidDel="00124575">
        <w:rPr>
          <w:rFonts w:ascii="Times New Roman" w:hAnsi="Times New Roman"/>
          <w:i/>
          <w:iCs/>
          <w:color w:val="000000"/>
          <w:sz w:val="24"/>
          <w:szCs w:val="24"/>
        </w:rPr>
        <w:t xml:space="preserve"> </w:t>
      </w:r>
      <w:r w:rsidRPr="0051259B">
        <w:rPr>
          <w:rFonts w:ascii="Times New Roman" w:hAnsi="Times New Roman"/>
          <w:i/>
          <w:iCs/>
          <w:color w:val="000000"/>
          <w:sz w:val="24"/>
          <w:szCs w:val="24"/>
        </w:rPr>
        <w:t>when the Fund purchases or sells on behalf of the Fund Unitholders for securities in the basket of component securities that investors are restricted to invest in or investors have not carried out procedures for treasury shares transactions or tender offer in accordance with laws and regulations, receivables from the Fund Unitholders relating to corporate actions (dividend paid by cash, dividend paid by shares, bonus shares or rights) when ownership of components of basket investments is not transferred between the Fund and the Fund Unitholders or relating to securities in purchase/sell transactions on behalf of the Fund Unitholders who are restricted to hold and other receivables relating to the Fund’s operations.  Receivables are stated at cost less allowance for doubtful debts.</w:t>
      </w:r>
    </w:p>
    <w:p w14:paraId="765EC4FB" w14:textId="77777777" w:rsidR="00897749" w:rsidRPr="002136F3" w:rsidRDefault="00353AA9" w:rsidP="006551CD">
      <w:pPr>
        <w:widowControl w:val="0"/>
        <w:spacing w:before="120" w:after="120" w:line="312" w:lineRule="auto"/>
        <w:ind w:left="180" w:right="260"/>
        <w:jc w:val="both"/>
        <w:rPr>
          <w:rFonts w:ascii="Times New Roman" w:hAnsi="Times New Roman"/>
          <w:sz w:val="24"/>
          <w:szCs w:val="24"/>
        </w:rPr>
      </w:pPr>
      <w:r w:rsidRPr="002136F3">
        <w:rPr>
          <w:rFonts w:ascii="Times New Roman" w:hAnsi="Times New Roman"/>
          <w:sz w:val="24"/>
          <w:szCs w:val="24"/>
          <w:lang w:val="es-MX"/>
        </w:rPr>
        <w:t xml:space="preserve">Theo </w:t>
      </w:r>
      <w:proofErr w:type="spellStart"/>
      <w:r w:rsidR="005A4A6F" w:rsidRPr="002136F3">
        <w:rPr>
          <w:rFonts w:ascii="Times New Roman" w:hAnsi="Times New Roman"/>
          <w:sz w:val="24"/>
          <w:szCs w:val="24"/>
          <w:lang w:val="es-MX"/>
        </w:rPr>
        <w:t>Thông</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tư</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số</w:t>
      </w:r>
      <w:proofErr w:type="spellEnd"/>
      <w:r w:rsidR="005A4A6F" w:rsidRPr="002136F3">
        <w:rPr>
          <w:rFonts w:ascii="Times New Roman" w:hAnsi="Times New Roman"/>
          <w:sz w:val="24"/>
          <w:szCs w:val="24"/>
          <w:lang w:val="es-MX"/>
        </w:rPr>
        <w:t xml:space="preserve"> 48/2019/TT-BTC </w:t>
      </w:r>
      <w:proofErr w:type="spellStart"/>
      <w:r w:rsidRPr="002136F3">
        <w:rPr>
          <w:rFonts w:ascii="Times New Roman" w:hAnsi="Times New Roman"/>
          <w:sz w:val="24"/>
          <w:szCs w:val="24"/>
          <w:lang w:val="es-MX"/>
        </w:rPr>
        <w:t>ngày</w:t>
      </w:r>
      <w:proofErr w:type="spellEnd"/>
      <w:r w:rsidRPr="002136F3">
        <w:rPr>
          <w:rFonts w:ascii="Times New Roman" w:hAnsi="Times New Roman"/>
          <w:sz w:val="24"/>
          <w:szCs w:val="24"/>
          <w:lang w:val="es-MX"/>
        </w:rPr>
        <w:t xml:space="preserve"> </w:t>
      </w:r>
      <w:r w:rsidR="00450124" w:rsidRPr="002136F3">
        <w:rPr>
          <w:rFonts w:ascii="Times New Roman" w:hAnsi="Times New Roman"/>
          <w:sz w:val="24"/>
          <w:szCs w:val="24"/>
          <w:lang w:val="es-MX"/>
        </w:rPr>
        <w:t>08</w:t>
      </w:r>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tháng</w:t>
      </w:r>
      <w:proofErr w:type="spellEnd"/>
      <w:r w:rsidRPr="002136F3">
        <w:rPr>
          <w:rFonts w:ascii="Times New Roman" w:hAnsi="Times New Roman"/>
          <w:sz w:val="24"/>
          <w:szCs w:val="24"/>
          <w:lang w:val="es-MX"/>
        </w:rPr>
        <w:t xml:space="preserve"> </w:t>
      </w:r>
      <w:r w:rsidR="00450124" w:rsidRPr="002136F3">
        <w:rPr>
          <w:rFonts w:ascii="Times New Roman" w:hAnsi="Times New Roman"/>
          <w:sz w:val="24"/>
          <w:szCs w:val="24"/>
          <w:lang w:val="es-MX"/>
        </w:rPr>
        <w:t>08</w:t>
      </w:r>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năm</w:t>
      </w:r>
      <w:proofErr w:type="spellEnd"/>
      <w:r w:rsidRPr="002136F3">
        <w:rPr>
          <w:rFonts w:ascii="Times New Roman" w:hAnsi="Times New Roman"/>
          <w:sz w:val="24"/>
          <w:szCs w:val="24"/>
          <w:lang w:val="es-MX"/>
        </w:rPr>
        <w:t xml:space="preserve"> 20</w:t>
      </w:r>
      <w:r w:rsidR="005A4A6F" w:rsidRPr="002136F3">
        <w:rPr>
          <w:rFonts w:ascii="Times New Roman" w:hAnsi="Times New Roman"/>
          <w:sz w:val="24"/>
          <w:szCs w:val="24"/>
          <w:lang w:val="es-MX"/>
        </w:rPr>
        <w:t>1</w:t>
      </w:r>
      <w:r w:rsidRPr="002136F3">
        <w:rPr>
          <w:rFonts w:ascii="Times New Roman" w:hAnsi="Times New Roman"/>
          <w:sz w:val="24"/>
          <w:szCs w:val="24"/>
          <w:lang w:val="es-MX"/>
        </w:rPr>
        <w:t xml:space="preserve">9 do </w:t>
      </w:r>
      <w:proofErr w:type="spellStart"/>
      <w:r w:rsidRPr="002136F3">
        <w:rPr>
          <w:rFonts w:ascii="Times New Roman" w:hAnsi="Times New Roman"/>
          <w:sz w:val="24"/>
          <w:szCs w:val="24"/>
          <w:lang w:val="es-MX"/>
        </w:rPr>
        <w:t>Bộ</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Tài</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chính</w:t>
      </w:r>
      <w:proofErr w:type="spellEnd"/>
      <w:r w:rsidRPr="002136F3">
        <w:rPr>
          <w:rFonts w:ascii="Times New Roman" w:hAnsi="Times New Roman"/>
          <w:sz w:val="24"/>
          <w:szCs w:val="24"/>
          <w:lang w:val="es-MX"/>
        </w:rPr>
        <w:t xml:space="preserve"> ban </w:t>
      </w:r>
      <w:proofErr w:type="spellStart"/>
      <w:r w:rsidRPr="002136F3">
        <w:rPr>
          <w:rFonts w:ascii="Times New Roman" w:hAnsi="Times New Roman"/>
          <w:sz w:val="24"/>
          <w:szCs w:val="24"/>
          <w:lang w:val="es-MX"/>
        </w:rPr>
        <w:t>hành</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dự</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phòng</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phải</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thu</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khó</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đòi</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được</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lập</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dựa</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trên</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dự</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kiến</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tổn</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thất</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có</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thể</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xảy</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ra</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trong</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trường</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hợp</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khoản</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nợ</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chưa</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đến</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hạn</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thanh</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toán</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nhưng</w:t>
      </w:r>
      <w:proofErr w:type="spellEnd"/>
      <w:r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tổ</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chức</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kinh</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tế</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đã</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phá</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sản</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đã</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mở</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thủ</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tục</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phá</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sản</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đã</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bỏ</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trốn</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khỏi</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địa</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điểm</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kinh</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doanh</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đối</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tượng</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nợ</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đang</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bị</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các</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cơ</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quan</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pháp</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luật</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truy</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tố</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giam</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giữ</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xét</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xử</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hoặc</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đang</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thi</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hành</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án</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hoặc</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đang</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mắc</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bệnh</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hiểm</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nghèo</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có</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xác</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nhận</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của</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bệnh</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viện</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hoặc</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đã</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chết</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hoặc</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khoản</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nợ</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đã</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được</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doanh</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nghiệp</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yêu</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cầu</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thi</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hành</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án</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nhưng</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không</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thể</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thực</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hiện</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được</w:t>
      </w:r>
      <w:proofErr w:type="spellEnd"/>
      <w:r w:rsidR="005A4A6F" w:rsidRPr="002136F3">
        <w:rPr>
          <w:rFonts w:ascii="Times New Roman" w:hAnsi="Times New Roman"/>
          <w:sz w:val="24"/>
          <w:szCs w:val="24"/>
          <w:lang w:val="es-MX"/>
        </w:rPr>
        <w:t xml:space="preserve"> do </w:t>
      </w:r>
      <w:proofErr w:type="spellStart"/>
      <w:r w:rsidR="005A4A6F" w:rsidRPr="002136F3">
        <w:rPr>
          <w:rFonts w:ascii="Times New Roman" w:hAnsi="Times New Roman"/>
          <w:sz w:val="24"/>
          <w:szCs w:val="24"/>
          <w:lang w:val="es-MX"/>
        </w:rPr>
        <w:t>đối</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tượng</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nợ</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bỏ</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trốn</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khỏi</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nơi</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cư</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trú</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khoản</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nợ</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đã</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được</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doanh</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nghiệp</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khởi</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kiện</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đòi</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nợ</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lastRenderedPageBreak/>
        <w:t>nhưng</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bị</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đình</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chỉ</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giải</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quyết</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vụ</w:t>
      </w:r>
      <w:proofErr w:type="spellEnd"/>
      <w:r w:rsidR="005A4A6F" w:rsidRPr="002136F3">
        <w:rPr>
          <w:rFonts w:ascii="Times New Roman" w:hAnsi="Times New Roman"/>
          <w:sz w:val="24"/>
          <w:szCs w:val="24"/>
          <w:lang w:val="es-MX"/>
        </w:rPr>
        <w:t xml:space="preserve"> </w:t>
      </w:r>
      <w:proofErr w:type="spellStart"/>
      <w:r w:rsidR="005A4A6F" w:rsidRPr="002136F3">
        <w:rPr>
          <w:rFonts w:ascii="Times New Roman" w:hAnsi="Times New Roman"/>
          <w:sz w:val="24"/>
          <w:szCs w:val="24"/>
          <w:lang w:val="es-MX"/>
        </w:rPr>
        <w:t>án</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hoặc</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dựa</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trên</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tình</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trạng</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quá</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hạn</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của</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các</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khoản</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phải</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thu</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với</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tỉ</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lệ</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trích</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lập</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dự</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phòng</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như</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sau</w:t>
      </w:r>
      <w:proofErr w:type="spellEnd"/>
      <w:r w:rsidR="00897749" w:rsidRPr="002136F3">
        <w:rPr>
          <w:rFonts w:ascii="Times New Roman" w:hAnsi="Times New Roman"/>
          <w:sz w:val="24"/>
          <w:szCs w:val="24"/>
        </w:rPr>
        <w:t>:</w:t>
      </w:r>
    </w:p>
    <w:p w14:paraId="51296CAC" w14:textId="76C3BB52" w:rsidR="00E042DE" w:rsidRPr="0051259B" w:rsidRDefault="00E042DE" w:rsidP="006551CD">
      <w:pPr>
        <w:widowControl w:val="0"/>
        <w:spacing w:before="120" w:after="120" w:line="312" w:lineRule="auto"/>
        <w:ind w:left="180" w:right="260"/>
        <w:jc w:val="both"/>
        <w:rPr>
          <w:rFonts w:ascii="Times New Roman" w:hAnsi="Times New Roman"/>
          <w:i/>
          <w:iCs/>
          <w:sz w:val="24"/>
          <w:szCs w:val="24"/>
          <w:lang w:val="vi-VN"/>
        </w:rPr>
      </w:pPr>
      <w:r w:rsidRPr="0051259B">
        <w:rPr>
          <w:rFonts w:ascii="Times New Roman" w:hAnsi="Times New Roman"/>
          <w:i/>
          <w:iCs/>
          <w:sz w:val="24"/>
          <w:szCs w:val="24"/>
        </w:rPr>
        <w:t>According</w:t>
      </w:r>
      <w:r w:rsidRPr="0051259B">
        <w:rPr>
          <w:rFonts w:ascii="Times New Roman" w:hAnsi="Times New Roman"/>
          <w:i/>
          <w:iCs/>
          <w:sz w:val="24"/>
          <w:szCs w:val="24"/>
          <w:lang w:val="vi-VN"/>
        </w:rPr>
        <w:t xml:space="preserve"> to Circular No. </w:t>
      </w:r>
      <w:r w:rsidRPr="0051259B">
        <w:rPr>
          <w:rFonts w:ascii="Times New Roman" w:hAnsi="Times New Roman"/>
          <w:i/>
          <w:iCs/>
          <w:sz w:val="24"/>
          <w:szCs w:val="24"/>
          <w:lang w:val="es-MX"/>
        </w:rPr>
        <w:t>48/2019/TT-BTC</w:t>
      </w:r>
      <w:r w:rsidRPr="0051259B">
        <w:rPr>
          <w:rFonts w:ascii="Times New Roman" w:hAnsi="Times New Roman"/>
          <w:i/>
          <w:iCs/>
          <w:sz w:val="24"/>
          <w:szCs w:val="24"/>
          <w:lang w:val="vi-VN"/>
        </w:rPr>
        <w:t xml:space="preserve"> dated on 08 Aug 2019 issued by Mistry of Finance, </w:t>
      </w:r>
      <w:r w:rsidRPr="0051259B">
        <w:rPr>
          <w:rFonts w:ascii="Times New Roman" w:hAnsi="Times New Roman"/>
          <w:i/>
          <w:iCs/>
          <w:sz w:val="24"/>
          <w:szCs w:val="24"/>
        </w:rPr>
        <w:t>As for undue receivables, if the enterprise has evidence that the debtor of such receivables is unable to repay on time since the debtor is bankrupt, filing for bankruptcy or has absconded; or being prosecuted, detained or tried by law enforcement bodies or serving a sentence; or suffering from a serious illness (certified by the hospital); deceased ; or those remains irrecoverable after the enterprise filing a lawsuit due to its debtor had fled from his/her residence, the enterprise shall estimate the irrecoverable amount of such debts (the maximum amount shall not exceed the book value) to make provisions</w:t>
      </w:r>
      <w:r w:rsidRPr="0051259B">
        <w:rPr>
          <w:rFonts w:ascii="Times New Roman" w:hAnsi="Times New Roman"/>
          <w:i/>
          <w:iCs/>
          <w:sz w:val="24"/>
          <w:szCs w:val="24"/>
          <w:lang w:val="vi-VN"/>
        </w:rPr>
        <w:t xml:space="preserve"> as below: </w:t>
      </w:r>
    </w:p>
    <w:p w14:paraId="3A1618B2" w14:textId="77777777" w:rsidR="00E042DE" w:rsidRPr="002136F3" w:rsidRDefault="00E042DE" w:rsidP="00D54A5B">
      <w:pPr>
        <w:widowControl w:val="0"/>
        <w:spacing w:before="120" w:after="120" w:line="312" w:lineRule="auto"/>
        <w:ind w:left="142" w:right="260"/>
        <w:jc w:val="both"/>
        <w:rPr>
          <w:rFonts w:ascii="Times New Roman" w:hAnsi="Times New Roman"/>
          <w:sz w:val="24"/>
          <w:szCs w:val="24"/>
        </w:rPr>
      </w:pPr>
    </w:p>
    <w:tbl>
      <w:tblPr>
        <w:tblW w:w="4428" w:type="pct"/>
        <w:tblInd w:w="817" w:type="dxa"/>
        <w:tblLook w:val="04A0" w:firstRow="1" w:lastRow="0" w:firstColumn="1" w:lastColumn="0" w:noHBand="0" w:noVBand="1"/>
      </w:tblPr>
      <w:tblGrid>
        <w:gridCol w:w="6027"/>
        <w:gridCol w:w="2716"/>
      </w:tblGrid>
      <w:tr w:rsidR="00897749" w:rsidRPr="002136F3" w14:paraId="0B3CE783" w14:textId="77777777" w:rsidTr="002978D2">
        <w:tc>
          <w:tcPr>
            <w:tcW w:w="3447" w:type="pct"/>
          </w:tcPr>
          <w:p w14:paraId="316ED060" w14:textId="77777777" w:rsidR="00897749" w:rsidRPr="002136F3" w:rsidRDefault="00897749" w:rsidP="00D54A5B">
            <w:pPr>
              <w:keepNext/>
              <w:keepLines/>
              <w:spacing w:before="120" w:after="120" w:line="312" w:lineRule="auto"/>
              <w:ind w:left="142" w:right="260"/>
              <w:jc w:val="both"/>
              <w:rPr>
                <w:rFonts w:ascii="Times New Roman" w:hAnsi="Times New Roman"/>
                <w:b/>
                <w:i/>
                <w:sz w:val="24"/>
                <w:szCs w:val="24"/>
                <w:lang w:val="es-MX"/>
              </w:rPr>
            </w:pPr>
            <w:proofErr w:type="spellStart"/>
            <w:r w:rsidRPr="002136F3">
              <w:rPr>
                <w:rFonts w:ascii="Times New Roman" w:hAnsi="Times New Roman"/>
                <w:b/>
                <w:i/>
                <w:sz w:val="24"/>
                <w:szCs w:val="24"/>
                <w:lang w:val="es-MX"/>
              </w:rPr>
              <w:t>Thời</w:t>
            </w:r>
            <w:proofErr w:type="spellEnd"/>
            <w:r w:rsidRPr="002136F3">
              <w:rPr>
                <w:rFonts w:ascii="Times New Roman" w:hAnsi="Times New Roman"/>
                <w:b/>
                <w:i/>
                <w:sz w:val="24"/>
                <w:szCs w:val="24"/>
                <w:lang w:val="es-MX"/>
              </w:rPr>
              <w:t xml:space="preserve"> </w:t>
            </w:r>
            <w:proofErr w:type="spellStart"/>
            <w:r w:rsidRPr="002136F3">
              <w:rPr>
                <w:rFonts w:ascii="Times New Roman" w:hAnsi="Times New Roman"/>
                <w:b/>
                <w:i/>
                <w:sz w:val="24"/>
                <w:szCs w:val="24"/>
                <w:lang w:val="es-MX"/>
              </w:rPr>
              <w:t>gian</w:t>
            </w:r>
            <w:proofErr w:type="spellEnd"/>
            <w:r w:rsidRPr="002136F3">
              <w:rPr>
                <w:rFonts w:ascii="Times New Roman" w:hAnsi="Times New Roman"/>
                <w:b/>
                <w:i/>
                <w:sz w:val="24"/>
                <w:szCs w:val="24"/>
                <w:lang w:val="es-MX"/>
              </w:rPr>
              <w:t xml:space="preserve"> </w:t>
            </w:r>
            <w:proofErr w:type="spellStart"/>
            <w:r w:rsidRPr="002136F3">
              <w:rPr>
                <w:rFonts w:ascii="Times New Roman" w:hAnsi="Times New Roman"/>
                <w:b/>
                <w:i/>
                <w:sz w:val="24"/>
                <w:szCs w:val="24"/>
                <w:lang w:val="es-MX"/>
              </w:rPr>
              <w:t>quá</w:t>
            </w:r>
            <w:proofErr w:type="spellEnd"/>
            <w:r w:rsidRPr="002136F3">
              <w:rPr>
                <w:rFonts w:ascii="Times New Roman" w:hAnsi="Times New Roman"/>
                <w:b/>
                <w:i/>
                <w:sz w:val="24"/>
                <w:szCs w:val="24"/>
                <w:lang w:val="es-MX"/>
              </w:rPr>
              <w:t xml:space="preserve"> </w:t>
            </w:r>
            <w:proofErr w:type="spellStart"/>
            <w:r w:rsidRPr="002136F3">
              <w:rPr>
                <w:rFonts w:ascii="Times New Roman" w:hAnsi="Times New Roman"/>
                <w:b/>
                <w:i/>
                <w:sz w:val="24"/>
                <w:szCs w:val="24"/>
                <w:lang w:val="es-MX"/>
              </w:rPr>
              <w:t>hạn</w:t>
            </w:r>
            <w:proofErr w:type="spellEnd"/>
          </w:p>
          <w:p w14:paraId="2CB7BC08" w14:textId="178D6877" w:rsidR="00FE2C31" w:rsidRPr="002136F3" w:rsidRDefault="00FE2C31" w:rsidP="00D54A5B">
            <w:pPr>
              <w:keepNext/>
              <w:keepLines/>
              <w:spacing w:before="120" w:after="120" w:line="312" w:lineRule="auto"/>
              <w:ind w:left="142" w:right="260"/>
              <w:jc w:val="both"/>
              <w:rPr>
                <w:rFonts w:ascii="Times New Roman" w:hAnsi="Times New Roman"/>
                <w:b/>
                <w:i/>
                <w:sz w:val="24"/>
                <w:szCs w:val="24"/>
              </w:rPr>
            </w:pPr>
            <w:proofErr w:type="spellStart"/>
            <w:r w:rsidRPr="002136F3">
              <w:rPr>
                <w:rFonts w:ascii="Times New Roman" w:hAnsi="Times New Roman"/>
                <w:b/>
                <w:i/>
                <w:sz w:val="24"/>
                <w:szCs w:val="24"/>
                <w:lang w:val="es-MX"/>
              </w:rPr>
              <w:t>Overdue</w:t>
            </w:r>
            <w:proofErr w:type="spellEnd"/>
            <w:r w:rsidRPr="002136F3">
              <w:rPr>
                <w:rFonts w:ascii="Times New Roman" w:hAnsi="Times New Roman"/>
                <w:b/>
                <w:i/>
                <w:sz w:val="24"/>
                <w:szCs w:val="24"/>
                <w:lang w:val="es-MX"/>
              </w:rPr>
              <w:t xml:space="preserve"> time</w:t>
            </w:r>
          </w:p>
        </w:tc>
        <w:tc>
          <w:tcPr>
            <w:tcW w:w="1553" w:type="pct"/>
          </w:tcPr>
          <w:p w14:paraId="7B436A25" w14:textId="77777777" w:rsidR="00897749" w:rsidRPr="002136F3" w:rsidRDefault="00897749" w:rsidP="00D54A5B">
            <w:pPr>
              <w:keepNext/>
              <w:keepLines/>
              <w:spacing w:before="120" w:after="120" w:line="312" w:lineRule="auto"/>
              <w:ind w:left="142" w:right="260"/>
              <w:jc w:val="center"/>
              <w:rPr>
                <w:rFonts w:ascii="Times New Roman" w:hAnsi="Times New Roman"/>
                <w:b/>
                <w:i/>
                <w:sz w:val="24"/>
                <w:szCs w:val="24"/>
                <w:lang w:val="es-MX"/>
              </w:rPr>
            </w:pPr>
            <w:proofErr w:type="spellStart"/>
            <w:r w:rsidRPr="002136F3">
              <w:rPr>
                <w:rFonts w:ascii="Times New Roman" w:hAnsi="Times New Roman"/>
                <w:b/>
                <w:i/>
                <w:sz w:val="24"/>
                <w:szCs w:val="24"/>
                <w:lang w:val="es-MX"/>
              </w:rPr>
              <w:t>Mức</w:t>
            </w:r>
            <w:proofErr w:type="spellEnd"/>
            <w:r w:rsidRPr="002136F3">
              <w:rPr>
                <w:rFonts w:ascii="Times New Roman" w:hAnsi="Times New Roman"/>
                <w:b/>
                <w:i/>
                <w:sz w:val="24"/>
                <w:szCs w:val="24"/>
                <w:lang w:val="es-MX"/>
              </w:rPr>
              <w:t xml:space="preserve"> </w:t>
            </w:r>
            <w:proofErr w:type="spellStart"/>
            <w:r w:rsidRPr="002136F3">
              <w:rPr>
                <w:rFonts w:ascii="Times New Roman" w:hAnsi="Times New Roman"/>
                <w:b/>
                <w:i/>
                <w:sz w:val="24"/>
                <w:szCs w:val="24"/>
                <w:lang w:val="es-MX"/>
              </w:rPr>
              <w:t>trích</w:t>
            </w:r>
            <w:proofErr w:type="spellEnd"/>
            <w:r w:rsidRPr="002136F3">
              <w:rPr>
                <w:rFonts w:ascii="Times New Roman" w:hAnsi="Times New Roman"/>
                <w:b/>
                <w:i/>
                <w:sz w:val="24"/>
                <w:szCs w:val="24"/>
                <w:lang w:val="vi-VN"/>
              </w:rPr>
              <w:t xml:space="preserve"> </w:t>
            </w:r>
            <w:proofErr w:type="spellStart"/>
            <w:r w:rsidRPr="002136F3">
              <w:rPr>
                <w:rFonts w:ascii="Times New Roman" w:hAnsi="Times New Roman"/>
                <w:b/>
                <w:i/>
                <w:sz w:val="24"/>
                <w:szCs w:val="24"/>
              </w:rPr>
              <w:t>lập</w:t>
            </w:r>
            <w:proofErr w:type="spellEnd"/>
            <w:r w:rsidRPr="002136F3">
              <w:rPr>
                <w:rFonts w:ascii="Times New Roman" w:hAnsi="Times New Roman"/>
                <w:b/>
                <w:i/>
                <w:sz w:val="24"/>
                <w:szCs w:val="24"/>
              </w:rPr>
              <w:t xml:space="preserve"> </w:t>
            </w:r>
            <w:r w:rsidRPr="002136F3">
              <w:rPr>
                <w:rFonts w:ascii="Times New Roman" w:hAnsi="Times New Roman"/>
                <w:b/>
                <w:i/>
                <w:sz w:val="24"/>
                <w:szCs w:val="24"/>
                <w:lang w:val="vi-VN"/>
              </w:rPr>
              <w:t>d</w:t>
            </w:r>
            <w:r w:rsidRPr="002136F3">
              <w:rPr>
                <w:rFonts w:ascii="Times New Roman" w:hAnsi="Times New Roman"/>
                <w:b/>
                <w:i/>
                <w:sz w:val="24"/>
                <w:szCs w:val="24"/>
                <w:lang w:val="es-MX"/>
              </w:rPr>
              <w:t xml:space="preserve">ự </w:t>
            </w:r>
            <w:proofErr w:type="spellStart"/>
            <w:r w:rsidRPr="002136F3">
              <w:rPr>
                <w:rFonts w:ascii="Times New Roman" w:hAnsi="Times New Roman"/>
                <w:b/>
                <w:i/>
                <w:sz w:val="24"/>
                <w:szCs w:val="24"/>
                <w:lang w:val="es-MX"/>
              </w:rPr>
              <w:t>phòng</w:t>
            </w:r>
            <w:proofErr w:type="spellEnd"/>
          </w:p>
          <w:p w14:paraId="1FB559A6" w14:textId="456B86B6" w:rsidR="00FE2C31" w:rsidRPr="002136F3" w:rsidRDefault="00FE2C31" w:rsidP="00D54A5B">
            <w:pPr>
              <w:keepNext/>
              <w:keepLines/>
              <w:spacing w:before="120" w:after="120" w:line="312" w:lineRule="auto"/>
              <w:ind w:left="142" w:right="260"/>
              <w:jc w:val="center"/>
              <w:rPr>
                <w:rFonts w:ascii="Times New Roman" w:hAnsi="Times New Roman"/>
                <w:b/>
                <w:i/>
                <w:sz w:val="24"/>
                <w:szCs w:val="24"/>
              </w:rPr>
            </w:pPr>
            <w:r w:rsidRPr="002136F3">
              <w:rPr>
                <w:rFonts w:ascii="Times New Roman" w:hAnsi="Times New Roman"/>
                <w:b/>
                <w:i/>
                <w:sz w:val="24"/>
                <w:szCs w:val="24"/>
              </w:rPr>
              <w:t>Provision rate</w:t>
            </w:r>
          </w:p>
        </w:tc>
      </w:tr>
      <w:tr w:rsidR="00897749" w:rsidRPr="002136F3" w14:paraId="656F8126" w14:textId="77777777" w:rsidTr="002978D2">
        <w:tc>
          <w:tcPr>
            <w:tcW w:w="3447" w:type="pct"/>
            <w:vAlign w:val="bottom"/>
          </w:tcPr>
          <w:p w14:paraId="4AB06210" w14:textId="77777777" w:rsidR="00897749" w:rsidRPr="002136F3" w:rsidRDefault="00897749" w:rsidP="00D54A5B">
            <w:pPr>
              <w:keepNext/>
              <w:widowControl w:val="0"/>
              <w:spacing w:before="120" w:after="120" w:line="312" w:lineRule="auto"/>
              <w:ind w:left="142" w:right="260"/>
              <w:jc w:val="both"/>
              <w:rPr>
                <w:rFonts w:ascii="Times New Roman" w:hAnsi="Times New Roman"/>
                <w:sz w:val="24"/>
                <w:szCs w:val="24"/>
                <w:lang w:val="es-MX"/>
              </w:rPr>
            </w:pPr>
            <w:proofErr w:type="spellStart"/>
            <w:r w:rsidRPr="002136F3">
              <w:rPr>
                <w:rFonts w:ascii="Times New Roman" w:hAnsi="Times New Roman"/>
                <w:sz w:val="24"/>
                <w:szCs w:val="24"/>
                <w:lang w:val="es-MX"/>
              </w:rPr>
              <w:t>Từ</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trên</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sáu</w:t>
            </w:r>
            <w:proofErr w:type="spellEnd"/>
            <w:r w:rsidRPr="002136F3">
              <w:rPr>
                <w:rFonts w:ascii="Times New Roman" w:hAnsi="Times New Roman"/>
                <w:sz w:val="24"/>
                <w:szCs w:val="24"/>
                <w:lang w:val="es-MX"/>
              </w:rPr>
              <w:t xml:space="preserve"> (06) </w:t>
            </w:r>
            <w:proofErr w:type="spellStart"/>
            <w:r w:rsidRPr="002136F3">
              <w:rPr>
                <w:rFonts w:ascii="Times New Roman" w:hAnsi="Times New Roman"/>
                <w:sz w:val="24"/>
                <w:szCs w:val="24"/>
                <w:lang w:val="es-MX"/>
              </w:rPr>
              <w:t>tháng</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đến</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dưới</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một</w:t>
            </w:r>
            <w:proofErr w:type="spellEnd"/>
            <w:r w:rsidRPr="002136F3">
              <w:rPr>
                <w:rFonts w:ascii="Times New Roman" w:hAnsi="Times New Roman"/>
                <w:sz w:val="24"/>
                <w:szCs w:val="24"/>
                <w:lang w:val="es-MX"/>
              </w:rPr>
              <w:t xml:space="preserve"> (01) </w:t>
            </w:r>
            <w:proofErr w:type="spellStart"/>
            <w:r w:rsidRPr="002136F3">
              <w:rPr>
                <w:rFonts w:ascii="Times New Roman" w:hAnsi="Times New Roman"/>
                <w:sz w:val="24"/>
                <w:szCs w:val="24"/>
                <w:lang w:val="es-MX"/>
              </w:rPr>
              <w:t>năm</w:t>
            </w:r>
            <w:proofErr w:type="spellEnd"/>
          </w:p>
          <w:p w14:paraId="1B0884B5" w14:textId="72722EEB" w:rsidR="00FE2C31" w:rsidRPr="0051259B" w:rsidRDefault="00FE2C31" w:rsidP="00D54A5B">
            <w:pPr>
              <w:keepNext/>
              <w:widowControl w:val="0"/>
              <w:spacing w:before="120" w:after="120" w:line="312" w:lineRule="auto"/>
              <w:ind w:left="142" w:right="260"/>
              <w:jc w:val="both"/>
              <w:rPr>
                <w:rFonts w:ascii="Times New Roman" w:hAnsi="Times New Roman"/>
                <w:i/>
                <w:iCs/>
                <w:spacing w:val="-2"/>
                <w:sz w:val="24"/>
                <w:szCs w:val="24"/>
              </w:rPr>
            </w:pPr>
            <w:r w:rsidRPr="0051259B">
              <w:rPr>
                <w:rFonts w:ascii="Times New Roman" w:hAnsi="Times New Roman"/>
                <w:i/>
                <w:iCs/>
                <w:spacing w:val="-2"/>
                <w:sz w:val="24"/>
                <w:szCs w:val="24"/>
              </w:rPr>
              <w:t>From more than six (06) months up to less than one (01) year</w:t>
            </w:r>
          </w:p>
        </w:tc>
        <w:tc>
          <w:tcPr>
            <w:tcW w:w="1553" w:type="pct"/>
            <w:vAlign w:val="bottom"/>
          </w:tcPr>
          <w:p w14:paraId="30D7E4C1" w14:textId="77777777" w:rsidR="00897749" w:rsidRPr="002136F3" w:rsidRDefault="00897749" w:rsidP="00D54A5B">
            <w:pPr>
              <w:keepNext/>
              <w:widowControl w:val="0"/>
              <w:spacing w:before="120" w:after="120" w:line="312" w:lineRule="auto"/>
              <w:ind w:left="142" w:right="260"/>
              <w:jc w:val="center"/>
              <w:rPr>
                <w:rFonts w:ascii="Times New Roman" w:hAnsi="Times New Roman"/>
                <w:sz w:val="24"/>
                <w:szCs w:val="24"/>
              </w:rPr>
            </w:pPr>
            <w:r w:rsidRPr="002136F3">
              <w:rPr>
                <w:rFonts w:ascii="Times New Roman" w:hAnsi="Times New Roman"/>
                <w:sz w:val="24"/>
                <w:szCs w:val="24"/>
              </w:rPr>
              <w:t>30%</w:t>
            </w:r>
          </w:p>
        </w:tc>
      </w:tr>
      <w:tr w:rsidR="00897749" w:rsidRPr="002136F3" w14:paraId="12122A41" w14:textId="77777777" w:rsidTr="002978D2">
        <w:tc>
          <w:tcPr>
            <w:tcW w:w="3447" w:type="pct"/>
            <w:vAlign w:val="bottom"/>
          </w:tcPr>
          <w:p w14:paraId="1B816831" w14:textId="77777777" w:rsidR="00897749" w:rsidRPr="002136F3" w:rsidRDefault="00897749" w:rsidP="00D54A5B">
            <w:pPr>
              <w:keepNext/>
              <w:widowControl w:val="0"/>
              <w:spacing w:before="120" w:after="120" w:line="312" w:lineRule="auto"/>
              <w:ind w:left="142" w:right="260"/>
              <w:jc w:val="both"/>
              <w:rPr>
                <w:rFonts w:ascii="Times New Roman" w:hAnsi="Times New Roman"/>
                <w:sz w:val="24"/>
                <w:szCs w:val="24"/>
                <w:lang w:val="es-MX"/>
              </w:rPr>
            </w:pPr>
            <w:proofErr w:type="spellStart"/>
            <w:r w:rsidRPr="002136F3">
              <w:rPr>
                <w:rFonts w:ascii="Times New Roman" w:hAnsi="Times New Roman"/>
                <w:sz w:val="24"/>
                <w:szCs w:val="24"/>
                <w:lang w:val="es-MX"/>
              </w:rPr>
              <w:t>Từ</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một</w:t>
            </w:r>
            <w:proofErr w:type="spellEnd"/>
            <w:r w:rsidRPr="002136F3">
              <w:rPr>
                <w:rFonts w:ascii="Times New Roman" w:hAnsi="Times New Roman"/>
                <w:sz w:val="24"/>
                <w:szCs w:val="24"/>
                <w:lang w:val="es-MX"/>
              </w:rPr>
              <w:t xml:space="preserve"> (01) </w:t>
            </w:r>
            <w:proofErr w:type="spellStart"/>
            <w:r w:rsidRPr="002136F3">
              <w:rPr>
                <w:rFonts w:ascii="Times New Roman" w:hAnsi="Times New Roman"/>
                <w:sz w:val="24"/>
                <w:szCs w:val="24"/>
                <w:lang w:val="es-MX"/>
              </w:rPr>
              <w:t>năm</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đến</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dưới</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hai</w:t>
            </w:r>
            <w:proofErr w:type="spellEnd"/>
            <w:r w:rsidRPr="002136F3">
              <w:rPr>
                <w:rFonts w:ascii="Times New Roman" w:hAnsi="Times New Roman"/>
                <w:sz w:val="24"/>
                <w:szCs w:val="24"/>
                <w:lang w:val="es-MX"/>
              </w:rPr>
              <w:t xml:space="preserve"> (02) </w:t>
            </w:r>
            <w:proofErr w:type="spellStart"/>
            <w:r w:rsidRPr="002136F3">
              <w:rPr>
                <w:rFonts w:ascii="Times New Roman" w:hAnsi="Times New Roman"/>
                <w:sz w:val="24"/>
                <w:szCs w:val="24"/>
                <w:lang w:val="es-MX"/>
              </w:rPr>
              <w:t>năm</w:t>
            </w:r>
            <w:proofErr w:type="spellEnd"/>
          </w:p>
          <w:p w14:paraId="01BA8220" w14:textId="3481295A" w:rsidR="00FE2C31" w:rsidRPr="0051259B" w:rsidRDefault="00FE2C31" w:rsidP="00D54A5B">
            <w:pPr>
              <w:keepNext/>
              <w:widowControl w:val="0"/>
              <w:spacing w:before="120" w:after="120" w:line="312" w:lineRule="auto"/>
              <w:ind w:left="142" w:right="260"/>
              <w:jc w:val="both"/>
              <w:rPr>
                <w:rFonts w:ascii="Times New Roman" w:hAnsi="Times New Roman"/>
                <w:i/>
                <w:iCs/>
                <w:sz w:val="24"/>
                <w:szCs w:val="24"/>
              </w:rPr>
            </w:pPr>
            <w:proofErr w:type="spellStart"/>
            <w:r w:rsidRPr="0051259B">
              <w:rPr>
                <w:rFonts w:ascii="Times New Roman" w:hAnsi="Times New Roman"/>
                <w:i/>
                <w:iCs/>
                <w:sz w:val="24"/>
                <w:szCs w:val="24"/>
                <w:lang w:val="es-MX"/>
              </w:rPr>
              <w:t>From</w:t>
            </w:r>
            <w:proofErr w:type="spellEnd"/>
            <w:r w:rsidRPr="0051259B">
              <w:rPr>
                <w:rFonts w:ascii="Times New Roman" w:hAnsi="Times New Roman"/>
                <w:i/>
                <w:iCs/>
                <w:sz w:val="24"/>
                <w:szCs w:val="24"/>
                <w:lang w:val="es-MX"/>
              </w:rPr>
              <w:t xml:space="preserve"> </w:t>
            </w:r>
            <w:proofErr w:type="spellStart"/>
            <w:r w:rsidRPr="0051259B">
              <w:rPr>
                <w:rFonts w:ascii="Times New Roman" w:hAnsi="Times New Roman"/>
                <w:i/>
                <w:iCs/>
                <w:sz w:val="24"/>
                <w:szCs w:val="24"/>
                <w:lang w:val="es-MX"/>
              </w:rPr>
              <w:t>one</w:t>
            </w:r>
            <w:proofErr w:type="spellEnd"/>
            <w:r w:rsidRPr="0051259B">
              <w:rPr>
                <w:rFonts w:ascii="Times New Roman" w:hAnsi="Times New Roman"/>
                <w:i/>
                <w:iCs/>
                <w:sz w:val="24"/>
                <w:szCs w:val="24"/>
                <w:lang w:val="es-MX"/>
              </w:rPr>
              <w:t xml:space="preserve"> (01) </w:t>
            </w:r>
            <w:proofErr w:type="spellStart"/>
            <w:r w:rsidRPr="0051259B">
              <w:rPr>
                <w:rFonts w:ascii="Times New Roman" w:hAnsi="Times New Roman"/>
                <w:i/>
                <w:iCs/>
                <w:sz w:val="24"/>
                <w:szCs w:val="24"/>
                <w:lang w:val="es-MX"/>
              </w:rPr>
              <w:t>year</w:t>
            </w:r>
            <w:proofErr w:type="spellEnd"/>
            <w:r w:rsidRPr="0051259B">
              <w:rPr>
                <w:rFonts w:ascii="Times New Roman" w:hAnsi="Times New Roman"/>
                <w:i/>
                <w:iCs/>
                <w:sz w:val="24"/>
                <w:szCs w:val="24"/>
                <w:lang w:val="es-MX"/>
              </w:rPr>
              <w:t xml:space="preserve"> up </w:t>
            </w:r>
            <w:proofErr w:type="spellStart"/>
            <w:r w:rsidRPr="0051259B">
              <w:rPr>
                <w:rFonts w:ascii="Times New Roman" w:hAnsi="Times New Roman"/>
                <w:i/>
                <w:iCs/>
                <w:sz w:val="24"/>
                <w:szCs w:val="24"/>
                <w:lang w:val="es-MX"/>
              </w:rPr>
              <w:t>to</w:t>
            </w:r>
            <w:proofErr w:type="spellEnd"/>
            <w:r w:rsidRPr="0051259B">
              <w:rPr>
                <w:rFonts w:ascii="Times New Roman" w:hAnsi="Times New Roman"/>
                <w:i/>
                <w:iCs/>
                <w:sz w:val="24"/>
                <w:szCs w:val="24"/>
                <w:lang w:val="es-MX"/>
              </w:rPr>
              <w:t xml:space="preserve"> </w:t>
            </w:r>
            <w:proofErr w:type="spellStart"/>
            <w:r w:rsidRPr="0051259B">
              <w:rPr>
                <w:rFonts w:ascii="Times New Roman" w:hAnsi="Times New Roman"/>
                <w:i/>
                <w:iCs/>
                <w:sz w:val="24"/>
                <w:szCs w:val="24"/>
                <w:lang w:val="es-MX"/>
              </w:rPr>
              <w:t>less</w:t>
            </w:r>
            <w:proofErr w:type="spellEnd"/>
            <w:r w:rsidRPr="0051259B">
              <w:rPr>
                <w:rFonts w:ascii="Times New Roman" w:hAnsi="Times New Roman"/>
                <w:i/>
                <w:iCs/>
                <w:sz w:val="24"/>
                <w:szCs w:val="24"/>
                <w:lang w:val="es-MX"/>
              </w:rPr>
              <w:t xml:space="preserve"> </w:t>
            </w:r>
            <w:proofErr w:type="spellStart"/>
            <w:r w:rsidRPr="0051259B">
              <w:rPr>
                <w:rFonts w:ascii="Times New Roman" w:hAnsi="Times New Roman"/>
                <w:i/>
                <w:iCs/>
                <w:sz w:val="24"/>
                <w:szCs w:val="24"/>
                <w:lang w:val="es-MX"/>
              </w:rPr>
              <w:t>than</w:t>
            </w:r>
            <w:proofErr w:type="spellEnd"/>
            <w:r w:rsidRPr="0051259B">
              <w:rPr>
                <w:rFonts w:ascii="Times New Roman" w:hAnsi="Times New Roman"/>
                <w:i/>
                <w:iCs/>
                <w:sz w:val="24"/>
                <w:szCs w:val="24"/>
                <w:lang w:val="es-MX"/>
              </w:rPr>
              <w:t xml:space="preserve"> </w:t>
            </w:r>
            <w:proofErr w:type="spellStart"/>
            <w:r w:rsidRPr="0051259B">
              <w:rPr>
                <w:rFonts w:ascii="Times New Roman" w:hAnsi="Times New Roman"/>
                <w:i/>
                <w:iCs/>
                <w:sz w:val="24"/>
                <w:szCs w:val="24"/>
                <w:lang w:val="es-MX"/>
              </w:rPr>
              <w:t>two</w:t>
            </w:r>
            <w:proofErr w:type="spellEnd"/>
            <w:r w:rsidRPr="0051259B">
              <w:rPr>
                <w:rFonts w:ascii="Times New Roman" w:hAnsi="Times New Roman"/>
                <w:i/>
                <w:iCs/>
                <w:sz w:val="24"/>
                <w:szCs w:val="24"/>
                <w:lang w:val="es-MX"/>
              </w:rPr>
              <w:t xml:space="preserve"> (02) </w:t>
            </w:r>
            <w:proofErr w:type="spellStart"/>
            <w:r w:rsidRPr="0051259B">
              <w:rPr>
                <w:rFonts w:ascii="Times New Roman" w:hAnsi="Times New Roman"/>
                <w:i/>
                <w:iCs/>
                <w:sz w:val="24"/>
                <w:szCs w:val="24"/>
                <w:lang w:val="es-MX"/>
              </w:rPr>
              <w:t>years</w:t>
            </w:r>
            <w:proofErr w:type="spellEnd"/>
          </w:p>
        </w:tc>
        <w:tc>
          <w:tcPr>
            <w:tcW w:w="1553" w:type="pct"/>
            <w:vAlign w:val="bottom"/>
          </w:tcPr>
          <w:p w14:paraId="6B1EA7A4" w14:textId="77777777" w:rsidR="00897749" w:rsidRPr="002136F3" w:rsidRDefault="00897749" w:rsidP="00D54A5B">
            <w:pPr>
              <w:keepNext/>
              <w:widowControl w:val="0"/>
              <w:spacing w:before="120" w:after="120" w:line="312" w:lineRule="auto"/>
              <w:ind w:left="142" w:right="260"/>
              <w:jc w:val="center"/>
              <w:rPr>
                <w:rFonts w:ascii="Times New Roman" w:hAnsi="Times New Roman"/>
                <w:sz w:val="24"/>
                <w:szCs w:val="24"/>
              </w:rPr>
            </w:pPr>
            <w:r w:rsidRPr="002136F3">
              <w:rPr>
                <w:rFonts w:ascii="Times New Roman" w:hAnsi="Times New Roman"/>
                <w:sz w:val="24"/>
                <w:szCs w:val="24"/>
              </w:rPr>
              <w:t>50%</w:t>
            </w:r>
          </w:p>
        </w:tc>
      </w:tr>
      <w:tr w:rsidR="00897749" w:rsidRPr="002136F3" w14:paraId="472FDA62" w14:textId="77777777" w:rsidTr="002978D2">
        <w:tc>
          <w:tcPr>
            <w:tcW w:w="3447" w:type="pct"/>
            <w:vAlign w:val="bottom"/>
          </w:tcPr>
          <w:p w14:paraId="6F236A03" w14:textId="77777777" w:rsidR="00897749" w:rsidRPr="002136F3" w:rsidRDefault="00897749" w:rsidP="00D54A5B">
            <w:pPr>
              <w:keepNext/>
              <w:widowControl w:val="0"/>
              <w:spacing w:before="120" w:after="120" w:line="312" w:lineRule="auto"/>
              <w:ind w:left="142" w:right="260"/>
              <w:jc w:val="both"/>
              <w:rPr>
                <w:rFonts w:ascii="Times New Roman" w:hAnsi="Times New Roman"/>
                <w:sz w:val="24"/>
                <w:szCs w:val="24"/>
                <w:lang w:val="es-MX"/>
              </w:rPr>
            </w:pPr>
            <w:proofErr w:type="spellStart"/>
            <w:r w:rsidRPr="002136F3">
              <w:rPr>
                <w:rFonts w:ascii="Times New Roman" w:hAnsi="Times New Roman"/>
                <w:sz w:val="24"/>
                <w:szCs w:val="24"/>
                <w:lang w:val="es-MX"/>
              </w:rPr>
              <w:t>Từ</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hai</w:t>
            </w:r>
            <w:proofErr w:type="spellEnd"/>
            <w:r w:rsidRPr="002136F3">
              <w:rPr>
                <w:rFonts w:ascii="Times New Roman" w:hAnsi="Times New Roman"/>
                <w:sz w:val="24"/>
                <w:szCs w:val="24"/>
                <w:lang w:val="es-MX"/>
              </w:rPr>
              <w:t xml:space="preserve"> (02) </w:t>
            </w:r>
            <w:proofErr w:type="spellStart"/>
            <w:r w:rsidRPr="002136F3">
              <w:rPr>
                <w:rFonts w:ascii="Times New Roman" w:hAnsi="Times New Roman"/>
                <w:sz w:val="24"/>
                <w:szCs w:val="24"/>
                <w:lang w:val="es-MX"/>
              </w:rPr>
              <w:t>năm</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đến</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dưới</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ba</w:t>
            </w:r>
            <w:proofErr w:type="spellEnd"/>
            <w:r w:rsidRPr="002136F3">
              <w:rPr>
                <w:rFonts w:ascii="Times New Roman" w:hAnsi="Times New Roman"/>
                <w:sz w:val="24"/>
                <w:szCs w:val="24"/>
                <w:lang w:val="es-MX"/>
              </w:rPr>
              <w:t xml:space="preserve"> (03) </w:t>
            </w:r>
            <w:proofErr w:type="spellStart"/>
            <w:r w:rsidRPr="002136F3">
              <w:rPr>
                <w:rFonts w:ascii="Times New Roman" w:hAnsi="Times New Roman"/>
                <w:sz w:val="24"/>
                <w:szCs w:val="24"/>
                <w:lang w:val="es-MX"/>
              </w:rPr>
              <w:t>năm</w:t>
            </w:r>
            <w:proofErr w:type="spellEnd"/>
          </w:p>
          <w:p w14:paraId="5DEBCAC4" w14:textId="58D0ADD7" w:rsidR="00FE2C31" w:rsidRPr="0051259B" w:rsidRDefault="00FE2C31" w:rsidP="00D54A5B">
            <w:pPr>
              <w:keepNext/>
              <w:widowControl w:val="0"/>
              <w:spacing w:before="120" w:after="120" w:line="312" w:lineRule="auto"/>
              <w:ind w:left="142" w:right="260"/>
              <w:jc w:val="both"/>
              <w:rPr>
                <w:rFonts w:ascii="Times New Roman" w:hAnsi="Times New Roman"/>
                <w:i/>
                <w:iCs/>
                <w:sz w:val="24"/>
                <w:szCs w:val="24"/>
              </w:rPr>
            </w:pPr>
            <w:r w:rsidRPr="0051259B">
              <w:rPr>
                <w:rFonts w:ascii="Times New Roman" w:hAnsi="Times New Roman"/>
                <w:i/>
                <w:iCs/>
                <w:sz w:val="24"/>
                <w:szCs w:val="24"/>
              </w:rPr>
              <w:t>From two (02) years up to less than three (03) years</w:t>
            </w:r>
          </w:p>
        </w:tc>
        <w:tc>
          <w:tcPr>
            <w:tcW w:w="1553" w:type="pct"/>
            <w:vAlign w:val="bottom"/>
          </w:tcPr>
          <w:p w14:paraId="39CEA229" w14:textId="77777777" w:rsidR="00897749" w:rsidRPr="002136F3" w:rsidRDefault="00897749" w:rsidP="00D54A5B">
            <w:pPr>
              <w:keepNext/>
              <w:widowControl w:val="0"/>
              <w:spacing w:before="120" w:after="120" w:line="312" w:lineRule="auto"/>
              <w:ind w:left="142" w:right="260"/>
              <w:jc w:val="center"/>
              <w:rPr>
                <w:rFonts w:ascii="Times New Roman" w:hAnsi="Times New Roman"/>
                <w:sz w:val="24"/>
                <w:szCs w:val="24"/>
              </w:rPr>
            </w:pPr>
            <w:r w:rsidRPr="002136F3">
              <w:rPr>
                <w:rFonts w:ascii="Times New Roman" w:hAnsi="Times New Roman"/>
                <w:sz w:val="24"/>
                <w:szCs w:val="24"/>
              </w:rPr>
              <w:t>70%</w:t>
            </w:r>
          </w:p>
        </w:tc>
      </w:tr>
      <w:tr w:rsidR="00897749" w:rsidRPr="002136F3" w14:paraId="56F23BBB" w14:textId="77777777" w:rsidTr="002978D2">
        <w:tc>
          <w:tcPr>
            <w:tcW w:w="3447" w:type="pct"/>
            <w:vAlign w:val="bottom"/>
          </w:tcPr>
          <w:p w14:paraId="0D44ADF2" w14:textId="77777777" w:rsidR="00897749" w:rsidRPr="002136F3" w:rsidRDefault="00897749" w:rsidP="00D54A5B">
            <w:pPr>
              <w:keepNext/>
              <w:widowControl w:val="0"/>
              <w:spacing w:before="120" w:after="120" w:line="312" w:lineRule="auto"/>
              <w:ind w:left="142" w:right="260"/>
              <w:jc w:val="both"/>
              <w:rPr>
                <w:rFonts w:ascii="Times New Roman" w:hAnsi="Times New Roman"/>
                <w:sz w:val="24"/>
                <w:szCs w:val="24"/>
                <w:lang w:val="es-MX"/>
              </w:rPr>
            </w:pPr>
            <w:proofErr w:type="spellStart"/>
            <w:r w:rsidRPr="002136F3">
              <w:rPr>
                <w:rFonts w:ascii="Times New Roman" w:hAnsi="Times New Roman"/>
                <w:sz w:val="24"/>
                <w:szCs w:val="24"/>
                <w:lang w:val="es-MX"/>
              </w:rPr>
              <w:t>Từ</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ba</w:t>
            </w:r>
            <w:proofErr w:type="spellEnd"/>
            <w:r w:rsidRPr="002136F3">
              <w:rPr>
                <w:rFonts w:ascii="Times New Roman" w:hAnsi="Times New Roman"/>
                <w:sz w:val="24"/>
                <w:szCs w:val="24"/>
                <w:lang w:val="es-MX"/>
              </w:rPr>
              <w:t xml:space="preserve"> (03) </w:t>
            </w:r>
            <w:proofErr w:type="spellStart"/>
            <w:r w:rsidRPr="002136F3">
              <w:rPr>
                <w:rFonts w:ascii="Times New Roman" w:hAnsi="Times New Roman"/>
                <w:sz w:val="24"/>
                <w:szCs w:val="24"/>
                <w:lang w:val="es-MX"/>
              </w:rPr>
              <w:t>năm</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trở</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lên</w:t>
            </w:r>
            <w:proofErr w:type="spellEnd"/>
          </w:p>
          <w:p w14:paraId="11D9B320" w14:textId="3C0F00F2" w:rsidR="00FE2C31" w:rsidRPr="0051259B" w:rsidRDefault="00FE2C31" w:rsidP="00D54A5B">
            <w:pPr>
              <w:keepNext/>
              <w:widowControl w:val="0"/>
              <w:spacing w:before="120" w:after="120" w:line="312" w:lineRule="auto"/>
              <w:ind w:left="142" w:right="260"/>
              <w:jc w:val="both"/>
              <w:rPr>
                <w:rFonts w:ascii="Times New Roman" w:hAnsi="Times New Roman"/>
                <w:i/>
                <w:iCs/>
                <w:sz w:val="24"/>
                <w:szCs w:val="24"/>
              </w:rPr>
            </w:pPr>
            <w:proofErr w:type="spellStart"/>
            <w:r w:rsidRPr="0051259B">
              <w:rPr>
                <w:rFonts w:ascii="Times New Roman" w:hAnsi="Times New Roman"/>
                <w:i/>
                <w:iCs/>
                <w:sz w:val="24"/>
                <w:szCs w:val="24"/>
                <w:lang w:val="es-MX"/>
              </w:rPr>
              <w:t>From</w:t>
            </w:r>
            <w:proofErr w:type="spellEnd"/>
            <w:r w:rsidRPr="0051259B">
              <w:rPr>
                <w:rFonts w:ascii="Times New Roman" w:hAnsi="Times New Roman"/>
                <w:i/>
                <w:iCs/>
                <w:sz w:val="24"/>
                <w:szCs w:val="24"/>
                <w:lang w:val="es-MX"/>
              </w:rPr>
              <w:t xml:space="preserve"> </w:t>
            </w:r>
            <w:proofErr w:type="spellStart"/>
            <w:r w:rsidRPr="0051259B">
              <w:rPr>
                <w:rFonts w:ascii="Times New Roman" w:hAnsi="Times New Roman"/>
                <w:i/>
                <w:iCs/>
                <w:sz w:val="24"/>
                <w:szCs w:val="24"/>
                <w:lang w:val="es-MX"/>
              </w:rPr>
              <w:t>three</w:t>
            </w:r>
            <w:proofErr w:type="spellEnd"/>
            <w:r w:rsidRPr="0051259B">
              <w:rPr>
                <w:rFonts w:ascii="Times New Roman" w:hAnsi="Times New Roman"/>
                <w:i/>
                <w:iCs/>
                <w:sz w:val="24"/>
                <w:szCs w:val="24"/>
                <w:lang w:val="es-MX"/>
              </w:rPr>
              <w:t xml:space="preserve"> (03) </w:t>
            </w:r>
            <w:proofErr w:type="spellStart"/>
            <w:r w:rsidRPr="0051259B">
              <w:rPr>
                <w:rFonts w:ascii="Times New Roman" w:hAnsi="Times New Roman"/>
                <w:i/>
                <w:iCs/>
                <w:sz w:val="24"/>
                <w:szCs w:val="24"/>
                <w:lang w:val="es-MX"/>
              </w:rPr>
              <w:t>years</w:t>
            </w:r>
            <w:proofErr w:type="spellEnd"/>
          </w:p>
        </w:tc>
        <w:tc>
          <w:tcPr>
            <w:tcW w:w="1553" w:type="pct"/>
            <w:vAlign w:val="bottom"/>
          </w:tcPr>
          <w:p w14:paraId="67B99E13" w14:textId="77777777" w:rsidR="00897749" w:rsidRPr="002136F3" w:rsidRDefault="00897749" w:rsidP="00D54A5B">
            <w:pPr>
              <w:keepNext/>
              <w:widowControl w:val="0"/>
              <w:spacing w:before="120" w:after="120" w:line="312" w:lineRule="auto"/>
              <w:ind w:left="142" w:right="260"/>
              <w:jc w:val="center"/>
              <w:rPr>
                <w:rFonts w:ascii="Times New Roman" w:hAnsi="Times New Roman"/>
                <w:sz w:val="24"/>
                <w:szCs w:val="24"/>
              </w:rPr>
            </w:pPr>
            <w:r w:rsidRPr="002136F3">
              <w:rPr>
                <w:rFonts w:ascii="Times New Roman" w:hAnsi="Times New Roman"/>
                <w:sz w:val="24"/>
                <w:szCs w:val="24"/>
              </w:rPr>
              <w:t>100%</w:t>
            </w:r>
          </w:p>
        </w:tc>
      </w:tr>
    </w:tbl>
    <w:p w14:paraId="4758725C" w14:textId="77777777" w:rsidR="00897749" w:rsidRPr="002136F3" w:rsidRDefault="00897749" w:rsidP="00D54A5B">
      <w:pPr>
        <w:widowControl w:val="0"/>
        <w:spacing w:before="120" w:after="120" w:line="312" w:lineRule="auto"/>
        <w:ind w:left="142" w:right="260"/>
        <w:jc w:val="both"/>
        <w:rPr>
          <w:rFonts w:ascii="Times New Roman" w:hAnsi="Times New Roman"/>
          <w:sz w:val="24"/>
          <w:szCs w:val="24"/>
        </w:rPr>
      </w:pPr>
      <w:proofErr w:type="spellStart"/>
      <w:r w:rsidRPr="002136F3">
        <w:rPr>
          <w:rFonts w:ascii="Times New Roman" w:hAnsi="Times New Roman"/>
          <w:sz w:val="24"/>
          <w:szCs w:val="24"/>
        </w:rPr>
        <w:t>Đối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với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nợ</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đánh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thêm</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về</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khả</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năng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hồi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dự</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kiến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của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nợ</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này</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để</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xác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định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thêm</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dự</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phòng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nếu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cần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thiết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ngoài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dự</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phòng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đã</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trích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lập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dựa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trên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tình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trạng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nợ</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hạn</w:t>
      </w:r>
      <w:proofErr w:type="spellEnd"/>
      <w:r w:rsidRPr="002136F3">
        <w:rPr>
          <w:rFonts w:ascii="Times New Roman" w:hAnsi="Times New Roman"/>
          <w:sz w:val="24"/>
          <w:szCs w:val="24"/>
        </w:rPr>
        <w:t>.</w:t>
      </w:r>
    </w:p>
    <w:p w14:paraId="7DB50DB5" w14:textId="1BEA8BDC" w:rsidR="00FE2C31" w:rsidRPr="002136F3" w:rsidRDefault="00FE2C31" w:rsidP="00D54A5B">
      <w:pPr>
        <w:widowControl w:val="0"/>
        <w:spacing w:before="120" w:after="120" w:line="312" w:lineRule="auto"/>
        <w:ind w:left="142" w:right="260"/>
        <w:jc w:val="both"/>
        <w:rPr>
          <w:rFonts w:ascii="Times New Roman" w:hAnsi="Times New Roman"/>
          <w:i/>
          <w:iCs/>
          <w:sz w:val="24"/>
          <w:szCs w:val="24"/>
          <w:lang w:val="vi-VN"/>
        </w:rPr>
      </w:pPr>
      <w:r w:rsidRPr="002136F3">
        <w:rPr>
          <w:rFonts w:ascii="Times New Roman" w:hAnsi="Times New Roman"/>
          <w:i/>
          <w:iCs/>
          <w:sz w:val="24"/>
          <w:szCs w:val="24"/>
        </w:rPr>
        <w:t>For</w:t>
      </w:r>
      <w:r w:rsidRPr="002136F3">
        <w:rPr>
          <w:rFonts w:ascii="Times New Roman" w:hAnsi="Times New Roman"/>
          <w:i/>
          <w:iCs/>
          <w:sz w:val="24"/>
          <w:szCs w:val="24"/>
          <w:lang w:val="vi-VN"/>
        </w:rPr>
        <w:t xml:space="preserve"> overdue debts, Fund assess the recoverable potention of debts to determine additional provisions (if necessary) apart from provision for doubtful debts already made based on overdue status. </w:t>
      </w:r>
    </w:p>
    <w:p w14:paraId="27281AAD" w14:textId="77777777" w:rsidR="00897749" w:rsidRPr="002136F3" w:rsidRDefault="00897749" w:rsidP="00D54A5B">
      <w:pPr>
        <w:widowControl w:val="0"/>
        <w:spacing w:before="120" w:after="120" w:line="312" w:lineRule="auto"/>
        <w:ind w:left="142" w:right="260"/>
        <w:jc w:val="both"/>
        <w:rPr>
          <w:rFonts w:ascii="Times New Roman" w:hAnsi="Times New Roman"/>
          <w:sz w:val="24"/>
          <w:szCs w:val="24"/>
        </w:rPr>
      </w:pPr>
      <w:proofErr w:type="spellStart"/>
      <w:r w:rsidRPr="002136F3">
        <w:rPr>
          <w:rFonts w:ascii="Times New Roman" w:hAnsi="Times New Roman"/>
          <w:sz w:val="24"/>
          <w:szCs w:val="24"/>
          <w:lang w:val="es-MX"/>
        </w:rPr>
        <w:t>Dự</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phòng</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nợ</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phải</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thu</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khó</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đòi</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được</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trích</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lập</w:t>
      </w:r>
      <w:proofErr w:type="spellEnd"/>
      <w:r w:rsidRPr="002136F3">
        <w:rPr>
          <w:rFonts w:ascii="Times New Roman" w:hAnsi="Times New Roman"/>
          <w:sz w:val="24"/>
          <w:szCs w:val="24"/>
          <w:lang w:val="es-MX"/>
        </w:rPr>
        <w:t xml:space="preserve"> cho </w:t>
      </w:r>
      <w:proofErr w:type="spellStart"/>
      <w:r w:rsidRPr="002136F3">
        <w:rPr>
          <w:rFonts w:ascii="Times New Roman" w:hAnsi="Times New Roman"/>
          <w:sz w:val="24"/>
          <w:szCs w:val="24"/>
          <w:lang w:val="es-MX"/>
        </w:rPr>
        <w:t>các</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tổn</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thất</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có</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thể</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xảy</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ra</w:t>
      </w:r>
      <w:proofErr w:type="spellEnd"/>
      <w:r w:rsidRPr="002136F3">
        <w:rPr>
          <w:rFonts w:ascii="Times New Roman" w:hAnsi="Times New Roman"/>
          <w:sz w:val="24"/>
          <w:szCs w:val="24"/>
          <w:lang w:val="es-MX"/>
        </w:rPr>
        <w:t xml:space="preserve"> cho </w:t>
      </w:r>
      <w:proofErr w:type="spellStart"/>
      <w:r w:rsidRPr="002136F3">
        <w:rPr>
          <w:rFonts w:ascii="Times New Roman" w:hAnsi="Times New Roman"/>
          <w:sz w:val="24"/>
          <w:szCs w:val="24"/>
          <w:lang w:val="es-MX"/>
        </w:rPr>
        <w:t>các</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khoản</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nợ</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chưa</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đến</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hạn</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thanh</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toán</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được</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xác</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định</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bởi</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Quỹ</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sau</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khi</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xem</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xét</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đến</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khả</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năng</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thu</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hồi</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của</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các</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khoản</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nợ</w:t>
      </w:r>
      <w:proofErr w:type="spellEnd"/>
      <w:r w:rsidRPr="002136F3">
        <w:rPr>
          <w:rFonts w:ascii="Times New Roman" w:hAnsi="Times New Roman"/>
          <w:sz w:val="24"/>
          <w:szCs w:val="24"/>
          <w:lang w:val="es-MX"/>
        </w:rPr>
        <w:t xml:space="preserve"> </w:t>
      </w:r>
      <w:proofErr w:type="spellStart"/>
      <w:r w:rsidRPr="002136F3">
        <w:rPr>
          <w:rFonts w:ascii="Times New Roman" w:hAnsi="Times New Roman"/>
          <w:sz w:val="24"/>
          <w:szCs w:val="24"/>
          <w:lang w:val="es-MX"/>
        </w:rPr>
        <w:t>này</w:t>
      </w:r>
      <w:proofErr w:type="spellEnd"/>
      <w:r w:rsidRPr="002136F3">
        <w:rPr>
          <w:rFonts w:ascii="Times New Roman" w:hAnsi="Times New Roman"/>
          <w:sz w:val="24"/>
          <w:szCs w:val="24"/>
        </w:rPr>
        <w:t>.</w:t>
      </w:r>
    </w:p>
    <w:p w14:paraId="2BCDAF72" w14:textId="11F7645C" w:rsidR="00FE2C31" w:rsidRPr="0051259B" w:rsidRDefault="00FE2C31" w:rsidP="00D54A5B">
      <w:pPr>
        <w:widowControl w:val="0"/>
        <w:spacing w:before="120" w:after="120" w:line="312" w:lineRule="auto"/>
        <w:ind w:left="142" w:right="260"/>
        <w:jc w:val="both"/>
        <w:rPr>
          <w:rFonts w:ascii="Times New Roman" w:hAnsi="Times New Roman"/>
          <w:i/>
          <w:iCs/>
          <w:sz w:val="24"/>
          <w:szCs w:val="24"/>
          <w:lang w:val="vi-VN"/>
        </w:rPr>
      </w:pPr>
      <w:r w:rsidRPr="0051259B">
        <w:rPr>
          <w:rFonts w:ascii="Times New Roman" w:hAnsi="Times New Roman"/>
          <w:i/>
          <w:iCs/>
          <w:sz w:val="24"/>
          <w:szCs w:val="24"/>
        </w:rPr>
        <w:t>Provision</w:t>
      </w:r>
      <w:r w:rsidRPr="0051259B">
        <w:rPr>
          <w:rFonts w:ascii="Times New Roman" w:hAnsi="Times New Roman"/>
          <w:i/>
          <w:iCs/>
          <w:sz w:val="24"/>
          <w:szCs w:val="24"/>
          <w:lang w:val="vi-VN"/>
        </w:rPr>
        <w:t xml:space="preserve"> for doubtful debts is made for possible losses on undue </w:t>
      </w:r>
      <w:r w:rsidR="003569BE" w:rsidRPr="0051259B">
        <w:rPr>
          <w:rFonts w:ascii="Times New Roman" w:hAnsi="Times New Roman"/>
          <w:i/>
          <w:iCs/>
          <w:sz w:val="24"/>
          <w:szCs w:val="24"/>
          <w:lang w:val="vi-VN"/>
        </w:rPr>
        <w:t xml:space="preserve">debts after Fund consider recoverable potention of these debts. </w:t>
      </w:r>
    </w:p>
    <w:p w14:paraId="48941DDD" w14:textId="77777777" w:rsidR="00BA77A1" w:rsidRPr="002136F3" w:rsidRDefault="00897749" w:rsidP="00D54A5B">
      <w:pPr>
        <w:widowControl w:val="0"/>
        <w:spacing w:before="120" w:after="120" w:line="312" w:lineRule="auto"/>
        <w:ind w:left="142" w:right="260"/>
        <w:jc w:val="both"/>
        <w:rPr>
          <w:rFonts w:ascii="Times New Roman" w:hAnsi="Times New Roman"/>
          <w:sz w:val="24"/>
          <w:szCs w:val="24"/>
        </w:rPr>
      </w:pPr>
      <w:proofErr w:type="spellStart"/>
      <w:r w:rsidRPr="002136F3">
        <w:rPr>
          <w:rFonts w:ascii="Times New Roman" w:hAnsi="Times New Roman"/>
          <w:sz w:val="24"/>
          <w:szCs w:val="24"/>
        </w:rPr>
        <w:lastRenderedPageBreak/>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dự</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phòng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nợ</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phải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khó</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đòi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phát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sinh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ghi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nhận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báo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nhập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trong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kỳ</w:t>
      </w:r>
      <w:proofErr w:type="spellEnd"/>
      <w:r w:rsidRPr="002136F3">
        <w:rPr>
          <w:rFonts w:ascii="Times New Roman" w:hAnsi="Times New Roman"/>
          <w:sz w:val="24"/>
          <w:szCs w:val="24"/>
        </w:rPr>
        <w:t>.</w:t>
      </w:r>
    </w:p>
    <w:p w14:paraId="3DBAFF90" w14:textId="0807E921" w:rsidR="003569BE" w:rsidRPr="0051259B" w:rsidRDefault="003569BE" w:rsidP="00D54A5B">
      <w:pPr>
        <w:widowControl w:val="0"/>
        <w:spacing w:before="120" w:after="120" w:line="312" w:lineRule="auto"/>
        <w:ind w:left="142" w:right="260"/>
        <w:jc w:val="both"/>
        <w:rPr>
          <w:rFonts w:ascii="Times New Roman" w:hAnsi="Times New Roman"/>
          <w:i/>
          <w:iCs/>
          <w:sz w:val="24"/>
          <w:szCs w:val="24"/>
          <w:lang w:val="vi-VN"/>
        </w:rPr>
      </w:pPr>
      <w:r w:rsidRPr="0051259B">
        <w:rPr>
          <w:rFonts w:ascii="Times New Roman" w:hAnsi="Times New Roman"/>
          <w:i/>
          <w:iCs/>
          <w:sz w:val="24"/>
          <w:szCs w:val="24"/>
        </w:rPr>
        <w:t>Provision</w:t>
      </w:r>
      <w:r w:rsidRPr="0051259B">
        <w:rPr>
          <w:rFonts w:ascii="Times New Roman" w:hAnsi="Times New Roman"/>
          <w:i/>
          <w:iCs/>
          <w:sz w:val="24"/>
          <w:szCs w:val="24"/>
          <w:lang w:val="vi-VN"/>
        </w:rPr>
        <w:t xml:space="preserve"> for doubtful febts is recorded in Income Statement for the period. </w:t>
      </w:r>
    </w:p>
    <w:p w14:paraId="754A77E8" w14:textId="0166A16E" w:rsidR="00BA77A1" w:rsidRPr="002136F3" w:rsidRDefault="00200471" w:rsidP="00D54A5B">
      <w:pPr>
        <w:shd w:val="clear" w:color="auto" w:fill="FFFFFF"/>
        <w:spacing w:before="120" w:after="120" w:line="312" w:lineRule="auto"/>
        <w:ind w:left="142" w:right="260"/>
        <w:jc w:val="both"/>
        <w:rPr>
          <w:rFonts w:ascii="Times New Roman" w:hAnsi="Times New Roman"/>
          <w:b/>
          <w:sz w:val="24"/>
          <w:szCs w:val="24"/>
          <w:lang w:val="vi-VN"/>
        </w:rPr>
      </w:pPr>
      <w:r w:rsidRPr="002136F3">
        <w:rPr>
          <w:rFonts w:ascii="Times New Roman" w:hAnsi="Times New Roman"/>
          <w:b/>
          <w:sz w:val="24"/>
          <w:szCs w:val="24"/>
          <w:lang w:val="nl-NL"/>
        </w:rPr>
        <w:t>4.4</w:t>
      </w:r>
      <w:r w:rsidRPr="002136F3">
        <w:rPr>
          <w:rFonts w:ascii="Times New Roman" w:hAnsi="Times New Roman"/>
          <w:b/>
          <w:sz w:val="24"/>
          <w:szCs w:val="24"/>
          <w:lang w:val="nl-NL"/>
        </w:rPr>
        <w:tab/>
      </w:r>
      <w:r w:rsidR="00897749" w:rsidRPr="002136F3">
        <w:rPr>
          <w:rFonts w:ascii="Times New Roman" w:hAnsi="Times New Roman"/>
          <w:b/>
          <w:sz w:val="24"/>
          <w:szCs w:val="24"/>
          <w:lang w:val="nl-NL"/>
        </w:rPr>
        <w:t>Các khoản phải trả</w:t>
      </w:r>
      <w:r w:rsidR="00897749" w:rsidRPr="002136F3" w:rsidDel="00C57ADD">
        <w:rPr>
          <w:rFonts w:ascii="Times New Roman" w:hAnsi="Times New Roman"/>
          <w:b/>
          <w:sz w:val="24"/>
          <w:szCs w:val="24"/>
          <w:lang w:val="nl-NL"/>
        </w:rPr>
        <w:t xml:space="preserve"> </w:t>
      </w:r>
      <w:r w:rsidR="003569BE" w:rsidRPr="002136F3">
        <w:rPr>
          <w:rFonts w:ascii="Times New Roman" w:hAnsi="Times New Roman"/>
          <w:b/>
          <w:sz w:val="24"/>
          <w:szCs w:val="24"/>
          <w:lang w:val="vi-VN"/>
        </w:rPr>
        <w:t>/ Payables</w:t>
      </w:r>
    </w:p>
    <w:p w14:paraId="44E6EA34" w14:textId="5ACDF428" w:rsidR="00BA77A1" w:rsidRPr="002136F3" w:rsidRDefault="001B56C5" w:rsidP="00D54A5B">
      <w:pPr>
        <w:spacing w:before="120" w:after="120" w:line="312" w:lineRule="auto"/>
        <w:ind w:left="142" w:right="260"/>
        <w:jc w:val="both"/>
        <w:rPr>
          <w:rFonts w:ascii="Times New Roman" w:hAnsi="Times New Roman"/>
          <w:sz w:val="24"/>
          <w:szCs w:val="24"/>
        </w:rPr>
      </w:pP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phải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trả</w:t>
      </w:r>
      <w:proofErr w:type="spellEnd"/>
      <w:r w:rsidRPr="002136F3">
        <w:rPr>
          <w:rFonts w:ascii="Times New Roman" w:hAnsi="Times New Roman"/>
          <w:sz w:val="24"/>
          <w:szCs w:val="24"/>
        </w:rPr>
        <w:t xml:space="preserve"> bao </w:t>
      </w:r>
      <w:proofErr w:type="spellStart"/>
      <w:r w:rsidRPr="002136F3">
        <w:rPr>
          <w:rFonts w:ascii="Times New Roman" w:hAnsi="Times New Roman"/>
          <w:sz w:val="24"/>
          <w:szCs w:val="24"/>
        </w:rPr>
        <w:t>gồm</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phải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trả</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về</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mua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đầu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tư</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phải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trả</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dịch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vụ</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lý</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phải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trả</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từ</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việc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quyết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toán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với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đầu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tư</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mua</w:t>
      </w:r>
      <w:proofErr w:type="spellEnd"/>
      <w:r w:rsidRPr="002136F3">
        <w:rPr>
          <w:rFonts w:ascii="Times New Roman" w:hAnsi="Times New Roman"/>
          <w:sz w:val="24"/>
          <w:szCs w:val="24"/>
        </w:rPr>
        <w:t>/</w:t>
      </w:r>
      <w:proofErr w:type="spellStart"/>
      <w:r w:rsidRPr="002136F3">
        <w:rPr>
          <w:rFonts w:ascii="Times New Roman" w:hAnsi="Times New Roman"/>
          <w:sz w:val="24"/>
          <w:szCs w:val="24"/>
        </w:rPr>
        <w:t>bán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hộ</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bị</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chế</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phải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trả</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đầu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tư</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trong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trường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hợp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có</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sự</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kiện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doanh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nghiệp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cổ</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tức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bằng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tiền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cổ</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tức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bằng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cổ</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phiếu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cổ</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phiếu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thưởng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quyền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mua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cổ</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phiếu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phát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hành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thêm</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phát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sinh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liên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quan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đến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danh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mục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cấu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hoán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đổi</w:t>
      </w:r>
      <w:proofErr w:type="spellEnd"/>
      <w:r w:rsidRPr="002136F3">
        <w:rPr>
          <w:rFonts w:ascii="Times New Roman" w:hAnsi="Times New Roman"/>
          <w:sz w:val="24"/>
          <w:szCs w:val="24"/>
        </w:rPr>
        <w:t xml:space="preserve"> do </w:t>
      </w:r>
      <w:proofErr w:type="spellStart"/>
      <w:r w:rsidRPr="002136F3">
        <w:rPr>
          <w:rFonts w:ascii="Times New Roman" w:hAnsi="Times New Roman"/>
          <w:sz w:val="24"/>
          <w:szCs w:val="24"/>
        </w:rPr>
        <w:t>việc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ghi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nhận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sở</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hữu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chưa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thực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hiện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giữa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đầu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tư</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hoặc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liên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quan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đến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bị</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chế</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đang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trong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trình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mua</w:t>
      </w:r>
      <w:proofErr w:type="spellEnd"/>
      <w:r w:rsidRPr="002136F3">
        <w:rPr>
          <w:rFonts w:ascii="Times New Roman" w:hAnsi="Times New Roman"/>
          <w:sz w:val="24"/>
          <w:szCs w:val="24"/>
        </w:rPr>
        <w:t>/</w:t>
      </w:r>
      <w:proofErr w:type="spellStart"/>
      <w:r w:rsidRPr="002136F3">
        <w:rPr>
          <w:rFonts w:ascii="Times New Roman" w:hAnsi="Times New Roman"/>
          <w:sz w:val="24"/>
          <w:szCs w:val="24"/>
        </w:rPr>
        <w:t>bán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hộ</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đầu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tư</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phải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trả</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phải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trả</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thể</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hiện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theo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gốc</w:t>
      </w:r>
      <w:proofErr w:type="spellEnd"/>
      <w:r w:rsidR="00897749" w:rsidRPr="002136F3">
        <w:rPr>
          <w:rFonts w:ascii="Times New Roman" w:hAnsi="Times New Roman"/>
          <w:sz w:val="24"/>
          <w:szCs w:val="24"/>
        </w:rPr>
        <w:t>.</w:t>
      </w:r>
    </w:p>
    <w:p w14:paraId="2A1C940D" w14:textId="2A16B174" w:rsidR="00DA14F5" w:rsidRPr="0051259B" w:rsidRDefault="003569BE" w:rsidP="006D5144">
      <w:pPr>
        <w:ind w:left="180" w:right="206"/>
        <w:jc w:val="both"/>
        <w:rPr>
          <w:rFonts w:ascii="Times New Roman" w:hAnsi="Times New Roman"/>
          <w:i/>
          <w:iCs/>
          <w:sz w:val="24"/>
          <w:szCs w:val="24"/>
        </w:rPr>
      </w:pPr>
      <w:r w:rsidRPr="0051259B">
        <w:rPr>
          <w:rFonts w:ascii="Times New Roman" w:hAnsi="Times New Roman"/>
          <w:i/>
          <w:iCs/>
          <w:sz w:val="24"/>
          <w:szCs w:val="24"/>
        </w:rPr>
        <w:t xml:space="preserve">Payables include payables for purchases of investments, </w:t>
      </w:r>
      <w:r w:rsidRPr="0051259B">
        <w:rPr>
          <w:rFonts w:ascii="Times New Roman" w:hAnsi="Times New Roman"/>
          <w:i/>
          <w:iCs/>
          <w:sz w:val="24"/>
          <w:szCs w:val="24"/>
          <w:lang w:val="vi-VN"/>
        </w:rPr>
        <w:t xml:space="preserve">payable for the </w:t>
      </w:r>
      <w:r w:rsidRPr="0051259B">
        <w:rPr>
          <w:rFonts w:ascii="Times New Roman" w:hAnsi="Times New Roman"/>
          <w:i/>
          <w:iCs/>
          <w:sz w:val="24"/>
          <w:szCs w:val="24"/>
        </w:rPr>
        <w:t>Fund</w:t>
      </w:r>
      <w:r w:rsidRPr="0051259B">
        <w:rPr>
          <w:rFonts w:ascii="Times New Roman" w:hAnsi="Times New Roman"/>
          <w:i/>
          <w:iCs/>
          <w:sz w:val="24"/>
          <w:szCs w:val="24"/>
          <w:lang w:val="vi-VN"/>
        </w:rPr>
        <w:t>’s</w:t>
      </w:r>
      <w:r w:rsidRPr="0051259B">
        <w:rPr>
          <w:rFonts w:ascii="Times New Roman" w:hAnsi="Times New Roman"/>
          <w:i/>
          <w:iCs/>
          <w:sz w:val="24"/>
          <w:szCs w:val="24"/>
        </w:rPr>
        <w:t xml:space="preserve"> management services</w:t>
      </w:r>
      <w:r w:rsidRPr="0051259B">
        <w:rPr>
          <w:rFonts w:ascii="Times New Roman" w:hAnsi="Times New Roman"/>
          <w:i/>
          <w:iCs/>
          <w:sz w:val="24"/>
          <w:szCs w:val="24"/>
          <w:lang w:val="vi-VN"/>
        </w:rPr>
        <w:t xml:space="preserve"> </w:t>
      </w:r>
      <w:r w:rsidRPr="0051259B">
        <w:rPr>
          <w:rFonts w:ascii="Times New Roman" w:hAnsi="Times New Roman"/>
          <w:i/>
          <w:iCs/>
          <w:sz w:val="24"/>
          <w:szCs w:val="24"/>
        </w:rPr>
        <w:t>and accruals, payable</w:t>
      </w:r>
      <w:r w:rsidRPr="0051259B">
        <w:rPr>
          <w:rFonts w:ascii="Times New Roman" w:hAnsi="Times New Roman"/>
          <w:i/>
          <w:iCs/>
          <w:sz w:val="24"/>
          <w:szCs w:val="24"/>
          <w:lang w:val="vi-VN"/>
        </w:rPr>
        <w:t>s</w:t>
      </w:r>
      <w:r w:rsidRPr="0051259B">
        <w:rPr>
          <w:rFonts w:ascii="Times New Roman" w:hAnsi="Times New Roman"/>
          <w:i/>
          <w:iCs/>
          <w:sz w:val="24"/>
          <w:szCs w:val="24"/>
        </w:rPr>
        <w:t xml:space="preserve"> to the Fund Unitholders </w:t>
      </w:r>
      <w:r w:rsidRPr="0051259B">
        <w:rPr>
          <w:rFonts w:ascii="Times New Roman" w:hAnsi="Times New Roman"/>
          <w:i/>
          <w:iCs/>
          <w:color w:val="000000"/>
          <w:sz w:val="24"/>
          <w:szCs w:val="24"/>
        </w:rPr>
        <w:t xml:space="preserve">when the Fund purchases or sells on behalf of the Fund Unitholders for securities in the basket of component securities that investors are restricted to invest in or investors have not carried out procedures for treasury shares transactions or tender offer in accordance with laws and regulations, payables to the Fund Unitholders relating to corporate actions (dividend paid by cash, dividend paid by shares, bonus shares, rights) when ownership of components of basket investments has not been transferred between the Fund and the Fund Unitholders or relating to securities in purchase/sell transactions on behalf of the Fund Unitholders who are restricted to hold </w:t>
      </w:r>
      <w:r w:rsidRPr="0051259B">
        <w:rPr>
          <w:rFonts w:ascii="Times New Roman" w:hAnsi="Times New Roman"/>
          <w:i/>
          <w:iCs/>
          <w:sz w:val="24"/>
          <w:szCs w:val="24"/>
        </w:rPr>
        <w:t>and other payables relating to the operating activities of the Fund.  Payables are stated at their cost.</w:t>
      </w:r>
    </w:p>
    <w:p w14:paraId="69B3AE85" w14:textId="071F581A" w:rsidR="00897749" w:rsidRPr="002136F3" w:rsidRDefault="00200471" w:rsidP="00D54A5B">
      <w:pPr>
        <w:shd w:val="clear" w:color="auto" w:fill="FFFFFF"/>
        <w:spacing w:before="120" w:after="120" w:line="312" w:lineRule="auto"/>
        <w:ind w:left="142" w:right="260"/>
        <w:jc w:val="both"/>
        <w:rPr>
          <w:rFonts w:ascii="Times New Roman" w:hAnsi="Times New Roman"/>
          <w:b/>
          <w:sz w:val="24"/>
          <w:szCs w:val="24"/>
          <w:lang w:val="vi-VN"/>
        </w:rPr>
      </w:pPr>
      <w:r w:rsidRPr="002136F3">
        <w:rPr>
          <w:rFonts w:ascii="Times New Roman" w:hAnsi="Times New Roman"/>
          <w:b/>
          <w:sz w:val="24"/>
          <w:szCs w:val="24"/>
          <w:lang w:val="nl-NL"/>
        </w:rPr>
        <w:t>4.5</w:t>
      </w:r>
      <w:r w:rsidRPr="002136F3">
        <w:rPr>
          <w:rFonts w:ascii="Times New Roman" w:hAnsi="Times New Roman"/>
          <w:b/>
          <w:sz w:val="24"/>
          <w:szCs w:val="24"/>
          <w:lang w:val="nl-NL"/>
        </w:rPr>
        <w:tab/>
      </w:r>
      <w:r w:rsidR="00897749" w:rsidRPr="002136F3">
        <w:rPr>
          <w:rFonts w:ascii="Times New Roman" w:hAnsi="Times New Roman"/>
          <w:b/>
          <w:sz w:val="24"/>
          <w:szCs w:val="24"/>
          <w:lang w:val="nl-NL"/>
        </w:rPr>
        <w:t>Dự phòng</w:t>
      </w:r>
      <w:r w:rsidR="00897749" w:rsidRPr="002136F3" w:rsidDel="007B39D6">
        <w:rPr>
          <w:rFonts w:ascii="Times New Roman" w:hAnsi="Times New Roman"/>
          <w:b/>
          <w:sz w:val="24"/>
          <w:szCs w:val="24"/>
          <w:lang w:val="nl-NL"/>
        </w:rPr>
        <w:t xml:space="preserve"> </w:t>
      </w:r>
      <w:r w:rsidR="003569BE" w:rsidRPr="002136F3">
        <w:rPr>
          <w:rFonts w:ascii="Times New Roman" w:hAnsi="Times New Roman"/>
          <w:b/>
          <w:sz w:val="24"/>
          <w:szCs w:val="24"/>
          <w:lang w:val="vi-VN"/>
        </w:rPr>
        <w:t>/ Provision</w:t>
      </w:r>
    </w:p>
    <w:p w14:paraId="2D3B1828" w14:textId="77777777" w:rsidR="0027409B" w:rsidRPr="002136F3" w:rsidRDefault="00897749" w:rsidP="00D54A5B">
      <w:pPr>
        <w:pStyle w:val="BodyText"/>
        <w:keepLines w:val="0"/>
        <w:spacing w:before="120" w:after="120" w:line="312" w:lineRule="auto"/>
        <w:ind w:left="142" w:right="260"/>
        <w:rPr>
          <w:sz w:val="24"/>
          <w:szCs w:val="24"/>
          <w:lang w:val="en-US"/>
        </w:rPr>
      </w:pPr>
      <w:proofErr w:type="spellStart"/>
      <w:r w:rsidRPr="002136F3">
        <w:rPr>
          <w:sz w:val="24"/>
          <w:szCs w:val="24"/>
          <w:lang w:val="en-US"/>
        </w:rPr>
        <w:t>Dự</w:t>
      </w:r>
      <w:proofErr w:type="spellEnd"/>
      <w:r w:rsidRPr="002136F3">
        <w:rPr>
          <w:sz w:val="24"/>
          <w:szCs w:val="24"/>
          <w:lang w:val="en-US"/>
        </w:rPr>
        <w:t xml:space="preserve"> </w:t>
      </w:r>
      <w:proofErr w:type="spellStart"/>
      <w:r w:rsidRPr="002136F3">
        <w:rPr>
          <w:sz w:val="24"/>
          <w:szCs w:val="24"/>
          <w:lang w:val="en-US"/>
        </w:rPr>
        <w:t>phòng</w:t>
      </w:r>
      <w:proofErr w:type="spellEnd"/>
      <w:r w:rsidRPr="002136F3">
        <w:rPr>
          <w:sz w:val="24"/>
          <w:szCs w:val="24"/>
          <w:lang w:val="en-US"/>
        </w:rPr>
        <w:t xml:space="preserve"> </w:t>
      </w:r>
      <w:proofErr w:type="spellStart"/>
      <w:r w:rsidRPr="002136F3">
        <w:rPr>
          <w:sz w:val="24"/>
          <w:szCs w:val="24"/>
          <w:lang w:val="en-US"/>
        </w:rPr>
        <w:t>được</w:t>
      </w:r>
      <w:proofErr w:type="spellEnd"/>
      <w:r w:rsidRPr="002136F3">
        <w:rPr>
          <w:sz w:val="24"/>
          <w:szCs w:val="24"/>
          <w:lang w:val="en-US"/>
        </w:rPr>
        <w:t xml:space="preserve"> </w:t>
      </w:r>
      <w:proofErr w:type="spellStart"/>
      <w:r w:rsidRPr="002136F3">
        <w:rPr>
          <w:sz w:val="24"/>
          <w:szCs w:val="24"/>
          <w:lang w:val="en-US"/>
        </w:rPr>
        <w:t>ghi</w:t>
      </w:r>
      <w:proofErr w:type="spellEnd"/>
      <w:r w:rsidRPr="002136F3">
        <w:rPr>
          <w:sz w:val="24"/>
          <w:szCs w:val="24"/>
          <w:lang w:val="en-US"/>
        </w:rPr>
        <w:t xml:space="preserve"> </w:t>
      </w:r>
      <w:proofErr w:type="spellStart"/>
      <w:r w:rsidRPr="002136F3">
        <w:rPr>
          <w:sz w:val="24"/>
          <w:szCs w:val="24"/>
          <w:lang w:val="en-US"/>
        </w:rPr>
        <w:t>nhận</w:t>
      </w:r>
      <w:proofErr w:type="spellEnd"/>
      <w:r w:rsidRPr="002136F3">
        <w:rPr>
          <w:sz w:val="24"/>
          <w:szCs w:val="24"/>
          <w:lang w:val="en-US"/>
        </w:rPr>
        <w:t xml:space="preserve"> </w:t>
      </w:r>
      <w:proofErr w:type="spellStart"/>
      <w:r w:rsidRPr="002136F3">
        <w:rPr>
          <w:sz w:val="24"/>
          <w:szCs w:val="24"/>
          <w:lang w:val="en-US"/>
        </w:rPr>
        <w:t>nếu</w:t>
      </w:r>
      <w:proofErr w:type="spellEnd"/>
      <w:r w:rsidRPr="002136F3">
        <w:rPr>
          <w:sz w:val="24"/>
          <w:szCs w:val="24"/>
          <w:lang w:val="en-US"/>
        </w:rPr>
        <w:t xml:space="preserve">, do </w:t>
      </w:r>
      <w:proofErr w:type="spellStart"/>
      <w:r w:rsidRPr="002136F3">
        <w:rPr>
          <w:sz w:val="24"/>
          <w:szCs w:val="24"/>
          <w:lang w:val="en-US"/>
        </w:rPr>
        <w:t>kết</w:t>
      </w:r>
      <w:proofErr w:type="spellEnd"/>
      <w:r w:rsidRPr="002136F3">
        <w:rPr>
          <w:sz w:val="24"/>
          <w:szCs w:val="24"/>
          <w:lang w:val="en-US"/>
        </w:rPr>
        <w:t xml:space="preserve"> </w:t>
      </w:r>
      <w:proofErr w:type="spellStart"/>
      <w:r w:rsidRPr="002136F3">
        <w:rPr>
          <w:sz w:val="24"/>
          <w:szCs w:val="24"/>
          <w:lang w:val="en-US"/>
        </w:rPr>
        <w:t>quả</w:t>
      </w:r>
      <w:proofErr w:type="spellEnd"/>
      <w:r w:rsidRPr="002136F3">
        <w:rPr>
          <w:sz w:val="24"/>
          <w:szCs w:val="24"/>
          <w:lang w:val="en-US"/>
        </w:rPr>
        <w:t xml:space="preserve"> </w:t>
      </w:r>
      <w:proofErr w:type="spellStart"/>
      <w:r w:rsidRPr="002136F3">
        <w:rPr>
          <w:sz w:val="24"/>
          <w:szCs w:val="24"/>
          <w:lang w:val="en-US"/>
        </w:rPr>
        <w:t>của</w:t>
      </w:r>
      <w:proofErr w:type="spellEnd"/>
      <w:r w:rsidRPr="002136F3">
        <w:rPr>
          <w:sz w:val="24"/>
          <w:szCs w:val="24"/>
          <w:lang w:val="en-US"/>
        </w:rPr>
        <w:t xml:space="preserve"> </w:t>
      </w:r>
      <w:proofErr w:type="spellStart"/>
      <w:r w:rsidRPr="002136F3">
        <w:rPr>
          <w:sz w:val="24"/>
          <w:szCs w:val="24"/>
          <w:lang w:val="en-US"/>
        </w:rPr>
        <w:t>một</w:t>
      </w:r>
      <w:proofErr w:type="spellEnd"/>
      <w:r w:rsidRPr="002136F3">
        <w:rPr>
          <w:sz w:val="24"/>
          <w:szCs w:val="24"/>
          <w:lang w:val="en-US"/>
        </w:rPr>
        <w:t xml:space="preserve"> </w:t>
      </w:r>
      <w:proofErr w:type="spellStart"/>
      <w:r w:rsidRPr="002136F3">
        <w:rPr>
          <w:sz w:val="24"/>
          <w:szCs w:val="24"/>
          <w:lang w:val="en-US"/>
        </w:rPr>
        <w:t>sự</w:t>
      </w:r>
      <w:proofErr w:type="spellEnd"/>
      <w:r w:rsidRPr="002136F3">
        <w:rPr>
          <w:sz w:val="24"/>
          <w:szCs w:val="24"/>
          <w:lang w:val="en-US"/>
        </w:rPr>
        <w:t xml:space="preserve"> </w:t>
      </w:r>
      <w:proofErr w:type="spellStart"/>
      <w:r w:rsidRPr="002136F3">
        <w:rPr>
          <w:sz w:val="24"/>
          <w:szCs w:val="24"/>
          <w:lang w:val="en-US"/>
        </w:rPr>
        <w:t>kiện</w:t>
      </w:r>
      <w:proofErr w:type="spellEnd"/>
      <w:r w:rsidRPr="002136F3">
        <w:rPr>
          <w:sz w:val="24"/>
          <w:szCs w:val="24"/>
          <w:lang w:val="en-US"/>
        </w:rPr>
        <w:t xml:space="preserve"> </w:t>
      </w:r>
      <w:proofErr w:type="spellStart"/>
      <w:r w:rsidRPr="002136F3">
        <w:rPr>
          <w:sz w:val="24"/>
          <w:szCs w:val="24"/>
          <w:lang w:val="en-US"/>
        </w:rPr>
        <w:t>trong</w:t>
      </w:r>
      <w:proofErr w:type="spellEnd"/>
      <w:r w:rsidRPr="002136F3">
        <w:rPr>
          <w:sz w:val="24"/>
          <w:szCs w:val="24"/>
          <w:lang w:val="en-US"/>
        </w:rPr>
        <w:t xml:space="preserve"> </w:t>
      </w:r>
      <w:proofErr w:type="spellStart"/>
      <w:r w:rsidRPr="002136F3">
        <w:rPr>
          <w:sz w:val="24"/>
          <w:szCs w:val="24"/>
          <w:lang w:val="en-US"/>
        </w:rPr>
        <w:t>quá</w:t>
      </w:r>
      <w:proofErr w:type="spellEnd"/>
      <w:r w:rsidRPr="002136F3">
        <w:rPr>
          <w:sz w:val="24"/>
          <w:szCs w:val="24"/>
          <w:lang w:val="en-US"/>
        </w:rPr>
        <w:t xml:space="preserve"> </w:t>
      </w:r>
      <w:proofErr w:type="spellStart"/>
      <w:r w:rsidRPr="002136F3">
        <w:rPr>
          <w:sz w:val="24"/>
          <w:szCs w:val="24"/>
          <w:lang w:val="en-US"/>
        </w:rPr>
        <w:t>khứ</w:t>
      </w:r>
      <w:proofErr w:type="spellEnd"/>
      <w:r w:rsidRPr="002136F3">
        <w:rPr>
          <w:sz w:val="24"/>
          <w:szCs w:val="24"/>
          <w:lang w:val="en-US"/>
        </w:rPr>
        <w:t xml:space="preserve">, </w:t>
      </w:r>
      <w:proofErr w:type="spellStart"/>
      <w:r w:rsidRPr="002136F3">
        <w:rPr>
          <w:sz w:val="24"/>
          <w:szCs w:val="24"/>
          <w:lang w:val="en-US"/>
        </w:rPr>
        <w:t>Quỹ</w:t>
      </w:r>
      <w:proofErr w:type="spellEnd"/>
      <w:r w:rsidRPr="002136F3">
        <w:rPr>
          <w:sz w:val="24"/>
          <w:szCs w:val="24"/>
          <w:lang w:val="en-US"/>
        </w:rPr>
        <w:t xml:space="preserve"> </w:t>
      </w:r>
      <w:proofErr w:type="spellStart"/>
      <w:r w:rsidRPr="002136F3">
        <w:rPr>
          <w:sz w:val="24"/>
          <w:szCs w:val="24"/>
          <w:lang w:val="en-US"/>
        </w:rPr>
        <w:t>có</w:t>
      </w:r>
      <w:proofErr w:type="spellEnd"/>
      <w:r w:rsidRPr="002136F3">
        <w:rPr>
          <w:sz w:val="24"/>
          <w:szCs w:val="24"/>
          <w:lang w:val="en-US"/>
        </w:rPr>
        <w:t xml:space="preserve"> </w:t>
      </w:r>
      <w:proofErr w:type="spellStart"/>
      <w:r w:rsidRPr="002136F3">
        <w:rPr>
          <w:sz w:val="24"/>
          <w:szCs w:val="24"/>
          <w:lang w:val="en-US"/>
        </w:rPr>
        <w:t>nghĩa</w:t>
      </w:r>
      <w:proofErr w:type="spellEnd"/>
      <w:r w:rsidRPr="002136F3">
        <w:rPr>
          <w:sz w:val="24"/>
          <w:szCs w:val="24"/>
          <w:lang w:val="en-US"/>
        </w:rPr>
        <w:t xml:space="preserve"> </w:t>
      </w:r>
      <w:proofErr w:type="spellStart"/>
      <w:r w:rsidRPr="002136F3">
        <w:rPr>
          <w:sz w:val="24"/>
          <w:szCs w:val="24"/>
          <w:lang w:val="en-US"/>
        </w:rPr>
        <w:t>vụ</w:t>
      </w:r>
      <w:proofErr w:type="spellEnd"/>
      <w:r w:rsidRPr="002136F3">
        <w:rPr>
          <w:sz w:val="24"/>
          <w:szCs w:val="24"/>
          <w:lang w:val="en-US"/>
        </w:rPr>
        <w:t xml:space="preserve"> </w:t>
      </w:r>
      <w:proofErr w:type="spellStart"/>
      <w:r w:rsidRPr="002136F3">
        <w:rPr>
          <w:sz w:val="24"/>
          <w:szCs w:val="24"/>
          <w:lang w:val="en-US"/>
        </w:rPr>
        <w:t>pháp</w:t>
      </w:r>
      <w:proofErr w:type="spellEnd"/>
      <w:r w:rsidRPr="002136F3">
        <w:rPr>
          <w:sz w:val="24"/>
          <w:szCs w:val="24"/>
          <w:lang w:val="en-US"/>
        </w:rPr>
        <w:t xml:space="preserve"> </w:t>
      </w:r>
      <w:proofErr w:type="spellStart"/>
      <w:r w:rsidRPr="002136F3">
        <w:rPr>
          <w:sz w:val="24"/>
          <w:szCs w:val="24"/>
          <w:lang w:val="en-US"/>
        </w:rPr>
        <w:t>lý</w:t>
      </w:r>
      <w:proofErr w:type="spellEnd"/>
      <w:r w:rsidRPr="002136F3">
        <w:rPr>
          <w:sz w:val="24"/>
          <w:szCs w:val="24"/>
          <w:lang w:val="en-US"/>
        </w:rPr>
        <w:t xml:space="preserve"> </w:t>
      </w:r>
      <w:proofErr w:type="spellStart"/>
      <w:r w:rsidRPr="002136F3">
        <w:rPr>
          <w:sz w:val="24"/>
          <w:szCs w:val="24"/>
          <w:lang w:val="en-US"/>
        </w:rPr>
        <w:t>hiện</w:t>
      </w:r>
      <w:proofErr w:type="spellEnd"/>
      <w:r w:rsidRPr="002136F3">
        <w:rPr>
          <w:sz w:val="24"/>
          <w:szCs w:val="24"/>
          <w:lang w:val="en-US"/>
        </w:rPr>
        <w:t xml:space="preserve"> </w:t>
      </w:r>
      <w:proofErr w:type="spellStart"/>
      <w:r w:rsidRPr="002136F3">
        <w:rPr>
          <w:sz w:val="24"/>
          <w:szCs w:val="24"/>
          <w:lang w:val="en-US"/>
        </w:rPr>
        <w:t>tại</w:t>
      </w:r>
      <w:proofErr w:type="spellEnd"/>
      <w:r w:rsidRPr="002136F3">
        <w:rPr>
          <w:sz w:val="24"/>
          <w:szCs w:val="24"/>
          <w:lang w:val="en-US"/>
        </w:rPr>
        <w:t xml:space="preserve"> </w:t>
      </w:r>
      <w:proofErr w:type="spellStart"/>
      <w:r w:rsidRPr="002136F3">
        <w:rPr>
          <w:sz w:val="24"/>
          <w:szCs w:val="24"/>
          <w:lang w:val="en-US"/>
        </w:rPr>
        <w:t>hoặc</w:t>
      </w:r>
      <w:proofErr w:type="spellEnd"/>
      <w:r w:rsidRPr="002136F3">
        <w:rPr>
          <w:sz w:val="24"/>
          <w:szCs w:val="24"/>
          <w:lang w:val="en-US"/>
        </w:rPr>
        <w:t xml:space="preserve"> </w:t>
      </w:r>
      <w:proofErr w:type="spellStart"/>
      <w:r w:rsidRPr="002136F3">
        <w:rPr>
          <w:sz w:val="24"/>
          <w:szCs w:val="24"/>
          <w:lang w:val="en-US"/>
        </w:rPr>
        <w:t>liên</w:t>
      </w:r>
      <w:proofErr w:type="spellEnd"/>
      <w:r w:rsidRPr="002136F3">
        <w:rPr>
          <w:sz w:val="24"/>
          <w:szCs w:val="24"/>
          <w:lang w:val="en-US"/>
        </w:rPr>
        <w:t xml:space="preserve"> </w:t>
      </w:r>
      <w:proofErr w:type="spellStart"/>
      <w:r w:rsidRPr="002136F3">
        <w:rPr>
          <w:sz w:val="24"/>
          <w:szCs w:val="24"/>
          <w:lang w:val="en-US"/>
        </w:rPr>
        <w:t>đới</w:t>
      </w:r>
      <w:proofErr w:type="spellEnd"/>
      <w:r w:rsidRPr="002136F3">
        <w:rPr>
          <w:sz w:val="24"/>
          <w:szCs w:val="24"/>
          <w:lang w:val="en-US"/>
        </w:rPr>
        <w:t xml:space="preserve"> </w:t>
      </w:r>
      <w:proofErr w:type="spellStart"/>
      <w:r w:rsidRPr="002136F3">
        <w:rPr>
          <w:sz w:val="24"/>
          <w:szCs w:val="24"/>
          <w:lang w:val="en-US"/>
        </w:rPr>
        <w:t>có</w:t>
      </w:r>
      <w:proofErr w:type="spellEnd"/>
      <w:r w:rsidRPr="002136F3">
        <w:rPr>
          <w:sz w:val="24"/>
          <w:szCs w:val="24"/>
          <w:lang w:val="en-US"/>
        </w:rPr>
        <w:t xml:space="preserve"> </w:t>
      </w:r>
      <w:proofErr w:type="spellStart"/>
      <w:r w:rsidRPr="002136F3">
        <w:rPr>
          <w:sz w:val="24"/>
          <w:szCs w:val="24"/>
          <w:lang w:val="en-US"/>
        </w:rPr>
        <w:t>thể</w:t>
      </w:r>
      <w:proofErr w:type="spellEnd"/>
      <w:r w:rsidRPr="002136F3">
        <w:rPr>
          <w:sz w:val="24"/>
          <w:szCs w:val="24"/>
          <w:lang w:val="en-US"/>
        </w:rPr>
        <w:t xml:space="preserve"> </w:t>
      </w:r>
      <w:proofErr w:type="spellStart"/>
      <w:r w:rsidRPr="002136F3">
        <w:rPr>
          <w:sz w:val="24"/>
          <w:szCs w:val="24"/>
          <w:lang w:val="en-US"/>
        </w:rPr>
        <w:t>ước</w:t>
      </w:r>
      <w:proofErr w:type="spellEnd"/>
      <w:r w:rsidRPr="002136F3">
        <w:rPr>
          <w:sz w:val="24"/>
          <w:szCs w:val="24"/>
          <w:lang w:val="en-US"/>
        </w:rPr>
        <w:t xml:space="preserve"> </w:t>
      </w:r>
      <w:proofErr w:type="spellStart"/>
      <w:r w:rsidRPr="002136F3">
        <w:rPr>
          <w:sz w:val="24"/>
          <w:szCs w:val="24"/>
          <w:lang w:val="en-US"/>
        </w:rPr>
        <w:t>tính</w:t>
      </w:r>
      <w:proofErr w:type="spellEnd"/>
      <w:r w:rsidRPr="002136F3">
        <w:rPr>
          <w:sz w:val="24"/>
          <w:szCs w:val="24"/>
          <w:lang w:val="en-US"/>
        </w:rPr>
        <w:t xml:space="preserve"> </w:t>
      </w:r>
      <w:proofErr w:type="spellStart"/>
      <w:r w:rsidRPr="002136F3">
        <w:rPr>
          <w:sz w:val="24"/>
          <w:szCs w:val="24"/>
          <w:lang w:val="en-US"/>
        </w:rPr>
        <w:t>một</w:t>
      </w:r>
      <w:proofErr w:type="spellEnd"/>
      <w:r w:rsidRPr="002136F3">
        <w:rPr>
          <w:sz w:val="24"/>
          <w:szCs w:val="24"/>
          <w:lang w:val="en-US"/>
        </w:rPr>
        <w:t xml:space="preserve"> </w:t>
      </w:r>
      <w:proofErr w:type="spellStart"/>
      <w:r w:rsidRPr="002136F3">
        <w:rPr>
          <w:sz w:val="24"/>
          <w:szCs w:val="24"/>
          <w:lang w:val="en-US"/>
        </w:rPr>
        <w:t>cách</w:t>
      </w:r>
      <w:proofErr w:type="spellEnd"/>
      <w:r w:rsidRPr="002136F3">
        <w:rPr>
          <w:sz w:val="24"/>
          <w:szCs w:val="24"/>
          <w:lang w:val="en-US"/>
        </w:rPr>
        <w:t xml:space="preserve"> </w:t>
      </w:r>
      <w:proofErr w:type="spellStart"/>
      <w:r w:rsidRPr="002136F3">
        <w:rPr>
          <w:sz w:val="24"/>
          <w:szCs w:val="24"/>
          <w:lang w:val="en-US"/>
        </w:rPr>
        <w:t>đáng</w:t>
      </w:r>
      <w:proofErr w:type="spellEnd"/>
      <w:r w:rsidRPr="002136F3">
        <w:rPr>
          <w:sz w:val="24"/>
          <w:szCs w:val="24"/>
          <w:lang w:val="en-US"/>
        </w:rPr>
        <w:t xml:space="preserve"> tin </w:t>
      </w:r>
      <w:proofErr w:type="spellStart"/>
      <w:r w:rsidRPr="002136F3">
        <w:rPr>
          <w:sz w:val="24"/>
          <w:szCs w:val="24"/>
          <w:lang w:val="en-US"/>
        </w:rPr>
        <w:t>cậy</w:t>
      </w:r>
      <w:proofErr w:type="spellEnd"/>
      <w:r w:rsidRPr="002136F3">
        <w:rPr>
          <w:sz w:val="24"/>
          <w:szCs w:val="24"/>
          <w:lang w:val="en-US"/>
        </w:rPr>
        <w:t xml:space="preserve">, </w:t>
      </w:r>
      <w:proofErr w:type="spellStart"/>
      <w:r w:rsidRPr="002136F3">
        <w:rPr>
          <w:sz w:val="24"/>
          <w:szCs w:val="24"/>
          <w:lang w:val="en-US"/>
        </w:rPr>
        <w:t>và</w:t>
      </w:r>
      <w:proofErr w:type="spellEnd"/>
      <w:r w:rsidRPr="002136F3">
        <w:rPr>
          <w:sz w:val="24"/>
          <w:szCs w:val="24"/>
          <w:lang w:val="en-US"/>
        </w:rPr>
        <w:t xml:space="preserve"> </w:t>
      </w:r>
      <w:proofErr w:type="spellStart"/>
      <w:r w:rsidRPr="002136F3">
        <w:rPr>
          <w:sz w:val="24"/>
          <w:szCs w:val="24"/>
          <w:lang w:val="en-US"/>
        </w:rPr>
        <w:t>chắc</w:t>
      </w:r>
      <w:proofErr w:type="spellEnd"/>
      <w:r w:rsidRPr="002136F3">
        <w:rPr>
          <w:sz w:val="24"/>
          <w:szCs w:val="24"/>
          <w:lang w:val="en-US"/>
        </w:rPr>
        <w:t xml:space="preserve"> </w:t>
      </w:r>
      <w:proofErr w:type="spellStart"/>
      <w:r w:rsidRPr="002136F3">
        <w:rPr>
          <w:sz w:val="24"/>
          <w:szCs w:val="24"/>
          <w:lang w:val="en-US"/>
        </w:rPr>
        <w:t>chắn</w:t>
      </w:r>
      <w:proofErr w:type="spellEnd"/>
      <w:r w:rsidRPr="002136F3">
        <w:rPr>
          <w:sz w:val="24"/>
          <w:szCs w:val="24"/>
          <w:lang w:val="en-US"/>
        </w:rPr>
        <w:t xml:space="preserve"> </w:t>
      </w:r>
      <w:proofErr w:type="spellStart"/>
      <w:r w:rsidRPr="002136F3">
        <w:rPr>
          <w:sz w:val="24"/>
          <w:szCs w:val="24"/>
          <w:lang w:val="en-US"/>
        </w:rPr>
        <w:t>sẽ</w:t>
      </w:r>
      <w:proofErr w:type="spellEnd"/>
      <w:r w:rsidRPr="002136F3">
        <w:rPr>
          <w:sz w:val="24"/>
          <w:szCs w:val="24"/>
          <w:lang w:val="en-US"/>
        </w:rPr>
        <w:t xml:space="preserve"> </w:t>
      </w:r>
      <w:proofErr w:type="spellStart"/>
      <w:r w:rsidRPr="002136F3">
        <w:rPr>
          <w:sz w:val="24"/>
          <w:szCs w:val="24"/>
          <w:lang w:val="en-US"/>
        </w:rPr>
        <w:t>làm</w:t>
      </w:r>
      <w:proofErr w:type="spellEnd"/>
      <w:r w:rsidRPr="002136F3">
        <w:rPr>
          <w:sz w:val="24"/>
          <w:szCs w:val="24"/>
          <w:lang w:val="en-US"/>
        </w:rPr>
        <w:t xml:space="preserve"> </w:t>
      </w:r>
      <w:proofErr w:type="spellStart"/>
      <w:r w:rsidRPr="002136F3">
        <w:rPr>
          <w:sz w:val="24"/>
          <w:szCs w:val="24"/>
          <w:lang w:val="en-US"/>
        </w:rPr>
        <w:t>giảm</w:t>
      </w:r>
      <w:proofErr w:type="spellEnd"/>
      <w:r w:rsidRPr="002136F3">
        <w:rPr>
          <w:sz w:val="24"/>
          <w:szCs w:val="24"/>
          <w:lang w:val="en-US"/>
        </w:rPr>
        <w:t xml:space="preserve"> </w:t>
      </w:r>
      <w:proofErr w:type="spellStart"/>
      <w:r w:rsidRPr="002136F3">
        <w:rPr>
          <w:sz w:val="24"/>
          <w:szCs w:val="24"/>
          <w:lang w:val="en-US"/>
        </w:rPr>
        <w:t>sút</w:t>
      </w:r>
      <w:proofErr w:type="spellEnd"/>
      <w:r w:rsidRPr="002136F3">
        <w:rPr>
          <w:sz w:val="24"/>
          <w:szCs w:val="24"/>
          <w:lang w:val="en-US"/>
        </w:rPr>
        <w:t xml:space="preserve"> </w:t>
      </w:r>
      <w:proofErr w:type="spellStart"/>
      <w:r w:rsidRPr="002136F3">
        <w:rPr>
          <w:sz w:val="24"/>
          <w:szCs w:val="24"/>
          <w:lang w:val="en-US"/>
        </w:rPr>
        <w:t>các</w:t>
      </w:r>
      <w:proofErr w:type="spellEnd"/>
      <w:r w:rsidRPr="002136F3">
        <w:rPr>
          <w:sz w:val="24"/>
          <w:szCs w:val="24"/>
          <w:lang w:val="en-US"/>
        </w:rPr>
        <w:t xml:space="preserve"> </w:t>
      </w:r>
      <w:proofErr w:type="spellStart"/>
      <w:r w:rsidRPr="002136F3">
        <w:rPr>
          <w:sz w:val="24"/>
          <w:szCs w:val="24"/>
          <w:lang w:val="en-US"/>
        </w:rPr>
        <w:t>lợi</w:t>
      </w:r>
      <w:proofErr w:type="spellEnd"/>
      <w:r w:rsidRPr="002136F3">
        <w:rPr>
          <w:sz w:val="24"/>
          <w:szCs w:val="24"/>
          <w:lang w:val="en-US"/>
        </w:rPr>
        <w:t xml:space="preserve"> </w:t>
      </w:r>
      <w:proofErr w:type="spellStart"/>
      <w:r w:rsidRPr="002136F3">
        <w:rPr>
          <w:sz w:val="24"/>
          <w:szCs w:val="24"/>
          <w:lang w:val="en-US"/>
        </w:rPr>
        <w:t>ích</w:t>
      </w:r>
      <w:proofErr w:type="spellEnd"/>
      <w:r w:rsidRPr="002136F3">
        <w:rPr>
          <w:sz w:val="24"/>
          <w:szCs w:val="24"/>
          <w:lang w:val="en-US"/>
        </w:rPr>
        <w:t xml:space="preserve"> </w:t>
      </w:r>
      <w:proofErr w:type="spellStart"/>
      <w:r w:rsidRPr="002136F3">
        <w:rPr>
          <w:sz w:val="24"/>
          <w:szCs w:val="24"/>
          <w:lang w:val="en-US"/>
        </w:rPr>
        <w:t>kinh</w:t>
      </w:r>
      <w:proofErr w:type="spellEnd"/>
      <w:r w:rsidRPr="002136F3">
        <w:rPr>
          <w:sz w:val="24"/>
          <w:szCs w:val="24"/>
          <w:lang w:val="en-US"/>
        </w:rPr>
        <w:t xml:space="preserve"> </w:t>
      </w:r>
      <w:proofErr w:type="spellStart"/>
      <w:r w:rsidRPr="002136F3">
        <w:rPr>
          <w:sz w:val="24"/>
          <w:szCs w:val="24"/>
          <w:lang w:val="en-US"/>
        </w:rPr>
        <w:t>tế</w:t>
      </w:r>
      <w:proofErr w:type="spellEnd"/>
      <w:r w:rsidRPr="002136F3">
        <w:rPr>
          <w:sz w:val="24"/>
          <w:szCs w:val="24"/>
          <w:lang w:val="en-US"/>
        </w:rPr>
        <w:t xml:space="preserve"> </w:t>
      </w:r>
      <w:proofErr w:type="spellStart"/>
      <w:r w:rsidRPr="002136F3">
        <w:rPr>
          <w:sz w:val="24"/>
          <w:szCs w:val="24"/>
          <w:lang w:val="en-US"/>
        </w:rPr>
        <w:t>trong</w:t>
      </w:r>
      <w:proofErr w:type="spellEnd"/>
      <w:r w:rsidRPr="002136F3">
        <w:rPr>
          <w:sz w:val="24"/>
          <w:szCs w:val="24"/>
          <w:lang w:val="en-US"/>
        </w:rPr>
        <w:t xml:space="preserve"> </w:t>
      </w:r>
      <w:proofErr w:type="spellStart"/>
      <w:r w:rsidRPr="002136F3">
        <w:rPr>
          <w:sz w:val="24"/>
          <w:szCs w:val="24"/>
          <w:lang w:val="en-US"/>
        </w:rPr>
        <w:t>tương</w:t>
      </w:r>
      <w:proofErr w:type="spellEnd"/>
      <w:r w:rsidRPr="002136F3">
        <w:rPr>
          <w:sz w:val="24"/>
          <w:szCs w:val="24"/>
          <w:lang w:val="en-US"/>
        </w:rPr>
        <w:t xml:space="preserve"> </w:t>
      </w:r>
      <w:proofErr w:type="spellStart"/>
      <w:r w:rsidRPr="002136F3">
        <w:rPr>
          <w:sz w:val="24"/>
          <w:szCs w:val="24"/>
          <w:lang w:val="en-US"/>
        </w:rPr>
        <w:t>lai</w:t>
      </w:r>
      <w:proofErr w:type="spellEnd"/>
      <w:r w:rsidRPr="002136F3">
        <w:rPr>
          <w:sz w:val="24"/>
          <w:szCs w:val="24"/>
          <w:lang w:val="en-US"/>
        </w:rPr>
        <w:t xml:space="preserve"> </w:t>
      </w:r>
      <w:proofErr w:type="spellStart"/>
      <w:r w:rsidRPr="002136F3">
        <w:rPr>
          <w:sz w:val="24"/>
          <w:szCs w:val="24"/>
          <w:lang w:val="en-US"/>
        </w:rPr>
        <w:t>để</w:t>
      </w:r>
      <w:proofErr w:type="spellEnd"/>
      <w:r w:rsidRPr="002136F3">
        <w:rPr>
          <w:sz w:val="24"/>
          <w:szCs w:val="24"/>
          <w:lang w:val="en-US"/>
        </w:rPr>
        <w:t xml:space="preserve"> </w:t>
      </w:r>
      <w:proofErr w:type="spellStart"/>
      <w:r w:rsidRPr="002136F3">
        <w:rPr>
          <w:sz w:val="24"/>
          <w:szCs w:val="24"/>
          <w:lang w:val="en-US"/>
        </w:rPr>
        <w:t>thanh</w:t>
      </w:r>
      <w:proofErr w:type="spellEnd"/>
      <w:r w:rsidRPr="002136F3">
        <w:rPr>
          <w:sz w:val="24"/>
          <w:szCs w:val="24"/>
          <w:lang w:val="en-US"/>
        </w:rPr>
        <w:t xml:space="preserve"> </w:t>
      </w:r>
      <w:proofErr w:type="spellStart"/>
      <w:r w:rsidRPr="002136F3">
        <w:rPr>
          <w:sz w:val="24"/>
          <w:szCs w:val="24"/>
          <w:lang w:val="en-US"/>
        </w:rPr>
        <w:t>toán</w:t>
      </w:r>
      <w:proofErr w:type="spellEnd"/>
      <w:r w:rsidRPr="002136F3">
        <w:rPr>
          <w:sz w:val="24"/>
          <w:szCs w:val="24"/>
          <w:lang w:val="en-US"/>
        </w:rPr>
        <w:t xml:space="preserve"> </w:t>
      </w:r>
      <w:proofErr w:type="spellStart"/>
      <w:r w:rsidRPr="002136F3">
        <w:rPr>
          <w:sz w:val="24"/>
          <w:szCs w:val="24"/>
          <w:lang w:val="en-US"/>
        </w:rPr>
        <w:t>các</w:t>
      </w:r>
      <w:proofErr w:type="spellEnd"/>
      <w:r w:rsidRPr="002136F3">
        <w:rPr>
          <w:sz w:val="24"/>
          <w:szCs w:val="24"/>
          <w:lang w:val="en-US"/>
        </w:rPr>
        <w:t xml:space="preserve"> </w:t>
      </w:r>
      <w:proofErr w:type="spellStart"/>
      <w:r w:rsidRPr="002136F3">
        <w:rPr>
          <w:sz w:val="24"/>
          <w:szCs w:val="24"/>
          <w:lang w:val="en-US"/>
        </w:rPr>
        <w:t>nghĩa</w:t>
      </w:r>
      <w:proofErr w:type="spellEnd"/>
      <w:r w:rsidRPr="002136F3">
        <w:rPr>
          <w:sz w:val="24"/>
          <w:szCs w:val="24"/>
          <w:lang w:val="en-US"/>
        </w:rPr>
        <w:t xml:space="preserve"> </w:t>
      </w:r>
      <w:proofErr w:type="spellStart"/>
      <w:r w:rsidRPr="002136F3">
        <w:rPr>
          <w:sz w:val="24"/>
          <w:szCs w:val="24"/>
          <w:lang w:val="en-US"/>
        </w:rPr>
        <w:t>vụ</w:t>
      </w:r>
      <w:proofErr w:type="spellEnd"/>
      <w:r w:rsidRPr="002136F3">
        <w:rPr>
          <w:sz w:val="24"/>
          <w:szCs w:val="24"/>
          <w:lang w:val="en-US"/>
        </w:rPr>
        <w:t xml:space="preserve"> </w:t>
      </w:r>
      <w:proofErr w:type="spellStart"/>
      <w:r w:rsidRPr="002136F3">
        <w:rPr>
          <w:sz w:val="24"/>
          <w:szCs w:val="24"/>
          <w:lang w:val="en-US"/>
        </w:rPr>
        <w:t>về</w:t>
      </w:r>
      <w:proofErr w:type="spellEnd"/>
      <w:r w:rsidRPr="002136F3">
        <w:rPr>
          <w:sz w:val="24"/>
          <w:szCs w:val="24"/>
          <w:lang w:val="en-US"/>
        </w:rPr>
        <w:t xml:space="preserve"> </w:t>
      </w:r>
      <w:proofErr w:type="spellStart"/>
      <w:r w:rsidRPr="002136F3">
        <w:rPr>
          <w:sz w:val="24"/>
          <w:szCs w:val="24"/>
          <w:lang w:val="en-US"/>
        </w:rPr>
        <w:t>khoản</w:t>
      </w:r>
      <w:proofErr w:type="spellEnd"/>
      <w:r w:rsidRPr="002136F3">
        <w:rPr>
          <w:sz w:val="24"/>
          <w:szCs w:val="24"/>
          <w:lang w:val="en-US"/>
        </w:rPr>
        <w:t xml:space="preserve"> </w:t>
      </w:r>
      <w:proofErr w:type="spellStart"/>
      <w:r w:rsidRPr="002136F3">
        <w:rPr>
          <w:sz w:val="24"/>
          <w:szCs w:val="24"/>
          <w:lang w:val="en-US"/>
        </w:rPr>
        <w:t>nợ</w:t>
      </w:r>
      <w:proofErr w:type="spellEnd"/>
      <w:r w:rsidRPr="002136F3">
        <w:rPr>
          <w:sz w:val="24"/>
          <w:szCs w:val="24"/>
          <w:lang w:val="en-US"/>
        </w:rPr>
        <w:t xml:space="preserve"> </w:t>
      </w:r>
      <w:proofErr w:type="spellStart"/>
      <w:r w:rsidRPr="002136F3">
        <w:rPr>
          <w:sz w:val="24"/>
          <w:szCs w:val="24"/>
          <w:lang w:val="en-US"/>
        </w:rPr>
        <w:t>phải</w:t>
      </w:r>
      <w:proofErr w:type="spellEnd"/>
      <w:r w:rsidRPr="002136F3">
        <w:rPr>
          <w:sz w:val="24"/>
          <w:szCs w:val="24"/>
          <w:lang w:val="en-US"/>
        </w:rPr>
        <w:t xml:space="preserve"> </w:t>
      </w:r>
      <w:proofErr w:type="spellStart"/>
      <w:r w:rsidRPr="002136F3">
        <w:rPr>
          <w:sz w:val="24"/>
          <w:szCs w:val="24"/>
          <w:lang w:val="en-US"/>
        </w:rPr>
        <w:t>trả</w:t>
      </w:r>
      <w:proofErr w:type="spellEnd"/>
      <w:r w:rsidRPr="002136F3">
        <w:rPr>
          <w:sz w:val="24"/>
          <w:szCs w:val="24"/>
          <w:lang w:val="en-US"/>
        </w:rPr>
        <w:t xml:space="preserve"> </w:t>
      </w:r>
      <w:proofErr w:type="spellStart"/>
      <w:r w:rsidRPr="002136F3">
        <w:rPr>
          <w:sz w:val="24"/>
          <w:szCs w:val="24"/>
          <w:lang w:val="en-US"/>
        </w:rPr>
        <w:t>đó</w:t>
      </w:r>
      <w:proofErr w:type="spellEnd"/>
      <w:r w:rsidRPr="002136F3">
        <w:rPr>
          <w:sz w:val="24"/>
          <w:szCs w:val="24"/>
          <w:lang w:val="en-US"/>
        </w:rPr>
        <w:t>.</w:t>
      </w:r>
      <w:r w:rsidR="00E3736F" w:rsidRPr="002136F3">
        <w:rPr>
          <w:sz w:val="24"/>
          <w:szCs w:val="24"/>
          <w:lang w:val="en-US"/>
        </w:rPr>
        <w:t xml:space="preserve"> </w:t>
      </w:r>
      <w:proofErr w:type="spellStart"/>
      <w:r w:rsidRPr="002136F3">
        <w:rPr>
          <w:sz w:val="24"/>
          <w:szCs w:val="24"/>
          <w:lang w:val="en-US"/>
        </w:rPr>
        <w:t>Khoản</w:t>
      </w:r>
      <w:proofErr w:type="spellEnd"/>
      <w:r w:rsidRPr="002136F3">
        <w:rPr>
          <w:sz w:val="24"/>
          <w:szCs w:val="24"/>
          <w:lang w:val="en-US"/>
        </w:rPr>
        <w:t xml:space="preserve"> </w:t>
      </w:r>
      <w:proofErr w:type="spellStart"/>
      <w:r w:rsidRPr="002136F3">
        <w:rPr>
          <w:sz w:val="24"/>
          <w:szCs w:val="24"/>
          <w:lang w:val="en-US"/>
        </w:rPr>
        <w:t>dự</w:t>
      </w:r>
      <w:proofErr w:type="spellEnd"/>
      <w:r w:rsidRPr="002136F3">
        <w:rPr>
          <w:sz w:val="24"/>
          <w:szCs w:val="24"/>
          <w:lang w:val="en-US"/>
        </w:rPr>
        <w:t xml:space="preserve"> </w:t>
      </w:r>
      <w:proofErr w:type="spellStart"/>
      <w:r w:rsidRPr="002136F3">
        <w:rPr>
          <w:sz w:val="24"/>
          <w:szCs w:val="24"/>
          <w:lang w:val="en-US"/>
        </w:rPr>
        <w:t>phòng</w:t>
      </w:r>
      <w:proofErr w:type="spellEnd"/>
      <w:r w:rsidRPr="002136F3">
        <w:rPr>
          <w:sz w:val="24"/>
          <w:szCs w:val="24"/>
          <w:lang w:val="en-US"/>
        </w:rPr>
        <w:t xml:space="preserve"> </w:t>
      </w:r>
      <w:proofErr w:type="spellStart"/>
      <w:r w:rsidRPr="002136F3">
        <w:rPr>
          <w:sz w:val="24"/>
          <w:szCs w:val="24"/>
          <w:lang w:val="en-US"/>
        </w:rPr>
        <w:t>được</w:t>
      </w:r>
      <w:proofErr w:type="spellEnd"/>
      <w:r w:rsidRPr="002136F3">
        <w:rPr>
          <w:sz w:val="24"/>
          <w:szCs w:val="24"/>
          <w:lang w:val="en-US"/>
        </w:rPr>
        <w:t xml:space="preserve"> </w:t>
      </w:r>
      <w:proofErr w:type="spellStart"/>
      <w:r w:rsidRPr="002136F3">
        <w:rPr>
          <w:sz w:val="24"/>
          <w:szCs w:val="24"/>
          <w:lang w:val="en-US"/>
        </w:rPr>
        <w:t>xác</w:t>
      </w:r>
      <w:proofErr w:type="spellEnd"/>
      <w:r w:rsidRPr="002136F3">
        <w:rPr>
          <w:sz w:val="24"/>
          <w:szCs w:val="24"/>
          <w:lang w:val="en-US"/>
        </w:rPr>
        <w:t xml:space="preserve"> </w:t>
      </w:r>
      <w:proofErr w:type="spellStart"/>
      <w:r w:rsidRPr="002136F3">
        <w:rPr>
          <w:sz w:val="24"/>
          <w:szCs w:val="24"/>
          <w:lang w:val="en-US"/>
        </w:rPr>
        <w:t>định</w:t>
      </w:r>
      <w:proofErr w:type="spellEnd"/>
      <w:r w:rsidRPr="002136F3">
        <w:rPr>
          <w:sz w:val="24"/>
          <w:szCs w:val="24"/>
          <w:lang w:val="en-US"/>
        </w:rPr>
        <w:t xml:space="preserve"> </w:t>
      </w:r>
      <w:proofErr w:type="spellStart"/>
      <w:r w:rsidRPr="002136F3">
        <w:rPr>
          <w:sz w:val="24"/>
          <w:szCs w:val="24"/>
          <w:lang w:val="en-US"/>
        </w:rPr>
        <w:t>bằng</w:t>
      </w:r>
      <w:proofErr w:type="spellEnd"/>
      <w:r w:rsidRPr="002136F3">
        <w:rPr>
          <w:sz w:val="24"/>
          <w:szCs w:val="24"/>
          <w:lang w:val="en-US"/>
        </w:rPr>
        <w:t xml:space="preserve"> </w:t>
      </w:r>
      <w:proofErr w:type="spellStart"/>
      <w:r w:rsidRPr="002136F3">
        <w:rPr>
          <w:sz w:val="24"/>
          <w:szCs w:val="24"/>
          <w:lang w:val="en-US"/>
        </w:rPr>
        <w:t>cách</w:t>
      </w:r>
      <w:proofErr w:type="spellEnd"/>
      <w:r w:rsidRPr="002136F3">
        <w:rPr>
          <w:sz w:val="24"/>
          <w:szCs w:val="24"/>
          <w:lang w:val="en-US"/>
        </w:rPr>
        <w:t xml:space="preserve"> </w:t>
      </w:r>
      <w:proofErr w:type="spellStart"/>
      <w:r w:rsidRPr="002136F3">
        <w:rPr>
          <w:sz w:val="24"/>
          <w:szCs w:val="24"/>
          <w:lang w:val="en-US"/>
        </w:rPr>
        <w:t>chiết</w:t>
      </w:r>
      <w:proofErr w:type="spellEnd"/>
      <w:r w:rsidRPr="002136F3">
        <w:rPr>
          <w:sz w:val="24"/>
          <w:szCs w:val="24"/>
          <w:lang w:val="en-US"/>
        </w:rPr>
        <w:t xml:space="preserve"> </w:t>
      </w:r>
      <w:proofErr w:type="spellStart"/>
      <w:r w:rsidRPr="002136F3">
        <w:rPr>
          <w:sz w:val="24"/>
          <w:szCs w:val="24"/>
          <w:lang w:val="en-US"/>
        </w:rPr>
        <w:t>khấu</w:t>
      </w:r>
      <w:proofErr w:type="spellEnd"/>
      <w:r w:rsidRPr="002136F3">
        <w:rPr>
          <w:sz w:val="24"/>
          <w:szCs w:val="24"/>
          <w:lang w:val="en-US"/>
        </w:rPr>
        <w:t xml:space="preserve"> </w:t>
      </w:r>
      <w:proofErr w:type="spellStart"/>
      <w:r w:rsidRPr="002136F3">
        <w:rPr>
          <w:sz w:val="24"/>
          <w:szCs w:val="24"/>
          <w:lang w:val="en-US"/>
        </w:rPr>
        <w:t>dòng</w:t>
      </w:r>
      <w:proofErr w:type="spellEnd"/>
      <w:r w:rsidRPr="002136F3">
        <w:rPr>
          <w:sz w:val="24"/>
          <w:szCs w:val="24"/>
          <w:lang w:val="en-US"/>
        </w:rPr>
        <w:t xml:space="preserve"> </w:t>
      </w:r>
      <w:proofErr w:type="spellStart"/>
      <w:r w:rsidRPr="002136F3">
        <w:rPr>
          <w:sz w:val="24"/>
          <w:szCs w:val="24"/>
          <w:lang w:val="en-US"/>
        </w:rPr>
        <w:t>tiền</w:t>
      </w:r>
      <w:proofErr w:type="spellEnd"/>
      <w:r w:rsidRPr="002136F3">
        <w:rPr>
          <w:sz w:val="24"/>
          <w:szCs w:val="24"/>
          <w:lang w:val="en-US"/>
        </w:rPr>
        <w:t xml:space="preserve"> </w:t>
      </w:r>
      <w:proofErr w:type="spellStart"/>
      <w:r w:rsidRPr="002136F3">
        <w:rPr>
          <w:sz w:val="24"/>
          <w:szCs w:val="24"/>
          <w:lang w:val="en-US"/>
        </w:rPr>
        <w:t>dự</w:t>
      </w:r>
      <w:proofErr w:type="spellEnd"/>
      <w:r w:rsidRPr="002136F3">
        <w:rPr>
          <w:sz w:val="24"/>
          <w:szCs w:val="24"/>
          <w:lang w:val="en-US"/>
        </w:rPr>
        <w:t xml:space="preserve"> </w:t>
      </w:r>
      <w:proofErr w:type="spellStart"/>
      <w:r w:rsidRPr="002136F3">
        <w:rPr>
          <w:sz w:val="24"/>
          <w:szCs w:val="24"/>
          <w:lang w:val="en-US"/>
        </w:rPr>
        <w:t>kiến</w:t>
      </w:r>
      <w:proofErr w:type="spellEnd"/>
      <w:r w:rsidRPr="002136F3">
        <w:rPr>
          <w:sz w:val="24"/>
          <w:szCs w:val="24"/>
          <w:lang w:val="en-US"/>
        </w:rPr>
        <w:t xml:space="preserve"> </w:t>
      </w:r>
      <w:proofErr w:type="spellStart"/>
      <w:r w:rsidRPr="002136F3">
        <w:rPr>
          <w:sz w:val="24"/>
          <w:szCs w:val="24"/>
          <w:lang w:val="en-US"/>
        </w:rPr>
        <w:t>có</w:t>
      </w:r>
      <w:proofErr w:type="spellEnd"/>
      <w:r w:rsidRPr="002136F3">
        <w:rPr>
          <w:sz w:val="24"/>
          <w:szCs w:val="24"/>
          <w:lang w:val="en-US"/>
        </w:rPr>
        <w:t xml:space="preserve"> </w:t>
      </w:r>
      <w:proofErr w:type="spellStart"/>
      <w:r w:rsidRPr="002136F3">
        <w:rPr>
          <w:sz w:val="24"/>
          <w:szCs w:val="24"/>
          <w:lang w:val="en-US"/>
        </w:rPr>
        <w:t>thể</w:t>
      </w:r>
      <w:proofErr w:type="spellEnd"/>
      <w:r w:rsidRPr="002136F3">
        <w:rPr>
          <w:sz w:val="24"/>
          <w:szCs w:val="24"/>
          <w:lang w:val="en-US"/>
        </w:rPr>
        <w:t xml:space="preserve"> </w:t>
      </w:r>
      <w:proofErr w:type="spellStart"/>
      <w:r w:rsidRPr="002136F3">
        <w:rPr>
          <w:sz w:val="24"/>
          <w:szCs w:val="24"/>
          <w:lang w:val="en-US"/>
        </w:rPr>
        <w:t>phải</w:t>
      </w:r>
      <w:proofErr w:type="spellEnd"/>
      <w:r w:rsidRPr="002136F3">
        <w:rPr>
          <w:sz w:val="24"/>
          <w:szCs w:val="24"/>
          <w:lang w:val="en-US"/>
        </w:rPr>
        <w:t xml:space="preserve"> </w:t>
      </w:r>
      <w:proofErr w:type="spellStart"/>
      <w:r w:rsidRPr="002136F3">
        <w:rPr>
          <w:sz w:val="24"/>
          <w:szCs w:val="24"/>
          <w:lang w:val="en-US"/>
        </w:rPr>
        <w:t>trả</w:t>
      </w:r>
      <w:proofErr w:type="spellEnd"/>
      <w:r w:rsidRPr="002136F3">
        <w:rPr>
          <w:sz w:val="24"/>
          <w:szCs w:val="24"/>
          <w:lang w:val="en-US"/>
        </w:rPr>
        <w:t xml:space="preserve"> </w:t>
      </w:r>
      <w:proofErr w:type="spellStart"/>
      <w:r w:rsidRPr="002136F3">
        <w:rPr>
          <w:sz w:val="24"/>
          <w:szCs w:val="24"/>
          <w:lang w:val="en-US"/>
        </w:rPr>
        <w:t>trong</w:t>
      </w:r>
      <w:proofErr w:type="spellEnd"/>
      <w:r w:rsidRPr="002136F3">
        <w:rPr>
          <w:sz w:val="24"/>
          <w:szCs w:val="24"/>
          <w:lang w:val="en-US"/>
        </w:rPr>
        <w:t xml:space="preserve"> </w:t>
      </w:r>
      <w:proofErr w:type="spellStart"/>
      <w:r w:rsidRPr="002136F3">
        <w:rPr>
          <w:sz w:val="24"/>
          <w:szCs w:val="24"/>
          <w:lang w:val="en-US"/>
        </w:rPr>
        <w:t>tương</w:t>
      </w:r>
      <w:proofErr w:type="spellEnd"/>
      <w:r w:rsidRPr="002136F3">
        <w:rPr>
          <w:sz w:val="24"/>
          <w:szCs w:val="24"/>
          <w:lang w:val="en-US"/>
        </w:rPr>
        <w:t xml:space="preserve"> </w:t>
      </w:r>
      <w:proofErr w:type="spellStart"/>
      <w:r w:rsidRPr="002136F3">
        <w:rPr>
          <w:sz w:val="24"/>
          <w:szCs w:val="24"/>
          <w:lang w:val="en-US"/>
        </w:rPr>
        <w:t>lai</w:t>
      </w:r>
      <w:proofErr w:type="spellEnd"/>
      <w:r w:rsidRPr="002136F3">
        <w:rPr>
          <w:sz w:val="24"/>
          <w:szCs w:val="24"/>
          <w:lang w:val="en-US"/>
        </w:rPr>
        <w:t xml:space="preserve"> </w:t>
      </w:r>
      <w:proofErr w:type="spellStart"/>
      <w:r w:rsidRPr="002136F3">
        <w:rPr>
          <w:sz w:val="24"/>
          <w:szCs w:val="24"/>
          <w:lang w:val="en-US"/>
        </w:rPr>
        <w:t>với</w:t>
      </w:r>
      <w:proofErr w:type="spellEnd"/>
      <w:r w:rsidRPr="002136F3">
        <w:rPr>
          <w:sz w:val="24"/>
          <w:szCs w:val="24"/>
          <w:lang w:val="en-US"/>
        </w:rPr>
        <w:t xml:space="preserve"> </w:t>
      </w:r>
      <w:proofErr w:type="spellStart"/>
      <w:r w:rsidRPr="002136F3">
        <w:rPr>
          <w:sz w:val="24"/>
          <w:szCs w:val="24"/>
          <w:lang w:val="en-US"/>
        </w:rPr>
        <w:t>tỷ</w:t>
      </w:r>
      <w:proofErr w:type="spellEnd"/>
      <w:r w:rsidRPr="002136F3">
        <w:rPr>
          <w:sz w:val="24"/>
          <w:szCs w:val="24"/>
          <w:lang w:val="en-US"/>
        </w:rPr>
        <w:t xml:space="preserve"> </w:t>
      </w:r>
      <w:proofErr w:type="spellStart"/>
      <w:r w:rsidRPr="002136F3">
        <w:rPr>
          <w:sz w:val="24"/>
          <w:szCs w:val="24"/>
          <w:lang w:val="en-US"/>
        </w:rPr>
        <w:t>lệ</w:t>
      </w:r>
      <w:proofErr w:type="spellEnd"/>
      <w:r w:rsidRPr="002136F3">
        <w:rPr>
          <w:sz w:val="24"/>
          <w:szCs w:val="24"/>
          <w:lang w:val="en-US"/>
        </w:rPr>
        <w:t xml:space="preserve"> </w:t>
      </w:r>
      <w:proofErr w:type="spellStart"/>
      <w:r w:rsidRPr="002136F3">
        <w:rPr>
          <w:sz w:val="24"/>
          <w:szCs w:val="24"/>
          <w:lang w:val="en-US"/>
        </w:rPr>
        <w:t>chiết</w:t>
      </w:r>
      <w:proofErr w:type="spellEnd"/>
      <w:r w:rsidRPr="002136F3">
        <w:rPr>
          <w:sz w:val="24"/>
          <w:szCs w:val="24"/>
          <w:lang w:val="en-US"/>
        </w:rPr>
        <w:t xml:space="preserve"> </w:t>
      </w:r>
      <w:proofErr w:type="spellStart"/>
      <w:r w:rsidRPr="002136F3">
        <w:rPr>
          <w:sz w:val="24"/>
          <w:szCs w:val="24"/>
          <w:lang w:val="en-US"/>
        </w:rPr>
        <w:t>khấu</w:t>
      </w:r>
      <w:proofErr w:type="spellEnd"/>
      <w:r w:rsidRPr="002136F3">
        <w:rPr>
          <w:sz w:val="24"/>
          <w:szCs w:val="24"/>
          <w:lang w:val="en-US"/>
        </w:rPr>
        <w:t xml:space="preserve"> </w:t>
      </w:r>
      <w:proofErr w:type="spellStart"/>
      <w:r w:rsidRPr="002136F3">
        <w:rPr>
          <w:sz w:val="24"/>
          <w:szCs w:val="24"/>
          <w:lang w:val="en-US"/>
        </w:rPr>
        <w:t>trước</w:t>
      </w:r>
      <w:proofErr w:type="spellEnd"/>
      <w:r w:rsidRPr="002136F3">
        <w:rPr>
          <w:sz w:val="24"/>
          <w:szCs w:val="24"/>
          <w:lang w:val="en-US"/>
        </w:rPr>
        <w:t xml:space="preserve"> </w:t>
      </w:r>
      <w:proofErr w:type="spellStart"/>
      <w:r w:rsidRPr="002136F3">
        <w:rPr>
          <w:sz w:val="24"/>
          <w:szCs w:val="24"/>
          <w:lang w:val="en-US"/>
        </w:rPr>
        <w:t>thuế</w:t>
      </w:r>
      <w:proofErr w:type="spellEnd"/>
      <w:r w:rsidRPr="002136F3">
        <w:rPr>
          <w:sz w:val="24"/>
          <w:szCs w:val="24"/>
          <w:lang w:val="en-US"/>
        </w:rPr>
        <w:t xml:space="preserve"> </w:t>
      </w:r>
      <w:proofErr w:type="spellStart"/>
      <w:r w:rsidRPr="002136F3">
        <w:rPr>
          <w:sz w:val="24"/>
          <w:szCs w:val="24"/>
          <w:lang w:val="en-US"/>
        </w:rPr>
        <w:t>phản</w:t>
      </w:r>
      <w:proofErr w:type="spellEnd"/>
      <w:r w:rsidRPr="002136F3">
        <w:rPr>
          <w:sz w:val="24"/>
          <w:szCs w:val="24"/>
          <w:lang w:val="en-US"/>
        </w:rPr>
        <w:t xml:space="preserve"> </w:t>
      </w:r>
      <w:proofErr w:type="spellStart"/>
      <w:r w:rsidRPr="002136F3">
        <w:rPr>
          <w:sz w:val="24"/>
          <w:szCs w:val="24"/>
          <w:lang w:val="en-US"/>
        </w:rPr>
        <w:t>ánh</w:t>
      </w:r>
      <w:proofErr w:type="spellEnd"/>
      <w:r w:rsidRPr="002136F3">
        <w:rPr>
          <w:sz w:val="24"/>
          <w:szCs w:val="24"/>
          <w:lang w:val="en-US"/>
        </w:rPr>
        <w:t xml:space="preserve"> </w:t>
      </w:r>
      <w:proofErr w:type="spellStart"/>
      <w:r w:rsidRPr="002136F3">
        <w:rPr>
          <w:sz w:val="24"/>
          <w:szCs w:val="24"/>
          <w:lang w:val="en-US"/>
        </w:rPr>
        <w:t>đánh</w:t>
      </w:r>
      <w:proofErr w:type="spellEnd"/>
      <w:r w:rsidRPr="002136F3">
        <w:rPr>
          <w:sz w:val="24"/>
          <w:szCs w:val="24"/>
          <w:lang w:val="en-US"/>
        </w:rPr>
        <w:t xml:space="preserve"> </w:t>
      </w:r>
      <w:proofErr w:type="spellStart"/>
      <w:r w:rsidRPr="002136F3">
        <w:rPr>
          <w:sz w:val="24"/>
          <w:szCs w:val="24"/>
          <w:lang w:val="en-US"/>
        </w:rPr>
        <w:t>giá</w:t>
      </w:r>
      <w:proofErr w:type="spellEnd"/>
      <w:r w:rsidRPr="002136F3">
        <w:rPr>
          <w:sz w:val="24"/>
          <w:szCs w:val="24"/>
          <w:lang w:val="en-US"/>
        </w:rPr>
        <w:t xml:space="preserve"> </w:t>
      </w:r>
      <w:proofErr w:type="spellStart"/>
      <w:r w:rsidRPr="002136F3">
        <w:rPr>
          <w:sz w:val="24"/>
          <w:szCs w:val="24"/>
          <w:lang w:val="en-US"/>
        </w:rPr>
        <w:t>hiện</w:t>
      </w:r>
      <w:proofErr w:type="spellEnd"/>
      <w:r w:rsidRPr="002136F3">
        <w:rPr>
          <w:sz w:val="24"/>
          <w:szCs w:val="24"/>
          <w:lang w:val="en-US"/>
        </w:rPr>
        <w:t xml:space="preserve"> </w:t>
      </w:r>
      <w:proofErr w:type="spellStart"/>
      <w:r w:rsidRPr="002136F3">
        <w:rPr>
          <w:sz w:val="24"/>
          <w:szCs w:val="24"/>
          <w:lang w:val="en-US"/>
        </w:rPr>
        <w:t>tại</w:t>
      </w:r>
      <w:proofErr w:type="spellEnd"/>
      <w:r w:rsidRPr="002136F3">
        <w:rPr>
          <w:sz w:val="24"/>
          <w:szCs w:val="24"/>
          <w:lang w:val="en-US"/>
        </w:rPr>
        <w:t xml:space="preserve"> </w:t>
      </w:r>
      <w:proofErr w:type="spellStart"/>
      <w:r w:rsidRPr="002136F3">
        <w:rPr>
          <w:sz w:val="24"/>
          <w:szCs w:val="24"/>
          <w:lang w:val="en-US"/>
        </w:rPr>
        <w:t>của</w:t>
      </w:r>
      <w:proofErr w:type="spellEnd"/>
      <w:r w:rsidRPr="002136F3">
        <w:rPr>
          <w:sz w:val="24"/>
          <w:szCs w:val="24"/>
          <w:lang w:val="en-US"/>
        </w:rPr>
        <w:t xml:space="preserve"> </w:t>
      </w:r>
      <w:proofErr w:type="spellStart"/>
      <w:r w:rsidRPr="002136F3">
        <w:rPr>
          <w:sz w:val="24"/>
          <w:szCs w:val="24"/>
          <w:lang w:val="en-US"/>
        </w:rPr>
        <w:t>thị</w:t>
      </w:r>
      <w:proofErr w:type="spellEnd"/>
      <w:r w:rsidRPr="002136F3">
        <w:rPr>
          <w:sz w:val="24"/>
          <w:szCs w:val="24"/>
          <w:lang w:val="en-US"/>
        </w:rPr>
        <w:t xml:space="preserve"> </w:t>
      </w:r>
      <w:proofErr w:type="spellStart"/>
      <w:r w:rsidRPr="002136F3">
        <w:rPr>
          <w:sz w:val="24"/>
          <w:szCs w:val="24"/>
          <w:lang w:val="en-US"/>
        </w:rPr>
        <w:t>trường</w:t>
      </w:r>
      <w:proofErr w:type="spellEnd"/>
      <w:r w:rsidRPr="002136F3">
        <w:rPr>
          <w:sz w:val="24"/>
          <w:szCs w:val="24"/>
          <w:lang w:val="en-US"/>
        </w:rPr>
        <w:t xml:space="preserve"> </w:t>
      </w:r>
      <w:proofErr w:type="spellStart"/>
      <w:r w:rsidRPr="002136F3">
        <w:rPr>
          <w:sz w:val="24"/>
          <w:szCs w:val="24"/>
          <w:lang w:val="en-US"/>
        </w:rPr>
        <w:t>về</w:t>
      </w:r>
      <w:proofErr w:type="spellEnd"/>
      <w:r w:rsidRPr="002136F3">
        <w:rPr>
          <w:sz w:val="24"/>
          <w:szCs w:val="24"/>
          <w:lang w:val="en-US"/>
        </w:rPr>
        <w:t xml:space="preserve"> </w:t>
      </w:r>
      <w:proofErr w:type="spellStart"/>
      <w:r w:rsidRPr="002136F3">
        <w:rPr>
          <w:sz w:val="24"/>
          <w:szCs w:val="24"/>
          <w:lang w:val="en-US"/>
        </w:rPr>
        <w:t>giá</w:t>
      </w:r>
      <w:proofErr w:type="spellEnd"/>
      <w:r w:rsidRPr="002136F3">
        <w:rPr>
          <w:sz w:val="24"/>
          <w:szCs w:val="24"/>
          <w:lang w:val="en-US"/>
        </w:rPr>
        <w:t xml:space="preserve"> </w:t>
      </w:r>
      <w:proofErr w:type="spellStart"/>
      <w:r w:rsidRPr="002136F3">
        <w:rPr>
          <w:sz w:val="24"/>
          <w:szCs w:val="24"/>
          <w:lang w:val="en-US"/>
        </w:rPr>
        <w:t>trị</w:t>
      </w:r>
      <w:proofErr w:type="spellEnd"/>
      <w:r w:rsidRPr="002136F3">
        <w:rPr>
          <w:sz w:val="24"/>
          <w:szCs w:val="24"/>
          <w:lang w:val="en-US"/>
        </w:rPr>
        <w:t xml:space="preserve"> </w:t>
      </w:r>
      <w:proofErr w:type="spellStart"/>
      <w:r w:rsidRPr="002136F3">
        <w:rPr>
          <w:sz w:val="24"/>
          <w:szCs w:val="24"/>
          <w:lang w:val="en-US"/>
        </w:rPr>
        <w:t>thời</w:t>
      </w:r>
      <w:proofErr w:type="spellEnd"/>
      <w:r w:rsidRPr="002136F3">
        <w:rPr>
          <w:sz w:val="24"/>
          <w:szCs w:val="24"/>
          <w:lang w:val="en-US"/>
        </w:rPr>
        <w:t xml:space="preserve"> </w:t>
      </w:r>
      <w:proofErr w:type="spellStart"/>
      <w:r w:rsidRPr="002136F3">
        <w:rPr>
          <w:sz w:val="24"/>
          <w:szCs w:val="24"/>
          <w:lang w:val="en-US"/>
        </w:rPr>
        <w:t>gian</w:t>
      </w:r>
      <w:proofErr w:type="spellEnd"/>
      <w:r w:rsidRPr="002136F3">
        <w:rPr>
          <w:sz w:val="24"/>
          <w:szCs w:val="24"/>
          <w:lang w:val="en-US"/>
        </w:rPr>
        <w:t xml:space="preserve"> </w:t>
      </w:r>
      <w:proofErr w:type="spellStart"/>
      <w:r w:rsidRPr="002136F3">
        <w:rPr>
          <w:sz w:val="24"/>
          <w:szCs w:val="24"/>
          <w:lang w:val="en-US"/>
        </w:rPr>
        <w:t>của</w:t>
      </w:r>
      <w:proofErr w:type="spellEnd"/>
      <w:r w:rsidRPr="002136F3">
        <w:rPr>
          <w:sz w:val="24"/>
          <w:szCs w:val="24"/>
          <w:lang w:val="en-US"/>
        </w:rPr>
        <w:t xml:space="preserve"> </w:t>
      </w:r>
      <w:proofErr w:type="spellStart"/>
      <w:r w:rsidRPr="002136F3">
        <w:rPr>
          <w:sz w:val="24"/>
          <w:szCs w:val="24"/>
          <w:lang w:val="en-US"/>
        </w:rPr>
        <w:t>tiền</w:t>
      </w:r>
      <w:proofErr w:type="spellEnd"/>
      <w:r w:rsidRPr="002136F3">
        <w:rPr>
          <w:sz w:val="24"/>
          <w:szCs w:val="24"/>
          <w:lang w:val="en-US"/>
        </w:rPr>
        <w:t xml:space="preserve"> </w:t>
      </w:r>
      <w:proofErr w:type="spellStart"/>
      <w:r w:rsidRPr="002136F3">
        <w:rPr>
          <w:sz w:val="24"/>
          <w:szCs w:val="24"/>
          <w:lang w:val="en-US"/>
        </w:rPr>
        <w:t>và</w:t>
      </w:r>
      <w:proofErr w:type="spellEnd"/>
      <w:r w:rsidRPr="002136F3">
        <w:rPr>
          <w:sz w:val="24"/>
          <w:szCs w:val="24"/>
          <w:lang w:val="en-US"/>
        </w:rPr>
        <w:t xml:space="preserve"> </w:t>
      </w:r>
      <w:proofErr w:type="spellStart"/>
      <w:r w:rsidRPr="002136F3">
        <w:rPr>
          <w:sz w:val="24"/>
          <w:szCs w:val="24"/>
          <w:lang w:val="en-US"/>
        </w:rPr>
        <w:t>rủi</w:t>
      </w:r>
      <w:proofErr w:type="spellEnd"/>
      <w:r w:rsidRPr="002136F3">
        <w:rPr>
          <w:sz w:val="24"/>
          <w:szCs w:val="24"/>
          <w:lang w:val="en-US"/>
        </w:rPr>
        <w:t xml:space="preserve"> </w:t>
      </w:r>
      <w:proofErr w:type="spellStart"/>
      <w:r w:rsidRPr="002136F3">
        <w:rPr>
          <w:sz w:val="24"/>
          <w:szCs w:val="24"/>
          <w:lang w:val="en-US"/>
        </w:rPr>
        <w:t>ro</w:t>
      </w:r>
      <w:proofErr w:type="spellEnd"/>
      <w:r w:rsidRPr="002136F3">
        <w:rPr>
          <w:sz w:val="24"/>
          <w:szCs w:val="24"/>
          <w:lang w:val="en-US"/>
        </w:rPr>
        <w:t xml:space="preserve"> </w:t>
      </w:r>
      <w:proofErr w:type="spellStart"/>
      <w:r w:rsidRPr="002136F3">
        <w:rPr>
          <w:sz w:val="24"/>
          <w:szCs w:val="24"/>
          <w:lang w:val="en-US"/>
        </w:rPr>
        <w:t>cụ</w:t>
      </w:r>
      <w:proofErr w:type="spellEnd"/>
      <w:r w:rsidRPr="002136F3">
        <w:rPr>
          <w:sz w:val="24"/>
          <w:szCs w:val="24"/>
          <w:lang w:val="en-US"/>
        </w:rPr>
        <w:t xml:space="preserve"> </w:t>
      </w:r>
      <w:proofErr w:type="spellStart"/>
      <w:r w:rsidRPr="002136F3">
        <w:rPr>
          <w:sz w:val="24"/>
          <w:szCs w:val="24"/>
          <w:lang w:val="en-US"/>
        </w:rPr>
        <w:t>thể</w:t>
      </w:r>
      <w:proofErr w:type="spellEnd"/>
      <w:r w:rsidRPr="002136F3">
        <w:rPr>
          <w:sz w:val="24"/>
          <w:szCs w:val="24"/>
          <w:lang w:val="en-US"/>
        </w:rPr>
        <w:t xml:space="preserve"> </w:t>
      </w:r>
      <w:proofErr w:type="spellStart"/>
      <w:r w:rsidRPr="002136F3">
        <w:rPr>
          <w:sz w:val="24"/>
          <w:szCs w:val="24"/>
          <w:lang w:val="en-US"/>
        </w:rPr>
        <w:t>của</w:t>
      </w:r>
      <w:proofErr w:type="spellEnd"/>
      <w:r w:rsidRPr="002136F3">
        <w:rPr>
          <w:sz w:val="24"/>
          <w:szCs w:val="24"/>
          <w:lang w:val="en-US"/>
        </w:rPr>
        <w:t xml:space="preserve"> </w:t>
      </w:r>
      <w:proofErr w:type="spellStart"/>
      <w:r w:rsidRPr="002136F3">
        <w:rPr>
          <w:sz w:val="24"/>
          <w:szCs w:val="24"/>
          <w:lang w:val="en-US"/>
        </w:rPr>
        <w:t>khoản</w:t>
      </w:r>
      <w:proofErr w:type="spellEnd"/>
      <w:r w:rsidRPr="002136F3">
        <w:rPr>
          <w:sz w:val="24"/>
          <w:szCs w:val="24"/>
          <w:lang w:val="en-US"/>
        </w:rPr>
        <w:t xml:space="preserve"> </w:t>
      </w:r>
      <w:proofErr w:type="spellStart"/>
      <w:r w:rsidRPr="002136F3">
        <w:rPr>
          <w:sz w:val="24"/>
          <w:szCs w:val="24"/>
          <w:lang w:val="en-US"/>
        </w:rPr>
        <w:t>nợ</w:t>
      </w:r>
      <w:proofErr w:type="spellEnd"/>
      <w:r w:rsidRPr="002136F3">
        <w:rPr>
          <w:sz w:val="24"/>
          <w:szCs w:val="24"/>
          <w:lang w:val="en-US"/>
        </w:rPr>
        <w:t xml:space="preserve"> </w:t>
      </w:r>
      <w:proofErr w:type="spellStart"/>
      <w:r w:rsidRPr="002136F3">
        <w:rPr>
          <w:sz w:val="24"/>
          <w:szCs w:val="24"/>
          <w:lang w:val="en-US"/>
        </w:rPr>
        <w:t>đó</w:t>
      </w:r>
      <w:proofErr w:type="spellEnd"/>
      <w:r w:rsidRPr="002136F3">
        <w:rPr>
          <w:sz w:val="24"/>
          <w:szCs w:val="24"/>
          <w:lang w:val="en-US"/>
        </w:rPr>
        <w:t>.</w:t>
      </w:r>
    </w:p>
    <w:p w14:paraId="49F9C3CE" w14:textId="60BEA0DC" w:rsidR="003569BE" w:rsidRPr="0051259B" w:rsidRDefault="003569BE" w:rsidP="006D5144">
      <w:pPr>
        <w:pStyle w:val="BodyText"/>
        <w:keepLines w:val="0"/>
        <w:spacing w:after="0"/>
        <w:ind w:left="180" w:right="206"/>
        <w:rPr>
          <w:i/>
          <w:iCs/>
          <w:sz w:val="24"/>
          <w:szCs w:val="24"/>
          <w:lang w:val="en-US"/>
        </w:rPr>
      </w:pPr>
      <w:r w:rsidRPr="0051259B">
        <w:rPr>
          <w:i/>
          <w:iCs/>
          <w:sz w:val="24"/>
          <w:szCs w:val="24"/>
          <w:lang w:val="en-US"/>
        </w:rPr>
        <w:t xml:space="preserve">A provision is </w:t>
      </w:r>
      <w:proofErr w:type="spellStart"/>
      <w:r w:rsidRPr="0051259B">
        <w:rPr>
          <w:i/>
          <w:iCs/>
          <w:sz w:val="24"/>
          <w:szCs w:val="24"/>
          <w:lang w:val="en-US"/>
        </w:rPr>
        <w:t>recognised</w:t>
      </w:r>
      <w:proofErr w:type="spellEnd"/>
      <w:r w:rsidRPr="0051259B">
        <w:rPr>
          <w:i/>
          <w:iCs/>
          <w:sz w:val="24"/>
          <w:szCs w:val="24"/>
          <w:lang w:val="en-US"/>
        </w:rPr>
        <w:t xml:space="preserve"> if, </w:t>
      </w:r>
      <w:proofErr w:type="gramStart"/>
      <w:r w:rsidRPr="0051259B">
        <w:rPr>
          <w:i/>
          <w:iCs/>
          <w:sz w:val="24"/>
          <w:szCs w:val="24"/>
          <w:lang w:val="en-US"/>
        </w:rPr>
        <w:t>as a result of</w:t>
      </w:r>
      <w:proofErr w:type="gramEnd"/>
      <w:r w:rsidRPr="0051259B">
        <w:rPr>
          <w:i/>
          <w:iCs/>
          <w:sz w:val="24"/>
          <w:szCs w:val="24"/>
          <w:lang w:val="en-US"/>
        </w:rPr>
        <w:t xml:space="preserve"> a past event, the Fund has a present legal or constructive obligation that can be estimated reliably, and it is probable that an outflow of economic benefits will be required to settle the obligation.  Provisions are determined by discounting the expected future cash flows at a pre-tax rate that reflects current market assessments of the time value of money and the risks specific to the liability.</w:t>
      </w:r>
    </w:p>
    <w:p w14:paraId="4F1A8954" w14:textId="524DD13D" w:rsidR="00897749" w:rsidRPr="002136F3" w:rsidRDefault="00200471" w:rsidP="00D54A5B">
      <w:pPr>
        <w:shd w:val="clear" w:color="auto" w:fill="FFFFFF"/>
        <w:spacing w:before="120" w:after="120" w:line="312" w:lineRule="auto"/>
        <w:ind w:left="142" w:right="260"/>
        <w:jc w:val="both"/>
        <w:rPr>
          <w:rFonts w:ascii="Times New Roman" w:hAnsi="Times New Roman"/>
          <w:b/>
          <w:sz w:val="24"/>
          <w:szCs w:val="24"/>
          <w:lang w:val="vi-VN"/>
        </w:rPr>
      </w:pPr>
      <w:r w:rsidRPr="002136F3">
        <w:rPr>
          <w:rFonts w:ascii="Times New Roman" w:hAnsi="Times New Roman"/>
          <w:b/>
          <w:sz w:val="24"/>
          <w:szCs w:val="24"/>
          <w:lang w:val="nl-NL"/>
        </w:rPr>
        <w:t>4.6</w:t>
      </w:r>
      <w:r w:rsidRPr="002136F3">
        <w:rPr>
          <w:rFonts w:ascii="Times New Roman" w:hAnsi="Times New Roman"/>
          <w:b/>
          <w:sz w:val="24"/>
          <w:szCs w:val="24"/>
          <w:lang w:val="nl-NL"/>
        </w:rPr>
        <w:tab/>
      </w:r>
      <w:r w:rsidR="00897749" w:rsidRPr="002136F3">
        <w:rPr>
          <w:rFonts w:ascii="Times New Roman" w:hAnsi="Times New Roman"/>
          <w:b/>
          <w:sz w:val="24"/>
          <w:szCs w:val="24"/>
          <w:lang w:val="nl-NL"/>
        </w:rPr>
        <w:t>Phân loại các công cụ tài chính</w:t>
      </w:r>
      <w:r w:rsidR="003569BE" w:rsidRPr="002136F3">
        <w:rPr>
          <w:rFonts w:ascii="Times New Roman" w:hAnsi="Times New Roman"/>
          <w:b/>
          <w:sz w:val="24"/>
          <w:szCs w:val="24"/>
          <w:lang w:val="vi-VN"/>
        </w:rPr>
        <w:t xml:space="preserve"> / Classificiation of financial instruments</w:t>
      </w:r>
    </w:p>
    <w:p w14:paraId="48132A57" w14:textId="77777777" w:rsidR="00897749" w:rsidRPr="002136F3" w:rsidRDefault="00897749" w:rsidP="0051259B">
      <w:pPr>
        <w:spacing w:before="120" w:after="120" w:line="312" w:lineRule="auto"/>
        <w:ind w:left="180" w:right="259"/>
        <w:jc w:val="both"/>
        <w:rPr>
          <w:rFonts w:ascii="Times New Roman" w:hAnsi="Times New Roman"/>
          <w:sz w:val="24"/>
          <w:szCs w:val="24"/>
        </w:rPr>
      </w:pPr>
      <w:proofErr w:type="spellStart"/>
      <w:r w:rsidRPr="002136F3">
        <w:rPr>
          <w:rFonts w:ascii="Times New Roman" w:hAnsi="Times New Roman"/>
          <w:sz w:val="24"/>
          <w:szCs w:val="24"/>
        </w:rPr>
        <w:t>Nhằm</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mục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đích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duy</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nhất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cung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cấp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thông</w:t>
      </w:r>
      <w:proofErr w:type="spellEnd"/>
      <w:r w:rsidRPr="002136F3">
        <w:rPr>
          <w:rFonts w:ascii="Times New Roman" w:hAnsi="Times New Roman"/>
          <w:sz w:val="24"/>
          <w:szCs w:val="24"/>
        </w:rPr>
        <w:t xml:space="preserve"> tin </w:t>
      </w:r>
      <w:proofErr w:type="spellStart"/>
      <w:r w:rsidRPr="002136F3">
        <w:rPr>
          <w:rFonts w:ascii="Times New Roman" w:hAnsi="Times New Roman"/>
          <w:sz w:val="24"/>
          <w:szCs w:val="24"/>
        </w:rPr>
        <w:t>thuyết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minh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về</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tầm</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quan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trọng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của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công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cụ</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tài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chính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đối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với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tình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hình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tài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chính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kết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quả</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hoạt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động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kinh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doanh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của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tính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chất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mức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độ</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rủi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ro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phát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sinh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từ</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công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cụ</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tài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chính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phân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loại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công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cụ</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tài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chính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như</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sau</w:t>
      </w:r>
      <w:proofErr w:type="spellEnd"/>
      <w:r w:rsidRPr="002136F3">
        <w:rPr>
          <w:rFonts w:ascii="Times New Roman" w:hAnsi="Times New Roman"/>
          <w:sz w:val="24"/>
          <w:szCs w:val="24"/>
        </w:rPr>
        <w:t>:</w:t>
      </w:r>
    </w:p>
    <w:p w14:paraId="7E40F06C" w14:textId="7474265A" w:rsidR="003569BE" w:rsidRPr="0051259B" w:rsidRDefault="003569BE" w:rsidP="006D5144">
      <w:pPr>
        <w:ind w:left="180" w:right="206"/>
        <w:jc w:val="both"/>
        <w:rPr>
          <w:rFonts w:ascii="Times New Roman" w:hAnsi="Times New Roman"/>
          <w:i/>
          <w:iCs/>
          <w:color w:val="000000"/>
          <w:sz w:val="24"/>
          <w:szCs w:val="24"/>
        </w:rPr>
      </w:pPr>
      <w:r w:rsidRPr="0051259B">
        <w:rPr>
          <w:rFonts w:ascii="Times New Roman" w:hAnsi="Times New Roman"/>
          <w:i/>
          <w:iCs/>
          <w:color w:val="000000"/>
          <w:sz w:val="24"/>
          <w:szCs w:val="24"/>
        </w:rPr>
        <w:t>Solely for the purpose of providing disclosures about the significance of financial instruments to the Fund’s financial position and results of operations and the nature and extent of risk arising from financial instruments, financial instruments are classified as follows:</w:t>
      </w:r>
    </w:p>
    <w:p w14:paraId="224C28BE" w14:textId="46FADDB2" w:rsidR="00897749" w:rsidRPr="002136F3" w:rsidRDefault="00097602" w:rsidP="00D54A5B">
      <w:pPr>
        <w:keepLines/>
        <w:shd w:val="clear" w:color="auto" w:fill="FFFFFF"/>
        <w:tabs>
          <w:tab w:val="left" w:pos="142"/>
          <w:tab w:val="left" w:pos="426"/>
        </w:tabs>
        <w:spacing w:before="120" w:after="120" w:line="312" w:lineRule="auto"/>
        <w:ind w:right="259"/>
        <w:jc w:val="both"/>
        <w:rPr>
          <w:rFonts w:ascii="Times New Roman" w:hAnsi="Times New Roman"/>
          <w:b/>
          <w:i/>
          <w:sz w:val="24"/>
          <w:szCs w:val="24"/>
          <w:lang w:val="vi-VN"/>
        </w:rPr>
      </w:pPr>
      <w:r w:rsidRPr="002136F3">
        <w:rPr>
          <w:rFonts w:ascii="Times New Roman" w:hAnsi="Times New Roman"/>
          <w:b/>
          <w:i/>
          <w:sz w:val="24"/>
          <w:szCs w:val="24"/>
          <w:lang w:val="nl-NL"/>
        </w:rPr>
        <w:lastRenderedPageBreak/>
        <w:t xml:space="preserve">  </w:t>
      </w:r>
      <w:r w:rsidR="0027409B" w:rsidRPr="002136F3">
        <w:rPr>
          <w:rFonts w:ascii="Times New Roman" w:hAnsi="Times New Roman"/>
          <w:b/>
          <w:i/>
          <w:sz w:val="24"/>
          <w:szCs w:val="24"/>
          <w:lang w:val="nl-NL"/>
        </w:rPr>
        <w:t xml:space="preserve"> </w:t>
      </w:r>
      <w:r w:rsidR="00897749" w:rsidRPr="002136F3">
        <w:rPr>
          <w:rFonts w:ascii="Times New Roman" w:hAnsi="Times New Roman"/>
          <w:b/>
          <w:i/>
          <w:sz w:val="24"/>
          <w:szCs w:val="24"/>
          <w:lang w:val="nl-NL"/>
        </w:rPr>
        <w:t>i)</w:t>
      </w:r>
      <w:r w:rsidR="00200471" w:rsidRPr="002136F3">
        <w:rPr>
          <w:rFonts w:ascii="Times New Roman" w:hAnsi="Times New Roman"/>
          <w:b/>
          <w:i/>
          <w:sz w:val="24"/>
          <w:szCs w:val="24"/>
          <w:lang w:val="nl-NL"/>
        </w:rPr>
        <w:tab/>
      </w:r>
      <w:r w:rsidR="00897749" w:rsidRPr="002136F3">
        <w:rPr>
          <w:rFonts w:ascii="Times New Roman" w:hAnsi="Times New Roman"/>
          <w:b/>
          <w:i/>
          <w:sz w:val="24"/>
          <w:szCs w:val="24"/>
          <w:lang w:val="nl-NL"/>
        </w:rPr>
        <w:t>Tài sản tài chính</w:t>
      </w:r>
      <w:r w:rsidR="00897749" w:rsidRPr="002136F3" w:rsidDel="007B39D6">
        <w:rPr>
          <w:rFonts w:ascii="Times New Roman" w:hAnsi="Times New Roman"/>
          <w:b/>
          <w:i/>
          <w:sz w:val="24"/>
          <w:szCs w:val="24"/>
          <w:lang w:val="nl-NL"/>
        </w:rPr>
        <w:t xml:space="preserve"> </w:t>
      </w:r>
      <w:r w:rsidR="003569BE" w:rsidRPr="002136F3">
        <w:rPr>
          <w:rFonts w:ascii="Times New Roman" w:hAnsi="Times New Roman"/>
          <w:b/>
          <w:i/>
          <w:sz w:val="24"/>
          <w:szCs w:val="24"/>
          <w:lang w:val="vi-VN"/>
        </w:rPr>
        <w:t>/ Financial assets:</w:t>
      </w:r>
    </w:p>
    <w:p w14:paraId="3FC06D82" w14:textId="5F89E81D" w:rsidR="003569BE" w:rsidRPr="0051259B" w:rsidRDefault="003569BE" w:rsidP="001F2E8F">
      <w:pPr>
        <w:pStyle w:val="Heading5"/>
        <w:keepNext w:val="0"/>
        <w:numPr>
          <w:ilvl w:val="0"/>
          <w:numId w:val="21"/>
        </w:numPr>
        <w:tabs>
          <w:tab w:val="left" w:pos="450"/>
        </w:tabs>
        <w:overflowPunct w:val="0"/>
        <w:autoSpaceDE w:val="0"/>
        <w:autoSpaceDN w:val="0"/>
        <w:adjustRightInd w:val="0"/>
        <w:spacing w:before="120" w:after="120" w:line="312" w:lineRule="auto"/>
        <w:ind w:left="180" w:right="259" w:firstLine="0"/>
        <w:jc w:val="both"/>
        <w:textAlignment w:val="baseline"/>
        <w:rPr>
          <w:rFonts w:ascii="Times New Roman" w:hAnsi="Times New Roman" w:cs="Times New Roman"/>
          <w:color w:val="auto"/>
          <w:sz w:val="24"/>
          <w:szCs w:val="24"/>
          <w:lang w:val="vi-VN"/>
        </w:rPr>
      </w:pPr>
      <w:r w:rsidRPr="0051259B">
        <w:rPr>
          <w:rFonts w:ascii="Times New Roman" w:hAnsi="Times New Roman" w:cs="Times New Roman"/>
          <w:color w:val="auto"/>
          <w:sz w:val="24"/>
          <w:szCs w:val="24"/>
          <w:lang w:val="nb-NO"/>
        </w:rPr>
        <w:t>Tài</w:t>
      </w:r>
      <w:r w:rsidRPr="0051259B">
        <w:rPr>
          <w:rFonts w:ascii="Times New Roman" w:hAnsi="Times New Roman" w:cs="Times New Roman"/>
          <w:color w:val="auto"/>
          <w:sz w:val="24"/>
          <w:szCs w:val="24"/>
          <w:lang w:val="vi-VN"/>
        </w:rPr>
        <w:t xml:space="preserve"> sản tài chính được xác định theo giá trị hợp lý thông qua Báo cáo thu nhập</w:t>
      </w:r>
    </w:p>
    <w:p w14:paraId="5EC3D265" w14:textId="3EA44A3A" w:rsidR="00897749" w:rsidRPr="0051259B" w:rsidRDefault="00897749" w:rsidP="0051259B">
      <w:pPr>
        <w:pStyle w:val="Heading5"/>
        <w:keepNext w:val="0"/>
        <w:numPr>
          <w:ilvl w:val="4"/>
          <w:numId w:val="0"/>
        </w:numPr>
        <w:overflowPunct w:val="0"/>
        <w:autoSpaceDE w:val="0"/>
        <w:autoSpaceDN w:val="0"/>
        <w:adjustRightInd w:val="0"/>
        <w:spacing w:before="120" w:after="120" w:line="312" w:lineRule="auto"/>
        <w:ind w:left="450" w:right="259"/>
        <w:jc w:val="both"/>
        <w:textAlignment w:val="baseline"/>
        <w:rPr>
          <w:rFonts w:ascii="Times New Roman" w:hAnsi="Times New Roman" w:cs="Times New Roman"/>
          <w:color w:val="auto"/>
          <w:sz w:val="24"/>
          <w:szCs w:val="24"/>
          <w:lang w:val="nb-NO"/>
        </w:rPr>
      </w:pPr>
      <w:r w:rsidRPr="0051259B">
        <w:rPr>
          <w:rFonts w:ascii="Times New Roman" w:hAnsi="Times New Roman" w:cs="Times New Roman"/>
          <w:color w:val="auto"/>
          <w:sz w:val="24"/>
          <w:szCs w:val="24"/>
          <w:lang w:val="nb-NO"/>
        </w:rPr>
        <w:t>Tài sản tài chính được xác định theo giá trị hợp lý thông qua Báo cáo thu nhập là một tài sản tài chính thỏa mãn một trong các điều kiện sau:</w:t>
      </w:r>
    </w:p>
    <w:p w14:paraId="5204F0DB" w14:textId="77777777" w:rsidR="0051259B" w:rsidRDefault="00897749" w:rsidP="001F2E8F">
      <w:pPr>
        <w:pStyle w:val="BodyText"/>
        <w:numPr>
          <w:ilvl w:val="0"/>
          <w:numId w:val="4"/>
        </w:numPr>
        <w:spacing w:before="120" w:after="120" w:line="312" w:lineRule="auto"/>
        <w:ind w:left="450" w:right="259" w:firstLine="0"/>
        <w:rPr>
          <w:sz w:val="24"/>
          <w:szCs w:val="24"/>
          <w:lang w:val="en-US"/>
        </w:rPr>
      </w:pPr>
      <w:proofErr w:type="spellStart"/>
      <w:r w:rsidRPr="002136F3">
        <w:rPr>
          <w:sz w:val="24"/>
          <w:szCs w:val="24"/>
        </w:rPr>
        <w:t>Tài</w:t>
      </w:r>
      <w:proofErr w:type="spellEnd"/>
      <w:r w:rsidRPr="002136F3">
        <w:rPr>
          <w:sz w:val="24"/>
          <w:szCs w:val="24"/>
        </w:rPr>
        <w:t xml:space="preserve"> </w:t>
      </w:r>
      <w:proofErr w:type="spellStart"/>
      <w:r w:rsidRPr="002136F3">
        <w:rPr>
          <w:sz w:val="24"/>
          <w:szCs w:val="24"/>
        </w:rPr>
        <w:t>sản</w:t>
      </w:r>
      <w:proofErr w:type="spellEnd"/>
      <w:r w:rsidRPr="002136F3">
        <w:rPr>
          <w:sz w:val="24"/>
          <w:szCs w:val="24"/>
        </w:rPr>
        <w:t xml:space="preserve"> </w:t>
      </w:r>
      <w:proofErr w:type="spellStart"/>
      <w:r w:rsidRPr="002136F3">
        <w:rPr>
          <w:sz w:val="24"/>
          <w:szCs w:val="24"/>
        </w:rPr>
        <w:t>tài</w:t>
      </w:r>
      <w:proofErr w:type="spellEnd"/>
      <w:r w:rsidRPr="002136F3">
        <w:rPr>
          <w:sz w:val="24"/>
          <w:szCs w:val="24"/>
        </w:rPr>
        <w:t xml:space="preserve"> </w:t>
      </w:r>
      <w:proofErr w:type="spellStart"/>
      <w:r w:rsidRPr="002136F3">
        <w:rPr>
          <w:sz w:val="24"/>
          <w:szCs w:val="24"/>
        </w:rPr>
        <w:t>chính</w:t>
      </w:r>
      <w:proofErr w:type="spellEnd"/>
      <w:r w:rsidRPr="002136F3">
        <w:rPr>
          <w:sz w:val="24"/>
          <w:szCs w:val="24"/>
        </w:rPr>
        <w:t xml:space="preserve"> </w:t>
      </w:r>
      <w:proofErr w:type="spellStart"/>
      <w:r w:rsidRPr="002136F3">
        <w:rPr>
          <w:sz w:val="24"/>
          <w:szCs w:val="24"/>
        </w:rPr>
        <w:t>được</w:t>
      </w:r>
      <w:proofErr w:type="spellEnd"/>
      <w:r w:rsidRPr="002136F3">
        <w:rPr>
          <w:sz w:val="24"/>
          <w:szCs w:val="24"/>
        </w:rPr>
        <w:t xml:space="preserve"> </w:t>
      </w:r>
      <w:proofErr w:type="spellStart"/>
      <w:r w:rsidRPr="002136F3">
        <w:rPr>
          <w:sz w:val="24"/>
          <w:szCs w:val="24"/>
        </w:rPr>
        <w:t>Quỹ</w:t>
      </w:r>
      <w:proofErr w:type="spellEnd"/>
      <w:r w:rsidRPr="002136F3">
        <w:rPr>
          <w:sz w:val="24"/>
          <w:szCs w:val="24"/>
        </w:rPr>
        <w:t xml:space="preserve"> </w:t>
      </w:r>
      <w:proofErr w:type="spellStart"/>
      <w:r w:rsidRPr="002136F3">
        <w:rPr>
          <w:sz w:val="24"/>
          <w:szCs w:val="24"/>
        </w:rPr>
        <w:t>phân</w:t>
      </w:r>
      <w:proofErr w:type="spellEnd"/>
      <w:r w:rsidRPr="002136F3">
        <w:rPr>
          <w:sz w:val="24"/>
          <w:szCs w:val="24"/>
        </w:rPr>
        <w:t xml:space="preserve"> </w:t>
      </w:r>
      <w:proofErr w:type="spellStart"/>
      <w:r w:rsidRPr="002136F3">
        <w:rPr>
          <w:sz w:val="24"/>
          <w:szCs w:val="24"/>
        </w:rPr>
        <w:t>loại</w:t>
      </w:r>
      <w:proofErr w:type="spellEnd"/>
      <w:r w:rsidRPr="002136F3">
        <w:rPr>
          <w:sz w:val="24"/>
          <w:szCs w:val="24"/>
        </w:rPr>
        <w:t xml:space="preserve"> </w:t>
      </w:r>
      <w:proofErr w:type="spellStart"/>
      <w:r w:rsidRPr="002136F3">
        <w:rPr>
          <w:sz w:val="24"/>
          <w:szCs w:val="24"/>
        </w:rPr>
        <w:t>vào</w:t>
      </w:r>
      <w:proofErr w:type="spellEnd"/>
      <w:r w:rsidRPr="002136F3">
        <w:rPr>
          <w:sz w:val="24"/>
          <w:szCs w:val="24"/>
        </w:rPr>
        <w:t xml:space="preserve"> </w:t>
      </w:r>
      <w:proofErr w:type="spellStart"/>
      <w:r w:rsidRPr="002136F3">
        <w:rPr>
          <w:sz w:val="24"/>
          <w:szCs w:val="24"/>
        </w:rPr>
        <w:t>nhóm</w:t>
      </w:r>
      <w:proofErr w:type="spellEnd"/>
      <w:r w:rsidRPr="002136F3">
        <w:rPr>
          <w:sz w:val="24"/>
          <w:szCs w:val="24"/>
        </w:rPr>
        <w:t xml:space="preserve"> </w:t>
      </w:r>
      <w:proofErr w:type="spellStart"/>
      <w:r w:rsidRPr="002136F3">
        <w:rPr>
          <w:sz w:val="24"/>
          <w:szCs w:val="24"/>
        </w:rPr>
        <w:t>nắm</w:t>
      </w:r>
      <w:proofErr w:type="spellEnd"/>
      <w:r w:rsidRPr="002136F3">
        <w:rPr>
          <w:sz w:val="24"/>
          <w:szCs w:val="24"/>
        </w:rPr>
        <w:t xml:space="preserve"> </w:t>
      </w:r>
      <w:proofErr w:type="spellStart"/>
      <w:r w:rsidRPr="002136F3">
        <w:rPr>
          <w:sz w:val="24"/>
          <w:szCs w:val="24"/>
        </w:rPr>
        <w:t>giữ</w:t>
      </w:r>
      <w:proofErr w:type="spellEnd"/>
      <w:r w:rsidRPr="002136F3">
        <w:rPr>
          <w:sz w:val="24"/>
          <w:szCs w:val="24"/>
        </w:rPr>
        <w:t xml:space="preserve"> </w:t>
      </w:r>
      <w:proofErr w:type="spellStart"/>
      <w:r w:rsidRPr="002136F3">
        <w:rPr>
          <w:sz w:val="24"/>
          <w:szCs w:val="24"/>
        </w:rPr>
        <w:t>để</w:t>
      </w:r>
      <w:proofErr w:type="spellEnd"/>
      <w:r w:rsidRPr="002136F3">
        <w:rPr>
          <w:sz w:val="24"/>
          <w:szCs w:val="24"/>
        </w:rPr>
        <w:t xml:space="preserve"> </w:t>
      </w:r>
      <w:proofErr w:type="spellStart"/>
      <w:r w:rsidRPr="002136F3">
        <w:rPr>
          <w:sz w:val="24"/>
          <w:szCs w:val="24"/>
        </w:rPr>
        <w:t>kinh</w:t>
      </w:r>
      <w:proofErr w:type="spellEnd"/>
      <w:r w:rsidRPr="002136F3">
        <w:rPr>
          <w:sz w:val="24"/>
          <w:szCs w:val="24"/>
        </w:rPr>
        <w:t xml:space="preserve"> </w:t>
      </w:r>
      <w:proofErr w:type="spellStart"/>
      <w:r w:rsidRPr="002136F3">
        <w:rPr>
          <w:sz w:val="24"/>
          <w:szCs w:val="24"/>
        </w:rPr>
        <w:t>doanh</w:t>
      </w:r>
      <w:proofErr w:type="spellEnd"/>
      <w:r w:rsidRPr="002136F3">
        <w:rPr>
          <w:sz w:val="24"/>
          <w:szCs w:val="24"/>
        </w:rPr>
        <w:t xml:space="preserve">. </w:t>
      </w:r>
      <w:proofErr w:type="spellStart"/>
      <w:r w:rsidRPr="002136F3">
        <w:rPr>
          <w:sz w:val="24"/>
          <w:szCs w:val="24"/>
        </w:rPr>
        <w:t>Tài</w:t>
      </w:r>
      <w:proofErr w:type="spellEnd"/>
      <w:r w:rsidRPr="002136F3">
        <w:rPr>
          <w:sz w:val="24"/>
          <w:szCs w:val="24"/>
        </w:rPr>
        <w:t xml:space="preserve"> </w:t>
      </w:r>
      <w:proofErr w:type="spellStart"/>
      <w:r w:rsidRPr="002136F3">
        <w:rPr>
          <w:sz w:val="24"/>
          <w:szCs w:val="24"/>
        </w:rPr>
        <w:t>sản</w:t>
      </w:r>
      <w:proofErr w:type="spellEnd"/>
      <w:r w:rsidRPr="002136F3">
        <w:rPr>
          <w:sz w:val="24"/>
          <w:szCs w:val="24"/>
        </w:rPr>
        <w:t xml:space="preserve"> </w:t>
      </w:r>
      <w:proofErr w:type="spellStart"/>
      <w:r w:rsidRPr="002136F3">
        <w:rPr>
          <w:sz w:val="24"/>
          <w:szCs w:val="24"/>
        </w:rPr>
        <w:t>tài</w:t>
      </w:r>
      <w:proofErr w:type="spellEnd"/>
      <w:r w:rsidRPr="002136F3">
        <w:rPr>
          <w:sz w:val="24"/>
          <w:szCs w:val="24"/>
        </w:rPr>
        <w:t xml:space="preserve"> </w:t>
      </w:r>
      <w:proofErr w:type="spellStart"/>
      <w:r w:rsidRPr="002136F3">
        <w:rPr>
          <w:sz w:val="24"/>
          <w:szCs w:val="24"/>
        </w:rPr>
        <w:t>chính</w:t>
      </w:r>
      <w:proofErr w:type="spellEnd"/>
      <w:r w:rsidRPr="002136F3">
        <w:rPr>
          <w:sz w:val="24"/>
          <w:szCs w:val="24"/>
        </w:rPr>
        <w:t xml:space="preserve"> </w:t>
      </w:r>
      <w:proofErr w:type="spellStart"/>
      <w:r w:rsidRPr="002136F3">
        <w:rPr>
          <w:sz w:val="24"/>
          <w:szCs w:val="24"/>
        </w:rPr>
        <w:t>được</w:t>
      </w:r>
      <w:proofErr w:type="spellEnd"/>
      <w:r w:rsidRPr="002136F3">
        <w:rPr>
          <w:sz w:val="24"/>
          <w:szCs w:val="24"/>
        </w:rPr>
        <w:t xml:space="preserve"> </w:t>
      </w:r>
      <w:proofErr w:type="spellStart"/>
      <w:r w:rsidRPr="002136F3">
        <w:rPr>
          <w:sz w:val="24"/>
          <w:szCs w:val="24"/>
        </w:rPr>
        <w:t>p</w:t>
      </w:r>
      <w:r w:rsidRPr="0051259B">
        <w:rPr>
          <w:sz w:val="24"/>
          <w:szCs w:val="24"/>
        </w:rPr>
        <w:t>hân</w:t>
      </w:r>
      <w:proofErr w:type="spellEnd"/>
      <w:r w:rsidRPr="0051259B">
        <w:rPr>
          <w:sz w:val="24"/>
          <w:szCs w:val="24"/>
        </w:rPr>
        <w:t xml:space="preserve"> </w:t>
      </w:r>
      <w:proofErr w:type="spellStart"/>
      <w:r w:rsidRPr="0051259B">
        <w:rPr>
          <w:sz w:val="24"/>
          <w:szCs w:val="24"/>
        </w:rPr>
        <w:t>loại</w:t>
      </w:r>
      <w:proofErr w:type="spellEnd"/>
      <w:r w:rsidRPr="0051259B">
        <w:rPr>
          <w:sz w:val="24"/>
          <w:szCs w:val="24"/>
        </w:rPr>
        <w:t xml:space="preserve"> </w:t>
      </w:r>
      <w:proofErr w:type="spellStart"/>
      <w:r w:rsidRPr="0051259B">
        <w:rPr>
          <w:sz w:val="24"/>
          <w:szCs w:val="24"/>
        </w:rPr>
        <w:t>vào</w:t>
      </w:r>
      <w:proofErr w:type="spellEnd"/>
      <w:r w:rsidRPr="002136F3">
        <w:rPr>
          <w:sz w:val="24"/>
          <w:szCs w:val="24"/>
        </w:rPr>
        <w:t xml:space="preserve"> </w:t>
      </w:r>
      <w:proofErr w:type="spellStart"/>
      <w:r w:rsidRPr="002136F3">
        <w:rPr>
          <w:sz w:val="24"/>
          <w:szCs w:val="24"/>
        </w:rPr>
        <w:t>nhóm</w:t>
      </w:r>
      <w:proofErr w:type="spellEnd"/>
      <w:r w:rsidRPr="002136F3">
        <w:rPr>
          <w:sz w:val="24"/>
          <w:szCs w:val="24"/>
        </w:rPr>
        <w:t xml:space="preserve"> </w:t>
      </w:r>
      <w:proofErr w:type="spellStart"/>
      <w:r w:rsidRPr="002136F3">
        <w:rPr>
          <w:sz w:val="24"/>
          <w:szCs w:val="24"/>
        </w:rPr>
        <w:t>nắm</w:t>
      </w:r>
      <w:proofErr w:type="spellEnd"/>
      <w:r w:rsidRPr="002136F3">
        <w:rPr>
          <w:sz w:val="24"/>
          <w:szCs w:val="24"/>
        </w:rPr>
        <w:t xml:space="preserve"> </w:t>
      </w:r>
      <w:proofErr w:type="spellStart"/>
      <w:r w:rsidRPr="002136F3">
        <w:rPr>
          <w:sz w:val="24"/>
          <w:szCs w:val="24"/>
        </w:rPr>
        <w:t>giữ</w:t>
      </w:r>
      <w:proofErr w:type="spellEnd"/>
      <w:r w:rsidRPr="002136F3">
        <w:rPr>
          <w:sz w:val="24"/>
          <w:szCs w:val="24"/>
        </w:rPr>
        <w:t xml:space="preserve"> </w:t>
      </w:r>
      <w:proofErr w:type="spellStart"/>
      <w:r w:rsidRPr="002136F3">
        <w:rPr>
          <w:sz w:val="24"/>
          <w:szCs w:val="24"/>
        </w:rPr>
        <w:t>để</w:t>
      </w:r>
      <w:proofErr w:type="spellEnd"/>
      <w:r w:rsidRPr="002136F3">
        <w:rPr>
          <w:sz w:val="24"/>
          <w:szCs w:val="24"/>
        </w:rPr>
        <w:t xml:space="preserve"> </w:t>
      </w:r>
      <w:proofErr w:type="spellStart"/>
      <w:r w:rsidRPr="002136F3">
        <w:rPr>
          <w:sz w:val="24"/>
          <w:szCs w:val="24"/>
        </w:rPr>
        <w:t>kinh</w:t>
      </w:r>
      <w:proofErr w:type="spellEnd"/>
      <w:r w:rsidRPr="002136F3">
        <w:rPr>
          <w:sz w:val="24"/>
          <w:szCs w:val="24"/>
        </w:rPr>
        <w:t xml:space="preserve"> </w:t>
      </w:r>
      <w:proofErr w:type="spellStart"/>
      <w:r w:rsidRPr="002136F3">
        <w:rPr>
          <w:sz w:val="24"/>
          <w:szCs w:val="24"/>
        </w:rPr>
        <w:t>doanh</w:t>
      </w:r>
      <w:proofErr w:type="spellEnd"/>
      <w:r w:rsidRPr="002136F3">
        <w:rPr>
          <w:sz w:val="24"/>
          <w:szCs w:val="24"/>
        </w:rPr>
        <w:t xml:space="preserve">, </w:t>
      </w:r>
      <w:proofErr w:type="spellStart"/>
      <w:r w:rsidRPr="002136F3">
        <w:rPr>
          <w:sz w:val="24"/>
          <w:szCs w:val="24"/>
        </w:rPr>
        <w:t>nếu</w:t>
      </w:r>
      <w:proofErr w:type="spellEnd"/>
      <w:r w:rsidRPr="002136F3">
        <w:rPr>
          <w:sz w:val="24"/>
          <w:szCs w:val="24"/>
          <w:lang w:val="en-US"/>
        </w:rPr>
        <w:t>:</w:t>
      </w:r>
    </w:p>
    <w:p w14:paraId="510EDC78" w14:textId="77777777" w:rsidR="00726CC5" w:rsidRDefault="0051259B" w:rsidP="00726CC5">
      <w:pPr>
        <w:pStyle w:val="BodyText"/>
        <w:spacing w:before="120" w:after="120" w:line="312" w:lineRule="auto"/>
        <w:ind w:left="990" w:right="259"/>
        <w:rPr>
          <w:sz w:val="24"/>
          <w:szCs w:val="24"/>
        </w:rPr>
      </w:pPr>
      <w:r>
        <w:rPr>
          <w:sz w:val="24"/>
          <w:szCs w:val="24"/>
          <w:lang w:val="vi-VN"/>
        </w:rPr>
        <w:t xml:space="preserve">- </w:t>
      </w:r>
      <w:proofErr w:type="spellStart"/>
      <w:r w:rsidR="00897749" w:rsidRPr="0051259B">
        <w:rPr>
          <w:sz w:val="24"/>
          <w:szCs w:val="24"/>
        </w:rPr>
        <w:t>tài</w:t>
      </w:r>
      <w:proofErr w:type="spellEnd"/>
      <w:r w:rsidR="00897749" w:rsidRPr="0051259B">
        <w:rPr>
          <w:sz w:val="24"/>
          <w:szCs w:val="24"/>
        </w:rPr>
        <w:t xml:space="preserve"> </w:t>
      </w:r>
      <w:proofErr w:type="spellStart"/>
      <w:r w:rsidR="00897749" w:rsidRPr="0051259B">
        <w:rPr>
          <w:sz w:val="24"/>
          <w:szCs w:val="24"/>
        </w:rPr>
        <w:t>sản</w:t>
      </w:r>
      <w:proofErr w:type="spellEnd"/>
      <w:r w:rsidR="00897749" w:rsidRPr="0051259B">
        <w:rPr>
          <w:sz w:val="24"/>
          <w:szCs w:val="24"/>
        </w:rPr>
        <w:t xml:space="preserve"> </w:t>
      </w:r>
      <w:r w:rsidR="00897749" w:rsidRPr="0051259B">
        <w:rPr>
          <w:sz w:val="24"/>
          <w:szCs w:val="24"/>
          <w:lang w:val="nb-NO"/>
        </w:rPr>
        <w:t>được mua chủ yếu cho mục đích bán lại trong thời gian ngắn</w:t>
      </w:r>
      <w:r w:rsidR="00897749" w:rsidRPr="0051259B">
        <w:rPr>
          <w:sz w:val="24"/>
          <w:szCs w:val="24"/>
        </w:rPr>
        <w:t>;</w:t>
      </w:r>
    </w:p>
    <w:p w14:paraId="6CC95044" w14:textId="77777777" w:rsidR="00726CC5" w:rsidRDefault="00726CC5" w:rsidP="00726CC5">
      <w:pPr>
        <w:pStyle w:val="BodyText"/>
        <w:spacing w:before="120" w:after="120" w:line="312" w:lineRule="auto"/>
        <w:ind w:left="990" w:right="259"/>
        <w:rPr>
          <w:sz w:val="24"/>
          <w:szCs w:val="24"/>
          <w:lang w:val="en-US"/>
        </w:rPr>
      </w:pPr>
      <w:r>
        <w:rPr>
          <w:sz w:val="24"/>
          <w:szCs w:val="24"/>
          <w:lang w:val="vi-VN"/>
        </w:rPr>
        <w:t xml:space="preserve">- </w:t>
      </w:r>
      <w:r w:rsidR="00897749" w:rsidRPr="002136F3">
        <w:rPr>
          <w:sz w:val="24"/>
          <w:szCs w:val="24"/>
          <w:lang w:val="nb-NO"/>
        </w:rPr>
        <w:t xml:space="preserve">có bằng chứng về việc kinh doanh công cụ đó nhằm mục đích thu lợi ngắn hạn; hoặc </w:t>
      </w:r>
    </w:p>
    <w:p w14:paraId="2C991B2B" w14:textId="77777777" w:rsidR="00726CC5" w:rsidRDefault="00726CC5" w:rsidP="00726CC5">
      <w:pPr>
        <w:pStyle w:val="BodyText"/>
        <w:spacing w:before="120" w:after="120" w:line="312" w:lineRule="auto"/>
        <w:ind w:left="990" w:right="259"/>
        <w:rPr>
          <w:sz w:val="24"/>
          <w:szCs w:val="24"/>
          <w:lang w:val="en-US"/>
        </w:rPr>
      </w:pPr>
      <w:r>
        <w:rPr>
          <w:sz w:val="24"/>
          <w:szCs w:val="24"/>
          <w:lang w:val="vi-VN"/>
        </w:rPr>
        <w:t xml:space="preserve">- </w:t>
      </w:r>
      <w:r w:rsidR="00897749" w:rsidRPr="002136F3">
        <w:rPr>
          <w:sz w:val="24"/>
          <w:szCs w:val="24"/>
          <w:lang w:val="nb-NO"/>
        </w:rPr>
        <w:t xml:space="preserve">công cụ tài chính phái sinh (ngoại trừ các công cụ tài chính </w:t>
      </w:r>
      <w:r w:rsidR="006F2D45" w:rsidRPr="002136F3">
        <w:rPr>
          <w:sz w:val="24"/>
          <w:szCs w:val="24"/>
          <w:lang w:val="nb-NO"/>
        </w:rPr>
        <w:t xml:space="preserve">phái sinh được xác định là một </w:t>
      </w:r>
      <w:r w:rsidR="00897749" w:rsidRPr="002136F3">
        <w:rPr>
          <w:sz w:val="24"/>
          <w:szCs w:val="24"/>
          <w:lang w:val="nb-NO"/>
        </w:rPr>
        <w:t>hợp đồng bảo lãnh tài chính hoặc một công cụ phòng ngừa rủi ro hiệu quả</w:t>
      </w:r>
      <w:r w:rsidR="00897749" w:rsidRPr="002136F3">
        <w:rPr>
          <w:sz w:val="24"/>
          <w:szCs w:val="24"/>
        </w:rPr>
        <w:t>)</w:t>
      </w:r>
      <w:r w:rsidR="00897749" w:rsidRPr="002136F3">
        <w:rPr>
          <w:sz w:val="24"/>
          <w:szCs w:val="24"/>
          <w:lang w:val="en-US"/>
        </w:rPr>
        <w:t>.</w:t>
      </w:r>
    </w:p>
    <w:p w14:paraId="7EB806F0" w14:textId="6BB22743" w:rsidR="0051259B" w:rsidRPr="0051259B" w:rsidRDefault="0051259B" w:rsidP="001F2E8F">
      <w:pPr>
        <w:pStyle w:val="BodyText"/>
        <w:numPr>
          <w:ilvl w:val="0"/>
          <w:numId w:val="23"/>
        </w:numPr>
        <w:spacing w:before="120" w:after="120" w:line="312" w:lineRule="auto"/>
        <w:ind w:left="450" w:right="259" w:firstLine="0"/>
        <w:rPr>
          <w:sz w:val="24"/>
          <w:szCs w:val="24"/>
          <w:lang w:val="en-US"/>
        </w:rPr>
      </w:pPr>
      <w:r w:rsidRPr="002136F3">
        <w:rPr>
          <w:sz w:val="24"/>
          <w:szCs w:val="24"/>
          <w:lang w:val="nb-NO"/>
        </w:rPr>
        <w:t xml:space="preserve">Tại thời điểm ghi nhận ban đầu, </w:t>
      </w:r>
      <w:proofErr w:type="spellStart"/>
      <w:r w:rsidRPr="002136F3">
        <w:rPr>
          <w:sz w:val="24"/>
          <w:szCs w:val="24"/>
        </w:rPr>
        <w:t>Quỹ</w:t>
      </w:r>
      <w:proofErr w:type="spellEnd"/>
      <w:r w:rsidRPr="002136F3">
        <w:rPr>
          <w:sz w:val="24"/>
          <w:szCs w:val="24"/>
          <w:lang w:val="nb-NO"/>
        </w:rPr>
        <w:t xml:space="preserve"> xếp tài sản tài chính vào nhóm xác định theo giá trị hợp lý thông qua Báo cáo thu nhập</w:t>
      </w:r>
      <w:r w:rsidRPr="002136F3">
        <w:rPr>
          <w:sz w:val="24"/>
          <w:szCs w:val="24"/>
        </w:rPr>
        <w:t>.</w:t>
      </w:r>
    </w:p>
    <w:p w14:paraId="529B3BFE" w14:textId="77777777" w:rsidR="0051259B" w:rsidRPr="0051259B" w:rsidRDefault="0051259B" w:rsidP="006D5144">
      <w:pPr>
        <w:pStyle w:val="Heading5"/>
        <w:keepNext w:val="0"/>
        <w:keepLines w:val="0"/>
        <w:numPr>
          <w:ilvl w:val="0"/>
          <w:numId w:val="21"/>
        </w:numPr>
        <w:spacing w:before="0" w:line="240" w:lineRule="auto"/>
        <w:ind w:left="180" w:right="296" w:firstLine="0"/>
        <w:jc w:val="both"/>
        <w:rPr>
          <w:rFonts w:ascii="Times New Roman" w:hAnsi="Times New Roman" w:cs="Times New Roman"/>
          <w:i/>
          <w:color w:val="000000"/>
          <w:sz w:val="24"/>
          <w:szCs w:val="24"/>
        </w:rPr>
      </w:pPr>
      <w:r w:rsidRPr="002136F3">
        <w:rPr>
          <w:rFonts w:ascii="Times New Roman" w:hAnsi="Times New Roman" w:cs="Times New Roman"/>
          <w:i/>
          <w:color w:val="000000"/>
          <w:sz w:val="24"/>
          <w:szCs w:val="24"/>
          <w:lang w:val="nb-NO"/>
        </w:rPr>
        <w:t>Financial asset at fair value through profit or loss is a financial asset that meets either of the following conditions:</w:t>
      </w:r>
    </w:p>
    <w:p w14:paraId="134AC087" w14:textId="77777777" w:rsidR="003569BE" w:rsidRPr="00726CC5" w:rsidRDefault="003569BE" w:rsidP="006D5144">
      <w:pPr>
        <w:pStyle w:val="BodyText"/>
        <w:keepLines w:val="0"/>
        <w:numPr>
          <w:ilvl w:val="0"/>
          <w:numId w:val="4"/>
        </w:numPr>
        <w:spacing w:after="140"/>
        <w:ind w:left="450" w:right="296" w:firstLine="0"/>
        <w:rPr>
          <w:i/>
          <w:iCs/>
          <w:sz w:val="24"/>
          <w:szCs w:val="24"/>
          <w:lang w:val="en-US"/>
        </w:rPr>
      </w:pPr>
      <w:r w:rsidRPr="00726CC5">
        <w:rPr>
          <w:i/>
          <w:iCs/>
          <w:sz w:val="24"/>
          <w:szCs w:val="24"/>
          <w:lang w:val="en-US"/>
        </w:rPr>
        <w:t xml:space="preserve">It is considered as held for trading.  A financial asset is considered as held for trading if: </w:t>
      </w:r>
    </w:p>
    <w:p w14:paraId="35C8B530" w14:textId="64935640" w:rsidR="003569BE" w:rsidRPr="00726CC5" w:rsidRDefault="003569BE" w:rsidP="006D5144">
      <w:pPr>
        <w:spacing w:after="60"/>
        <w:ind w:left="990" w:right="296"/>
        <w:jc w:val="both"/>
        <w:rPr>
          <w:rFonts w:ascii="Times New Roman" w:hAnsi="Times New Roman"/>
          <w:i/>
          <w:iCs/>
          <w:color w:val="000000"/>
          <w:sz w:val="24"/>
          <w:szCs w:val="24"/>
        </w:rPr>
      </w:pPr>
      <w:r w:rsidRPr="00726CC5">
        <w:rPr>
          <w:rFonts w:ascii="Times New Roman" w:hAnsi="Times New Roman"/>
          <w:i/>
          <w:iCs/>
          <w:sz w:val="24"/>
          <w:szCs w:val="24"/>
        </w:rPr>
        <w:t>-</w:t>
      </w:r>
      <w:r w:rsidR="00726CC5">
        <w:rPr>
          <w:rFonts w:ascii="Times New Roman" w:hAnsi="Times New Roman"/>
          <w:i/>
          <w:iCs/>
          <w:sz w:val="24"/>
          <w:szCs w:val="24"/>
          <w:lang w:val="vi-VN"/>
        </w:rPr>
        <w:t xml:space="preserve"> </w:t>
      </w:r>
      <w:r w:rsidRPr="00726CC5">
        <w:rPr>
          <w:rFonts w:ascii="Times New Roman" w:hAnsi="Times New Roman"/>
          <w:i/>
          <w:iCs/>
          <w:sz w:val="24"/>
          <w:szCs w:val="24"/>
        </w:rPr>
        <w:t xml:space="preserve">it is acquired principally for the purpose of selling it in the near </w:t>
      </w:r>
      <w:proofErr w:type="gramStart"/>
      <w:r w:rsidRPr="00726CC5">
        <w:rPr>
          <w:rFonts w:ascii="Times New Roman" w:hAnsi="Times New Roman"/>
          <w:i/>
          <w:iCs/>
          <w:sz w:val="24"/>
          <w:szCs w:val="24"/>
        </w:rPr>
        <w:t>term;</w:t>
      </w:r>
      <w:proofErr w:type="gramEnd"/>
    </w:p>
    <w:p w14:paraId="6FDBCA7A" w14:textId="32F56B51" w:rsidR="003569BE" w:rsidRPr="00726CC5" w:rsidRDefault="003569BE" w:rsidP="006D5144">
      <w:pPr>
        <w:spacing w:after="60"/>
        <w:ind w:left="990" w:right="296"/>
        <w:jc w:val="both"/>
        <w:rPr>
          <w:rFonts w:ascii="Times New Roman" w:hAnsi="Times New Roman"/>
          <w:i/>
          <w:iCs/>
          <w:color w:val="000000"/>
          <w:sz w:val="24"/>
          <w:szCs w:val="24"/>
        </w:rPr>
      </w:pPr>
      <w:r w:rsidRPr="00726CC5">
        <w:rPr>
          <w:rFonts w:ascii="Times New Roman" w:hAnsi="Times New Roman"/>
          <w:i/>
          <w:iCs/>
          <w:color w:val="000000"/>
          <w:sz w:val="24"/>
          <w:szCs w:val="24"/>
        </w:rPr>
        <w:t>-</w:t>
      </w:r>
      <w:r w:rsidR="00726CC5">
        <w:rPr>
          <w:rFonts w:ascii="Times New Roman" w:hAnsi="Times New Roman"/>
          <w:i/>
          <w:iCs/>
          <w:color w:val="000000"/>
          <w:sz w:val="24"/>
          <w:szCs w:val="24"/>
          <w:lang w:val="vi-VN"/>
        </w:rPr>
        <w:t xml:space="preserve"> </w:t>
      </w:r>
      <w:r w:rsidRPr="00726CC5">
        <w:rPr>
          <w:rFonts w:ascii="Times New Roman" w:hAnsi="Times New Roman"/>
          <w:i/>
          <w:iCs/>
          <w:sz w:val="24"/>
          <w:szCs w:val="24"/>
        </w:rPr>
        <w:t>there is evidence of a recent pattern of short-term profit-taking; or</w:t>
      </w:r>
      <w:r w:rsidRPr="00726CC5" w:rsidDel="009261D1">
        <w:rPr>
          <w:rFonts w:ascii="Times New Roman" w:hAnsi="Times New Roman"/>
          <w:i/>
          <w:iCs/>
          <w:color w:val="000000"/>
          <w:sz w:val="24"/>
          <w:szCs w:val="24"/>
          <w:lang w:val="nb-NO"/>
        </w:rPr>
        <w:t xml:space="preserve"> </w:t>
      </w:r>
      <w:r w:rsidRPr="00726CC5">
        <w:rPr>
          <w:rFonts w:ascii="Times New Roman" w:hAnsi="Times New Roman"/>
          <w:i/>
          <w:iCs/>
          <w:color w:val="000000"/>
          <w:sz w:val="24"/>
          <w:szCs w:val="24"/>
          <w:lang w:val="nb-NO"/>
        </w:rPr>
        <w:t xml:space="preserve"> </w:t>
      </w:r>
      <w:r w:rsidRPr="00726CC5" w:rsidDel="00E45ABE">
        <w:rPr>
          <w:rFonts w:ascii="Times New Roman" w:hAnsi="Times New Roman"/>
          <w:i/>
          <w:iCs/>
          <w:color w:val="000000"/>
          <w:sz w:val="24"/>
          <w:szCs w:val="24"/>
          <w:lang w:val="nb-NO"/>
        </w:rPr>
        <w:t xml:space="preserve"> </w:t>
      </w:r>
      <w:r w:rsidRPr="00726CC5">
        <w:rPr>
          <w:rFonts w:ascii="Times New Roman" w:hAnsi="Times New Roman"/>
          <w:i/>
          <w:iCs/>
          <w:color w:val="000000"/>
          <w:sz w:val="24"/>
          <w:szCs w:val="24"/>
          <w:lang w:val="nb-NO"/>
        </w:rPr>
        <w:t xml:space="preserve"> </w:t>
      </w:r>
    </w:p>
    <w:p w14:paraId="0A4B1E8B" w14:textId="2E918396" w:rsidR="003569BE" w:rsidRPr="00726CC5" w:rsidRDefault="003569BE" w:rsidP="006D5144">
      <w:pPr>
        <w:pStyle w:val="BodyText"/>
        <w:keepLines w:val="0"/>
        <w:spacing w:after="0"/>
        <w:ind w:left="990" w:right="296"/>
        <w:rPr>
          <w:i/>
          <w:iCs/>
          <w:sz w:val="24"/>
          <w:szCs w:val="24"/>
          <w:lang w:val="en-US"/>
        </w:rPr>
      </w:pPr>
      <w:r w:rsidRPr="00726CC5">
        <w:rPr>
          <w:i/>
          <w:iCs/>
          <w:color w:val="000000"/>
          <w:sz w:val="24"/>
          <w:szCs w:val="24"/>
        </w:rPr>
        <w:t>-</w:t>
      </w:r>
      <w:r w:rsidR="00726CC5">
        <w:rPr>
          <w:i/>
          <w:iCs/>
          <w:color w:val="000000"/>
          <w:sz w:val="24"/>
          <w:szCs w:val="24"/>
          <w:lang w:val="vi-VN"/>
        </w:rPr>
        <w:t xml:space="preserve"> </w:t>
      </w:r>
      <w:r w:rsidRPr="00726CC5">
        <w:rPr>
          <w:i/>
          <w:iCs/>
          <w:sz w:val="24"/>
          <w:szCs w:val="24"/>
          <w:lang w:val="en-US"/>
        </w:rPr>
        <w:t>a derivative (except for a derivative that is financial guarantee contract or a designated and   effective hedging instrument).</w:t>
      </w:r>
    </w:p>
    <w:p w14:paraId="69161132" w14:textId="77777777" w:rsidR="003569BE" w:rsidRPr="00726CC5" w:rsidRDefault="003569BE" w:rsidP="006D5144">
      <w:pPr>
        <w:numPr>
          <w:ilvl w:val="0"/>
          <w:numId w:val="3"/>
        </w:numPr>
        <w:overflowPunct w:val="0"/>
        <w:autoSpaceDE w:val="0"/>
        <w:autoSpaceDN w:val="0"/>
        <w:adjustRightInd w:val="0"/>
        <w:spacing w:after="0" w:line="240" w:lineRule="auto"/>
        <w:ind w:left="450" w:right="296" w:firstLine="0"/>
        <w:jc w:val="both"/>
        <w:textAlignment w:val="baseline"/>
        <w:rPr>
          <w:rFonts w:ascii="Times New Roman" w:hAnsi="Times New Roman"/>
          <w:i/>
          <w:iCs/>
          <w:sz w:val="24"/>
          <w:szCs w:val="24"/>
        </w:rPr>
      </w:pPr>
      <w:r w:rsidRPr="00726CC5">
        <w:rPr>
          <w:rFonts w:ascii="Times New Roman" w:hAnsi="Times New Roman"/>
          <w:i/>
          <w:iCs/>
          <w:sz w:val="24"/>
          <w:szCs w:val="24"/>
        </w:rPr>
        <w:t>Upon initial recognition, it is designated as at fair value through profit or loss.</w:t>
      </w:r>
    </w:p>
    <w:p w14:paraId="0B74E61E" w14:textId="77777777" w:rsidR="00897749" w:rsidRPr="002136F3" w:rsidRDefault="00897749" w:rsidP="001F2E8F">
      <w:pPr>
        <w:pStyle w:val="Heading5"/>
        <w:numPr>
          <w:ilvl w:val="0"/>
          <w:numId w:val="21"/>
        </w:numPr>
        <w:spacing w:before="120" w:after="120" w:line="312" w:lineRule="auto"/>
        <w:ind w:left="180" w:right="260" w:firstLine="0"/>
        <w:jc w:val="both"/>
        <w:rPr>
          <w:rFonts w:ascii="Times New Roman" w:hAnsi="Times New Roman" w:cs="Times New Roman"/>
          <w:color w:val="auto"/>
          <w:sz w:val="24"/>
          <w:szCs w:val="24"/>
        </w:rPr>
      </w:pPr>
      <w:proofErr w:type="spellStart"/>
      <w:r w:rsidRPr="002136F3">
        <w:rPr>
          <w:rFonts w:ascii="Times New Roman" w:hAnsi="Times New Roman" w:cs="Times New Roman"/>
          <w:color w:val="auto"/>
          <w:sz w:val="24"/>
          <w:szCs w:val="24"/>
        </w:rPr>
        <w:t>Các</w:t>
      </w:r>
      <w:proofErr w:type="spellEnd"/>
      <w:r w:rsidRPr="002136F3">
        <w:rPr>
          <w:rFonts w:ascii="Times New Roman" w:hAnsi="Times New Roman" w:cs="Times New Roman"/>
          <w:color w:val="auto"/>
          <w:sz w:val="24"/>
          <w:szCs w:val="24"/>
        </w:rPr>
        <w:t xml:space="preserve"> </w:t>
      </w:r>
      <w:proofErr w:type="spellStart"/>
      <w:r w:rsidRPr="002136F3">
        <w:rPr>
          <w:rFonts w:ascii="Times New Roman" w:hAnsi="Times New Roman" w:cs="Times New Roman"/>
          <w:color w:val="auto"/>
          <w:sz w:val="24"/>
          <w:szCs w:val="24"/>
        </w:rPr>
        <w:t>khoản</w:t>
      </w:r>
      <w:proofErr w:type="spellEnd"/>
      <w:r w:rsidRPr="002136F3">
        <w:rPr>
          <w:rFonts w:ascii="Times New Roman" w:hAnsi="Times New Roman" w:cs="Times New Roman"/>
          <w:color w:val="auto"/>
          <w:sz w:val="24"/>
          <w:szCs w:val="24"/>
        </w:rPr>
        <w:t xml:space="preserve"> </w:t>
      </w:r>
      <w:proofErr w:type="spellStart"/>
      <w:r w:rsidRPr="002136F3">
        <w:rPr>
          <w:rFonts w:ascii="Times New Roman" w:hAnsi="Times New Roman" w:cs="Times New Roman"/>
          <w:color w:val="auto"/>
          <w:sz w:val="24"/>
          <w:szCs w:val="24"/>
        </w:rPr>
        <w:t>đầu</w:t>
      </w:r>
      <w:proofErr w:type="spellEnd"/>
      <w:r w:rsidRPr="002136F3">
        <w:rPr>
          <w:rFonts w:ascii="Times New Roman" w:hAnsi="Times New Roman" w:cs="Times New Roman"/>
          <w:color w:val="auto"/>
          <w:sz w:val="24"/>
          <w:szCs w:val="24"/>
        </w:rPr>
        <w:t xml:space="preserve"> </w:t>
      </w:r>
      <w:proofErr w:type="spellStart"/>
      <w:r w:rsidRPr="002136F3">
        <w:rPr>
          <w:rFonts w:ascii="Times New Roman" w:hAnsi="Times New Roman" w:cs="Times New Roman"/>
          <w:color w:val="auto"/>
          <w:sz w:val="24"/>
          <w:szCs w:val="24"/>
        </w:rPr>
        <w:t>tư</w:t>
      </w:r>
      <w:proofErr w:type="spellEnd"/>
      <w:r w:rsidRPr="002136F3">
        <w:rPr>
          <w:rFonts w:ascii="Times New Roman" w:hAnsi="Times New Roman" w:cs="Times New Roman"/>
          <w:color w:val="auto"/>
          <w:sz w:val="24"/>
          <w:szCs w:val="24"/>
        </w:rPr>
        <w:t xml:space="preserve"> </w:t>
      </w:r>
      <w:proofErr w:type="spellStart"/>
      <w:r w:rsidRPr="002136F3">
        <w:rPr>
          <w:rFonts w:ascii="Times New Roman" w:hAnsi="Times New Roman" w:cs="Times New Roman"/>
          <w:color w:val="auto"/>
          <w:sz w:val="24"/>
          <w:szCs w:val="24"/>
        </w:rPr>
        <w:t>nắm</w:t>
      </w:r>
      <w:proofErr w:type="spellEnd"/>
      <w:r w:rsidRPr="002136F3">
        <w:rPr>
          <w:rFonts w:ascii="Times New Roman" w:hAnsi="Times New Roman" w:cs="Times New Roman"/>
          <w:color w:val="auto"/>
          <w:sz w:val="24"/>
          <w:szCs w:val="24"/>
        </w:rPr>
        <w:t xml:space="preserve"> </w:t>
      </w:r>
      <w:proofErr w:type="spellStart"/>
      <w:r w:rsidRPr="002136F3">
        <w:rPr>
          <w:rFonts w:ascii="Times New Roman" w:hAnsi="Times New Roman" w:cs="Times New Roman"/>
          <w:color w:val="auto"/>
          <w:sz w:val="24"/>
          <w:szCs w:val="24"/>
        </w:rPr>
        <w:t>giữ</w:t>
      </w:r>
      <w:proofErr w:type="spellEnd"/>
      <w:r w:rsidRPr="002136F3">
        <w:rPr>
          <w:rFonts w:ascii="Times New Roman" w:hAnsi="Times New Roman" w:cs="Times New Roman"/>
          <w:color w:val="auto"/>
          <w:sz w:val="24"/>
          <w:szCs w:val="24"/>
        </w:rPr>
        <w:t xml:space="preserve"> </w:t>
      </w:r>
      <w:proofErr w:type="spellStart"/>
      <w:r w:rsidRPr="002136F3">
        <w:rPr>
          <w:rFonts w:ascii="Times New Roman" w:hAnsi="Times New Roman" w:cs="Times New Roman"/>
          <w:color w:val="auto"/>
          <w:sz w:val="24"/>
          <w:szCs w:val="24"/>
        </w:rPr>
        <w:t>đến</w:t>
      </w:r>
      <w:proofErr w:type="spellEnd"/>
      <w:r w:rsidRPr="002136F3">
        <w:rPr>
          <w:rFonts w:ascii="Times New Roman" w:hAnsi="Times New Roman" w:cs="Times New Roman"/>
          <w:color w:val="auto"/>
          <w:sz w:val="24"/>
          <w:szCs w:val="24"/>
        </w:rPr>
        <w:t xml:space="preserve"> </w:t>
      </w:r>
      <w:proofErr w:type="spellStart"/>
      <w:r w:rsidRPr="002136F3">
        <w:rPr>
          <w:rFonts w:ascii="Times New Roman" w:hAnsi="Times New Roman" w:cs="Times New Roman"/>
          <w:color w:val="auto"/>
          <w:sz w:val="24"/>
          <w:szCs w:val="24"/>
        </w:rPr>
        <w:t>ngày</w:t>
      </w:r>
      <w:proofErr w:type="spellEnd"/>
      <w:r w:rsidRPr="002136F3">
        <w:rPr>
          <w:rFonts w:ascii="Times New Roman" w:hAnsi="Times New Roman" w:cs="Times New Roman"/>
          <w:color w:val="auto"/>
          <w:sz w:val="24"/>
          <w:szCs w:val="24"/>
        </w:rPr>
        <w:t xml:space="preserve"> </w:t>
      </w:r>
      <w:proofErr w:type="spellStart"/>
      <w:r w:rsidRPr="002136F3">
        <w:rPr>
          <w:rFonts w:ascii="Times New Roman" w:hAnsi="Times New Roman" w:cs="Times New Roman"/>
          <w:color w:val="auto"/>
          <w:sz w:val="24"/>
          <w:szCs w:val="24"/>
        </w:rPr>
        <w:t>đáo</w:t>
      </w:r>
      <w:proofErr w:type="spellEnd"/>
      <w:r w:rsidRPr="002136F3">
        <w:rPr>
          <w:rFonts w:ascii="Times New Roman" w:hAnsi="Times New Roman" w:cs="Times New Roman"/>
          <w:color w:val="auto"/>
          <w:sz w:val="24"/>
          <w:szCs w:val="24"/>
        </w:rPr>
        <w:t xml:space="preserve"> </w:t>
      </w:r>
      <w:proofErr w:type="spellStart"/>
      <w:r w:rsidRPr="002136F3">
        <w:rPr>
          <w:rFonts w:ascii="Times New Roman" w:hAnsi="Times New Roman" w:cs="Times New Roman"/>
          <w:color w:val="auto"/>
          <w:sz w:val="24"/>
          <w:szCs w:val="24"/>
        </w:rPr>
        <w:t>hạn</w:t>
      </w:r>
      <w:proofErr w:type="spellEnd"/>
      <w:r w:rsidRPr="002136F3" w:rsidDel="005514AF">
        <w:rPr>
          <w:rFonts w:ascii="Times New Roman" w:hAnsi="Times New Roman" w:cs="Times New Roman"/>
          <w:color w:val="auto"/>
          <w:sz w:val="24"/>
          <w:szCs w:val="24"/>
        </w:rPr>
        <w:t xml:space="preserve"> </w:t>
      </w:r>
    </w:p>
    <w:p w14:paraId="1EACD402" w14:textId="77777777" w:rsidR="00897749" w:rsidRPr="002136F3" w:rsidRDefault="00897749" w:rsidP="0051259B">
      <w:pPr>
        <w:widowControl w:val="0"/>
        <w:spacing w:before="120" w:after="120" w:line="312" w:lineRule="auto"/>
        <w:ind w:left="180" w:right="260"/>
        <w:jc w:val="both"/>
        <w:rPr>
          <w:rFonts w:ascii="Times New Roman" w:hAnsi="Times New Roman"/>
          <w:sz w:val="24"/>
          <w:szCs w:val="24"/>
        </w:rPr>
      </w:pPr>
      <w:r w:rsidRPr="002136F3">
        <w:rPr>
          <w:rFonts w:ascii="Times New Roman" w:hAnsi="Times New Roman"/>
          <w:iCs/>
          <w:sz w:val="24"/>
          <w:szCs w:val="24"/>
          <w:lang w:val="nb-NO"/>
        </w:rPr>
        <w:t xml:space="preserve">Các khoản đầu tư nắm giữ đến ngày đáo hạn là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tài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tài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chính</w:t>
      </w:r>
      <w:proofErr w:type="spellEnd"/>
      <w:r w:rsidRPr="002136F3">
        <w:rPr>
          <w:rFonts w:ascii="Times New Roman" w:hAnsi="Times New Roman"/>
          <w:sz w:val="24"/>
          <w:szCs w:val="24"/>
        </w:rPr>
        <w:t xml:space="preserve"> phi </w:t>
      </w:r>
      <w:proofErr w:type="spellStart"/>
      <w:r w:rsidRPr="002136F3">
        <w:rPr>
          <w:rFonts w:ascii="Times New Roman" w:hAnsi="Times New Roman"/>
          <w:sz w:val="24"/>
          <w:szCs w:val="24"/>
        </w:rPr>
        <w:t>phái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sinh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với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thanh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toán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cố</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định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hoặc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có</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thể</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xác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định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có</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kỳ</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đáo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cố</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định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có</w:t>
      </w:r>
      <w:proofErr w:type="spellEnd"/>
      <w:r w:rsidRPr="002136F3">
        <w:rPr>
          <w:rFonts w:ascii="Times New Roman" w:hAnsi="Times New Roman"/>
          <w:sz w:val="24"/>
          <w:szCs w:val="24"/>
        </w:rPr>
        <w:t xml:space="preserve"> ý </w:t>
      </w:r>
      <w:proofErr w:type="spellStart"/>
      <w:r w:rsidRPr="002136F3">
        <w:rPr>
          <w:rFonts w:ascii="Times New Roman" w:hAnsi="Times New Roman"/>
          <w:sz w:val="24"/>
          <w:szCs w:val="24"/>
        </w:rPr>
        <w:t>định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có</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khả</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năng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giữ</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đến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ngày</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đáo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ngoại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trừ</w:t>
      </w:r>
      <w:proofErr w:type="spellEnd"/>
      <w:r w:rsidRPr="002136F3">
        <w:rPr>
          <w:rFonts w:ascii="Times New Roman" w:hAnsi="Times New Roman"/>
          <w:sz w:val="24"/>
          <w:szCs w:val="24"/>
        </w:rPr>
        <w:t>:</w:t>
      </w:r>
    </w:p>
    <w:p w14:paraId="674E12A9" w14:textId="77777777" w:rsidR="00897749" w:rsidRPr="002136F3" w:rsidRDefault="00897749" w:rsidP="001F2E8F">
      <w:pPr>
        <w:keepLines/>
        <w:widowControl w:val="0"/>
        <w:numPr>
          <w:ilvl w:val="0"/>
          <w:numId w:val="3"/>
        </w:numPr>
        <w:overflowPunct w:val="0"/>
        <w:autoSpaceDE w:val="0"/>
        <w:autoSpaceDN w:val="0"/>
        <w:adjustRightInd w:val="0"/>
        <w:spacing w:before="120" w:after="120" w:line="312" w:lineRule="auto"/>
        <w:ind w:left="450" w:right="260" w:firstLine="0"/>
        <w:jc w:val="both"/>
        <w:textAlignment w:val="baseline"/>
        <w:rPr>
          <w:rFonts w:ascii="Times New Roman" w:hAnsi="Times New Roman"/>
          <w:sz w:val="24"/>
          <w:szCs w:val="24"/>
        </w:rPr>
      </w:pPr>
      <w:r w:rsidRPr="002136F3">
        <w:rPr>
          <w:rFonts w:ascii="Times New Roman" w:hAnsi="Times New Roman"/>
          <w:sz w:val="24"/>
          <w:szCs w:val="24"/>
          <w:lang w:val="nb-NO"/>
        </w:rPr>
        <w:t xml:space="preserve">các tài sản tài chính mà tại thời điểm ghi nhận ban đầu đã được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r w:rsidRPr="002136F3">
        <w:rPr>
          <w:rFonts w:ascii="Times New Roman" w:hAnsi="Times New Roman"/>
          <w:sz w:val="24"/>
          <w:szCs w:val="24"/>
          <w:lang w:val="nb-NO"/>
        </w:rPr>
        <w:t>xếp vào nhóm xác định theo giá trị hợp lý thông qua Báo cáo thu nhập</w:t>
      </w:r>
      <w:r w:rsidRPr="002136F3">
        <w:rPr>
          <w:rFonts w:ascii="Times New Roman" w:hAnsi="Times New Roman"/>
          <w:sz w:val="24"/>
          <w:szCs w:val="24"/>
        </w:rPr>
        <w:t>;</w:t>
      </w:r>
    </w:p>
    <w:p w14:paraId="392ED79A" w14:textId="77777777" w:rsidR="00897749" w:rsidRPr="002136F3" w:rsidRDefault="00897749" w:rsidP="001F2E8F">
      <w:pPr>
        <w:keepLines/>
        <w:widowControl w:val="0"/>
        <w:numPr>
          <w:ilvl w:val="0"/>
          <w:numId w:val="3"/>
        </w:numPr>
        <w:overflowPunct w:val="0"/>
        <w:autoSpaceDE w:val="0"/>
        <w:autoSpaceDN w:val="0"/>
        <w:adjustRightInd w:val="0"/>
        <w:spacing w:before="120" w:after="120" w:line="312" w:lineRule="auto"/>
        <w:ind w:left="450" w:right="260" w:firstLine="0"/>
        <w:jc w:val="both"/>
        <w:textAlignment w:val="baseline"/>
        <w:rPr>
          <w:rFonts w:ascii="Times New Roman" w:hAnsi="Times New Roman"/>
          <w:sz w:val="24"/>
          <w:szCs w:val="24"/>
        </w:rPr>
      </w:pP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tài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tài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chính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đã</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xếp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nhóm</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sẵn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sàng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để</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w:t>
      </w:r>
      <w:proofErr w:type="spellEnd"/>
      <w:r w:rsidRPr="002136F3" w:rsidDel="00803F9B">
        <w:rPr>
          <w:rFonts w:ascii="Times New Roman" w:hAnsi="Times New Roman"/>
          <w:sz w:val="24"/>
          <w:szCs w:val="24"/>
        </w:rPr>
        <w:t xml:space="preserve"> </w:t>
      </w:r>
      <w:r w:rsidRPr="002136F3">
        <w:rPr>
          <w:rFonts w:ascii="Times New Roman" w:hAnsi="Times New Roman"/>
          <w:sz w:val="24"/>
          <w:szCs w:val="24"/>
        </w:rPr>
        <w:t xml:space="preserve"> </w:t>
      </w:r>
    </w:p>
    <w:p w14:paraId="55121299" w14:textId="77777777" w:rsidR="00897749" w:rsidRPr="002136F3" w:rsidRDefault="00897749" w:rsidP="001F2E8F">
      <w:pPr>
        <w:keepLines/>
        <w:widowControl w:val="0"/>
        <w:numPr>
          <w:ilvl w:val="0"/>
          <w:numId w:val="3"/>
        </w:numPr>
        <w:overflowPunct w:val="0"/>
        <w:autoSpaceDE w:val="0"/>
        <w:autoSpaceDN w:val="0"/>
        <w:adjustRightInd w:val="0"/>
        <w:spacing w:before="120" w:after="120" w:line="312" w:lineRule="auto"/>
        <w:ind w:left="450" w:right="260" w:firstLine="0"/>
        <w:jc w:val="both"/>
        <w:textAlignment w:val="baseline"/>
        <w:rPr>
          <w:rFonts w:ascii="Times New Roman" w:hAnsi="Times New Roman"/>
          <w:sz w:val="24"/>
          <w:szCs w:val="24"/>
        </w:rPr>
      </w:pP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tài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tài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chính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thỏa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định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nghĩa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về</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vay</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phải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thu</w:t>
      </w:r>
      <w:proofErr w:type="spellEnd"/>
      <w:r w:rsidRPr="002136F3">
        <w:rPr>
          <w:rFonts w:ascii="Times New Roman" w:hAnsi="Times New Roman"/>
          <w:sz w:val="24"/>
          <w:szCs w:val="24"/>
        </w:rPr>
        <w:t>.</w:t>
      </w:r>
    </w:p>
    <w:p w14:paraId="1D975400" w14:textId="77777777" w:rsidR="003569BE" w:rsidRPr="002136F3" w:rsidRDefault="003569BE" w:rsidP="006D5144">
      <w:pPr>
        <w:pStyle w:val="ListParagraph"/>
        <w:widowControl w:val="0"/>
        <w:numPr>
          <w:ilvl w:val="0"/>
          <w:numId w:val="21"/>
        </w:numPr>
        <w:ind w:left="180" w:right="296" w:firstLine="0"/>
        <w:jc w:val="both"/>
        <w:rPr>
          <w:rFonts w:ascii="Times New Roman" w:hAnsi="Times New Roman"/>
          <w:i/>
          <w:iCs/>
          <w:sz w:val="24"/>
          <w:szCs w:val="24"/>
        </w:rPr>
      </w:pPr>
      <w:r w:rsidRPr="002136F3">
        <w:rPr>
          <w:rFonts w:ascii="Times New Roman" w:hAnsi="Times New Roman"/>
          <w:i/>
          <w:iCs/>
          <w:sz w:val="24"/>
          <w:szCs w:val="24"/>
        </w:rPr>
        <w:t>Held-to-maturity investments are non-derivative financial assets with fixed or determinable payments and a fixed maturity that the Fund has the positive intention and ability to hold to maturity, other than:</w:t>
      </w:r>
    </w:p>
    <w:p w14:paraId="72E96C11" w14:textId="77777777" w:rsidR="003569BE" w:rsidRPr="002136F3" w:rsidRDefault="003569BE" w:rsidP="006D5144">
      <w:pPr>
        <w:widowControl w:val="0"/>
        <w:numPr>
          <w:ilvl w:val="0"/>
          <w:numId w:val="3"/>
        </w:numPr>
        <w:overflowPunct w:val="0"/>
        <w:autoSpaceDE w:val="0"/>
        <w:autoSpaceDN w:val="0"/>
        <w:adjustRightInd w:val="0"/>
        <w:spacing w:after="60" w:line="240" w:lineRule="auto"/>
        <w:ind w:left="450" w:right="296" w:firstLine="0"/>
        <w:jc w:val="both"/>
        <w:textAlignment w:val="baseline"/>
        <w:rPr>
          <w:rFonts w:ascii="Times New Roman" w:hAnsi="Times New Roman"/>
          <w:i/>
          <w:iCs/>
          <w:sz w:val="24"/>
          <w:szCs w:val="24"/>
        </w:rPr>
      </w:pPr>
      <w:r w:rsidRPr="002136F3">
        <w:rPr>
          <w:rFonts w:ascii="Times New Roman" w:hAnsi="Times New Roman"/>
          <w:i/>
          <w:iCs/>
          <w:sz w:val="24"/>
          <w:szCs w:val="24"/>
        </w:rPr>
        <w:t xml:space="preserve">those that upon initial recognition are designated as at fair value through profit or </w:t>
      </w:r>
      <w:proofErr w:type="gramStart"/>
      <w:r w:rsidRPr="002136F3">
        <w:rPr>
          <w:rFonts w:ascii="Times New Roman" w:hAnsi="Times New Roman"/>
          <w:i/>
          <w:iCs/>
          <w:sz w:val="24"/>
          <w:szCs w:val="24"/>
        </w:rPr>
        <w:t>loss;</w:t>
      </w:r>
      <w:proofErr w:type="gramEnd"/>
    </w:p>
    <w:p w14:paraId="7FE3B81D" w14:textId="77777777" w:rsidR="003569BE" w:rsidRPr="002136F3" w:rsidRDefault="003569BE" w:rsidP="006D5144">
      <w:pPr>
        <w:widowControl w:val="0"/>
        <w:numPr>
          <w:ilvl w:val="0"/>
          <w:numId w:val="3"/>
        </w:numPr>
        <w:overflowPunct w:val="0"/>
        <w:autoSpaceDE w:val="0"/>
        <w:autoSpaceDN w:val="0"/>
        <w:adjustRightInd w:val="0"/>
        <w:spacing w:after="60" w:line="240" w:lineRule="auto"/>
        <w:ind w:left="450" w:right="296" w:firstLine="0"/>
        <w:jc w:val="both"/>
        <w:textAlignment w:val="baseline"/>
        <w:rPr>
          <w:rFonts w:ascii="Times New Roman" w:hAnsi="Times New Roman"/>
          <w:i/>
          <w:iCs/>
          <w:sz w:val="24"/>
          <w:szCs w:val="24"/>
        </w:rPr>
      </w:pPr>
      <w:r w:rsidRPr="002136F3">
        <w:rPr>
          <w:rFonts w:ascii="Times New Roman" w:hAnsi="Times New Roman"/>
          <w:i/>
          <w:iCs/>
          <w:sz w:val="24"/>
          <w:szCs w:val="24"/>
        </w:rPr>
        <w:t>those that are designated as available-for-sale; and</w:t>
      </w:r>
      <w:r w:rsidRPr="002136F3" w:rsidDel="00E71C52">
        <w:rPr>
          <w:rFonts w:ascii="Times New Roman" w:hAnsi="Times New Roman"/>
          <w:i/>
          <w:iCs/>
          <w:color w:val="000000"/>
          <w:sz w:val="24"/>
          <w:szCs w:val="24"/>
        </w:rPr>
        <w:t xml:space="preserve"> </w:t>
      </w:r>
      <w:r w:rsidRPr="002136F3" w:rsidDel="004945E4">
        <w:rPr>
          <w:rFonts w:ascii="Times New Roman" w:hAnsi="Times New Roman"/>
          <w:i/>
          <w:iCs/>
          <w:sz w:val="24"/>
          <w:szCs w:val="24"/>
        </w:rPr>
        <w:t xml:space="preserve"> </w:t>
      </w:r>
      <w:r w:rsidRPr="002136F3" w:rsidDel="00E45ABE">
        <w:rPr>
          <w:rFonts w:ascii="Times New Roman" w:hAnsi="Times New Roman"/>
          <w:i/>
          <w:iCs/>
          <w:color w:val="000000"/>
          <w:sz w:val="24"/>
          <w:szCs w:val="24"/>
        </w:rPr>
        <w:t xml:space="preserve"> </w:t>
      </w:r>
      <w:r w:rsidRPr="002136F3" w:rsidDel="00803F9B">
        <w:rPr>
          <w:rFonts w:ascii="Times New Roman" w:hAnsi="Times New Roman"/>
          <w:i/>
          <w:iCs/>
          <w:sz w:val="24"/>
          <w:szCs w:val="24"/>
        </w:rPr>
        <w:t xml:space="preserve"> </w:t>
      </w:r>
      <w:r w:rsidRPr="002136F3">
        <w:rPr>
          <w:rFonts w:ascii="Times New Roman" w:hAnsi="Times New Roman"/>
          <w:i/>
          <w:iCs/>
          <w:sz w:val="24"/>
          <w:szCs w:val="24"/>
        </w:rPr>
        <w:t xml:space="preserve"> </w:t>
      </w:r>
    </w:p>
    <w:p w14:paraId="5E1B3F1F" w14:textId="77777777" w:rsidR="003569BE" w:rsidRPr="002136F3" w:rsidRDefault="003569BE" w:rsidP="006D5144">
      <w:pPr>
        <w:widowControl w:val="0"/>
        <w:numPr>
          <w:ilvl w:val="0"/>
          <w:numId w:val="3"/>
        </w:numPr>
        <w:overflowPunct w:val="0"/>
        <w:autoSpaceDE w:val="0"/>
        <w:autoSpaceDN w:val="0"/>
        <w:adjustRightInd w:val="0"/>
        <w:spacing w:after="0" w:line="240" w:lineRule="auto"/>
        <w:ind w:left="450" w:right="296" w:firstLine="0"/>
        <w:jc w:val="both"/>
        <w:textAlignment w:val="baseline"/>
        <w:rPr>
          <w:rFonts w:ascii="Times New Roman" w:hAnsi="Times New Roman"/>
          <w:i/>
          <w:iCs/>
          <w:sz w:val="24"/>
          <w:szCs w:val="24"/>
        </w:rPr>
      </w:pPr>
      <w:r w:rsidRPr="002136F3">
        <w:rPr>
          <w:rFonts w:ascii="Times New Roman" w:hAnsi="Times New Roman"/>
          <w:i/>
          <w:iCs/>
          <w:sz w:val="24"/>
          <w:szCs w:val="24"/>
        </w:rPr>
        <w:t>those that meet the definition of loans and receivables</w:t>
      </w:r>
      <w:r w:rsidRPr="002136F3">
        <w:rPr>
          <w:rFonts w:ascii="Times New Roman" w:hAnsi="Times New Roman"/>
          <w:i/>
          <w:iCs/>
          <w:color w:val="000000"/>
          <w:sz w:val="24"/>
          <w:szCs w:val="24"/>
        </w:rPr>
        <w:t>.</w:t>
      </w:r>
    </w:p>
    <w:p w14:paraId="316067C0" w14:textId="77777777" w:rsidR="00897749" w:rsidRPr="002136F3" w:rsidRDefault="00897749" w:rsidP="001F2E8F">
      <w:pPr>
        <w:pStyle w:val="Heading5"/>
        <w:keepNext w:val="0"/>
        <w:widowControl w:val="0"/>
        <w:numPr>
          <w:ilvl w:val="0"/>
          <w:numId w:val="22"/>
        </w:numPr>
        <w:spacing w:before="120" w:after="120" w:line="312" w:lineRule="auto"/>
        <w:ind w:left="180" w:right="260" w:firstLine="0"/>
        <w:jc w:val="both"/>
        <w:rPr>
          <w:rFonts w:ascii="Times New Roman" w:hAnsi="Times New Roman" w:cs="Times New Roman"/>
          <w:color w:val="auto"/>
          <w:sz w:val="24"/>
          <w:szCs w:val="24"/>
        </w:rPr>
      </w:pPr>
      <w:proofErr w:type="spellStart"/>
      <w:r w:rsidRPr="002136F3">
        <w:rPr>
          <w:rFonts w:ascii="Times New Roman" w:hAnsi="Times New Roman" w:cs="Times New Roman"/>
          <w:color w:val="auto"/>
          <w:sz w:val="24"/>
          <w:szCs w:val="24"/>
        </w:rPr>
        <w:t>Các</w:t>
      </w:r>
      <w:proofErr w:type="spellEnd"/>
      <w:r w:rsidRPr="002136F3">
        <w:rPr>
          <w:rFonts w:ascii="Times New Roman" w:hAnsi="Times New Roman" w:cs="Times New Roman"/>
          <w:color w:val="auto"/>
          <w:sz w:val="24"/>
          <w:szCs w:val="24"/>
        </w:rPr>
        <w:t xml:space="preserve"> </w:t>
      </w:r>
      <w:proofErr w:type="spellStart"/>
      <w:r w:rsidRPr="002136F3">
        <w:rPr>
          <w:rFonts w:ascii="Times New Roman" w:hAnsi="Times New Roman" w:cs="Times New Roman"/>
          <w:color w:val="auto"/>
          <w:sz w:val="24"/>
          <w:szCs w:val="24"/>
        </w:rPr>
        <w:t>khoản</w:t>
      </w:r>
      <w:proofErr w:type="spellEnd"/>
      <w:r w:rsidRPr="002136F3">
        <w:rPr>
          <w:rFonts w:ascii="Times New Roman" w:hAnsi="Times New Roman" w:cs="Times New Roman"/>
          <w:color w:val="auto"/>
          <w:sz w:val="24"/>
          <w:szCs w:val="24"/>
        </w:rPr>
        <w:t xml:space="preserve"> </w:t>
      </w:r>
      <w:proofErr w:type="spellStart"/>
      <w:r w:rsidRPr="002136F3">
        <w:rPr>
          <w:rFonts w:ascii="Times New Roman" w:hAnsi="Times New Roman" w:cs="Times New Roman"/>
          <w:color w:val="auto"/>
          <w:sz w:val="24"/>
          <w:szCs w:val="24"/>
        </w:rPr>
        <w:t>cho</w:t>
      </w:r>
      <w:proofErr w:type="spellEnd"/>
      <w:r w:rsidRPr="002136F3">
        <w:rPr>
          <w:rFonts w:ascii="Times New Roman" w:hAnsi="Times New Roman" w:cs="Times New Roman"/>
          <w:color w:val="auto"/>
          <w:sz w:val="24"/>
          <w:szCs w:val="24"/>
        </w:rPr>
        <w:t xml:space="preserve"> </w:t>
      </w:r>
      <w:proofErr w:type="spellStart"/>
      <w:r w:rsidRPr="002136F3">
        <w:rPr>
          <w:rFonts w:ascii="Times New Roman" w:hAnsi="Times New Roman" w:cs="Times New Roman"/>
          <w:color w:val="auto"/>
          <w:sz w:val="24"/>
          <w:szCs w:val="24"/>
        </w:rPr>
        <w:t>vay</w:t>
      </w:r>
      <w:proofErr w:type="spellEnd"/>
      <w:r w:rsidRPr="002136F3">
        <w:rPr>
          <w:rFonts w:ascii="Times New Roman" w:hAnsi="Times New Roman" w:cs="Times New Roman"/>
          <w:color w:val="auto"/>
          <w:sz w:val="24"/>
          <w:szCs w:val="24"/>
        </w:rPr>
        <w:t xml:space="preserve"> </w:t>
      </w:r>
      <w:proofErr w:type="spellStart"/>
      <w:r w:rsidRPr="002136F3">
        <w:rPr>
          <w:rFonts w:ascii="Times New Roman" w:hAnsi="Times New Roman" w:cs="Times New Roman"/>
          <w:color w:val="auto"/>
          <w:sz w:val="24"/>
          <w:szCs w:val="24"/>
        </w:rPr>
        <w:t>và</w:t>
      </w:r>
      <w:proofErr w:type="spellEnd"/>
      <w:r w:rsidRPr="002136F3">
        <w:rPr>
          <w:rFonts w:ascii="Times New Roman" w:hAnsi="Times New Roman" w:cs="Times New Roman"/>
          <w:color w:val="auto"/>
          <w:sz w:val="24"/>
          <w:szCs w:val="24"/>
        </w:rPr>
        <w:t xml:space="preserve"> </w:t>
      </w:r>
      <w:proofErr w:type="spellStart"/>
      <w:r w:rsidRPr="002136F3">
        <w:rPr>
          <w:rFonts w:ascii="Times New Roman" w:hAnsi="Times New Roman" w:cs="Times New Roman"/>
          <w:color w:val="auto"/>
          <w:sz w:val="24"/>
          <w:szCs w:val="24"/>
        </w:rPr>
        <w:t>phải</w:t>
      </w:r>
      <w:proofErr w:type="spellEnd"/>
      <w:r w:rsidRPr="002136F3">
        <w:rPr>
          <w:rFonts w:ascii="Times New Roman" w:hAnsi="Times New Roman" w:cs="Times New Roman"/>
          <w:color w:val="auto"/>
          <w:sz w:val="24"/>
          <w:szCs w:val="24"/>
        </w:rPr>
        <w:t xml:space="preserve"> </w:t>
      </w:r>
      <w:proofErr w:type="spellStart"/>
      <w:r w:rsidRPr="002136F3">
        <w:rPr>
          <w:rFonts w:ascii="Times New Roman" w:hAnsi="Times New Roman" w:cs="Times New Roman"/>
          <w:color w:val="auto"/>
          <w:sz w:val="24"/>
          <w:szCs w:val="24"/>
        </w:rPr>
        <w:t>thu</w:t>
      </w:r>
      <w:proofErr w:type="spellEnd"/>
      <w:r w:rsidRPr="002136F3" w:rsidDel="00676580">
        <w:rPr>
          <w:rFonts w:ascii="Times New Roman" w:hAnsi="Times New Roman" w:cs="Times New Roman"/>
          <w:color w:val="auto"/>
          <w:sz w:val="24"/>
          <w:szCs w:val="24"/>
        </w:rPr>
        <w:t xml:space="preserve"> </w:t>
      </w:r>
    </w:p>
    <w:p w14:paraId="5A79075E" w14:textId="77777777" w:rsidR="00897749" w:rsidRPr="002136F3" w:rsidRDefault="00897749" w:rsidP="0051259B">
      <w:pPr>
        <w:widowControl w:val="0"/>
        <w:spacing w:before="120" w:after="120" w:line="312" w:lineRule="auto"/>
        <w:ind w:left="180" w:right="260"/>
        <w:jc w:val="both"/>
        <w:rPr>
          <w:rFonts w:ascii="Times New Roman" w:hAnsi="Times New Roman"/>
          <w:sz w:val="24"/>
          <w:szCs w:val="24"/>
        </w:rPr>
      </w:pPr>
      <w:r w:rsidRPr="002136F3">
        <w:rPr>
          <w:rFonts w:ascii="Times New Roman" w:hAnsi="Times New Roman"/>
          <w:iCs/>
          <w:sz w:val="24"/>
          <w:szCs w:val="24"/>
          <w:lang w:val="nb-NO"/>
        </w:rPr>
        <w:t xml:space="preserve">Các khoản cho vay và phải thu là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tài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tài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chính</w:t>
      </w:r>
      <w:proofErr w:type="spellEnd"/>
      <w:r w:rsidRPr="002136F3">
        <w:rPr>
          <w:rFonts w:ascii="Times New Roman" w:hAnsi="Times New Roman"/>
          <w:sz w:val="24"/>
          <w:szCs w:val="24"/>
        </w:rPr>
        <w:t xml:space="preserve"> phi </w:t>
      </w:r>
      <w:proofErr w:type="spellStart"/>
      <w:r w:rsidRPr="002136F3">
        <w:rPr>
          <w:rFonts w:ascii="Times New Roman" w:hAnsi="Times New Roman"/>
          <w:sz w:val="24"/>
          <w:szCs w:val="24"/>
        </w:rPr>
        <w:t>phái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sinh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với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thanh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toán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cố</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định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hoặc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có</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thể</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xác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định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không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niêm</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yết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trên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thị</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trường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ngoại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trừ</w:t>
      </w:r>
      <w:proofErr w:type="spellEnd"/>
      <w:r w:rsidRPr="002136F3">
        <w:rPr>
          <w:rFonts w:ascii="Times New Roman" w:hAnsi="Times New Roman"/>
          <w:sz w:val="24"/>
          <w:szCs w:val="24"/>
        </w:rPr>
        <w:t>:</w:t>
      </w:r>
    </w:p>
    <w:p w14:paraId="701C7A16" w14:textId="77777777" w:rsidR="00897749" w:rsidRPr="002136F3" w:rsidRDefault="00897749" w:rsidP="001F2E8F">
      <w:pPr>
        <w:keepLines/>
        <w:widowControl w:val="0"/>
        <w:numPr>
          <w:ilvl w:val="0"/>
          <w:numId w:val="3"/>
        </w:numPr>
        <w:overflowPunct w:val="0"/>
        <w:autoSpaceDE w:val="0"/>
        <w:autoSpaceDN w:val="0"/>
        <w:adjustRightInd w:val="0"/>
        <w:spacing w:before="120" w:after="120" w:line="312" w:lineRule="auto"/>
        <w:ind w:left="450" w:right="260" w:firstLine="0"/>
        <w:jc w:val="both"/>
        <w:textAlignment w:val="baseline"/>
        <w:rPr>
          <w:rFonts w:ascii="Times New Roman" w:hAnsi="Times New Roman"/>
          <w:sz w:val="24"/>
          <w:szCs w:val="24"/>
          <w:lang w:val="nb-NO"/>
        </w:rPr>
      </w:pPr>
      <w:r w:rsidRPr="002136F3">
        <w:rPr>
          <w:rFonts w:ascii="Times New Roman" w:hAnsi="Times New Roman"/>
          <w:sz w:val="24"/>
          <w:szCs w:val="24"/>
          <w:lang w:val="nb-NO"/>
        </w:rPr>
        <w:lastRenderedPageBreak/>
        <w:t>các khoản mà Quỹ có ý định bán ngay hoặc sẽ bán trong tương lai gần được phân loại là tài sản nắm giữ vì mục đích kinh doanh, và các loại mà tại thời điểm ghi nhận ban đầu được Quỹ xếp vào nhóm xác định theo giá trị hợp lý thông qua Báo cáo thu nhập;</w:t>
      </w:r>
    </w:p>
    <w:p w14:paraId="0F848F23" w14:textId="77777777" w:rsidR="0091072C" w:rsidRPr="002136F3" w:rsidRDefault="00897749" w:rsidP="001F2E8F">
      <w:pPr>
        <w:keepLines/>
        <w:widowControl w:val="0"/>
        <w:numPr>
          <w:ilvl w:val="0"/>
          <w:numId w:val="3"/>
        </w:numPr>
        <w:overflowPunct w:val="0"/>
        <w:autoSpaceDE w:val="0"/>
        <w:autoSpaceDN w:val="0"/>
        <w:adjustRightInd w:val="0"/>
        <w:spacing w:before="120" w:after="120" w:line="312" w:lineRule="auto"/>
        <w:ind w:left="450" w:right="260" w:firstLine="0"/>
        <w:jc w:val="both"/>
        <w:textAlignment w:val="baseline"/>
        <w:rPr>
          <w:rFonts w:ascii="Times New Roman" w:hAnsi="Times New Roman"/>
          <w:sz w:val="24"/>
          <w:szCs w:val="24"/>
          <w:lang w:val="nb-NO"/>
        </w:rPr>
      </w:pPr>
      <w:r w:rsidRPr="002136F3">
        <w:rPr>
          <w:rFonts w:ascii="Times New Roman" w:hAnsi="Times New Roman"/>
          <w:sz w:val="24"/>
          <w:szCs w:val="24"/>
          <w:lang w:val="nb-NO"/>
        </w:rPr>
        <w:t>các khoản được Quỹ xếp vào nhóm sẵn sàng để bán tại thời điểm ghi nhận ban đầu; hoặc</w:t>
      </w:r>
    </w:p>
    <w:p w14:paraId="6B73EFFA" w14:textId="77777777" w:rsidR="0025230D" w:rsidRPr="002136F3" w:rsidRDefault="00897749" w:rsidP="001F2E8F">
      <w:pPr>
        <w:keepLines/>
        <w:widowControl w:val="0"/>
        <w:numPr>
          <w:ilvl w:val="0"/>
          <w:numId w:val="3"/>
        </w:numPr>
        <w:overflowPunct w:val="0"/>
        <w:autoSpaceDE w:val="0"/>
        <w:autoSpaceDN w:val="0"/>
        <w:adjustRightInd w:val="0"/>
        <w:spacing w:before="120" w:after="120" w:line="312" w:lineRule="auto"/>
        <w:ind w:left="450" w:right="260" w:firstLine="0"/>
        <w:jc w:val="both"/>
        <w:textAlignment w:val="baseline"/>
        <w:rPr>
          <w:rFonts w:ascii="Times New Roman" w:hAnsi="Times New Roman"/>
          <w:sz w:val="24"/>
          <w:szCs w:val="24"/>
          <w:lang w:val="nb-NO"/>
        </w:rPr>
      </w:pPr>
      <w:r w:rsidRPr="002136F3">
        <w:rPr>
          <w:rFonts w:ascii="Times New Roman" w:hAnsi="Times New Roman"/>
          <w:sz w:val="24"/>
          <w:szCs w:val="24"/>
          <w:lang w:val="nb-NO"/>
        </w:rPr>
        <w:t>các khoản mà người nắm giữ có thể không thu hồi được phần lớn giá trị đầu tư ban đầu, không phải do suy giảm chất lượng tín dụng, và được phân loại vào nhóm sẵn sàng để bán.</w:t>
      </w:r>
    </w:p>
    <w:p w14:paraId="307D8C1C" w14:textId="77777777" w:rsidR="003569BE" w:rsidRPr="002136F3" w:rsidRDefault="003569BE" w:rsidP="006D5144">
      <w:pPr>
        <w:pStyle w:val="ListParagraph"/>
        <w:widowControl w:val="0"/>
        <w:numPr>
          <w:ilvl w:val="0"/>
          <w:numId w:val="22"/>
        </w:numPr>
        <w:ind w:left="180" w:right="296" w:firstLine="0"/>
        <w:jc w:val="both"/>
        <w:rPr>
          <w:rFonts w:ascii="Times New Roman" w:hAnsi="Times New Roman"/>
          <w:i/>
          <w:iCs/>
          <w:sz w:val="24"/>
          <w:szCs w:val="24"/>
        </w:rPr>
      </w:pPr>
      <w:r w:rsidRPr="002136F3">
        <w:rPr>
          <w:rFonts w:ascii="Times New Roman" w:hAnsi="Times New Roman"/>
          <w:i/>
          <w:iCs/>
          <w:sz w:val="24"/>
          <w:szCs w:val="24"/>
        </w:rPr>
        <w:t>Loans and receivables are non-derivative financial assets with fixed or determinable payments that are not quoted in an active market, other than those</w:t>
      </w:r>
      <w:r w:rsidRPr="002136F3">
        <w:rPr>
          <w:rFonts w:ascii="Times New Roman" w:hAnsi="Times New Roman"/>
          <w:i/>
          <w:iCs/>
          <w:color w:val="000000"/>
          <w:sz w:val="24"/>
          <w:szCs w:val="24"/>
        </w:rPr>
        <w:t>:</w:t>
      </w:r>
    </w:p>
    <w:p w14:paraId="2AB13DE8" w14:textId="77777777" w:rsidR="003569BE" w:rsidRPr="002136F3" w:rsidRDefault="003569BE" w:rsidP="006D5144">
      <w:pPr>
        <w:widowControl w:val="0"/>
        <w:numPr>
          <w:ilvl w:val="0"/>
          <w:numId w:val="3"/>
        </w:numPr>
        <w:overflowPunct w:val="0"/>
        <w:autoSpaceDE w:val="0"/>
        <w:autoSpaceDN w:val="0"/>
        <w:adjustRightInd w:val="0"/>
        <w:spacing w:after="60" w:line="240" w:lineRule="auto"/>
        <w:ind w:left="450" w:right="296" w:firstLine="0"/>
        <w:jc w:val="both"/>
        <w:textAlignment w:val="baseline"/>
        <w:rPr>
          <w:rFonts w:ascii="Times New Roman" w:hAnsi="Times New Roman"/>
          <w:i/>
          <w:iCs/>
          <w:color w:val="000000"/>
          <w:sz w:val="24"/>
          <w:szCs w:val="24"/>
          <w:lang w:val="nb-NO"/>
        </w:rPr>
      </w:pPr>
      <w:r w:rsidRPr="002136F3">
        <w:rPr>
          <w:rFonts w:ascii="Times New Roman" w:hAnsi="Times New Roman"/>
          <w:i/>
          <w:iCs/>
          <w:sz w:val="24"/>
          <w:szCs w:val="24"/>
        </w:rPr>
        <w:t xml:space="preserve">that are held for the purpose to sell immediately or in the near term, which are classified as held for trading, and those that on initial recognition are designated as at fair value through profit or </w:t>
      </w:r>
      <w:proofErr w:type="gramStart"/>
      <w:r w:rsidRPr="002136F3">
        <w:rPr>
          <w:rFonts w:ascii="Times New Roman" w:hAnsi="Times New Roman"/>
          <w:i/>
          <w:iCs/>
          <w:sz w:val="24"/>
          <w:szCs w:val="24"/>
        </w:rPr>
        <w:t>loss</w:t>
      </w:r>
      <w:r w:rsidRPr="002136F3">
        <w:rPr>
          <w:rFonts w:ascii="Times New Roman" w:hAnsi="Times New Roman"/>
          <w:i/>
          <w:iCs/>
          <w:color w:val="000000"/>
          <w:sz w:val="24"/>
          <w:szCs w:val="24"/>
          <w:lang w:val="nb-NO"/>
        </w:rPr>
        <w:t>;</w:t>
      </w:r>
      <w:proofErr w:type="gramEnd"/>
    </w:p>
    <w:p w14:paraId="6CA0BFC6" w14:textId="77777777" w:rsidR="003569BE" w:rsidRPr="002136F3" w:rsidRDefault="003569BE" w:rsidP="006D5144">
      <w:pPr>
        <w:widowControl w:val="0"/>
        <w:numPr>
          <w:ilvl w:val="0"/>
          <w:numId w:val="3"/>
        </w:numPr>
        <w:overflowPunct w:val="0"/>
        <w:autoSpaceDE w:val="0"/>
        <w:autoSpaceDN w:val="0"/>
        <w:adjustRightInd w:val="0"/>
        <w:spacing w:after="60" w:line="240" w:lineRule="auto"/>
        <w:ind w:left="450" w:right="296" w:firstLine="0"/>
        <w:jc w:val="both"/>
        <w:textAlignment w:val="baseline"/>
        <w:rPr>
          <w:rFonts w:ascii="Times New Roman" w:hAnsi="Times New Roman"/>
          <w:i/>
          <w:iCs/>
          <w:color w:val="000000"/>
          <w:sz w:val="24"/>
          <w:szCs w:val="24"/>
          <w:lang w:val="nb-NO"/>
        </w:rPr>
      </w:pPr>
      <w:r w:rsidRPr="002136F3">
        <w:rPr>
          <w:rFonts w:ascii="Times New Roman" w:hAnsi="Times New Roman"/>
          <w:i/>
          <w:iCs/>
          <w:sz w:val="24"/>
          <w:szCs w:val="24"/>
        </w:rPr>
        <w:t>that upon initial recognition are designated as available-for-sale; or</w:t>
      </w:r>
      <w:r w:rsidRPr="002136F3" w:rsidDel="00E71C52">
        <w:rPr>
          <w:rFonts w:ascii="Times New Roman" w:hAnsi="Times New Roman"/>
          <w:i/>
          <w:iCs/>
          <w:color w:val="000000"/>
          <w:sz w:val="24"/>
          <w:szCs w:val="24"/>
          <w:lang w:val="nb-NO"/>
        </w:rPr>
        <w:t xml:space="preserve"> </w:t>
      </w:r>
      <w:r w:rsidRPr="002136F3" w:rsidDel="004945E4">
        <w:rPr>
          <w:rFonts w:ascii="Times New Roman" w:hAnsi="Times New Roman"/>
          <w:i/>
          <w:iCs/>
          <w:sz w:val="24"/>
          <w:szCs w:val="24"/>
          <w:lang w:val="nb-NO"/>
        </w:rPr>
        <w:t xml:space="preserve"> </w:t>
      </w:r>
      <w:r w:rsidRPr="002136F3" w:rsidDel="00E45ABE">
        <w:rPr>
          <w:rFonts w:ascii="Times New Roman" w:hAnsi="Times New Roman"/>
          <w:i/>
          <w:iCs/>
          <w:color w:val="000000"/>
          <w:sz w:val="24"/>
          <w:szCs w:val="24"/>
          <w:lang w:val="nb-NO"/>
        </w:rPr>
        <w:t xml:space="preserve"> </w:t>
      </w:r>
    </w:p>
    <w:p w14:paraId="6DEA0E9B" w14:textId="77777777" w:rsidR="003569BE" w:rsidRPr="002136F3" w:rsidRDefault="003569BE" w:rsidP="006D5144">
      <w:pPr>
        <w:widowControl w:val="0"/>
        <w:numPr>
          <w:ilvl w:val="0"/>
          <w:numId w:val="3"/>
        </w:numPr>
        <w:overflowPunct w:val="0"/>
        <w:autoSpaceDE w:val="0"/>
        <w:autoSpaceDN w:val="0"/>
        <w:adjustRightInd w:val="0"/>
        <w:spacing w:after="0" w:line="240" w:lineRule="auto"/>
        <w:ind w:left="450" w:right="296" w:firstLine="0"/>
        <w:jc w:val="both"/>
        <w:textAlignment w:val="baseline"/>
        <w:rPr>
          <w:rFonts w:ascii="Times New Roman" w:hAnsi="Times New Roman"/>
          <w:i/>
          <w:iCs/>
          <w:color w:val="000000"/>
          <w:sz w:val="24"/>
          <w:szCs w:val="24"/>
          <w:lang w:val="nb-NO"/>
        </w:rPr>
      </w:pPr>
      <w:r w:rsidRPr="002136F3">
        <w:rPr>
          <w:rFonts w:ascii="Times New Roman" w:hAnsi="Times New Roman"/>
          <w:i/>
          <w:iCs/>
          <w:color w:val="000000"/>
          <w:sz w:val="24"/>
          <w:szCs w:val="24"/>
        </w:rPr>
        <w:t xml:space="preserve">that </w:t>
      </w:r>
      <w:r w:rsidRPr="002136F3">
        <w:rPr>
          <w:rFonts w:ascii="Times New Roman" w:hAnsi="Times New Roman"/>
          <w:i/>
          <w:iCs/>
          <w:sz w:val="24"/>
          <w:szCs w:val="24"/>
        </w:rPr>
        <w:t xml:space="preserve">may not be </w:t>
      </w:r>
      <w:proofErr w:type="spellStart"/>
      <w:r w:rsidRPr="002136F3">
        <w:rPr>
          <w:rFonts w:ascii="Times New Roman" w:hAnsi="Times New Roman"/>
          <w:i/>
          <w:iCs/>
          <w:sz w:val="24"/>
          <w:szCs w:val="24"/>
        </w:rPr>
        <w:t>recoverred</w:t>
      </w:r>
      <w:proofErr w:type="spellEnd"/>
      <w:r w:rsidRPr="002136F3">
        <w:rPr>
          <w:rFonts w:ascii="Times New Roman" w:hAnsi="Times New Roman"/>
          <w:i/>
          <w:iCs/>
          <w:sz w:val="24"/>
          <w:szCs w:val="24"/>
        </w:rPr>
        <w:t xml:space="preserve"> substantially </w:t>
      </w:r>
      <w:proofErr w:type="gramStart"/>
      <w:r w:rsidRPr="002136F3">
        <w:rPr>
          <w:rFonts w:ascii="Times New Roman" w:hAnsi="Times New Roman"/>
          <w:i/>
          <w:iCs/>
          <w:sz w:val="24"/>
          <w:szCs w:val="24"/>
        </w:rPr>
        <w:t>all of</w:t>
      </w:r>
      <w:proofErr w:type="gramEnd"/>
      <w:r w:rsidRPr="002136F3">
        <w:rPr>
          <w:rFonts w:ascii="Times New Roman" w:hAnsi="Times New Roman"/>
          <w:i/>
          <w:iCs/>
          <w:sz w:val="24"/>
          <w:szCs w:val="24"/>
        </w:rPr>
        <w:t xml:space="preserve"> its initial investment, other than because of credit deterioration, which are classified as available-for-sale.</w:t>
      </w:r>
    </w:p>
    <w:p w14:paraId="59CA47D9" w14:textId="77777777" w:rsidR="00E70229" w:rsidRPr="002136F3" w:rsidRDefault="00E70229" w:rsidP="001F2E8F">
      <w:pPr>
        <w:pStyle w:val="ListParagraph"/>
        <w:widowControl w:val="0"/>
        <w:numPr>
          <w:ilvl w:val="0"/>
          <w:numId w:val="22"/>
        </w:numPr>
        <w:spacing w:before="120" w:after="120" w:line="312" w:lineRule="auto"/>
        <w:ind w:left="180" w:right="260" w:firstLine="0"/>
        <w:jc w:val="both"/>
        <w:rPr>
          <w:rFonts w:ascii="Times New Roman" w:hAnsi="Times New Roman"/>
          <w:sz w:val="24"/>
          <w:szCs w:val="24"/>
        </w:rPr>
      </w:pPr>
      <w:r w:rsidRPr="002136F3">
        <w:rPr>
          <w:rFonts w:ascii="Times New Roman" w:hAnsi="Times New Roman"/>
          <w:iCs/>
          <w:sz w:val="24"/>
          <w:szCs w:val="24"/>
          <w:lang w:val="nb-NO"/>
        </w:rPr>
        <w:t xml:space="preserve">Tài sản sẵn sàng để </w:t>
      </w:r>
      <w:r w:rsidRPr="002136F3">
        <w:rPr>
          <w:rFonts w:ascii="Times New Roman" w:hAnsi="Times New Roman"/>
          <w:bCs/>
          <w:iCs/>
          <w:sz w:val="24"/>
          <w:szCs w:val="24"/>
          <w:lang w:val="nb-NO"/>
        </w:rPr>
        <w:t xml:space="preserve">bán là </w:t>
      </w:r>
      <w:r w:rsidRPr="002136F3">
        <w:rPr>
          <w:rFonts w:ascii="Times New Roman" w:hAnsi="Times New Roman"/>
          <w:sz w:val="24"/>
          <w:szCs w:val="24"/>
          <w:lang w:val="nb-NO"/>
        </w:rPr>
        <w:t>các tài sản tài chính phi phái sinh được xác định là sẵn sàng để bán hoặc không được phân loại là</w:t>
      </w:r>
      <w:r w:rsidRPr="002136F3">
        <w:rPr>
          <w:rFonts w:ascii="Times New Roman" w:hAnsi="Times New Roman"/>
          <w:sz w:val="24"/>
          <w:szCs w:val="24"/>
        </w:rPr>
        <w:t>:</w:t>
      </w:r>
    </w:p>
    <w:p w14:paraId="40333DC1" w14:textId="77777777" w:rsidR="00E70229" w:rsidRPr="002136F3" w:rsidRDefault="00E70229" w:rsidP="001F2E8F">
      <w:pPr>
        <w:widowControl w:val="0"/>
        <w:numPr>
          <w:ilvl w:val="0"/>
          <w:numId w:val="3"/>
        </w:numPr>
        <w:overflowPunct w:val="0"/>
        <w:autoSpaceDE w:val="0"/>
        <w:autoSpaceDN w:val="0"/>
        <w:adjustRightInd w:val="0"/>
        <w:spacing w:before="120" w:after="120" w:line="312" w:lineRule="auto"/>
        <w:ind w:left="450" w:right="260" w:firstLine="0"/>
        <w:jc w:val="both"/>
        <w:textAlignment w:val="baseline"/>
        <w:rPr>
          <w:rFonts w:ascii="Times New Roman" w:hAnsi="Times New Roman"/>
          <w:sz w:val="24"/>
          <w:szCs w:val="24"/>
        </w:rPr>
      </w:pPr>
      <w:r w:rsidRPr="002136F3">
        <w:rPr>
          <w:rFonts w:ascii="Times New Roman" w:hAnsi="Times New Roman"/>
          <w:sz w:val="24"/>
          <w:szCs w:val="24"/>
          <w:lang w:val="nb-NO"/>
        </w:rPr>
        <w:t>các tài sản tài chính xác định theo giá trị hợp lý thông qua Báo cáo thu nhập</w:t>
      </w:r>
      <w:r w:rsidRPr="002136F3">
        <w:rPr>
          <w:rFonts w:ascii="Times New Roman" w:hAnsi="Times New Roman"/>
          <w:sz w:val="24"/>
          <w:szCs w:val="24"/>
        </w:rPr>
        <w:t>;</w:t>
      </w:r>
    </w:p>
    <w:p w14:paraId="08D4DA80" w14:textId="77777777" w:rsidR="00E70229" w:rsidRPr="002136F3" w:rsidRDefault="00E70229" w:rsidP="001F2E8F">
      <w:pPr>
        <w:widowControl w:val="0"/>
        <w:numPr>
          <w:ilvl w:val="0"/>
          <w:numId w:val="3"/>
        </w:numPr>
        <w:overflowPunct w:val="0"/>
        <w:autoSpaceDE w:val="0"/>
        <w:autoSpaceDN w:val="0"/>
        <w:adjustRightInd w:val="0"/>
        <w:spacing w:before="120" w:after="120" w:line="312" w:lineRule="auto"/>
        <w:ind w:left="450" w:right="260" w:firstLine="0"/>
        <w:jc w:val="both"/>
        <w:textAlignment w:val="baseline"/>
        <w:rPr>
          <w:rFonts w:ascii="Times New Roman" w:hAnsi="Times New Roman"/>
          <w:sz w:val="24"/>
          <w:szCs w:val="24"/>
        </w:rPr>
      </w:pPr>
      <w:r w:rsidRPr="002136F3">
        <w:rPr>
          <w:rFonts w:ascii="Times New Roman" w:hAnsi="Times New Roman"/>
          <w:sz w:val="24"/>
          <w:szCs w:val="24"/>
          <w:lang w:val="nb-NO"/>
        </w:rPr>
        <w:t>các khoản đầu tư giữ đến ngày đáo hạn</w:t>
      </w:r>
      <w:r w:rsidRPr="002136F3">
        <w:rPr>
          <w:rFonts w:ascii="Times New Roman" w:hAnsi="Times New Roman"/>
          <w:sz w:val="24"/>
          <w:szCs w:val="24"/>
        </w:rPr>
        <w:t xml:space="preserve">; </w:t>
      </w:r>
      <w:proofErr w:type="spellStart"/>
      <w:r w:rsidRPr="002136F3">
        <w:rPr>
          <w:rFonts w:ascii="Times New Roman" w:hAnsi="Times New Roman"/>
          <w:sz w:val="24"/>
          <w:szCs w:val="24"/>
        </w:rPr>
        <w:t>hoặc</w:t>
      </w:r>
      <w:proofErr w:type="spellEnd"/>
      <w:r w:rsidRPr="002136F3" w:rsidDel="00676580">
        <w:rPr>
          <w:rFonts w:ascii="Times New Roman" w:hAnsi="Times New Roman"/>
          <w:sz w:val="24"/>
          <w:szCs w:val="24"/>
        </w:rPr>
        <w:t xml:space="preserve"> </w:t>
      </w:r>
    </w:p>
    <w:p w14:paraId="68CF1B9E" w14:textId="77777777" w:rsidR="00E70229" w:rsidRPr="002136F3" w:rsidRDefault="00E70229" w:rsidP="001F2E8F">
      <w:pPr>
        <w:widowControl w:val="0"/>
        <w:numPr>
          <w:ilvl w:val="0"/>
          <w:numId w:val="3"/>
        </w:numPr>
        <w:overflowPunct w:val="0"/>
        <w:autoSpaceDE w:val="0"/>
        <w:autoSpaceDN w:val="0"/>
        <w:adjustRightInd w:val="0"/>
        <w:spacing w:before="120" w:after="120" w:line="312" w:lineRule="auto"/>
        <w:ind w:left="450" w:right="260" w:firstLine="0"/>
        <w:jc w:val="both"/>
        <w:textAlignment w:val="baseline"/>
        <w:rPr>
          <w:rFonts w:ascii="Times New Roman" w:hAnsi="Times New Roman"/>
          <w:sz w:val="24"/>
          <w:szCs w:val="24"/>
        </w:rPr>
      </w:pPr>
      <w:r w:rsidRPr="002136F3">
        <w:rPr>
          <w:rFonts w:ascii="Times New Roman" w:hAnsi="Times New Roman"/>
          <w:sz w:val="24"/>
          <w:szCs w:val="24"/>
          <w:lang w:val="nb-NO"/>
        </w:rPr>
        <w:t>các khoản cho vay và các khoản phải thu</w:t>
      </w:r>
      <w:r w:rsidRPr="002136F3">
        <w:rPr>
          <w:rFonts w:ascii="Times New Roman" w:hAnsi="Times New Roman"/>
          <w:sz w:val="24"/>
          <w:szCs w:val="24"/>
        </w:rPr>
        <w:t>.</w:t>
      </w:r>
    </w:p>
    <w:p w14:paraId="7991E4D2" w14:textId="77777777" w:rsidR="003569BE" w:rsidRPr="002136F3" w:rsidRDefault="003569BE" w:rsidP="006D5144">
      <w:pPr>
        <w:pStyle w:val="Heading5"/>
        <w:widowControl w:val="0"/>
        <w:numPr>
          <w:ilvl w:val="0"/>
          <w:numId w:val="22"/>
        </w:numPr>
        <w:spacing w:before="220" w:line="240" w:lineRule="auto"/>
        <w:ind w:left="180" w:right="296" w:firstLine="0"/>
        <w:jc w:val="both"/>
        <w:rPr>
          <w:rFonts w:ascii="Times New Roman" w:hAnsi="Times New Roman" w:cs="Times New Roman"/>
          <w:i/>
          <w:sz w:val="24"/>
          <w:szCs w:val="24"/>
          <w:lang w:val="nb-NO"/>
        </w:rPr>
      </w:pPr>
      <w:r w:rsidRPr="002136F3">
        <w:rPr>
          <w:rFonts w:ascii="Times New Roman" w:hAnsi="Times New Roman" w:cs="Times New Roman"/>
          <w:i/>
          <w:color w:val="000000"/>
          <w:sz w:val="24"/>
          <w:szCs w:val="24"/>
          <w:lang w:val="nb-NO"/>
        </w:rPr>
        <w:t>Available-for-sale financial assets</w:t>
      </w:r>
      <w:r w:rsidRPr="002136F3" w:rsidDel="00E71C52">
        <w:rPr>
          <w:rFonts w:ascii="Times New Roman" w:hAnsi="Times New Roman" w:cs="Times New Roman"/>
          <w:i/>
          <w:color w:val="000000"/>
          <w:sz w:val="24"/>
          <w:szCs w:val="24"/>
          <w:lang w:val="nb-NO"/>
        </w:rPr>
        <w:t xml:space="preserve"> </w:t>
      </w:r>
      <w:r w:rsidRPr="002136F3" w:rsidDel="00E45ABE">
        <w:rPr>
          <w:rFonts w:ascii="Times New Roman" w:hAnsi="Times New Roman" w:cs="Times New Roman"/>
          <w:i/>
          <w:color w:val="000000"/>
          <w:sz w:val="24"/>
          <w:szCs w:val="24"/>
          <w:lang w:val="nb-NO"/>
        </w:rPr>
        <w:t xml:space="preserve"> </w:t>
      </w:r>
    </w:p>
    <w:p w14:paraId="6D0453FB" w14:textId="77777777" w:rsidR="003569BE" w:rsidRPr="002136F3" w:rsidRDefault="003569BE" w:rsidP="006D5144">
      <w:pPr>
        <w:keepNext/>
        <w:widowControl w:val="0"/>
        <w:ind w:left="180" w:right="296"/>
        <w:jc w:val="both"/>
        <w:rPr>
          <w:rFonts w:ascii="Times New Roman" w:hAnsi="Times New Roman"/>
          <w:i/>
          <w:sz w:val="24"/>
          <w:szCs w:val="24"/>
          <w:lang w:val="nb-NO"/>
        </w:rPr>
      </w:pPr>
      <w:r w:rsidRPr="002136F3">
        <w:rPr>
          <w:rFonts w:ascii="Times New Roman" w:hAnsi="Times New Roman"/>
          <w:i/>
          <w:sz w:val="24"/>
          <w:szCs w:val="24"/>
        </w:rPr>
        <w:t>Available-for-sale financial assets are non-derivative financial assets that are designated as available for sale or those are not classified as:</w:t>
      </w:r>
    </w:p>
    <w:p w14:paraId="3633DED1" w14:textId="77777777" w:rsidR="003569BE" w:rsidRPr="002136F3" w:rsidRDefault="003569BE" w:rsidP="006D5144">
      <w:pPr>
        <w:keepNext/>
        <w:keepLines/>
        <w:widowControl w:val="0"/>
        <w:numPr>
          <w:ilvl w:val="0"/>
          <w:numId w:val="3"/>
        </w:numPr>
        <w:overflowPunct w:val="0"/>
        <w:autoSpaceDE w:val="0"/>
        <w:autoSpaceDN w:val="0"/>
        <w:adjustRightInd w:val="0"/>
        <w:spacing w:after="60" w:line="240" w:lineRule="auto"/>
        <w:ind w:left="450" w:right="296" w:firstLine="0"/>
        <w:jc w:val="both"/>
        <w:textAlignment w:val="baseline"/>
        <w:rPr>
          <w:rFonts w:ascii="Times New Roman" w:hAnsi="Times New Roman"/>
          <w:i/>
          <w:sz w:val="24"/>
          <w:szCs w:val="24"/>
          <w:lang w:val="nb-NO"/>
        </w:rPr>
      </w:pPr>
      <w:r w:rsidRPr="002136F3">
        <w:rPr>
          <w:rFonts w:ascii="Times New Roman" w:hAnsi="Times New Roman"/>
          <w:i/>
          <w:sz w:val="24"/>
          <w:szCs w:val="24"/>
        </w:rPr>
        <w:t xml:space="preserve">financial assets at fair value through profit or </w:t>
      </w:r>
      <w:proofErr w:type="gramStart"/>
      <w:r w:rsidRPr="002136F3">
        <w:rPr>
          <w:rFonts w:ascii="Times New Roman" w:hAnsi="Times New Roman"/>
          <w:i/>
          <w:sz w:val="24"/>
          <w:szCs w:val="24"/>
        </w:rPr>
        <w:t>loss;</w:t>
      </w:r>
      <w:proofErr w:type="gramEnd"/>
    </w:p>
    <w:p w14:paraId="7EF7C818" w14:textId="77777777" w:rsidR="003569BE" w:rsidRPr="002136F3" w:rsidRDefault="003569BE" w:rsidP="006D5144">
      <w:pPr>
        <w:keepNext/>
        <w:keepLines/>
        <w:widowControl w:val="0"/>
        <w:numPr>
          <w:ilvl w:val="0"/>
          <w:numId w:val="3"/>
        </w:numPr>
        <w:overflowPunct w:val="0"/>
        <w:autoSpaceDE w:val="0"/>
        <w:autoSpaceDN w:val="0"/>
        <w:adjustRightInd w:val="0"/>
        <w:spacing w:after="60" w:line="240" w:lineRule="auto"/>
        <w:ind w:left="450" w:right="296" w:firstLine="0"/>
        <w:jc w:val="both"/>
        <w:textAlignment w:val="baseline"/>
        <w:rPr>
          <w:rFonts w:ascii="Times New Roman" w:hAnsi="Times New Roman"/>
          <w:i/>
          <w:sz w:val="24"/>
          <w:szCs w:val="24"/>
          <w:lang w:val="nb-NO"/>
        </w:rPr>
      </w:pPr>
      <w:r w:rsidRPr="002136F3">
        <w:rPr>
          <w:rFonts w:ascii="Times New Roman" w:hAnsi="Times New Roman"/>
          <w:i/>
          <w:sz w:val="24"/>
          <w:szCs w:val="24"/>
        </w:rPr>
        <w:t>held-to-maturity investments; or</w:t>
      </w:r>
      <w:r w:rsidRPr="002136F3" w:rsidDel="00E71C52">
        <w:rPr>
          <w:rFonts w:ascii="Times New Roman" w:hAnsi="Times New Roman"/>
          <w:i/>
          <w:color w:val="000000"/>
          <w:sz w:val="24"/>
          <w:szCs w:val="24"/>
          <w:lang w:val="nb-NO"/>
        </w:rPr>
        <w:t xml:space="preserve"> </w:t>
      </w:r>
      <w:r w:rsidRPr="002136F3" w:rsidDel="004945E4">
        <w:rPr>
          <w:rFonts w:ascii="Times New Roman" w:hAnsi="Times New Roman"/>
          <w:i/>
          <w:sz w:val="24"/>
          <w:szCs w:val="24"/>
          <w:lang w:val="nb-NO"/>
        </w:rPr>
        <w:t xml:space="preserve"> </w:t>
      </w:r>
      <w:r w:rsidRPr="002136F3" w:rsidDel="00E45ABE">
        <w:rPr>
          <w:rFonts w:ascii="Times New Roman" w:hAnsi="Times New Roman"/>
          <w:i/>
          <w:color w:val="000000"/>
          <w:sz w:val="24"/>
          <w:szCs w:val="24"/>
          <w:lang w:val="nb-NO"/>
        </w:rPr>
        <w:t xml:space="preserve"> </w:t>
      </w:r>
      <w:r w:rsidRPr="002136F3" w:rsidDel="00676580">
        <w:rPr>
          <w:rFonts w:ascii="Times New Roman" w:hAnsi="Times New Roman"/>
          <w:i/>
          <w:sz w:val="24"/>
          <w:szCs w:val="24"/>
          <w:lang w:val="nb-NO"/>
        </w:rPr>
        <w:t xml:space="preserve"> </w:t>
      </w:r>
    </w:p>
    <w:p w14:paraId="02C44E90" w14:textId="77777777" w:rsidR="003569BE" w:rsidRPr="002136F3" w:rsidRDefault="003569BE" w:rsidP="006D5144">
      <w:pPr>
        <w:keepNext/>
        <w:keepLines/>
        <w:widowControl w:val="0"/>
        <w:numPr>
          <w:ilvl w:val="0"/>
          <w:numId w:val="3"/>
        </w:numPr>
        <w:overflowPunct w:val="0"/>
        <w:autoSpaceDE w:val="0"/>
        <w:autoSpaceDN w:val="0"/>
        <w:adjustRightInd w:val="0"/>
        <w:spacing w:after="0" w:line="240" w:lineRule="auto"/>
        <w:ind w:left="450" w:right="296" w:firstLine="0"/>
        <w:jc w:val="both"/>
        <w:textAlignment w:val="baseline"/>
        <w:rPr>
          <w:rFonts w:ascii="Times New Roman" w:hAnsi="Times New Roman"/>
          <w:i/>
          <w:sz w:val="24"/>
          <w:szCs w:val="24"/>
          <w:lang w:val="nb-NO"/>
        </w:rPr>
      </w:pPr>
      <w:r w:rsidRPr="002136F3">
        <w:rPr>
          <w:rFonts w:ascii="Times New Roman" w:hAnsi="Times New Roman"/>
          <w:i/>
          <w:sz w:val="24"/>
          <w:szCs w:val="24"/>
        </w:rPr>
        <w:t>loans and receivables.</w:t>
      </w:r>
    </w:p>
    <w:p w14:paraId="053A0B71" w14:textId="08337D46" w:rsidR="004122F6" w:rsidRPr="00726CC5" w:rsidRDefault="00E70229" w:rsidP="0051259B">
      <w:pPr>
        <w:shd w:val="clear" w:color="auto" w:fill="FFFFFF"/>
        <w:spacing w:before="120" w:after="120" w:line="312" w:lineRule="auto"/>
        <w:ind w:left="180" w:right="260"/>
        <w:jc w:val="both"/>
        <w:rPr>
          <w:rFonts w:ascii="Times New Roman" w:hAnsi="Times New Roman"/>
          <w:b/>
          <w:i/>
          <w:sz w:val="24"/>
          <w:szCs w:val="24"/>
          <w:lang w:val="vi-VN"/>
        </w:rPr>
      </w:pPr>
      <w:r w:rsidRPr="002136F3">
        <w:rPr>
          <w:rFonts w:ascii="Times New Roman" w:hAnsi="Times New Roman"/>
          <w:b/>
          <w:i/>
          <w:sz w:val="24"/>
          <w:szCs w:val="24"/>
          <w:lang w:val="nl-NL"/>
        </w:rPr>
        <w:t>ii)</w:t>
      </w:r>
      <w:r w:rsidRPr="002136F3">
        <w:rPr>
          <w:rFonts w:ascii="Times New Roman" w:hAnsi="Times New Roman"/>
          <w:b/>
          <w:i/>
          <w:sz w:val="24"/>
          <w:szCs w:val="24"/>
          <w:lang w:val="nl-NL"/>
        </w:rPr>
        <w:tab/>
        <w:t>Nợ phải trả tài chính</w:t>
      </w:r>
      <w:r w:rsidRPr="002136F3" w:rsidDel="00676580">
        <w:rPr>
          <w:rFonts w:ascii="Times New Roman" w:hAnsi="Times New Roman"/>
          <w:b/>
          <w:i/>
          <w:sz w:val="24"/>
          <w:szCs w:val="24"/>
          <w:lang w:val="nl-NL"/>
        </w:rPr>
        <w:t xml:space="preserve"> </w:t>
      </w:r>
      <w:r w:rsidR="00726CC5">
        <w:rPr>
          <w:rFonts w:ascii="Times New Roman" w:hAnsi="Times New Roman"/>
          <w:b/>
          <w:i/>
          <w:sz w:val="24"/>
          <w:szCs w:val="24"/>
          <w:lang w:val="vi-VN"/>
        </w:rPr>
        <w:t>/ Financial Liabilities</w:t>
      </w:r>
    </w:p>
    <w:p w14:paraId="6C63624C" w14:textId="70CD7992" w:rsidR="00E70229" w:rsidRPr="00726CC5" w:rsidRDefault="004122F6" w:rsidP="001F2E8F">
      <w:pPr>
        <w:pStyle w:val="ListParagraph"/>
        <w:numPr>
          <w:ilvl w:val="0"/>
          <w:numId w:val="22"/>
        </w:numPr>
        <w:shd w:val="clear" w:color="auto" w:fill="FFFFFF"/>
        <w:spacing w:before="120" w:after="120" w:line="312" w:lineRule="auto"/>
        <w:ind w:left="180" w:right="260" w:firstLine="0"/>
        <w:jc w:val="both"/>
        <w:rPr>
          <w:rFonts w:ascii="Times New Roman" w:hAnsi="Times New Roman"/>
          <w:bCs/>
          <w:i/>
          <w:sz w:val="24"/>
          <w:szCs w:val="24"/>
          <w:lang w:val="nl-NL"/>
        </w:rPr>
      </w:pPr>
      <w:r w:rsidRPr="00726CC5">
        <w:rPr>
          <w:rFonts w:ascii="Times New Roman" w:hAnsi="Times New Roman"/>
          <w:bCs/>
          <w:i/>
          <w:sz w:val="24"/>
          <w:szCs w:val="24"/>
          <w:lang w:val="nl-NL"/>
        </w:rPr>
        <w:t>Nợ</w:t>
      </w:r>
      <w:r w:rsidRPr="00726CC5">
        <w:rPr>
          <w:rFonts w:ascii="Times New Roman" w:hAnsi="Times New Roman"/>
          <w:bCs/>
          <w:i/>
          <w:sz w:val="24"/>
          <w:szCs w:val="24"/>
          <w:lang w:val="vi-VN"/>
        </w:rPr>
        <w:t xml:space="preserve"> phải trả tài chính </w:t>
      </w:r>
      <w:r w:rsidR="00E70229" w:rsidRPr="00726CC5">
        <w:rPr>
          <w:rFonts w:ascii="Times New Roman" w:hAnsi="Times New Roman"/>
          <w:bCs/>
          <w:i/>
          <w:sz w:val="24"/>
          <w:szCs w:val="24"/>
          <w:lang w:val="nl-NL"/>
        </w:rPr>
        <w:t xml:space="preserve">được xác định theo giá trị hợp lý thông qua Báo cáo thu nhập </w:t>
      </w:r>
    </w:p>
    <w:p w14:paraId="3BBEFF03" w14:textId="77777777" w:rsidR="00E70229" w:rsidRPr="00726CC5" w:rsidRDefault="00E70229" w:rsidP="0051259B">
      <w:pPr>
        <w:widowControl w:val="0"/>
        <w:spacing w:before="120" w:after="120" w:line="312" w:lineRule="auto"/>
        <w:ind w:left="180" w:right="260"/>
        <w:jc w:val="both"/>
        <w:rPr>
          <w:rFonts w:ascii="Times New Roman" w:hAnsi="Times New Roman"/>
          <w:iCs/>
          <w:sz w:val="24"/>
          <w:szCs w:val="24"/>
        </w:rPr>
      </w:pPr>
      <w:r w:rsidRPr="00726CC5">
        <w:rPr>
          <w:rFonts w:ascii="Times New Roman" w:hAnsi="Times New Roman"/>
          <w:iCs/>
          <w:sz w:val="24"/>
          <w:szCs w:val="24"/>
          <w:lang w:val="nb-NO"/>
        </w:rPr>
        <w:t xml:space="preserve">Nợ phải trả tài chính </w:t>
      </w:r>
      <w:r w:rsidRPr="00726CC5">
        <w:rPr>
          <w:rFonts w:ascii="Times New Roman" w:hAnsi="Times New Roman"/>
          <w:bCs/>
          <w:iCs/>
          <w:sz w:val="24"/>
          <w:szCs w:val="24"/>
          <w:lang w:val="nb-NO"/>
        </w:rPr>
        <w:t xml:space="preserve">được xác định theo giá trị hợp lý thông qua Báo cáo thu nhập là </w:t>
      </w:r>
      <w:r w:rsidRPr="00726CC5">
        <w:rPr>
          <w:rFonts w:ascii="Times New Roman" w:hAnsi="Times New Roman"/>
          <w:iCs/>
          <w:sz w:val="24"/>
          <w:szCs w:val="24"/>
          <w:lang w:val="nb-NO"/>
        </w:rPr>
        <w:t>một khoản nợ phải trả tài chính thỏa mãn một trong các điều kiện sau</w:t>
      </w:r>
      <w:r w:rsidRPr="00726CC5">
        <w:rPr>
          <w:rFonts w:ascii="Times New Roman" w:hAnsi="Times New Roman"/>
          <w:iCs/>
          <w:sz w:val="24"/>
          <w:szCs w:val="24"/>
        </w:rPr>
        <w:t>:</w:t>
      </w:r>
    </w:p>
    <w:p w14:paraId="2949E43E" w14:textId="77777777" w:rsidR="00E70229" w:rsidRPr="00726CC5" w:rsidRDefault="00E70229" w:rsidP="001F2E8F">
      <w:pPr>
        <w:widowControl w:val="0"/>
        <w:numPr>
          <w:ilvl w:val="0"/>
          <w:numId w:val="3"/>
        </w:numPr>
        <w:overflowPunct w:val="0"/>
        <w:autoSpaceDE w:val="0"/>
        <w:autoSpaceDN w:val="0"/>
        <w:adjustRightInd w:val="0"/>
        <w:spacing w:before="120" w:after="120" w:line="312" w:lineRule="auto"/>
        <w:ind w:left="450" w:right="260" w:firstLine="0"/>
        <w:jc w:val="both"/>
        <w:textAlignment w:val="baseline"/>
        <w:rPr>
          <w:rFonts w:ascii="Times New Roman" w:hAnsi="Times New Roman"/>
          <w:iCs/>
          <w:sz w:val="24"/>
          <w:szCs w:val="24"/>
        </w:rPr>
      </w:pPr>
      <w:proofErr w:type="spellStart"/>
      <w:r w:rsidRPr="00726CC5">
        <w:rPr>
          <w:rFonts w:ascii="Times New Roman" w:hAnsi="Times New Roman"/>
          <w:iCs/>
          <w:sz w:val="24"/>
          <w:szCs w:val="24"/>
        </w:rPr>
        <w:t>Nợ</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phải</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trả</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tài</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chính</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được</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Quỹ</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phân</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loại</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vào</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nhóm</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nắm</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giữ</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để</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kinh</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doanh</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Một</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khoản</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nợ</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phải</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trả</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tài</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chính</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được</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phân</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loại</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vào</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nhóm</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nắm</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giữ</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để</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kinh</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doanh</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nếu</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thỏa</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mãn</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một</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trong</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các</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điều</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kiện</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sau</w:t>
      </w:r>
      <w:proofErr w:type="spellEnd"/>
      <w:r w:rsidRPr="00726CC5">
        <w:rPr>
          <w:rFonts w:ascii="Times New Roman" w:hAnsi="Times New Roman"/>
          <w:iCs/>
          <w:sz w:val="24"/>
          <w:szCs w:val="24"/>
        </w:rPr>
        <w:t>:</w:t>
      </w:r>
    </w:p>
    <w:p w14:paraId="12C5E350" w14:textId="50E288F6" w:rsidR="00E70229" w:rsidRPr="00726CC5" w:rsidRDefault="00E70229" w:rsidP="00726CC5">
      <w:pPr>
        <w:widowControl w:val="0"/>
        <w:spacing w:before="120" w:after="120" w:line="312" w:lineRule="auto"/>
        <w:ind w:left="990" w:right="260"/>
        <w:jc w:val="both"/>
        <w:rPr>
          <w:rFonts w:ascii="Times New Roman" w:hAnsi="Times New Roman"/>
          <w:iCs/>
          <w:sz w:val="24"/>
          <w:szCs w:val="24"/>
        </w:rPr>
      </w:pPr>
      <w:r w:rsidRPr="00726CC5">
        <w:rPr>
          <w:rFonts w:ascii="Times New Roman" w:hAnsi="Times New Roman"/>
          <w:iCs/>
          <w:sz w:val="24"/>
          <w:szCs w:val="24"/>
        </w:rPr>
        <w:t>-</w:t>
      </w:r>
      <w:r w:rsidR="00726CC5">
        <w:rPr>
          <w:rFonts w:ascii="Times New Roman" w:hAnsi="Times New Roman"/>
          <w:iCs/>
          <w:sz w:val="24"/>
          <w:szCs w:val="24"/>
          <w:lang w:val="vi-VN"/>
        </w:rPr>
        <w:t xml:space="preserve"> </w:t>
      </w:r>
      <w:proofErr w:type="spellStart"/>
      <w:r w:rsidRPr="00726CC5">
        <w:rPr>
          <w:rFonts w:ascii="Times New Roman" w:hAnsi="Times New Roman"/>
          <w:iCs/>
          <w:sz w:val="24"/>
          <w:szCs w:val="24"/>
        </w:rPr>
        <w:t>được</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tạo</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ra</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chủ</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yếu</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cho</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mục</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đích</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mua</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lại</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trong</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thời</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gian</w:t>
      </w:r>
      <w:proofErr w:type="spellEnd"/>
      <w:r w:rsidRPr="00726CC5">
        <w:rPr>
          <w:rFonts w:ascii="Times New Roman" w:hAnsi="Times New Roman"/>
          <w:iCs/>
          <w:sz w:val="24"/>
          <w:szCs w:val="24"/>
        </w:rPr>
        <w:t xml:space="preserve"> </w:t>
      </w:r>
      <w:proofErr w:type="spellStart"/>
      <w:proofErr w:type="gramStart"/>
      <w:r w:rsidRPr="00726CC5">
        <w:rPr>
          <w:rFonts w:ascii="Times New Roman" w:hAnsi="Times New Roman"/>
          <w:iCs/>
          <w:sz w:val="24"/>
          <w:szCs w:val="24"/>
        </w:rPr>
        <w:t>ngắn</w:t>
      </w:r>
      <w:proofErr w:type="spellEnd"/>
      <w:r w:rsidRPr="00726CC5">
        <w:rPr>
          <w:rFonts w:ascii="Times New Roman" w:hAnsi="Times New Roman"/>
          <w:iCs/>
          <w:sz w:val="24"/>
          <w:szCs w:val="24"/>
        </w:rPr>
        <w:t>;</w:t>
      </w:r>
      <w:proofErr w:type="gramEnd"/>
    </w:p>
    <w:p w14:paraId="4CAE1DCC" w14:textId="156AD334" w:rsidR="00E70229" w:rsidRPr="00726CC5" w:rsidRDefault="00E70229" w:rsidP="00726CC5">
      <w:pPr>
        <w:widowControl w:val="0"/>
        <w:spacing w:before="120" w:after="120" w:line="312" w:lineRule="auto"/>
        <w:ind w:left="990" w:right="260"/>
        <w:jc w:val="both"/>
        <w:rPr>
          <w:rFonts w:ascii="Times New Roman" w:hAnsi="Times New Roman"/>
          <w:iCs/>
          <w:sz w:val="24"/>
          <w:szCs w:val="24"/>
        </w:rPr>
      </w:pPr>
      <w:r w:rsidRPr="00726CC5">
        <w:rPr>
          <w:rFonts w:ascii="Times New Roman" w:hAnsi="Times New Roman"/>
          <w:iCs/>
          <w:sz w:val="24"/>
          <w:szCs w:val="24"/>
        </w:rPr>
        <w:t>-</w:t>
      </w:r>
      <w:r w:rsidR="00726CC5">
        <w:rPr>
          <w:rFonts w:ascii="Times New Roman" w:hAnsi="Times New Roman"/>
          <w:iCs/>
          <w:sz w:val="24"/>
          <w:szCs w:val="24"/>
          <w:lang w:val="vi-VN"/>
        </w:rPr>
        <w:t xml:space="preserve"> </w:t>
      </w:r>
      <w:r w:rsidRPr="00726CC5">
        <w:rPr>
          <w:rFonts w:ascii="Times New Roman" w:hAnsi="Times New Roman"/>
          <w:iCs/>
          <w:sz w:val="24"/>
          <w:szCs w:val="24"/>
          <w:lang w:val="nb-NO"/>
        </w:rPr>
        <w:t>có bằng chứng về việc kinh doanh công cụ đó nhằm mục đích thu lợi ngắn hạn; hoặc</w:t>
      </w:r>
      <w:r w:rsidRPr="00726CC5" w:rsidDel="005B014C">
        <w:rPr>
          <w:rFonts w:ascii="Times New Roman" w:hAnsi="Times New Roman"/>
          <w:iCs/>
          <w:sz w:val="24"/>
          <w:szCs w:val="24"/>
        </w:rPr>
        <w:t xml:space="preserve"> </w:t>
      </w:r>
    </w:p>
    <w:p w14:paraId="4EB9FB9E" w14:textId="19882612" w:rsidR="00803943" w:rsidRPr="00726CC5" w:rsidRDefault="00E70229" w:rsidP="00726CC5">
      <w:pPr>
        <w:widowControl w:val="0"/>
        <w:spacing w:before="120" w:after="120" w:line="312" w:lineRule="auto"/>
        <w:ind w:left="990" w:right="260"/>
        <w:jc w:val="both"/>
        <w:rPr>
          <w:rFonts w:ascii="Times New Roman" w:hAnsi="Times New Roman"/>
          <w:iCs/>
          <w:sz w:val="24"/>
          <w:szCs w:val="24"/>
        </w:rPr>
      </w:pPr>
      <w:r w:rsidRPr="00726CC5">
        <w:rPr>
          <w:rFonts w:ascii="Times New Roman" w:hAnsi="Times New Roman"/>
          <w:iCs/>
          <w:sz w:val="24"/>
          <w:szCs w:val="24"/>
        </w:rPr>
        <w:t>-</w:t>
      </w:r>
      <w:r w:rsidR="00726CC5">
        <w:rPr>
          <w:rFonts w:ascii="Times New Roman" w:hAnsi="Times New Roman"/>
          <w:iCs/>
          <w:sz w:val="24"/>
          <w:szCs w:val="24"/>
          <w:lang w:val="vi-VN"/>
        </w:rPr>
        <w:t xml:space="preserve"> </w:t>
      </w:r>
      <w:proofErr w:type="spellStart"/>
      <w:r w:rsidRPr="00726CC5">
        <w:rPr>
          <w:rFonts w:ascii="Times New Roman" w:hAnsi="Times New Roman"/>
          <w:iCs/>
          <w:sz w:val="24"/>
          <w:szCs w:val="24"/>
        </w:rPr>
        <w:t>công</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cụ</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tài</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chính</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phái</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sinh</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ngoại</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trừ</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các</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công</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cụ</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tài</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chính</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phái</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sinh</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được</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xác</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định</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là</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một</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hợp</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đồng</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bảo</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lãnh</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tài</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chính</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hoặc</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một</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công</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cụ</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phòng</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ngừa</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rủi</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ro</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hiệu</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quả</w:t>
      </w:r>
      <w:proofErr w:type="spellEnd"/>
      <w:r w:rsidRPr="00726CC5">
        <w:rPr>
          <w:rFonts w:ascii="Times New Roman" w:hAnsi="Times New Roman"/>
          <w:iCs/>
          <w:sz w:val="24"/>
          <w:szCs w:val="24"/>
        </w:rPr>
        <w:t>).</w:t>
      </w:r>
    </w:p>
    <w:p w14:paraId="4FF6B470" w14:textId="77777777" w:rsidR="00803943" w:rsidRPr="00726CC5" w:rsidRDefault="00E70229" w:rsidP="001F2E8F">
      <w:pPr>
        <w:widowControl w:val="0"/>
        <w:numPr>
          <w:ilvl w:val="0"/>
          <w:numId w:val="3"/>
        </w:numPr>
        <w:overflowPunct w:val="0"/>
        <w:autoSpaceDE w:val="0"/>
        <w:autoSpaceDN w:val="0"/>
        <w:adjustRightInd w:val="0"/>
        <w:spacing w:before="120" w:after="120" w:line="312" w:lineRule="auto"/>
        <w:ind w:left="450" w:right="260" w:firstLine="0"/>
        <w:jc w:val="both"/>
        <w:textAlignment w:val="baseline"/>
        <w:rPr>
          <w:rFonts w:ascii="Times New Roman" w:hAnsi="Times New Roman"/>
          <w:iCs/>
          <w:sz w:val="24"/>
          <w:szCs w:val="24"/>
        </w:rPr>
      </w:pPr>
      <w:proofErr w:type="spellStart"/>
      <w:r w:rsidRPr="00726CC5">
        <w:rPr>
          <w:rFonts w:ascii="Times New Roman" w:hAnsi="Times New Roman"/>
          <w:iCs/>
          <w:sz w:val="24"/>
          <w:szCs w:val="24"/>
        </w:rPr>
        <w:t>Tại</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thời</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điểm</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ghi</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nhận</w:t>
      </w:r>
      <w:proofErr w:type="spellEnd"/>
      <w:r w:rsidRPr="00726CC5">
        <w:rPr>
          <w:rFonts w:ascii="Times New Roman" w:hAnsi="Times New Roman"/>
          <w:iCs/>
          <w:sz w:val="24"/>
          <w:szCs w:val="24"/>
        </w:rPr>
        <w:t xml:space="preserve"> ban </w:t>
      </w:r>
      <w:proofErr w:type="spellStart"/>
      <w:r w:rsidRPr="00726CC5">
        <w:rPr>
          <w:rFonts w:ascii="Times New Roman" w:hAnsi="Times New Roman"/>
          <w:iCs/>
          <w:sz w:val="24"/>
          <w:szCs w:val="24"/>
        </w:rPr>
        <w:t>đầu</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Quỹ</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xếp</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nợ</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phải</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trả</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tài</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chính</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vào</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nhóm</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xác</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định</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theo</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giá</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lastRenderedPageBreak/>
        <w:t>trị</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hợp</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lý</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thông</w:t>
      </w:r>
      <w:proofErr w:type="spellEnd"/>
      <w:r w:rsidRPr="00726CC5">
        <w:rPr>
          <w:rFonts w:ascii="Times New Roman" w:hAnsi="Times New Roman"/>
          <w:iCs/>
          <w:sz w:val="24"/>
          <w:szCs w:val="24"/>
        </w:rPr>
        <w:t xml:space="preserve"> qua </w:t>
      </w:r>
      <w:proofErr w:type="spellStart"/>
      <w:r w:rsidRPr="00726CC5">
        <w:rPr>
          <w:rFonts w:ascii="Times New Roman" w:hAnsi="Times New Roman"/>
          <w:iCs/>
          <w:sz w:val="24"/>
          <w:szCs w:val="24"/>
        </w:rPr>
        <w:t>Báo</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cáo</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thu</w:t>
      </w:r>
      <w:proofErr w:type="spellEnd"/>
      <w:r w:rsidRPr="00726CC5">
        <w:rPr>
          <w:rFonts w:ascii="Times New Roman" w:hAnsi="Times New Roman"/>
          <w:iCs/>
          <w:sz w:val="24"/>
          <w:szCs w:val="24"/>
        </w:rPr>
        <w:t xml:space="preserve"> </w:t>
      </w:r>
      <w:proofErr w:type="spellStart"/>
      <w:r w:rsidRPr="00726CC5">
        <w:rPr>
          <w:rFonts w:ascii="Times New Roman" w:hAnsi="Times New Roman"/>
          <w:iCs/>
          <w:sz w:val="24"/>
          <w:szCs w:val="24"/>
        </w:rPr>
        <w:t>nhập</w:t>
      </w:r>
      <w:proofErr w:type="spellEnd"/>
      <w:r w:rsidRPr="00726CC5">
        <w:rPr>
          <w:rFonts w:ascii="Times New Roman" w:hAnsi="Times New Roman"/>
          <w:iCs/>
          <w:sz w:val="24"/>
          <w:szCs w:val="24"/>
        </w:rPr>
        <w:t>.</w:t>
      </w:r>
    </w:p>
    <w:p w14:paraId="2EB96A25" w14:textId="77777777" w:rsidR="004122F6" w:rsidRPr="002136F3" w:rsidRDefault="004122F6" w:rsidP="006D5144">
      <w:pPr>
        <w:pStyle w:val="ListParagraph"/>
        <w:numPr>
          <w:ilvl w:val="0"/>
          <w:numId w:val="22"/>
        </w:numPr>
        <w:spacing w:before="120" w:after="120"/>
        <w:ind w:left="180" w:right="296" w:firstLine="0"/>
        <w:jc w:val="both"/>
        <w:rPr>
          <w:rFonts w:ascii="Times New Roman" w:hAnsi="Times New Roman"/>
          <w:i/>
          <w:iCs/>
          <w:color w:val="000000"/>
          <w:sz w:val="24"/>
          <w:szCs w:val="24"/>
          <w:lang w:val="nb-NO"/>
        </w:rPr>
      </w:pPr>
      <w:r w:rsidRPr="002136F3">
        <w:rPr>
          <w:rFonts w:ascii="Times New Roman" w:hAnsi="Times New Roman"/>
          <w:i/>
          <w:iCs/>
          <w:color w:val="000000"/>
          <w:sz w:val="24"/>
          <w:szCs w:val="24"/>
        </w:rPr>
        <w:t>Financial liabilities at fair value through profit or loss</w:t>
      </w:r>
      <w:r w:rsidRPr="002136F3" w:rsidDel="00E71C52">
        <w:rPr>
          <w:rFonts w:ascii="Times New Roman" w:hAnsi="Times New Roman"/>
          <w:i/>
          <w:iCs/>
          <w:color w:val="000000"/>
          <w:sz w:val="24"/>
          <w:szCs w:val="24"/>
          <w:lang w:val="nb-NO"/>
        </w:rPr>
        <w:t xml:space="preserve"> </w:t>
      </w:r>
    </w:p>
    <w:p w14:paraId="1A29E662" w14:textId="77777777" w:rsidR="004122F6" w:rsidRPr="002136F3" w:rsidRDefault="004122F6" w:rsidP="006D5144">
      <w:pPr>
        <w:ind w:left="180" w:right="296"/>
        <w:jc w:val="both"/>
        <w:rPr>
          <w:rFonts w:ascii="Times New Roman" w:hAnsi="Times New Roman"/>
          <w:i/>
          <w:iCs/>
          <w:color w:val="000000"/>
          <w:sz w:val="24"/>
          <w:szCs w:val="24"/>
        </w:rPr>
      </w:pPr>
      <w:r w:rsidRPr="002136F3">
        <w:rPr>
          <w:rFonts w:ascii="Times New Roman" w:hAnsi="Times New Roman"/>
          <w:i/>
          <w:iCs/>
          <w:color w:val="000000"/>
          <w:sz w:val="24"/>
          <w:szCs w:val="24"/>
          <w:lang w:val="nb-NO"/>
        </w:rPr>
        <w:t>A financial liability at fair value through profit or loss is a financial liability that meets either of the following conditions</w:t>
      </w:r>
      <w:r w:rsidRPr="002136F3">
        <w:rPr>
          <w:rFonts w:ascii="Times New Roman" w:hAnsi="Times New Roman"/>
          <w:i/>
          <w:iCs/>
          <w:color w:val="000000"/>
          <w:sz w:val="24"/>
          <w:szCs w:val="24"/>
        </w:rPr>
        <w:t>:</w:t>
      </w:r>
    </w:p>
    <w:p w14:paraId="1BE655B8" w14:textId="77777777" w:rsidR="004122F6" w:rsidRPr="002136F3" w:rsidRDefault="004122F6" w:rsidP="006D5144">
      <w:pPr>
        <w:numPr>
          <w:ilvl w:val="0"/>
          <w:numId w:val="3"/>
        </w:numPr>
        <w:overflowPunct w:val="0"/>
        <w:autoSpaceDE w:val="0"/>
        <w:autoSpaceDN w:val="0"/>
        <w:adjustRightInd w:val="0"/>
        <w:spacing w:after="0" w:line="240" w:lineRule="auto"/>
        <w:ind w:left="450" w:right="296" w:firstLine="0"/>
        <w:jc w:val="both"/>
        <w:textAlignment w:val="baseline"/>
        <w:rPr>
          <w:rFonts w:ascii="Times New Roman" w:hAnsi="Times New Roman"/>
          <w:i/>
          <w:iCs/>
          <w:sz w:val="24"/>
          <w:szCs w:val="24"/>
          <w:lang w:val="nb-NO"/>
        </w:rPr>
      </w:pPr>
      <w:r w:rsidRPr="002136F3">
        <w:rPr>
          <w:rFonts w:ascii="Times New Roman" w:hAnsi="Times New Roman"/>
          <w:i/>
          <w:iCs/>
          <w:sz w:val="24"/>
          <w:szCs w:val="24"/>
        </w:rPr>
        <w:t>It is considered as held for trading.  A financial liability is considered as held for trading if:</w:t>
      </w:r>
    </w:p>
    <w:p w14:paraId="560E000D" w14:textId="1AB35691" w:rsidR="004122F6" w:rsidRPr="002136F3" w:rsidRDefault="004122F6" w:rsidP="006D5144">
      <w:pPr>
        <w:spacing w:after="60"/>
        <w:ind w:left="990" w:right="296"/>
        <w:jc w:val="both"/>
        <w:rPr>
          <w:rFonts w:ascii="Times New Roman" w:hAnsi="Times New Roman"/>
          <w:i/>
          <w:iCs/>
          <w:sz w:val="24"/>
          <w:szCs w:val="24"/>
          <w:lang w:val="nb-NO"/>
        </w:rPr>
      </w:pPr>
      <w:r w:rsidRPr="002136F3">
        <w:rPr>
          <w:rFonts w:ascii="Times New Roman" w:hAnsi="Times New Roman"/>
          <w:i/>
          <w:iCs/>
          <w:sz w:val="24"/>
          <w:szCs w:val="24"/>
          <w:lang w:val="nb-NO"/>
        </w:rPr>
        <w:t>-</w:t>
      </w:r>
      <w:r w:rsidR="00726CC5">
        <w:rPr>
          <w:rFonts w:ascii="Times New Roman" w:hAnsi="Times New Roman"/>
          <w:i/>
          <w:iCs/>
          <w:sz w:val="24"/>
          <w:szCs w:val="24"/>
          <w:lang w:val="vi-VN"/>
        </w:rPr>
        <w:t xml:space="preserve"> </w:t>
      </w:r>
      <w:r w:rsidRPr="002136F3">
        <w:rPr>
          <w:rFonts w:ascii="Times New Roman" w:hAnsi="Times New Roman"/>
          <w:i/>
          <w:iCs/>
          <w:sz w:val="24"/>
          <w:szCs w:val="24"/>
        </w:rPr>
        <w:t>it is incurred principally for the purpose of repurchasing it in the near term;</w:t>
      </w:r>
    </w:p>
    <w:p w14:paraId="7224CFDB" w14:textId="1AF5BD2D" w:rsidR="004122F6" w:rsidRPr="002136F3" w:rsidRDefault="004122F6" w:rsidP="006D5144">
      <w:pPr>
        <w:spacing w:after="60"/>
        <w:ind w:left="990" w:right="296"/>
        <w:jc w:val="both"/>
        <w:rPr>
          <w:rFonts w:ascii="Times New Roman" w:hAnsi="Times New Roman"/>
          <w:i/>
          <w:iCs/>
          <w:sz w:val="24"/>
          <w:szCs w:val="24"/>
          <w:lang w:val="nb-NO"/>
        </w:rPr>
      </w:pPr>
      <w:r w:rsidRPr="002136F3">
        <w:rPr>
          <w:rFonts w:ascii="Times New Roman" w:hAnsi="Times New Roman"/>
          <w:i/>
          <w:iCs/>
          <w:sz w:val="24"/>
          <w:szCs w:val="24"/>
          <w:lang w:val="nb-NO"/>
        </w:rPr>
        <w:t>-</w:t>
      </w:r>
      <w:r w:rsidR="00726CC5">
        <w:rPr>
          <w:rFonts w:ascii="Times New Roman" w:hAnsi="Times New Roman"/>
          <w:i/>
          <w:iCs/>
          <w:sz w:val="24"/>
          <w:szCs w:val="24"/>
          <w:lang w:val="vi-VN"/>
        </w:rPr>
        <w:t xml:space="preserve"> </w:t>
      </w:r>
      <w:r w:rsidRPr="002136F3">
        <w:rPr>
          <w:rFonts w:ascii="Times New Roman" w:hAnsi="Times New Roman"/>
          <w:i/>
          <w:iCs/>
          <w:sz w:val="24"/>
          <w:szCs w:val="24"/>
        </w:rPr>
        <w:t>there is evidence of a recent pattern of short-term profit-taking; or</w:t>
      </w:r>
      <w:r w:rsidRPr="002136F3" w:rsidDel="00E71C52">
        <w:rPr>
          <w:rFonts w:ascii="Times New Roman" w:hAnsi="Times New Roman"/>
          <w:i/>
          <w:iCs/>
          <w:color w:val="000000"/>
          <w:sz w:val="24"/>
          <w:szCs w:val="24"/>
          <w:lang w:val="nb-NO"/>
        </w:rPr>
        <w:t xml:space="preserve"> </w:t>
      </w:r>
      <w:r w:rsidRPr="002136F3" w:rsidDel="00126337">
        <w:rPr>
          <w:rFonts w:ascii="Times New Roman" w:hAnsi="Times New Roman"/>
          <w:i/>
          <w:iCs/>
          <w:sz w:val="24"/>
          <w:szCs w:val="24"/>
          <w:lang w:val="nb-NO"/>
        </w:rPr>
        <w:t xml:space="preserve"> </w:t>
      </w:r>
      <w:r w:rsidRPr="002136F3" w:rsidDel="001A5002">
        <w:rPr>
          <w:rFonts w:ascii="Times New Roman" w:hAnsi="Times New Roman"/>
          <w:i/>
          <w:iCs/>
          <w:color w:val="000000"/>
          <w:sz w:val="24"/>
          <w:szCs w:val="24"/>
          <w:lang w:val="nb-NO"/>
        </w:rPr>
        <w:t xml:space="preserve"> </w:t>
      </w:r>
      <w:r w:rsidRPr="002136F3" w:rsidDel="005B014C">
        <w:rPr>
          <w:rFonts w:ascii="Times New Roman" w:hAnsi="Times New Roman"/>
          <w:i/>
          <w:iCs/>
          <w:sz w:val="24"/>
          <w:szCs w:val="24"/>
          <w:lang w:val="nb-NO"/>
        </w:rPr>
        <w:t xml:space="preserve"> </w:t>
      </w:r>
    </w:p>
    <w:p w14:paraId="0946FC4C" w14:textId="730BEDD1" w:rsidR="004122F6" w:rsidRPr="002136F3" w:rsidRDefault="004122F6" w:rsidP="006D5144">
      <w:pPr>
        <w:ind w:left="990" w:right="296"/>
        <w:jc w:val="both"/>
        <w:rPr>
          <w:rFonts w:ascii="Times New Roman" w:hAnsi="Times New Roman"/>
          <w:i/>
          <w:iCs/>
          <w:sz w:val="24"/>
          <w:szCs w:val="24"/>
        </w:rPr>
      </w:pPr>
      <w:r w:rsidRPr="002136F3">
        <w:rPr>
          <w:rFonts w:ascii="Times New Roman" w:hAnsi="Times New Roman"/>
          <w:i/>
          <w:iCs/>
          <w:sz w:val="24"/>
          <w:szCs w:val="24"/>
        </w:rPr>
        <w:t xml:space="preserve">- </w:t>
      </w:r>
      <w:r w:rsidR="00726CC5">
        <w:rPr>
          <w:rFonts w:ascii="Times New Roman" w:hAnsi="Times New Roman"/>
          <w:i/>
          <w:iCs/>
          <w:sz w:val="24"/>
          <w:szCs w:val="24"/>
          <w:lang w:val="vi-VN"/>
        </w:rPr>
        <w:t xml:space="preserve"> </w:t>
      </w:r>
      <w:r w:rsidRPr="002136F3">
        <w:rPr>
          <w:rFonts w:ascii="Times New Roman" w:hAnsi="Times New Roman"/>
          <w:i/>
          <w:iCs/>
          <w:sz w:val="24"/>
          <w:szCs w:val="24"/>
        </w:rPr>
        <w:t>a derivative (except for a derivative that is financial guarantee contract or a designated and effective hedging instrument).</w:t>
      </w:r>
    </w:p>
    <w:p w14:paraId="3C894314" w14:textId="77777777" w:rsidR="004122F6" w:rsidRPr="002136F3" w:rsidRDefault="004122F6" w:rsidP="006D5144">
      <w:pPr>
        <w:keepNext/>
        <w:keepLines/>
        <w:widowControl w:val="0"/>
        <w:numPr>
          <w:ilvl w:val="0"/>
          <w:numId w:val="3"/>
        </w:numPr>
        <w:overflowPunct w:val="0"/>
        <w:autoSpaceDE w:val="0"/>
        <w:autoSpaceDN w:val="0"/>
        <w:adjustRightInd w:val="0"/>
        <w:spacing w:after="0" w:line="240" w:lineRule="auto"/>
        <w:ind w:left="450" w:right="296" w:firstLine="0"/>
        <w:jc w:val="both"/>
        <w:textAlignment w:val="baseline"/>
        <w:rPr>
          <w:rFonts w:ascii="Times New Roman" w:hAnsi="Times New Roman"/>
          <w:i/>
          <w:iCs/>
          <w:sz w:val="24"/>
          <w:szCs w:val="24"/>
          <w:lang w:val="nb-NO"/>
        </w:rPr>
      </w:pPr>
      <w:r w:rsidRPr="002136F3">
        <w:rPr>
          <w:rFonts w:ascii="Times New Roman" w:hAnsi="Times New Roman"/>
          <w:i/>
          <w:iCs/>
          <w:sz w:val="24"/>
          <w:szCs w:val="24"/>
        </w:rPr>
        <w:t>Upon initial recognition, it is designated as at fair value through profit or loss</w:t>
      </w:r>
      <w:r w:rsidRPr="002136F3">
        <w:rPr>
          <w:rFonts w:ascii="Times New Roman" w:hAnsi="Times New Roman"/>
          <w:i/>
          <w:iCs/>
          <w:color w:val="000000"/>
          <w:sz w:val="24"/>
          <w:szCs w:val="24"/>
          <w:lang w:val="nb-NO"/>
        </w:rPr>
        <w:t>.</w:t>
      </w:r>
    </w:p>
    <w:p w14:paraId="467516F0" w14:textId="77777777" w:rsidR="00803943" w:rsidRPr="002136F3" w:rsidRDefault="00E70229" w:rsidP="001F2E8F">
      <w:pPr>
        <w:pStyle w:val="ListParagraph"/>
        <w:widowControl w:val="0"/>
        <w:numPr>
          <w:ilvl w:val="0"/>
          <w:numId w:val="22"/>
        </w:numPr>
        <w:spacing w:before="120" w:after="120" w:line="312" w:lineRule="auto"/>
        <w:ind w:left="180" w:right="260" w:firstLine="0"/>
        <w:jc w:val="both"/>
        <w:rPr>
          <w:rFonts w:ascii="Times New Roman" w:hAnsi="Times New Roman"/>
          <w:sz w:val="24"/>
          <w:szCs w:val="24"/>
        </w:rPr>
      </w:pPr>
      <w:proofErr w:type="spellStart"/>
      <w:r w:rsidRPr="002136F3">
        <w:rPr>
          <w:rFonts w:ascii="Times New Roman" w:hAnsi="Times New Roman"/>
          <w:sz w:val="24"/>
          <w:szCs w:val="24"/>
        </w:rPr>
        <w:t>Nợ</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phải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trả</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tài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chính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xác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định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theo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trị</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phân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bổ</w:t>
      </w:r>
      <w:proofErr w:type="spellEnd"/>
    </w:p>
    <w:p w14:paraId="14FDBE65" w14:textId="77777777" w:rsidR="00803943" w:rsidRPr="002136F3" w:rsidRDefault="00803943" w:rsidP="0051259B">
      <w:pPr>
        <w:widowControl w:val="0"/>
        <w:spacing w:before="120" w:after="120" w:line="312" w:lineRule="auto"/>
        <w:ind w:left="180" w:right="260"/>
        <w:jc w:val="both"/>
        <w:rPr>
          <w:rFonts w:ascii="Times New Roman" w:hAnsi="Times New Roman"/>
          <w:sz w:val="24"/>
          <w:szCs w:val="24"/>
        </w:rPr>
      </w:pP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nợ</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phải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trả</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tài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chính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không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phân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loại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là</w:t>
      </w:r>
      <w:proofErr w:type="spellEnd"/>
      <w:r w:rsidRPr="002136F3">
        <w:rPr>
          <w:rFonts w:ascii="Times New Roman" w:hAnsi="Times New Roman"/>
          <w:sz w:val="24"/>
          <w:szCs w:val="24"/>
        </w:rPr>
        <w:t xml:space="preserve"> </w:t>
      </w:r>
      <w:r w:rsidRPr="002136F3">
        <w:rPr>
          <w:rFonts w:ascii="Times New Roman" w:hAnsi="Times New Roman"/>
          <w:iCs/>
          <w:sz w:val="24"/>
          <w:szCs w:val="24"/>
          <w:lang w:val="nb-NO"/>
        </w:rPr>
        <w:t>nợ phải trả tài chính</w:t>
      </w:r>
      <w:r w:rsidRPr="002136F3">
        <w:rPr>
          <w:rFonts w:ascii="Times New Roman" w:hAnsi="Times New Roman"/>
          <w:sz w:val="24"/>
          <w:szCs w:val="24"/>
          <w:lang w:val="nb-NO"/>
        </w:rPr>
        <w:t xml:space="preserve"> </w:t>
      </w:r>
      <w:r w:rsidRPr="002136F3">
        <w:rPr>
          <w:rFonts w:ascii="Times New Roman" w:hAnsi="Times New Roman"/>
          <w:bCs/>
          <w:iCs/>
          <w:sz w:val="24"/>
          <w:szCs w:val="24"/>
          <w:lang w:val="nb-NO"/>
        </w:rPr>
        <w:t>được xác định theo giá trị hợp lý thông qua Báo cáo thu nhập</w:t>
      </w:r>
      <w:r w:rsidRPr="002136F3">
        <w:rPr>
          <w:rFonts w:ascii="Times New Roman" w:hAnsi="Times New Roman"/>
          <w:sz w:val="24"/>
          <w:szCs w:val="24"/>
        </w:rPr>
        <w:t xml:space="preserve"> </w:t>
      </w:r>
      <w:proofErr w:type="spellStart"/>
      <w:r w:rsidRPr="002136F3">
        <w:rPr>
          <w:rFonts w:ascii="Times New Roman" w:hAnsi="Times New Roman"/>
          <w:sz w:val="24"/>
          <w:szCs w:val="24"/>
        </w:rPr>
        <w:t>sẽ</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phân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loại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nợ</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phải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trả</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tài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chính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xác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định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theo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trị</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phân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bổ</w:t>
      </w:r>
      <w:proofErr w:type="spellEnd"/>
      <w:r w:rsidRPr="002136F3">
        <w:rPr>
          <w:rFonts w:ascii="Times New Roman" w:hAnsi="Times New Roman"/>
          <w:sz w:val="24"/>
          <w:szCs w:val="24"/>
        </w:rPr>
        <w:t>.</w:t>
      </w:r>
    </w:p>
    <w:p w14:paraId="657DEDEC" w14:textId="77777777" w:rsidR="00803943" w:rsidRPr="002136F3" w:rsidRDefault="00803943" w:rsidP="0051259B">
      <w:pPr>
        <w:keepNext/>
        <w:spacing w:before="120" w:after="120" w:line="312" w:lineRule="auto"/>
        <w:ind w:left="180" w:right="260"/>
        <w:jc w:val="both"/>
        <w:rPr>
          <w:rFonts w:ascii="Times New Roman" w:hAnsi="Times New Roman"/>
          <w:sz w:val="24"/>
          <w:szCs w:val="24"/>
        </w:rPr>
      </w:pPr>
      <w:proofErr w:type="spellStart"/>
      <w:r w:rsidRPr="002136F3">
        <w:rPr>
          <w:rFonts w:ascii="Times New Roman" w:hAnsi="Times New Roman"/>
          <w:sz w:val="24"/>
          <w:szCs w:val="24"/>
        </w:rPr>
        <w:t>Việc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phân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loại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công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cụ</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tài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chính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kể</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trên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chỉ</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nhằm</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mục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đích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trình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bày</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thuyết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minh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không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nhằm</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mục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đích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mô</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tả</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phương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pháp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xác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định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trị</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của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công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cụ</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tài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chính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chính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sách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kế</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toán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về</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xác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định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trị</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của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công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cụ</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tài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chính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trình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bày</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trong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thuyết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minh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liên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quan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khác</w:t>
      </w:r>
      <w:proofErr w:type="spellEnd"/>
      <w:r w:rsidRPr="002136F3">
        <w:rPr>
          <w:rFonts w:ascii="Times New Roman" w:hAnsi="Times New Roman"/>
          <w:sz w:val="24"/>
          <w:szCs w:val="24"/>
        </w:rPr>
        <w:t>.</w:t>
      </w:r>
    </w:p>
    <w:p w14:paraId="0328093C" w14:textId="77777777" w:rsidR="004122F6" w:rsidRPr="00726CC5" w:rsidRDefault="004122F6" w:rsidP="006D5144">
      <w:pPr>
        <w:pStyle w:val="Heading5"/>
        <w:widowControl w:val="0"/>
        <w:numPr>
          <w:ilvl w:val="0"/>
          <w:numId w:val="22"/>
        </w:numPr>
        <w:spacing w:line="240" w:lineRule="auto"/>
        <w:ind w:left="180" w:right="206" w:firstLine="0"/>
        <w:jc w:val="both"/>
        <w:rPr>
          <w:rFonts w:ascii="Times New Roman" w:eastAsia="Calibri" w:hAnsi="Times New Roman" w:cs="Times New Roman"/>
          <w:bCs/>
          <w:i/>
          <w:color w:val="auto"/>
          <w:sz w:val="24"/>
          <w:szCs w:val="24"/>
          <w:lang w:val="nb-NO"/>
        </w:rPr>
      </w:pPr>
      <w:r w:rsidRPr="00726CC5">
        <w:rPr>
          <w:rFonts w:ascii="Times New Roman" w:eastAsia="Calibri" w:hAnsi="Times New Roman" w:cs="Times New Roman"/>
          <w:bCs/>
          <w:i/>
          <w:color w:val="auto"/>
          <w:sz w:val="24"/>
          <w:szCs w:val="24"/>
          <w:lang w:val="nb-NO"/>
        </w:rPr>
        <w:t>Financial liabilities carried at amortised cost</w:t>
      </w:r>
      <w:r w:rsidRPr="00726CC5">
        <w:rPr>
          <w:rFonts w:ascii="Times New Roman" w:eastAsia="Calibri" w:hAnsi="Times New Roman" w:cs="Times New Roman"/>
          <w:bCs/>
          <w:i/>
          <w:color w:val="auto"/>
          <w:sz w:val="24"/>
          <w:szCs w:val="24"/>
          <w:lang w:val="nb-NO"/>
        </w:rPr>
        <w:tab/>
      </w:r>
    </w:p>
    <w:p w14:paraId="6C38773F" w14:textId="5D8F1B6C" w:rsidR="004122F6" w:rsidRPr="00726CC5" w:rsidRDefault="004122F6" w:rsidP="006D5144">
      <w:pPr>
        <w:keepNext/>
        <w:widowControl w:val="0"/>
        <w:ind w:left="180" w:right="206"/>
        <w:jc w:val="both"/>
        <w:rPr>
          <w:rFonts w:ascii="Times New Roman" w:hAnsi="Times New Roman"/>
          <w:bCs/>
          <w:i/>
          <w:sz w:val="24"/>
          <w:szCs w:val="24"/>
          <w:lang w:val="nb-NO"/>
        </w:rPr>
      </w:pPr>
      <w:r w:rsidRPr="00726CC5">
        <w:rPr>
          <w:rFonts w:ascii="Times New Roman" w:hAnsi="Times New Roman"/>
          <w:bCs/>
          <w:i/>
          <w:sz w:val="24"/>
          <w:szCs w:val="24"/>
          <w:lang w:val="nb-NO"/>
        </w:rPr>
        <w:t>Financial liabilities which are not classified as financial liabilities at fair value through profit or loss are classified as financial liabilities carried at amortised cost.</w:t>
      </w:r>
    </w:p>
    <w:p w14:paraId="4D43965C" w14:textId="77777777" w:rsidR="004122F6" w:rsidRPr="00726CC5" w:rsidRDefault="004122F6" w:rsidP="006D5144">
      <w:pPr>
        <w:spacing w:after="60"/>
        <w:ind w:left="180" w:right="206"/>
        <w:jc w:val="both"/>
        <w:rPr>
          <w:rFonts w:ascii="Times New Roman" w:hAnsi="Times New Roman"/>
          <w:bCs/>
          <w:i/>
          <w:sz w:val="24"/>
          <w:szCs w:val="24"/>
          <w:lang w:val="nb-NO"/>
        </w:rPr>
      </w:pPr>
      <w:r w:rsidRPr="00726CC5">
        <w:rPr>
          <w:rFonts w:ascii="Times New Roman" w:hAnsi="Times New Roman"/>
          <w:bCs/>
          <w:i/>
          <w:sz w:val="24"/>
          <w:szCs w:val="24"/>
          <w:lang w:val="nb-NO"/>
        </w:rPr>
        <w:t>The above described classification of financial instruments is solely for presentation and disclosure purpose and is not intended to be a description of how the instruments are measured.  Accounting policies for measurement of financial instruments are disclosed in other relevant notes.</w:t>
      </w:r>
    </w:p>
    <w:p w14:paraId="2B1D70A5" w14:textId="561BE111" w:rsidR="00E70229" w:rsidRPr="002136F3" w:rsidRDefault="0027409B" w:rsidP="00D54A5B">
      <w:pPr>
        <w:shd w:val="clear" w:color="auto" w:fill="FFFFFF"/>
        <w:tabs>
          <w:tab w:val="left" w:pos="142"/>
        </w:tabs>
        <w:spacing w:before="120" w:after="120" w:line="312" w:lineRule="auto"/>
        <w:ind w:left="142" w:right="260"/>
        <w:jc w:val="both"/>
        <w:rPr>
          <w:rFonts w:ascii="Times New Roman" w:hAnsi="Times New Roman"/>
          <w:b/>
          <w:sz w:val="24"/>
          <w:szCs w:val="24"/>
          <w:lang w:val="vi-VN"/>
        </w:rPr>
      </w:pPr>
      <w:r w:rsidRPr="002136F3">
        <w:rPr>
          <w:rFonts w:ascii="Times New Roman" w:hAnsi="Times New Roman"/>
          <w:b/>
          <w:sz w:val="24"/>
          <w:szCs w:val="24"/>
          <w:lang w:val="nl-NL"/>
        </w:rPr>
        <w:t xml:space="preserve">4.7      </w:t>
      </w:r>
      <w:r w:rsidR="00E70229" w:rsidRPr="002136F3">
        <w:rPr>
          <w:rFonts w:ascii="Times New Roman" w:hAnsi="Times New Roman"/>
          <w:b/>
          <w:sz w:val="24"/>
          <w:szCs w:val="24"/>
          <w:lang w:val="nl-NL"/>
        </w:rPr>
        <w:t>Thuế</w:t>
      </w:r>
      <w:r w:rsidR="00E70229" w:rsidRPr="002136F3" w:rsidDel="00777F8E">
        <w:rPr>
          <w:rFonts w:ascii="Times New Roman" w:hAnsi="Times New Roman"/>
          <w:b/>
          <w:sz w:val="24"/>
          <w:szCs w:val="24"/>
          <w:lang w:val="nl-NL"/>
        </w:rPr>
        <w:t xml:space="preserve"> </w:t>
      </w:r>
      <w:r w:rsidR="004122F6" w:rsidRPr="002136F3">
        <w:rPr>
          <w:rFonts w:ascii="Times New Roman" w:hAnsi="Times New Roman"/>
          <w:b/>
          <w:sz w:val="24"/>
          <w:szCs w:val="24"/>
          <w:lang w:val="vi-VN"/>
        </w:rPr>
        <w:t>/ Taxation</w:t>
      </w:r>
    </w:p>
    <w:p w14:paraId="237731BA" w14:textId="77777777" w:rsidR="00E70229" w:rsidRPr="002136F3" w:rsidRDefault="00E70229" w:rsidP="00D54A5B">
      <w:pPr>
        <w:spacing w:before="120" w:after="120" w:line="312" w:lineRule="auto"/>
        <w:ind w:left="142" w:right="260"/>
        <w:jc w:val="both"/>
        <w:rPr>
          <w:rFonts w:ascii="Times New Roman" w:hAnsi="Times New Roman"/>
          <w:sz w:val="24"/>
          <w:szCs w:val="24"/>
        </w:rPr>
      </w:pPr>
      <w:r w:rsidRPr="002136F3">
        <w:rPr>
          <w:rFonts w:ascii="Times New Roman" w:hAnsi="Times New Roman"/>
          <w:sz w:val="24"/>
          <w:szCs w:val="24"/>
        </w:rPr>
        <w:t xml:space="preserve">Theo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quy</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định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thuế</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hiện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hành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tại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Việt</w:t>
      </w:r>
      <w:proofErr w:type="spellEnd"/>
      <w:r w:rsidRPr="002136F3">
        <w:rPr>
          <w:rFonts w:ascii="Times New Roman" w:hAnsi="Times New Roman"/>
          <w:sz w:val="24"/>
          <w:szCs w:val="24"/>
        </w:rPr>
        <w:t xml:space="preserve"> Nam,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không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thuộc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đối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tượng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chịu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thuế</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nhập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doanh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nghiệp</w:t>
      </w:r>
      <w:proofErr w:type="spellEnd"/>
      <w:r w:rsidRPr="002136F3">
        <w:rPr>
          <w:rFonts w:ascii="Times New Roman" w:hAnsi="Times New Roman"/>
          <w:sz w:val="24"/>
          <w:szCs w:val="24"/>
        </w:rPr>
        <w:t>.</w:t>
      </w:r>
      <w:r w:rsidR="00DB7A39" w:rsidRPr="002136F3">
        <w:rPr>
          <w:rFonts w:ascii="Times New Roman" w:hAnsi="Times New Roman"/>
          <w:sz w:val="24"/>
          <w:szCs w:val="24"/>
        </w:rPr>
        <w:t xml:space="preserve"> </w:t>
      </w:r>
      <w:proofErr w:type="spellStart"/>
      <w:r w:rsidRPr="002136F3">
        <w:rPr>
          <w:rFonts w:ascii="Times New Roman" w:hAnsi="Times New Roman"/>
          <w:sz w:val="24"/>
          <w:szCs w:val="24"/>
        </w:rPr>
        <w:t>Tuy</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nhiên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công</w:t>
      </w:r>
      <w:proofErr w:type="spellEnd"/>
      <w:r w:rsidRPr="002136F3">
        <w:rPr>
          <w:rFonts w:ascii="Times New Roman" w:hAnsi="Times New Roman"/>
          <w:sz w:val="24"/>
          <w:szCs w:val="24"/>
        </w:rPr>
        <w:t xml:space="preserve"> ty </w:t>
      </w:r>
      <w:proofErr w:type="spellStart"/>
      <w:r w:rsidRPr="002136F3">
        <w:rPr>
          <w:rFonts w:ascii="Times New Roman" w:hAnsi="Times New Roman"/>
          <w:sz w:val="24"/>
          <w:szCs w:val="24"/>
        </w:rPr>
        <w:t>Quản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lý</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có</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trách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nhiệm</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khấu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trừ</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thuế</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của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nhân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tổ</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tham</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giao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dịch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với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như</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sau</w:t>
      </w:r>
      <w:proofErr w:type="spellEnd"/>
      <w:r w:rsidRPr="002136F3">
        <w:rPr>
          <w:rFonts w:ascii="Times New Roman" w:hAnsi="Times New Roman"/>
          <w:sz w:val="24"/>
          <w:szCs w:val="24"/>
        </w:rPr>
        <w:t>:</w:t>
      </w:r>
    </w:p>
    <w:p w14:paraId="72CB3074" w14:textId="6831E332" w:rsidR="004122F6" w:rsidRPr="002136F3" w:rsidRDefault="004122F6" w:rsidP="00D54A5B">
      <w:pPr>
        <w:spacing w:before="120" w:after="120" w:line="312" w:lineRule="auto"/>
        <w:ind w:left="142" w:right="260"/>
        <w:jc w:val="both"/>
        <w:rPr>
          <w:rFonts w:ascii="Times New Roman" w:hAnsi="Times New Roman"/>
          <w:i/>
          <w:iCs/>
          <w:sz w:val="24"/>
          <w:szCs w:val="24"/>
          <w:lang w:val="vi-VN"/>
        </w:rPr>
      </w:pPr>
      <w:r w:rsidRPr="002136F3">
        <w:rPr>
          <w:rFonts w:ascii="Times New Roman" w:hAnsi="Times New Roman"/>
          <w:i/>
          <w:iCs/>
          <w:sz w:val="24"/>
          <w:szCs w:val="24"/>
        </w:rPr>
        <w:t>According</w:t>
      </w:r>
      <w:r w:rsidRPr="002136F3">
        <w:rPr>
          <w:rFonts w:ascii="Times New Roman" w:hAnsi="Times New Roman"/>
          <w:i/>
          <w:iCs/>
          <w:sz w:val="24"/>
          <w:szCs w:val="24"/>
          <w:lang w:val="vi-VN"/>
        </w:rPr>
        <w:t xml:space="preserve"> to preveiling tax regulation in Vietnam, Fund is not subject to corporate income tax. However, Fund Manager is responsible for witholding and paying tax on behalf of individuals and institutional investors in the following cases: </w:t>
      </w:r>
    </w:p>
    <w:p w14:paraId="57764DA3" w14:textId="1833BB1A" w:rsidR="00E70229" w:rsidRPr="002136F3" w:rsidRDefault="00E70229" w:rsidP="00D54A5B">
      <w:pPr>
        <w:overflowPunct w:val="0"/>
        <w:autoSpaceDE w:val="0"/>
        <w:autoSpaceDN w:val="0"/>
        <w:adjustRightInd w:val="0"/>
        <w:spacing w:before="120" w:after="120" w:line="312" w:lineRule="auto"/>
        <w:ind w:left="142" w:right="259"/>
        <w:jc w:val="both"/>
        <w:textAlignment w:val="baseline"/>
        <w:outlineLvl w:val="2"/>
        <w:rPr>
          <w:rFonts w:ascii="Times New Roman" w:hAnsi="Times New Roman"/>
          <w:b/>
          <w:i/>
          <w:sz w:val="24"/>
          <w:szCs w:val="24"/>
          <w:lang w:val="vi-VN"/>
        </w:rPr>
      </w:pPr>
      <w:r w:rsidRPr="002136F3">
        <w:rPr>
          <w:rFonts w:ascii="Times New Roman" w:hAnsi="Times New Roman"/>
          <w:b/>
          <w:i/>
          <w:sz w:val="24"/>
          <w:szCs w:val="24"/>
        </w:rPr>
        <w:t xml:space="preserve">Giao </w:t>
      </w:r>
      <w:proofErr w:type="spellStart"/>
      <w:r w:rsidRPr="002136F3">
        <w:rPr>
          <w:rFonts w:ascii="Times New Roman" w:hAnsi="Times New Roman"/>
          <w:b/>
          <w:i/>
          <w:sz w:val="24"/>
          <w:szCs w:val="24"/>
        </w:rPr>
        <w:t>dịch</w:t>
      </w:r>
      <w:proofErr w:type="spellEnd"/>
      <w:r w:rsidRPr="002136F3">
        <w:rPr>
          <w:rFonts w:ascii="Times New Roman" w:hAnsi="Times New Roman"/>
          <w:b/>
          <w:i/>
          <w:sz w:val="24"/>
          <w:szCs w:val="24"/>
        </w:rPr>
        <w:t xml:space="preserve"> </w:t>
      </w:r>
      <w:proofErr w:type="spellStart"/>
      <w:r w:rsidRPr="002136F3">
        <w:rPr>
          <w:rFonts w:ascii="Times New Roman" w:hAnsi="Times New Roman"/>
          <w:b/>
          <w:i/>
          <w:sz w:val="24"/>
          <w:szCs w:val="24"/>
        </w:rPr>
        <w:t>mua</w:t>
      </w:r>
      <w:proofErr w:type="spellEnd"/>
      <w:r w:rsidRPr="002136F3">
        <w:rPr>
          <w:rFonts w:ascii="Times New Roman" w:hAnsi="Times New Roman"/>
          <w:b/>
          <w:i/>
          <w:sz w:val="24"/>
          <w:szCs w:val="24"/>
        </w:rPr>
        <w:t xml:space="preserve"> </w:t>
      </w:r>
      <w:proofErr w:type="spellStart"/>
      <w:r w:rsidRPr="002136F3">
        <w:rPr>
          <w:rFonts w:ascii="Times New Roman" w:hAnsi="Times New Roman"/>
          <w:b/>
          <w:i/>
          <w:sz w:val="24"/>
          <w:szCs w:val="24"/>
        </w:rPr>
        <w:t>lại</w:t>
      </w:r>
      <w:proofErr w:type="spellEnd"/>
      <w:r w:rsidRPr="002136F3">
        <w:rPr>
          <w:rFonts w:ascii="Times New Roman" w:hAnsi="Times New Roman"/>
          <w:b/>
          <w:i/>
          <w:sz w:val="24"/>
          <w:szCs w:val="24"/>
        </w:rPr>
        <w:t xml:space="preserve"> </w:t>
      </w:r>
      <w:proofErr w:type="spellStart"/>
      <w:r w:rsidRPr="002136F3">
        <w:rPr>
          <w:rFonts w:ascii="Times New Roman" w:hAnsi="Times New Roman"/>
          <w:b/>
          <w:i/>
          <w:sz w:val="24"/>
          <w:szCs w:val="24"/>
        </w:rPr>
        <w:t>chứng</w:t>
      </w:r>
      <w:proofErr w:type="spellEnd"/>
      <w:r w:rsidRPr="002136F3">
        <w:rPr>
          <w:rFonts w:ascii="Times New Roman" w:hAnsi="Times New Roman"/>
          <w:b/>
          <w:i/>
          <w:sz w:val="24"/>
          <w:szCs w:val="24"/>
        </w:rPr>
        <w:t xml:space="preserve"> </w:t>
      </w:r>
      <w:proofErr w:type="spellStart"/>
      <w:r w:rsidRPr="002136F3">
        <w:rPr>
          <w:rFonts w:ascii="Times New Roman" w:hAnsi="Times New Roman"/>
          <w:b/>
          <w:i/>
          <w:sz w:val="24"/>
          <w:szCs w:val="24"/>
        </w:rPr>
        <w:t>chỉ</w:t>
      </w:r>
      <w:proofErr w:type="spellEnd"/>
      <w:r w:rsidRPr="002136F3">
        <w:rPr>
          <w:rFonts w:ascii="Times New Roman" w:hAnsi="Times New Roman"/>
          <w:b/>
          <w:i/>
          <w:sz w:val="24"/>
          <w:szCs w:val="24"/>
        </w:rPr>
        <w:t xml:space="preserve"> </w:t>
      </w:r>
      <w:proofErr w:type="spellStart"/>
      <w:r w:rsidRPr="002136F3">
        <w:rPr>
          <w:rFonts w:ascii="Times New Roman" w:hAnsi="Times New Roman"/>
          <w:b/>
          <w:i/>
          <w:sz w:val="24"/>
          <w:szCs w:val="24"/>
        </w:rPr>
        <w:t>quỹ</w:t>
      </w:r>
      <w:proofErr w:type="spellEnd"/>
      <w:r w:rsidR="004122F6" w:rsidRPr="002136F3">
        <w:rPr>
          <w:rFonts w:ascii="Times New Roman" w:hAnsi="Times New Roman"/>
          <w:b/>
          <w:i/>
          <w:sz w:val="24"/>
          <w:szCs w:val="24"/>
          <w:lang w:val="vi-VN"/>
        </w:rPr>
        <w:t xml:space="preserve"> / Redemption of fund uits </w:t>
      </w:r>
    </w:p>
    <w:p w14:paraId="708D5D0C" w14:textId="77777777" w:rsidR="00FD18F7" w:rsidRPr="002136F3" w:rsidRDefault="00FD18F7" w:rsidP="00D54A5B">
      <w:pPr>
        <w:spacing w:before="120" w:after="120" w:line="312" w:lineRule="auto"/>
        <w:ind w:left="142" w:right="260"/>
        <w:jc w:val="both"/>
        <w:rPr>
          <w:rFonts w:ascii="Times New Roman" w:hAnsi="Times New Roman"/>
          <w:sz w:val="24"/>
          <w:szCs w:val="24"/>
        </w:rPr>
      </w:pPr>
      <w:proofErr w:type="spellStart"/>
      <w:r w:rsidRPr="002136F3">
        <w:rPr>
          <w:rFonts w:ascii="Times New Roman" w:hAnsi="Times New Roman"/>
          <w:sz w:val="24"/>
          <w:szCs w:val="24"/>
        </w:rPr>
        <w:t>Công</w:t>
      </w:r>
      <w:proofErr w:type="spellEnd"/>
      <w:r w:rsidRPr="002136F3">
        <w:rPr>
          <w:rFonts w:ascii="Times New Roman" w:hAnsi="Times New Roman"/>
          <w:sz w:val="24"/>
          <w:szCs w:val="24"/>
        </w:rPr>
        <w:t xml:space="preserve"> ty </w:t>
      </w:r>
      <w:proofErr w:type="spellStart"/>
      <w:r w:rsidRPr="002136F3">
        <w:rPr>
          <w:rFonts w:ascii="Times New Roman" w:hAnsi="Times New Roman"/>
          <w:sz w:val="24"/>
          <w:szCs w:val="24"/>
        </w:rPr>
        <w:t>Quản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lý</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có</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nghĩa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vụ</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khấu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trừ</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kê</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khai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nộp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thuế</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đối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với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giao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dịch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mua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lại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chỉ</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từ</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đầu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tư</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nhân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trong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nước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nước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ngoài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tổ</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đầu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tư</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nước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ngoài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theo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hướng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dẫn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của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công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văn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số</w:t>
      </w:r>
      <w:proofErr w:type="spellEnd"/>
      <w:r w:rsidRPr="002136F3">
        <w:rPr>
          <w:rFonts w:ascii="Times New Roman" w:hAnsi="Times New Roman"/>
          <w:sz w:val="24"/>
          <w:szCs w:val="24"/>
        </w:rPr>
        <w:t xml:space="preserve"> 2331/TCT-CS </w:t>
      </w:r>
      <w:proofErr w:type="spellStart"/>
      <w:r w:rsidRPr="002136F3">
        <w:rPr>
          <w:rFonts w:ascii="Times New Roman" w:hAnsi="Times New Roman"/>
          <w:sz w:val="24"/>
          <w:szCs w:val="24"/>
        </w:rPr>
        <w:t>ngày</w:t>
      </w:r>
      <w:proofErr w:type="spellEnd"/>
      <w:r w:rsidRPr="002136F3">
        <w:rPr>
          <w:rFonts w:ascii="Times New Roman" w:hAnsi="Times New Roman"/>
          <w:sz w:val="24"/>
          <w:szCs w:val="24"/>
        </w:rPr>
        <w:t xml:space="preserve"> 15 </w:t>
      </w:r>
      <w:proofErr w:type="spellStart"/>
      <w:r w:rsidRPr="002136F3">
        <w:rPr>
          <w:rFonts w:ascii="Times New Roman" w:hAnsi="Times New Roman"/>
          <w:sz w:val="24"/>
          <w:szCs w:val="24"/>
        </w:rPr>
        <w:t>tháng</w:t>
      </w:r>
      <w:proofErr w:type="spellEnd"/>
      <w:r w:rsidRPr="002136F3">
        <w:rPr>
          <w:rFonts w:ascii="Times New Roman" w:hAnsi="Times New Roman"/>
          <w:sz w:val="24"/>
          <w:szCs w:val="24"/>
        </w:rPr>
        <w:t xml:space="preserve"> 6 </w:t>
      </w:r>
      <w:proofErr w:type="spellStart"/>
      <w:r w:rsidRPr="002136F3">
        <w:rPr>
          <w:rFonts w:ascii="Times New Roman" w:hAnsi="Times New Roman"/>
          <w:sz w:val="24"/>
          <w:szCs w:val="24"/>
        </w:rPr>
        <w:t>năm</w:t>
      </w:r>
      <w:proofErr w:type="spellEnd"/>
      <w:r w:rsidRPr="002136F3">
        <w:rPr>
          <w:rFonts w:ascii="Times New Roman" w:hAnsi="Times New Roman"/>
          <w:sz w:val="24"/>
          <w:szCs w:val="24"/>
        </w:rPr>
        <w:t xml:space="preserve"> 2015 do </w:t>
      </w:r>
      <w:proofErr w:type="spellStart"/>
      <w:r w:rsidRPr="002136F3">
        <w:rPr>
          <w:rFonts w:ascii="Times New Roman" w:hAnsi="Times New Roman"/>
          <w:sz w:val="24"/>
          <w:szCs w:val="24"/>
        </w:rPr>
        <w:t>Tổng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Cục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Thuế</w:t>
      </w:r>
      <w:proofErr w:type="spellEnd"/>
      <w:r w:rsidRPr="002136F3">
        <w:rPr>
          <w:rFonts w:ascii="Times New Roman" w:hAnsi="Times New Roman"/>
          <w:sz w:val="24"/>
          <w:szCs w:val="24"/>
        </w:rPr>
        <w:t xml:space="preserve"> ban </w:t>
      </w:r>
      <w:proofErr w:type="spellStart"/>
      <w:r w:rsidRPr="002136F3">
        <w:rPr>
          <w:rFonts w:ascii="Times New Roman" w:hAnsi="Times New Roman"/>
          <w:sz w:val="24"/>
          <w:szCs w:val="24"/>
        </w:rPr>
        <w:t>hành</w:t>
      </w:r>
      <w:proofErr w:type="spellEnd"/>
      <w:r w:rsidRPr="002136F3">
        <w:rPr>
          <w:rFonts w:ascii="Times New Roman" w:hAnsi="Times New Roman"/>
          <w:sz w:val="24"/>
          <w:szCs w:val="24"/>
        </w:rPr>
        <w:t xml:space="preserve">, Thông </w:t>
      </w:r>
      <w:proofErr w:type="spellStart"/>
      <w:r w:rsidRPr="002136F3">
        <w:rPr>
          <w:rFonts w:ascii="Times New Roman" w:hAnsi="Times New Roman"/>
          <w:sz w:val="24"/>
          <w:szCs w:val="24"/>
        </w:rPr>
        <w:t>tư</w:t>
      </w:r>
      <w:proofErr w:type="spellEnd"/>
      <w:r w:rsidRPr="002136F3">
        <w:rPr>
          <w:rFonts w:ascii="Times New Roman" w:hAnsi="Times New Roman"/>
          <w:sz w:val="24"/>
          <w:szCs w:val="24"/>
        </w:rPr>
        <w:t xml:space="preserve"> 111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sửa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đổi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bổ</w:t>
      </w:r>
      <w:proofErr w:type="spellEnd"/>
      <w:r w:rsidRPr="002136F3">
        <w:rPr>
          <w:rFonts w:ascii="Times New Roman" w:hAnsi="Times New Roman"/>
          <w:sz w:val="24"/>
          <w:szCs w:val="24"/>
        </w:rPr>
        <w:t xml:space="preserve"> sung </w:t>
      </w:r>
      <w:proofErr w:type="spellStart"/>
      <w:r w:rsidRPr="002136F3">
        <w:rPr>
          <w:rFonts w:ascii="Times New Roman" w:hAnsi="Times New Roman"/>
          <w:sz w:val="24"/>
          <w:szCs w:val="24"/>
        </w:rPr>
        <w:t>bở</w:t>
      </w:r>
      <w:r w:rsidR="000E074E" w:rsidRPr="002136F3">
        <w:rPr>
          <w:rFonts w:ascii="Times New Roman" w:hAnsi="Times New Roman"/>
          <w:sz w:val="24"/>
          <w:szCs w:val="24"/>
        </w:rPr>
        <w:t>i</w:t>
      </w:r>
      <w:proofErr w:type="spellEnd"/>
      <w:r w:rsidR="000E074E" w:rsidRPr="002136F3">
        <w:rPr>
          <w:rFonts w:ascii="Times New Roman" w:hAnsi="Times New Roman"/>
          <w:sz w:val="24"/>
          <w:szCs w:val="24"/>
        </w:rPr>
        <w:t xml:space="preserve"> Thông </w:t>
      </w:r>
      <w:proofErr w:type="spellStart"/>
      <w:r w:rsidR="000E074E" w:rsidRPr="002136F3">
        <w:rPr>
          <w:rFonts w:ascii="Times New Roman" w:hAnsi="Times New Roman"/>
          <w:sz w:val="24"/>
          <w:szCs w:val="24"/>
        </w:rPr>
        <w:t>tư</w:t>
      </w:r>
      <w:proofErr w:type="spellEnd"/>
      <w:r w:rsidR="000E074E" w:rsidRPr="002136F3">
        <w:rPr>
          <w:rFonts w:ascii="Times New Roman" w:hAnsi="Times New Roman"/>
          <w:sz w:val="24"/>
          <w:szCs w:val="24"/>
        </w:rPr>
        <w:t xml:space="preserve"> 92</w:t>
      </w:r>
      <w:r w:rsidR="006064E9" w:rsidRPr="002136F3">
        <w:rPr>
          <w:rFonts w:ascii="Times New Roman" w:hAnsi="Times New Roman"/>
          <w:sz w:val="24"/>
          <w:szCs w:val="24"/>
        </w:rPr>
        <w:t xml:space="preserve"> </w:t>
      </w:r>
      <w:proofErr w:type="spellStart"/>
      <w:r w:rsidR="006064E9" w:rsidRPr="002136F3">
        <w:rPr>
          <w:rFonts w:ascii="Times New Roman" w:hAnsi="Times New Roman"/>
          <w:sz w:val="24"/>
          <w:szCs w:val="24"/>
        </w:rPr>
        <w:t>và</w:t>
      </w:r>
      <w:proofErr w:type="spellEnd"/>
      <w:r w:rsidR="006064E9" w:rsidRPr="002136F3">
        <w:rPr>
          <w:rFonts w:ascii="Times New Roman" w:hAnsi="Times New Roman"/>
          <w:sz w:val="24"/>
          <w:szCs w:val="24"/>
        </w:rPr>
        <w:t xml:space="preserve"> Thông </w:t>
      </w:r>
      <w:proofErr w:type="spellStart"/>
      <w:r w:rsidR="006064E9" w:rsidRPr="002136F3">
        <w:rPr>
          <w:rFonts w:ascii="Times New Roman" w:hAnsi="Times New Roman"/>
          <w:sz w:val="24"/>
          <w:szCs w:val="24"/>
        </w:rPr>
        <w:t>tư</w:t>
      </w:r>
      <w:proofErr w:type="spellEnd"/>
      <w:r w:rsidR="006064E9" w:rsidRPr="002136F3">
        <w:rPr>
          <w:rFonts w:ascii="Times New Roman" w:hAnsi="Times New Roman"/>
          <w:sz w:val="24"/>
          <w:szCs w:val="24"/>
        </w:rPr>
        <w:t xml:space="preserve"> 25/2018/TT-BTC </w:t>
      </w:r>
      <w:proofErr w:type="spellStart"/>
      <w:r w:rsidR="006064E9" w:rsidRPr="002136F3">
        <w:rPr>
          <w:rFonts w:ascii="Times New Roman" w:hAnsi="Times New Roman"/>
          <w:sz w:val="24"/>
          <w:szCs w:val="24"/>
        </w:rPr>
        <w:lastRenderedPageBreak/>
        <w:t>ngày</w:t>
      </w:r>
      <w:proofErr w:type="spellEnd"/>
      <w:r w:rsidR="006064E9" w:rsidRPr="002136F3">
        <w:rPr>
          <w:rFonts w:ascii="Times New Roman" w:hAnsi="Times New Roman"/>
          <w:sz w:val="24"/>
          <w:szCs w:val="24"/>
        </w:rPr>
        <w:t xml:space="preserve"> 16 </w:t>
      </w:r>
      <w:proofErr w:type="spellStart"/>
      <w:r w:rsidR="006064E9" w:rsidRPr="002136F3">
        <w:rPr>
          <w:rFonts w:ascii="Times New Roman" w:hAnsi="Times New Roman"/>
          <w:sz w:val="24"/>
          <w:szCs w:val="24"/>
        </w:rPr>
        <w:t>tháng</w:t>
      </w:r>
      <w:proofErr w:type="spellEnd"/>
      <w:r w:rsidR="006064E9" w:rsidRPr="002136F3">
        <w:rPr>
          <w:rFonts w:ascii="Times New Roman" w:hAnsi="Times New Roman"/>
          <w:sz w:val="24"/>
          <w:szCs w:val="24"/>
        </w:rPr>
        <w:t xml:space="preserve"> 3 </w:t>
      </w:r>
      <w:proofErr w:type="spellStart"/>
      <w:r w:rsidR="006064E9" w:rsidRPr="002136F3">
        <w:rPr>
          <w:rFonts w:ascii="Times New Roman" w:hAnsi="Times New Roman"/>
          <w:sz w:val="24"/>
          <w:szCs w:val="24"/>
        </w:rPr>
        <w:t>năm</w:t>
      </w:r>
      <w:proofErr w:type="spellEnd"/>
      <w:r w:rsidR="006064E9" w:rsidRPr="002136F3">
        <w:rPr>
          <w:rFonts w:ascii="Times New Roman" w:hAnsi="Times New Roman"/>
          <w:sz w:val="24"/>
          <w:szCs w:val="24"/>
        </w:rPr>
        <w:t xml:space="preserve"> 2018</w:t>
      </w:r>
      <w:r w:rsidR="000E074E" w:rsidRPr="002136F3">
        <w:rPr>
          <w:rFonts w:ascii="Times New Roman" w:hAnsi="Times New Roman"/>
          <w:sz w:val="24"/>
          <w:szCs w:val="24"/>
        </w:rPr>
        <w:t>,</w:t>
      </w:r>
      <w:r w:rsidRPr="002136F3">
        <w:rPr>
          <w:rFonts w:ascii="Times New Roman" w:hAnsi="Times New Roman"/>
          <w:sz w:val="24"/>
          <w:szCs w:val="24"/>
        </w:rPr>
        <w:t xml:space="preserve"> Thông </w:t>
      </w:r>
      <w:proofErr w:type="spellStart"/>
      <w:r w:rsidRPr="002136F3">
        <w:rPr>
          <w:rFonts w:ascii="Times New Roman" w:hAnsi="Times New Roman"/>
          <w:sz w:val="24"/>
          <w:szCs w:val="24"/>
        </w:rPr>
        <w:t>tư</w:t>
      </w:r>
      <w:proofErr w:type="spellEnd"/>
      <w:r w:rsidRPr="002136F3">
        <w:rPr>
          <w:rFonts w:ascii="Times New Roman" w:hAnsi="Times New Roman"/>
          <w:sz w:val="24"/>
          <w:szCs w:val="24"/>
        </w:rPr>
        <w:t xml:space="preserve"> 103/2014/TT-BTC </w:t>
      </w:r>
      <w:proofErr w:type="spellStart"/>
      <w:r w:rsidRPr="002136F3">
        <w:rPr>
          <w:rFonts w:ascii="Times New Roman" w:hAnsi="Times New Roman"/>
          <w:sz w:val="24"/>
          <w:szCs w:val="24"/>
        </w:rPr>
        <w:t>ngày</w:t>
      </w:r>
      <w:proofErr w:type="spellEnd"/>
      <w:r w:rsidRPr="002136F3">
        <w:rPr>
          <w:rFonts w:ascii="Times New Roman" w:hAnsi="Times New Roman"/>
          <w:sz w:val="24"/>
          <w:szCs w:val="24"/>
        </w:rPr>
        <w:t xml:space="preserve"> 6 </w:t>
      </w:r>
      <w:proofErr w:type="spellStart"/>
      <w:r w:rsidRPr="002136F3">
        <w:rPr>
          <w:rFonts w:ascii="Times New Roman" w:hAnsi="Times New Roman"/>
          <w:sz w:val="24"/>
          <w:szCs w:val="24"/>
        </w:rPr>
        <w:t>tháng</w:t>
      </w:r>
      <w:proofErr w:type="spellEnd"/>
      <w:r w:rsidRPr="002136F3">
        <w:rPr>
          <w:rFonts w:ascii="Times New Roman" w:hAnsi="Times New Roman"/>
          <w:sz w:val="24"/>
          <w:szCs w:val="24"/>
        </w:rPr>
        <w:t xml:space="preserve"> 8 </w:t>
      </w:r>
      <w:proofErr w:type="spellStart"/>
      <w:r w:rsidRPr="002136F3">
        <w:rPr>
          <w:rFonts w:ascii="Times New Roman" w:hAnsi="Times New Roman"/>
          <w:sz w:val="24"/>
          <w:szCs w:val="24"/>
        </w:rPr>
        <w:t>năm</w:t>
      </w:r>
      <w:proofErr w:type="spellEnd"/>
      <w:r w:rsidRPr="002136F3">
        <w:rPr>
          <w:rFonts w:ascii="Times New Roman" w:hAnsi="Times New Roman"/>
          <w:sz w:val="24"/>
          <w:szCs w:val="24"/>
        </w:rPr>
        <w:t xml:space="preserve"> 2014</w:t>
      </w:r>
      <w:r w:rsidR="000E074E" w:rsidRPr="002136F3">
        <w:rPr>
          <w:rFonts w:ascii="Times New Roman" w:hAnsi="Times New Roman"/>
          <w:sz w:val="24"/>
          <w:szCs w:val="24"/>
        </w:rPr>
        <w:t xml:space="preserve"> </w:t>
      </w:r>
      <w:r w:rsidRPr="002136F3">
        <w:rPr>
          <w:rFonts w:ascii="Times New Roman" w:hAnsi="Times New Roman"/>
          <w:sz w:val="24"/>
          <w:szCs w:val="24"/>
        </w:rPr>
        <w:t xml:space="preserve">do </w:t>
      </w:r>
      <w:proofErr w:type="spellStart"/>
      <w:r w:rsidRPr="002136F3">
        <w:rPr>
          <w:rFonts w:ascii="Times New Roman" w:hAnsi="Times New Roman"/>
          <w:sz w:val="24"/>
          <w:szCs w:val="24"/>
        </w:rPr>
        <w:t>Bộ</w:t>
      </w:r>
      <w:proofErr w:type="spellEnd"/>
      <w:r w:rsidR="008D1897" w:rsidRPr="002136F3">
        <w:rPr>
          <w:rFonts w:ascii="Times New Roman" w:hAnsi="Times New Roman"/>
          <w:sz w:val="24"/>
          <w:szCs w:val="24"/>
        </w:rPr>
        <w:t xml:space="preserve"> </w:t>
      </w:r>
      <w:proofErr w:type="spellStart"/>
      <w:r w:rsidR="008D1897" w:rsidRPr="002136F3">
        <w:rPr>
          <w:rFonts w:ascii="Times New Roman" w:hAnsi="Times New Roman"/>
          <w:sz w:val="24"/>
          <w:szCs w:val="24"/>
        </w:rPr>
        <w:t>Tài</w:t>
      </w:r>
      <w:proofErr w:type="spellEnd"/>
      <w:r w:rsidR="008D1897" w:rsidRPr="002136F3">
        <w:rPr>
          <w:rFonts w:ascii="Times New Roman" w:hAnsi="Times New Roman"/>
          <w:sz w:val="24"/>
          <w:szCs w:val="24"/>
        </w:rPr>
        <w:t xml:space="preserve"> </w:t>
      </w:r>
      <w:proofErr w:type="spellStart"/>
      <w:r w:rsidR="008D1897" w:rsidRPr="002136F3">
        <w:rPr>
          <w:rFonts w:ascii="Times New Roman" w:hAnsi="Times New Roman"/>
          <w:sz w:val="24"/>
          <w:szCs w:val="24"/>
        </w:rPr>
        <w:t>chính</w:t>
      </w:r>
      <w:proofErr w:type="spellEnd"/>
      <w:r w:rsidR="008D1897" w:rsidRPr="002136F3">
        <w:rPr>
          <w:rFonts w:ascii="Times New Roman" w:hAnsi="Times New Roman"/>
          <w:sz w:val="24"/>
          <w:szCs w:val="24"/>
        </w:rPr>
        <w:t xml:space="preserve"> ban </w:t>
      </w:r>
      <w:proofErr w:type="spellStart"/>
      <w:r w:rsidR="008D1897" w:rsidRPr="002136F3">
        <w:rPr>
          <w:rFonts w:ascii="Times New Roman" w:hAnsi="Times New Roman"/>
          <w:sz w:val="24"/>
          <w:szCs w:val="24"/>
        </w:rPr>
        <w:t>hành</w:t>
      </w:r>
      <w:proofErr w:type="spellEnd"/>
      <w:r w:rsidR="008D1897" w:rsidRPr="002136F3">
        <w:rPr>
          <w:rFonts w:ascii="Times New Roman" w:hAnsi="Times New Roman"/>
          <w:sz w:val="24"/>
          <w:szCs w:val="24"/>
        </w:rPr>
        <w:t>.</w:t>
      </w:r>
      <w:r w:rsidRPr="002136F3">
        <w:rPr>
          <w:rFonts w:ascii="Times New Roman" w:hAnsi="Times New Roman"/>
          <w:sz w:val="24"/>
          <w:szCs w:val="24"/>
        </w:rPr>
        <w:t xml:space="preserve"> </w:t>
      </w:r>
      <w:proofErr w:type="spellStart"/>
      <w:r w:rsidRPr="002136F3">
        <w:rPr>
          <w:rFonts w:ascii="Times New Roman" w:hAnsi="Times New Roman"/>
          <w:sz w:val="24"/>
          <w:szCs w:val="24"/>
        </w:rPr>
        <w:t>Mức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thuế</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áp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dụng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mức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theo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quy</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định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của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pháp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luật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hiện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hành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trên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chuyển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nhượng</w:t>
      </w:r>
      <w:proofErr w:type="spellEnd"/>
      <w:r w:rsidRPr="002136F3">
        <w:rPr>
          <w:rFonts w:ascii="Times New Roman" w:hAnsi="Times New Roman"/>
          <w:sz w:val="24"/>
          <w:szCs w:val="24"/>
        </w:rPr>
        <w:t>.</w:t>
      </w:r>
    </w:p>
    <w:p w14:paraId="20B5D4E7" w14:textId="786D0ED2" w:rsidR="004122F6" w:rsidRPr="002136F3" w:rsidRDefault="004122F6" w:rsidP="00D54A5B">
      <w:pPr>
        <w:spacing w:before="120" w:after="120" w:line="312" w:lineRule="auto"/>
        <w:ind w:left="142" w:right="260"/>
        <w:jc w:val="both"/>
        <w:rPr>
          <w:rFonts w:ascii="Times New Roman" w:hAnsi="Times New Roman"/>
          <w:sz w:val="24"/>
          <w:szCs w:val="24"/>
        </w:rPr>
      </w:pPr>
      <w:r w:rsidRPr="002136F3">
        <w:rPr>
          <w:rFonts w:ascii="Times New Roman" w:eastAsia="Times New Roman" w:hAnsi="Times New Roman"/>
          <w:i/>
          <w:iCs/>
          <w:sz w:val="24"/>
          <w:szCs w:val="24"/>
          <w:lang w:val="nl-NL"/>
        </w:rPr>
        <w:t>The Fund Management Company is required to withhold and pay tax when it redeems its fund units from individual fund unitholders (both residents and non-residents) and foreign institutional</w:t>
      </w:r>
      <w:r w:rsidRPr="002136F3">
        <w:rPr>
          <w:rFonts w:ascii="Times New Roman" w:eastAsia="Times New Roman" w:hAnsi="Times New Roman"/>
          <w:i/>
          <w:iCs/>
          <w:sz w:val="24"/>
          <w:szCs w:val="24"/>
          <w:lang w:val="vi-VN"/>
        </w:rPr>
        <w:t xml:space="preserve"> investors </w:t>
      </w:r>
      <w:r w:rsidRPr="002136F3">
        <w:rPr>
          <w:rFonts w:ascii="Times New Roman" w:eastAsia="Times New Roman" w:hAnsi="Times New Roman"/>
          <w:i/>
          <w:iCs/>
          <w:sz w:val="24"/>
          <w:szCs w:val="24"/>
          <w:lang w:val="nl-NL"/>
        </w:rPr>
        <w:t>on their behalf according to Circular 2231</w:t>
      </w:r>
      <w:r w:rsidRPr="002136F3">
        <w:rPr>
          <w:rFonts w:ascii="Times New Roman" w:eastAsia="Times New Roman" w:hAnsi="Times New Roman"/>
          <w:i/>
          <w:iCs/>
          <w:sz w:val="24"/>
          <w:szCs w:val="24"/>
          <w:lang w:val="vi-VN"/>
        </w:rPr>
        <w:t xml:space="preserve">/TCT-CS dated on 15 June 2015 issued by General Department of Taxation, Circular </w:t>
      </w:r>
      <w:r w:rsidRPr="002136F3">
        <w:rPr>
          <w:rFonts w:ascii="Times New Roman" w:eastAsia="Times New Roman" w:hAnsi="Times New Roman"/>
          <w:i/>
          <w:iCs/>
          <w:sz w:val="24"/>
          <w:szCs w:val="24"/>
          <w:lang w:val="nl-NL"/>
        </w:rPr>
        <w:t xml:space="preserve">111/2013/TT-BTC amended by Circular 92/2015/TT-BTC, Circular 25/2018/TT-BTC dated 16 March 2018 and Circular 103/2014/TT-BTC dated 6 August 2014 issued by the Ministry of Finance. The tax rate </w:t>
      </w:r>
      <w:r w:rsidR="008647B7" w:rsidRPr="002136F3">
        <w:rPr>
          <w:rFonts w:ascii="Times New Roman" w:eastAsia="Times New Roman" w:hAnsi="Times New Roman"/>
          <w:i/>
          <w:iCs/>
          <w:sz w:val="24"/>
          <w:szCs w:val="24"/>
          <w:lang w:val="nl-NL"/>
        </w:rPr>
        <w:t>follows</w:t>
      </w:r>
      <w:r w:rsidR="008647B7" w:rsidRPr="002136F3">
        <w:rPr>
          <w:rFonts w:ascii="Times New Roman" w:eastAsia="Times New Roman" w:hAnsi="Times New Roman"/>
          <w:i/>
          <w:iCs/>
          <w:sz w:val="24"/>
          <w:szCs w:val="24"/>
          <w:lang w:val="vi-VN"/>
        </w:rPr>
        <w:t xml:space="preserve"> preveiling regulation </w:t>
      </w:r>
      <w:r w:rsidRPr="002136F3">
        <w:rPr>
          <w:rFonts w:ascii="Times New Roman" w:eastAsia="Times New Roman" w:hAnsi="Times New Roman"/>
          <w:i/>
          <w:iCs/>
          <w:sz w:val="24"/>
          <w:szCs w:val="24"/>
          <w:lang w:val="nl-NL"/>
        </w:rPr>
        <w:t>on the redemption proceeds.</w:t>
      </w:r>
    </w:p>
    <w:p w14:paraId="7A3798B5" w14:textId="77777777" w:rsidR="00865616" w:rsidRPr="002136F3" w:rsidRDefault="00FD18F7" w:rsidP="00D54A5B">
      <w:pPr>
        <w:spacing w:before="120" w:after="120" w:line="312" w:lineRule="auto"/>
        <w:ind w:left="142" w:right="260"/>
        <w:jc w:val="both"/>
        <w:rPr>
          <w:rFonts w:ascii="Times New Roman" w:hAnsi="Times New Roman"/>
          <w:sz w:val="24"/>
          <w:szCs w:val="24"/>
        </w:rPr>
      </w:pP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sẽ</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không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khấu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trừ</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thuế</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đối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với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giao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dịch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mua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lại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chỉ</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từ</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đầu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tư</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tổ</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trong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nước</w:t>
      </w:r>
      <w:proofErr w:type="spellEnd"/>
      <w:r w:rsidRPr="002136F3">
        <w:rPr>
          <w:rFonts w:ascii="Times New Roman" w:hAnsi="Times New Roman"/>
          <w:sz w:val="24"/>
          <w:szCs w:val="24"/>
        </w:rPr>
        <w:t>.</w:t>
      </w:r>
      <w:r w:rsidR="001620FB" w:rsidRPr="002136F3">
        <w:rPr>
          <w:rFonts w:ascii="Times New Roman" w:hAnsi="Times New Roman"/>
          <w:sz w:val="24"/>
          <w:szCs w:val="24"/>
        </w:rPr>
        <w:t xml:space="preserve">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đầu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tư</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này</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phải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chịu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trách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nhiệm</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tự</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kê</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khai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nộp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thuế</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nước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theo</w:t>
      </w:r>
      <w:proofErr w:type="spellEnd"/>
      <w:r w:rsidRPr="002136F3">
        <w:rPr>
          <w:rFonts w:ascii="Times New Roman" w:hAnsi="Times New Roman"/>
          <w:sz w:val="24"/>
          <w:szCs w:val="24"/>
        </w:rPr>
        <w:t xml:space="preserve"> Thông </w:t>
      </w:r>
      <w:proofErr w:type="spellStart"/>
      <w:r w:rsidRPr="002136F3">
        <w:rPr>
          <w:rFonts w:ascii="Times New Roman" w:hAnsi="Times New Roman"/>
          <w:sz w:val="24"/>
          <w:szCs w:val="24"/>
        </w:rPr>
        <w:t>tư</w:t>
      </w:r>
      <w:proofErr w:type="spellEnd"/>
      <w:r w:rsidRPr="002136F3">
        <w:rPr>
          <w:rFonts w:ascii="Times New Roman" w:hAnsi="Times New Roman"/>
          <w:sz w:val="24"/>
          <w:szCs w:val="24"/>
        </w:rPr>
        <w:t xml:space="preserve"> 78/2014/TT-BTC </w:t>
      </w:r>
      <w:proofErr w:type="spellStart"/>
      <w:r w:rsidRPr="002136F3">
        <w:rPr>
          <w:rFonts w:ascii="Times New Roman" w:hAnsi="Times New Roman"/>
          <w:sz w:val="24"/>
          <w:szCs w:val="24"/>
        </w:rPr>
        <w:t>ngày</w:t>
      </w:r>
      <w:proofErr w:type="spellEnd"/>
      <w:r w:rsidRPr="002136F3">
        <w:rPr>
          <w:rFonts w:ascii="Times New Roman" w:hAnsi="Times New Roman"/>
          <w:sz w:val="24"/>
          <w:szCs w:val="24"/>
        </w:rPr>
        <w:t xml:space="preserve"> 18 </w:t>
      </w:r>
      <w:proofErr w:type="spellStart"/>
      <w:r w:rsidRPr="002136F3">
        <w:rPr>
          <w:rFonts w:ascii="Times New Roman" w:hAnsi="Times New Roman"/>
          <w:sz w:val="24"/>
          <w:szCs w:val="24"/>
        </w:rPr>
        <w:t>tháng</w:t>
      </w:r>
      <w:proofErr w:type="spellEnd"/>
      <w:r w:rsidRPr="002136F3">
        <w:rPr>
          <w:rFonts w:ascii="Times New Roman" w:hAnsi="Times New Roman"/>
          <w:sz w:val="24"/>
          <w:szCs w:val="24"/>
        </w:rPr>
        <w:t xml:space="preserve"> 6 </w:t>
      </w:r>
      <w:proofErr w:type="spellStart"/>
      <w:r w:rsidRPr="002136F3">
        <w:rPr>
          <w:rFonts w:ascii="Times New Roman" w:hAnsi="Times New Roman"/>
          <w:sz w:val="24"/>
          <w:szCs w:val="24"/>
        </w:rPr>
        <w:t>năm</w:t>
      </w:r>
      <w:proofErr w:type="spellEnd"/>
      <w:r w:rsidRPr="002136F3">
        <w:rPr>
          <w:rFonts w:ascii="Times New Roman" w:hAnsi="Times New Roman"/>
          <w:sz w:val="24"/>
          <w:szCs w:val="24"/>
        </w:rPr>
        <w:t xml:space="preserve"> 2014</w:t>
      </w:r>
      <w:r w:rsidR="00E70229" w:rsidRPr="002136F3">
        <w:rPr>
          <w:rFonts w:ascii="Times New Roman" w:hAnsi="Times New Roman"/>
          <w:sz w:val="24"/>
          <w:szCs w:val="24"/>
        </w:rPr>
        <w:t>.</w:t>
      </w:r>
    </w:p>
    <w:p w14:paraId="2DAB4783" w14:textId="769D6076" w:rsidR="008647B7" w:rsidRPr="002136F3" w:rsidRDefault="008647B7" w:rsidP="008647B7">
      <w:pPr>
        <w:spacing w:before="120" w:after="120" w:line="312" w:lineRule="auto"/>
        <w:ind w:left="142" w:right="260"/>
        <w:jc w:val="both"/>
        <w:rPr>
          <w:rFonts w:ascii="Times New Roman" w:hAnsi="Times New Roman"/>
          <w:i/>
          <w:iCs/>
          <w:sz w:val="24"/>
          <w:szCs w:val="24"/>
          <w:lang w:val="vi-VN"/>
        </w:rPr>
      </w:pPr>
      <w:r w:rsidRPr="002136F3">
        <w:rPr>
          <w:rFonts w:ascii="Times New Roman" w:hAnsi="Times New Roman"/>
          <w:i/>
          <w:iCs/>
          <w:sz w:val="24"/>
          <w:szCs w:val="24"/>
        </w:rPr>
        <w:t>Fund</w:t>
      </w:r>
      <w:r w:rsidRPr="002136F3">
        <w:rPr>
          <w:rFonts w:ascii="Times New Roman" w:hAnsi="Times New Roman"/>
          <w:i/>
          <w:iCs/>
          <w:sz w:val="24"/>
          <w:szCs w:val="24"/>
          <w:lang w:val="vi-VN"/>
        </w:rPr>
        <w:t xml:space="preserve"> is not responsible for withholding tax on redemption fund units of domestic insitutional investors. These investors are responsible for self declaration and paying tax in accordance with Circular </w:t>
      </w:r>
      <w:r w:rsidRPr="002136F3">
        <w:rPr>
          <w:rFonts w:ascii="Times New Roman" w:eastAsia="Times New Roman" w:hAnsi="Times New Roman"/>
          <w:i/>
          <w:iCs/>
          <w:sz w:val="24"/>
          <w:szCs w:val="24"/>
          <w:lang w:val="nl-NL"/>
        </w:rPr>
        <w:t>78/2014/TT-</w:t>
      </w:r>
      <w:r w:rsidRPr="002136F3">
        <w:rPr>
          <w:rFonts w:ascii="Times New Roman" w:eastAsia="Times New Roman" w:hAnsi="Times New Roman"/>
          <w:i/>
          <w:iCs/>
          <w:sz w:val="24"/>
          <w:szCs w:val="24"/>
          <w:lang w:val="vi-VN"/>
        </w:rPr>
        <w:t xml:space="preserve">BTC dated on 18 June 2014. </w:t>
      </w:r>
    </w:p>
    <w:p w14:paraId="41EA41A1" w14:textId="472B0AF7" w:rsidR="00E70229" w:rsidRPr="002136F3" w:rsidRDefault="00E70229" w:rsidP="00D54A5B">
      <w:pPr>
        <w:shd w:val="clear" w:color="auto" w:fill="FFFFFF"/>
        <w:spacing w:before="120" w:after="120" w:line="312" w:lineRule="auto"/>
        <w:ind w:left="142" w:right="260"/>
        <w:jc w:val="both"/>
        <w:rPr>
          <w:rFonts w:ascii="Times New Roman" w:hAnsi="Times New Roman"/>
          <w:b/>
          <w:sz w:val="24"/>
          <w:szCs w:val="24"/>
          <w:lang w:val="vi-VN"/>
        </w:rPr>
      </w:pPr>
      <w:r w:rsidRPr="002136F3">
        <w:rPr>
          <w:rFonts w:ascii="Times New Roman" w:hAnsi="Times New Roman"/>
          <w:b/>
          <w:sz w:val="24"/>
          <w:szCs w:val="24"/>
          <w:lang w:val="nl-NL"/>
        </w:rPr>
        <w:t xml:space="preserve">4.8 </w:t>
      </w:r>
      <w:r w:rsidR="00D66577" w:rsidRPr="002136F3">
        <w:rPr>
          <w:rFonts w:ascii="Times New Roman" w:hAnsi="Times New Roman"/>
          <w:b/>
          <w:sz w:val="24"/>
          <w:szCs w:val="24"/>
          <w:lang w:val="nl-NL"/>
        </w:rPr>
        <w:tab/>
      </w:r>
      <w:r w:rsidRPr="002136F3">
        <w:rPr>
          <w:rFonts w:ascii="Times New Roman" w:hAnsi="Times New Roman"/>
          <w:b/>
          <w:sz w:val="24"/>
          <w:szCs w:val="24"/>
          <w:lang w:val="nl-NL"/>
        </w:rPr>
        <w:t xml:space="preserve">Chứng chỉ quỹ và Giá trị tài sản ròng có thể phân phối cho nhà đầu tư nắm giữ chứng chỉ quỹ </w:t>
      </w:r>
      <w:r w:rsidR="002F5B11" w:rsidRPr="002136F3">
        <w:rPr>
          <w:rFonts w:ascii="Times New Roman" w:hAnsi="Times New Roman"/>
          <w:b/>
          <w:sz w:val="24"/>
          <w:szCs w:val="24"/>
          <w:lang w:val="vi-VN"/>
        </w:rPr>
        <w:t>/ Fund units and Net Assets Value distributable to Unit holders</w:t>
      </w:r>
    </w:p>
    <w:p w14:paraId="52E48A4A" w14:textId="55C9F430" w:rsidR="00E70229" w:rsidRPr="002136F3" w:rsidRDefault="00E70229" w:rsidP="001F2E8F">
      <w:pPr>
        <w:numPr>
          <w:ilvl w:val="0"/>
          <w:numId w:val="5"/>
        </w:numPr>
        <w:overflowPunct w:val="0"/>
        <w:autoSpaceDE w:val="0"/>
        <w:autoSpaceDN w:val="0"/>
        <w:adjustRightInd w:val="0"/>
        <w:spacing w:before="120" w:after="120" w:line="312" w:lineRule="auto"/>
        <w:ind w:left="142" w:right="260" w:firstLine="0"/>
        <w:jc w:val="both"/>
        <w:textAlignment w:val="baseline"/>
        <w:outlineLvl w:val="2"/>
        <w:rPr>
          <w:rFonts w:ascii="Times New Roman" w:hAnsi="Times New Roman"/>
          <w:b/>
          <w:sz w:val="24"/>
          <w:szCs w:val="24"/>
        </w:rPr>
      </w:pPr>
      <w:proofErr w:type="spellStart"/>
      <w:r w:rsidRPr="002136F3">
        <w:rPr>
          <w:rFonts w:ascii="Times New Roman" w:hAnsi="Times New Roman"/>
          <w:b/>
          <w:i/>
          <w:sz w:val="24"/>
          <w:szCs w:val="24"/>
        </w:rPr>
        <w:t>Vốn</w:t>
      </w:r>
      <w:proofErr w:type="spellEnd"/>
      <w:r w:rsidRPr="002136F3">
        <w:rPr>
          <w:rFonts w:ascii="Times New Roman" w:hAnsi="Times New Roman"/>
          <w:b/>
          <w:i/>
          <w:sz w:val="24"/>
          <w:szCs w:val="24"/>
        </w:rPr>
        <w:t xml:space="preserve"> </w:t>
      </w:r>
      <w:proofErr w:type="spellStart"/>
      <w:r w:rsidRPr="002136F3">
        <w:rPr>
          <w:rFonts w:ascii="Times New Roman" w:hAnsi="Times New Roman"/>
          <w:b/>
          <w:i/>
          <w:sz w:val="24"/>
          <w:szCs w:val="24"/>
        </w:rPr>
        <w:t>góp</w:t>
      </w:r>
      <w:proofErr w:type="spellEnd"/>
      <w:r w:rsidRPr="002136F3">
        <w:rPr>
          <w:rFonts w:ascii="Times New Roman" w:hAnsi="Times New Roman"/>
          <w:b/>
          <w:i/>
          <w:sz w:val="24"/>
          <w:szCs w:val="24"/>
        </w:rPr>
        <w:t xml:space="preserve"> </w:t>
      </w:r>
      <w:proofErr w:type="spellStart"/>
      <w:r w:rsidRPr="002136F3">
        <w:rPr>
          <w:rFonts w:ascii="Times New Roman" w:hAnsi="Times New Roman"/>
          <w:b/>
          <w:i/>
          <w:sz w:val="24"/>
          <w:szCs w:val="24"/>
        </w:rPr>
        <w:t>phát</w:t>
      </w:r>
      <w:proofErr w:type="spellEnd"/>
      <w:r w:rsidRPr="002136F3">
        <w:rPr>
          <w:rFonts w:ascii="Times New Roman" w:hAnsi="Times New Roman"/>
          <w:b/>
          <w:i/>
          <w:sz w:val="24"/>
          <w:szCs w:val="24"/>
        </w:rPr>
        <w:t xml:space="preserve"> </w:t>
      </w:r>
      <w:proofErr w:type="spellStart"/>
      <w:r w:rsidRPr="002136F3">
        <w:rPr>
          <w:rFonts w:ascii="Times New Roman" w:hAnsi="Times New Roman"/>
          <w:b/>
          <w:i/>
          <w:sz w:val="24"/>
          <w:szCs w:val="24"/>
        </w:rPr>
        <w:t>hành</w:t>
      </w:r>
      <w:proofErr w:type="spellEnd"/>
      <w:r w:rsidR="002F5B11" w:rsidRPr="002136F3">
        <w:rPr>
          <w:rFonts w:ascii="Times New Roman" w:hAnsi="Times New Roman"/>
          <w:b/>
          <w:i/>
          <w:sz w:val="24"/>
          <w:szCs w:val="24"/>
          <w:lang w:val="vi-VN"/>
        </w:rPr>
        <w:t xml:space="preserve"> </w:t>
      </w:r>
      <w:proofErr w:type="gramStart"/>
      <w:r w:rsidR="002F5B11" w:rsidRPr="002136F3">
        <w:rPr>
          <w:rFonts w:ascii="Times New Roman" w:hAnsi="Times New Roman"/>
          <w:b/>
          <w:i/>
          <w:sz w:val="24"/>
          <w:szCs w:val="24"/>
          <w:lang w:val="vi-VN"/>
        </w:rPr>
        <w:t xml:space="preserve">/ </w:t>
      </w:r>
      <w:r w:rsidR="00C15BA1" w:rsidRPr="002136F3">
        <w:rPr>
          <w:rFonts w:ascii="Times New Roman" w:hAnsi="Times New Roman"/>
          <w:b/>
          <w:i/>
          <w:sz w:val="24"/>
          <w:szCs w:val="24"/>
          <w:lang w:val="vi-VN"/>
        </w:rPr>
        <w:t xml:space="preserve"> Subscription</w:t>
      </w:r>
      <w:proofErr w:type="gramEnd"/>
      <w:r w:rsidR="00C15BA1" w:rsidRPr="002136F3">
        <w:rPr>
          <w:rFonts w:ascii="Times New Roman" w:hAnsi="Times New Roman"/>
          <w:b/>
          <w:i/>
          <w:sz w:val="24"/>
          <w:szCs w:val="24"/>
          <w:lang w:val="vi-VN"/>
        </w:rPr>
        <w:t xml:space="preserve"> capital</w:t>
      </w:r>
    </w:p>
    <w:p w14:paraId="249A19B1" w14:textId="77777777" w:rsidR="00E70229" w:rsidRPr="002136F3" w:rsidRDefault="00E70229" w:rsidP="00D54A5B">
      <w:pPr>
        <w:spacing w:before="120" w:after="120" w:line="312" w:lineRule="auto"/>
        <w:ind w:left="142" w:right="260"/>
        <w:jc w:val="both"/>
        <w:rPr>
          <w:rFonts w:ascii="Times New Roman" w:hAnsi="Times New Roman"/>
          <w:sz w:val="24"/>
          <w:szCs w:val="24"/>
        </w:rPr>
      </w:pP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chỉ</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với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quyền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hưởng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cổ</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tức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phân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loại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vốn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chủ</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sở</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hữu</w:t>
      </w:r>
      <w:proofErr w:type="spellEnd"/>
      <w:r w:rsidRPr="002136F3">
        <w:rPr>
          <w:rFonts w:ascii="Times New Roman" w:hAnsi="Times New Roman"/>
          <w:sz w:val="24"/>
          <w:szCs w:val="24"/>
        </w:rPr>
        <w:t>.</w:t>
      </w:r>
      <w:r w:rsidR="001620FB" w:rsidRPr="002136F3">
        <w:rPr>
          <w:rFonts w:ascii="Times New Roman" w:hAnsi="Times New Roman"/>
          <w:sz w:val="24"/>
          <w:szCs w:val="24"/>
        </w:rPr>
        <w:t xml:space="preserve"> </w:t>
      </w:r>
      <w:proofErr w:type="spellStart"/>
      <w:r w:rsidRPr="002136F3">
        <w:rPr>
          <w:rFonts w:ascii="Times New Roman" w:hAnsi="Times New Roman"/>
          <w:sz w:val="24"/>
          <w:szCs w:val="24"/>
        </w:rPr>
        <w:t>Mỗi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chỉ</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có</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mệnh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là</w:t>
      </w:r>
      <w:proofErr w:type="spellEnd"/>
      <w:r w:rsidRPr="002136F3">
        <w:rPr>
          <w:rFonts w:ascii="Times New Roman" w:hAnsi="Times New Roman"/>
          <w:sz w:val="24"/>
          <w:szCs w:val="24"/>
        </w:rPr>
        <w:t xml:space="preserve"> 10.000 </w:t>
      </w:r>
      <w:proofErr w:type="spellStart"/>
      <w:r w:rsidRPr="002136F3">
        <w:rPr>
          <w:rFonts w:ascii="Times New Roman" w:hAnsi="Times New Roman"/>
          <w:sz w:val="24"/>
          <w:szCs w:val="24"/>
        </w:rPr>
        <w:t>đồng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Việt</w:t>
      </w:r>
      <w:proofErr w:type="spellEnd"/>
      <w:r w:rsidRPr="002136F3">
        <w:rPr>
          <w:rFonts w:ascii="Times New Roman" w:hAnsi="Times New Roman"/>
          <w:sz w:val="24"/>
          <w:szCs w:val="24"/>
        </w:rPr>
        <w:t xml:space="preserve"> Nam, </w:t>
      </w:r>
      <w:proofErr w:type="spellStart"/>
      <w:r w:rsidRPr="002136F3">
        <w:rPr>
          <w:rFonts w:ascii="Times New Roman" w:hAnsi="Times New Roman"/>
          <w:sz w:val="24"/>
          <w:szCs w:val="24"/>
        </w:rPr>
        <w:t>một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lô</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chỉ</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tương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với</w:t>
      </w:r>
      <w:proofErr w:type="spellEnd"/>
      <w:r w:rsidRPr="002136F3">
        <w:rPr>
          <w:rFonts w:ascii="Times New Roman" w:hAnsi="Times New Roman"/>
          <w:sz w:val="24"/>
          <w:szCs w:val="24"/>
        </w:rPr>
        <w:t xml:space="preserve"> 100.000 </w:t>
      </w:r>
      <w:proofErr w:type="spellStart"/>
      <w:r w:rsidRPr="002136F3">
        <w:rPr>
          <w:rFonts w:ascii="Times New Roman" w:hAnsi="Times New Roman"/>
          <w:sz w:val="24"/>
          <w:szCs w:val="24"/>
        </w:rPr>
        <w:t>chứng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chỉ</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w:t>
      </w:r>
    </w:p>
    <w:p w14:paraId="65C21ED1" w14:textId="09B0DE07" w:rsidR="00C15BA1" w:rsidRPr="002136F3" w:rsidRDefault="00C15BA1" w:rsidP="00D54A5B">
      <w:pPr>
        <w:spacing w:before="120" w:after="120" w:line="312" w:lineRule="auto"/>
        <w:ind w:left="142" w:right="260"/>
        <w:jc w:val="both"/>
        <w:rPr>
          <w:rFonts w:ascii="Times New Roman" w:hAnsi="Times New Roman"/>
          <w:i/>
          <w:iCs/>
          <w:sz w:val="24"/>
          <w:szCs w:val="24"/>
          <w:lang w:val="vi-VN"/>
        </w:rPr>
      </w:pPr>
      <w:r w:rsidRPr="002136F3">
        <w:rPr>
          <w:rFonts w:ascii="Times New Roman" w:hAnsi="Times New Roman"/>
          <w:i/>
          <w:iCs/>
          <w:sz w:val="24"/>
          <w:szCs w:val="24"/>
        </w:rPr>
        <w:t>Fund</w:t>
      </w:r>
      <w:r w:rsidRPr="002136F3">
        <w:rPr>
          <w:rFonts w:ascii="Times New Roman" w:hAnsi="Times New Roman"/>
          <w:i/>
          <w:iCs/>
          <w:sz w:val="24"/>
          <w:szCs w:val="24"/>
          <w:lang w:val="vi-VN"/>
        </w:rPr>
        <w:t xml:space="preserve"> unit with right to dividend is classified as equity. Par value of each fund unit is VND 10.000. 1 lot of fund unit is equivalent to 100.000 fund certificates.  </w:t>
      </w:r>
    </w:p>
    <w:p w14:paraId="46D868DA" w14:textId="77777777" w:rsidR="00E70229" w:rsidRPr="002136F3" w:rsidRDefault="00E70229" w:rsidP="00D54A5B">
      <w:pPr>
        <w:spacing w:before="120" w:after="120" w:line="312" w:lineRule="auto"/>
        <w:ind w:left="142" w:right="260"/>
        <w:jc w:val="both"/>
        <w:rPr>
          <w:rFonts w:ascii="Times New Roman" w:hAnsi="Times New Roman"/>
          <w:sz w:val="24"/>
          <w:szCs w:val="24"/>
        </w:rPr>
      </w:pPr>
      <w:proofErr w:type="spellStart"/>
      <w:r w:rsidRPr="002136F3">
        <w:rPr>
          <w:rFonts w:ascii="Times New Roman" w:hAnsi="Times New Roman"/>
          <w:sz w:val="24"/>
          <w:szCs w:val="24"/>
        </w:rPr>
        <w:t>Số</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lượng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giao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dịch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hoán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đổi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tối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thiểu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một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lô</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chỉ</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tương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với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một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trăm</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nghìn</w:t>
      </w:r>
      <w:proofErr w:type="spellEnd"/>
      <w:r w:rsidRPr="002136F3">
        <w:rPr>
          <w:rFonts w:ascii="Times New Roman" w:hAnsi="Times New Roman"/>
          <w:sz w:val="24"/>
          <w:szCs w:val="24"/>
        </w:rPr>
        <w:t xml:space="preserve"> (100.000) </w:t>
      </w:r>
      <w:proofErr w:type="spellStart"/>
      <w:r w:rsidRPr="002136F3">
        <w:rPr>
          <w:rFonts w:ascii="Times New Roman" w:hAnsi="Times New Roman"/>
          <w:sz w:val="24"/>
          <w:szCs w:val="24"/>
        </w:rPr>
        <w:t>chứng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chỉ</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trị</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tài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ròng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trên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một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lô</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chỉ</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bằng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trị</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tài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ròng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của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chia </w:t>
      </w:r>
      <w:proofErr w:type="spellStart"/>
      <w:r w:rsidRPr="002136F3">
        <w:rPr>
          <w:rFonts w:ascii="Times New Roman" w:hAnsi="Times New Roman"/>
          <w:sz w:val="24"/>
          <w:szCs w:val="24"/>
        </w:rPr>
        <w:t>cho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tổng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số</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lô</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chỉ</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làm</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tròn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đến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hàng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vị</w:t>
      </w:r>
      <w:proofErr w:type="spellEnd"/>
      <w:r w:rsidRPr="002136F3">
        <w:rPr>
          <w:rFonts w:ascii="Times New Roman" w:hAnsi="Times New Roman"/>
          <w:sz w:val="24"/>
          <w:szCs w:val="24"/>
        </w:rPr>
        <w:t>.</w:t>
      </w:r>
      <w:r w:rsidR="00004334" w:rsidRPr="002136F3">
        <w:rPr>
          <w:rFonts w:ascii="Times New Roman" w:hAnsi="Times New Roman"/>
          <w:sz w:val="24"/>
          <w:szCs w:val="24"/>
        </w:rPr>
        <w:t xml:space="preserve"> </w:t>
      </w:r>
      <w:proofErr w:type="spellStart"/>
      <w:r w:rsidR="00004334" w:rsidRPr="002136F3">
        <w:rPr>
          <w:rFonts w:ascii="Times New Roman" w:hAnsi="Times New Roman"/>
          <w:color w:val="000000"/>
          <w:sz w:val="24"/>
          <w:szCs w:val="24"/>
        </w:rPr>
        <w:t>Giá</w:t>
      </w:r>
      <w:proofErr w:type="spellEnd"/>
      <w:r w:rsidR="00004334" w:rsidRPr="002136F3">
        <w:rPr>
          <w:rFonts w:ascii="Times New Roman" w:hAnsi="Times New Roman"/>
          <w:color w:val="000000"/>
          <w:sz w:val="24"/>
          <w:szCs w:val="24"/>
        </w:rPr>
        <w:t xml:space="preserve"> </w:t>
      </w:r>
      <w:proofErr w:type="spellStart"/>
      <w:r w:rsidR="00004334" w:rsidRPr="002136F3">
        <w:rPr>
          <w:rFonts w:ascii="Times New Roman" w:hAnsi="Times New Roman"/>
          <w:color w:val="000000"/>
          <w:sz w:val="24"/>
          <w:szCs w:val="24"/>
        </w:rPr>
        <w:t>trị</w:t>
      </w:r>
      <w:proofErr w:type="spellEnd"/>
      <w:r w:rsidR="00004334" w:rsidRPr="002136F3">
        <w:rPr>
          <w:rFonts w:ascii="Times New Roman" w:hAnsi="Times New Roman"/>
          <w:color w:val="000000"/>
          <w:sz w:val="24"/>
          <w:szCs w:val="24"/>
        </w:rPr>
        <w:t xml:space="preserve"> </w:t>
      </w:r>
      <w:proofErr w:type="spellStart"/>
      <w:r w:rsidR="00004334" w:rsidRPr="002136F3">
        <w:rPr>
          <w:rFonts w:ascii="Times New Roman" w:hAnsi="Times New Roman"/>
          <w:color w:val="000000"/>
          <w:sz w:val="24"/>
          <w:szCs w:val="24"/>
        </w:rPr>
        <w:t>tài</w:t>
      </w:r>
      <w:proofErr w:type="spellEnd"/>
      <w:r w:rsidR="00004334" w:rsidRPr="002136F3">
        <w:rPr>
          <w:rFonts w:ascii="Times New Roman" w:hAnsi="Times New Roman"/>
          <w:color w:val="000000"/>
          <w:sz w:val="24"/>
          <w:szCs w:val="24"/>
        </w:rPr>
        <w:t xml:space="preserve"> </w:t>
      </w:r>
      <w:proofErr w:type="spellStart"/>
      <w:r w:rsidR="00004334" w:rsidRPr="002136F3">
        <w:rPr>
          <w:rFonts w:ascii="Times New Roman" w:hAnsi="Times New Roman"/>
          <w:color w:val="000000"/>
          <w:sz w:val="24"/>
          <w:szCs w:val="24"/>
        </w:rPr>
        <w:t>sản</w:t>
      </w:r>
      <w:proofErr w:type="spellEnd"/>
      <w:r w:rsidR="00004334" w:rsidRPr="002136F3">
        <w:rPr>
          <w:rFonts w:ascii="Times New Roman" w:hAnsi="Times New Roman"/>
          <w:color w:val="000000"/>
          <w:sz w:val="24"/>
          <w:szCs w:val="24"/>
        </w:rPr>
        <w:t xml:space="preserve"> </w:t>
      </w:r>
      <w:proofErr w:type="spellStart"/>
      <w:r w:rsidR="00004334" w:rsidRPr="002136F3">
        <w:rPr>
          <w:rFonts w:ascii="Times New Roman" w:hAnsi="Times New Roman"/>
          <w:color w:val="000000"/>
          <w:sz w:val="24"/>
          <w:szCs w:val="24"/>
        </w:rPr>
        <w:t>ròng</w:t>
      </w:r>
      <w:proofErr w:type="spellEnd"/>
      <w:r w:rsidR="00004334" w:rsidRPr="002136F3">
        <w:rPr>
          <w:rFonts w:ascii="Times New Roman" w:hAnsi="Times New Roman"/>
          <w:color w:val="000000"/>
          <w:sz w:val="24"/>
          <w:szCs w:val="24"/>
        </w:rPr>
        <w:t xml:space="preserve"> </w:t>
      </w:r>
      <w:proofErr w:type="spellStart"/>
      <w:r w:rsidR="00004334" w:rsidRPr="002136F3">
        <w:rPr>
          <w:rFonts w:ascii="Times New Roman" w:hAnsi="Times New Roman"/>
          <w:color w:val="000000"/>
          <w:sz w:val="24"/>
          <w:szCs w:val="24"/>
        </w:rPr>
        <w:t>trên</w:t>
      </w:r>
      <w:proofErr w:type="spellEnd"/>
      <w:r w:rsidR="00004334" w:rsidRPr="002136F3">
        <w:rPr>
          <w:rFonts w:ascii="Times New Roman" w:hAnsi="Times New Roman"/>
          <w:color w:val="000000"/>
          <w:sz w:val="24"/>
          <w:szCs w:val="24"/>
        </w:rPr>
        <w:t xml:space="preserve"> </w:t>
      </w:r>
      <w:proofErr w:type="spellStart"/>
      <w:r w:rsidR="00004334" w:rsidRPr="002136F3">
        <w:rPr>
          <w:rFonts w:ascii="Times New Roman" w:hAnsi="Times New Roman"/>
          <w:color w:val="000000"/>
          <w:sz w:val="24"/>
          <w:szCs w:val="24"/>
        </w:rPr>
        <w:t>một</w:t>
      </w:r>
      <w:proofErr w:type="spellEnd"/>
      <w:r w:rsidR="00004334" w:rsidRPr="002136F3">
        <w:rPr>
          <w:rFonts w:ascii="Times New Roman" w:hAnsi="Times New Roman"/>
          <w:color w:val="000000"/>
          <w:sz w:val="24"/>
          <w:szCs w:val="24"/>
        </w:rPr>
        <w:t xml:space="preserve"> </w:t>
      </w:r>
      <w:proofErr w:type="spellStart"/>
      <w:r w:rsidR="00004334" w:rsidRPr="002136F3">
        <w:rPr>
          <w:rFonts w:ascii="Times New Roman" w:hAnsi="Times New Roman"/>
          <w:color w:val="000000"/>
          <w:sz w:val="24"/>
          <w:szCs w:val="24"/>
        </w:rPr>
        <w:t>chứng</w:t>
      </w:r>
      <w:proofErr w:type="spellEnd"/>
      <w:r w:rsidR="00004334" w:rsidRPr="002136F3">
        <w:rPr>
          <w:rFonts w:ascii="Times New Roman" w:hAnsi="Times New Roman"/>
          <w:color w:val="000000"/>
          <w:sz w:val="24"/>
          <w:szCs w:val="24"/>
        </w:rPr>
        <w:t xml:space="preserve"> </w:t>
      </w:r>
      <w:proofErr w:type="spellStart"/>
      <w:r w:rsidR="00004334" w:rsidRPr="002136F3">
        <w:rPr>
          <w:rFonts w:ascii="Times New Roman" w:hAnsi="Times New Roman"/>
          <w:color w:val="000000"/>
          <w:sz w:val="24"/>
          <w:szCs w:val="24"/>
        </w:rPr>
        <w:t>chỉ</w:t>
      </w:r>
      <w:proofErr w:type="spellEnd"/>
      <w:r w:rsidR="00004334" w:rsidRPr="002136F3">
        <w:rPr>
          <w:rFonts w:ascii="Times New Roman" w:hAnsi="Times New Roman"/>
          <w:color w:val="000000"/>
          <w:sz w:val="24"/>
          <w:szCs w:val="24"/>
        </w:rPr>
        <w:t xml:space="preserve"> </w:t>
      </w:r>
      <w:proofErr w:type="spellStart"/>
      <w:r w:rsidR="00004334" w:rsidRPr="002136F3">
        <w:rPr>
          <w:rFonts w:ascii="Times New Roman" w:hAnsi="Times New Roman"/>
          <w:color w:val="000000"/>
          <w:sz w:val="24"/>
          <w:szCs w:val="24"/>
        </w:rPr>
        <w:t>quỹ</w:t>
      </w:r>
      <w:proofErr w:type="spellEnd"/>
      <w:r w:rsidR="00004334" w:rsidRPr="002136F3">
        <w:rPr>
          <w:rFonts w:ascii="Times New Roman" w:hAnsi="Times New Roman"/>
          <w:color w:val="000000"/>
          <w:sz w:val="24"/>
          <w:szCs w:val="24"/>
        </w:rPr>
        <w:t xml:space="preserve"> </w:t>
      </w:r>
      <w:proofErr w:type="spellStart"/>
      <w:r w:rsidR="00004334" w:rsidRPr="002136F3">
        <w:rPr>
          <w:rFonts w:ascii="Times New Roman" w:hAnsi="Times New Roman"/>
          <w:color w:val="000000"/>
          <w:sz w:val="24"/>
          <w:szCs w:val="24"/>
        </w:rPr>
        <w:t>bằng</w:t>
      </w:r>
      <w:proofErr w:type="spellEnd"/>
      <w:r w:rsidR="00004334" w:rsidRPr="002136F3">
        <w:rPr>
          <w:rFonts w:ascii="Times New Roman" w:hAnsi="Times New Roman"/>
          <w:color w:val="000000"/>
          <w:sz w:val="24"/>
          <w:szCs w:val="24"/>
        </w:rPr>
        <w:t xml:space="preserve"> </w:t>
      </w:r>
      <w:proofErr w:type="spellStart"/>
      <w:r w:rsidR="00004334" w:rsidRPr="002136F3">
        <w:rPr>
          <w:rFonts w:ascii="Times New Roman" w:hAnsi="Times New Roman"/>
          <w:color w:val="000000"/>
          <w:sz w:val="24"/>
          <w:szCs w:val="24"/>
        </w:rPr>
        <w:t>giá</w:t>
      </w:r>
      <w:proofErr w:type="spellEnd"/>
      <w:r w:rsidR="00004334" w:rsidRPr="002136F3">
        <w:rPr>
          <w:rFonts w:ascii="Times New Roman" w:hAnsi="Times New Roman"/>
          <w:color w:val="000000"/>
          <w:sz w:val="24"/>
          <w:szCs w:val="24"/>
        </w:rPr>
        <w:t xml:space="preserve"> </w:t>
      </w:r>
      <w:proofErr w:type="spellStart"/>
      <w:r w:rsidR="00004334" w:rsidRPr="002136F3">
        <w:rPr>
          <w:rFonts w:ascii="Times New Roman" w:hAnsi="Times New Roman"/>
          <w:color w:val="000000"/>
          <w:sz w:val="24"/>
          <w:szCs w:val="24"/>
        </w:rPr>
        <w:t>trị</w:t>
      </w:r>
      <w:proofErr w:type="spellEnd"/>
      <w:r w:rsidR="00004334" w:rsidRPr="002136F3">
        <w:rPr>
          <w:rFonts w:ascii="Times New Roman" w:hAnsi="Times New Roman"/>
          <w:color w:val="000000"/>
          <w:sz w:val="24"/>
          <w:szCs w:val="24"/>
        </w:rPr>
        <w:t xml:space="preserve"> </w:t>
      </w:r>
      <w:proofErr w:type="spellStart"/>
      <w:r w:rsidR="00004334" w:rsidRPr="002136F3">
        <w:rPr>
          <w:rFonts w:ascii="Times New Roman" w:hAnsi="Times New Roman"/>
          <w:color w:val="000000"/>
          <w:sz w:val="24"/>
          <w:szCs w:val="24"/>
        </w:rPr>
        <w:t>tài</w:t>
      </w:r>
      <w:proofErr w:type="spellEnd"/>
      <w:r w:rsidR="00004334" w:rsidRPr="002136F3">
        <w:rPr>
          <w:rFonts w:ascii="Times New Roman" w:hAnsi="Times New Roman"/>
          <w:color w:val="000000"/>
          <w:sz w:val="24"/>
          <w:szCs w:val="24"/>
        </w:rPr>
        <w:t xml:space="preserve"> </w:t>
      </w:r>
      <w:proofErr w:type="spellStart"/>
      <w:r w:rsidR="00004334" w:rsidRPr="002136F3">
        <w:rPr>
          <w:rFonts w:ascii="Times New Roman" w:hAnsi="Times New Roman"/>
          <w:color w:val="000000"/>
          <w:sz w:val="24"/>
          <w:szCs w:val="24"/>
        </w:rPr>
        <w:t>sản</w:t>
      </w:r>
      <w:proofErr w:type="spellEnd"/>
      <w:r w:rsidR="00004334" w:rsidRPr="002136F3">
        <w:rPr>
          <w:rFonts w:ascii="Times New Roman" w:hAnsi="Times New Roman"/>
          <w:color w:val="000000"/>
          <w:sz w:val="24"/>
          <w:szCs w:val="24"/>
        </w:rPr>
        <w:t xml:space="preserve"> </w:t>
      </w:r>
      <w:proofErr w:type="spellStart"/>
      <w:r w:rsidR="00004334" w:rsidRPr="002136F3">
        <w:rPr>
          <w:rFonts w:ascii="Times New Roman" w:hAnsi="Times New Roman"/>
          <w:color w:val="000000"/>
          <w:sz w:val="24"/>
          <w:szCs w:val="24"/>
        </w:rPr>
        <w:t>ròng</w:t>
      </w:r>
      <w:proofErr w:type="spellEnd"/>
      <w:r w:rsidR="00004334" w:rsidRPr="002136F3">
        <w:rPr>
          <w:rFonts w:ascii="Times New Roman" w:hAnsi="Times New Roman"/>
          <w:color w:val="000000"/>
          <w:sz w:val="24"/>
          <w:szCs w:val="24"/>
        </w:rPr>
        <w:t xml:space="preserve"> </w:t>
      </w:r>
      <w:proofErr w:type="spellStart"/>
      <w:r w:rsidR="00004334" w:rsidRPr="002136F3">
        <w:rPr>
          <w:rFonts w:ascii="Times New Roman" w:hAnsi="Times New Roman"/>
          <w:color w:val="000000"/>
          <w:sz w:val="24"/>
          <w:szCs w:val="24"/>
        </w:rPr>
        <w:t>của</w:t>
      </w:r>
      <w:proofErr w:type="spellEnd"/>
      <w:r w:rsidR="00004334" w:rsidRPr="002136F3">
        <w:rPr>
          <w:rFonts w:ascii="Times New Roman" w:hAnsi="Times New Roman"/>
          <w:color w:val="000000"/>
          <w:sz w:val="24"/>
          <w:szCs w:val="24"/>
        </w:rPr>
        <w:t xml:space="preserve"> </w:t>
      </w:r>
      <w:proofErr w:type="spellStart"/>
      <w:r w:rsidR="00004334" w:rsidRPr="002136F3">
        <w:rPr>
          <w:rFonts w:ascii="Times New Roman" w:hAnsi="Times New Roman"/>
          <w:color w:val="000000"/>
          <w:sz w:val="24"/>
          <w:szCs w:val="24"/>
        </w:rPr>
        <w:t>Quỹ</w:t>
      </w:r>
      <w:proofErr w:type="spellEnd"/>
      <w:r w:rsidR="00004334" w:rsidRPr="002136F3">
        <w:rPr>
          <w:rFonts w:ascii="Times New Roman" w:hAnsi="Times New Roman"/>
          <w:color w:val="000000"/>
          <w:sz w:val="24"/>
          <w:szCs w:val="24"/>
        </w:rPr>
        <w:t xml:space="preserve"> chia </w:t>
      </w:r>
      <w:proofErr w:type="spellStart"/>
      <w:r w:rsidR="00004334" w:rsidRPr="002136F3">
        <w:rPr>
          <w:rFonts w:ascii="Times New Roman" w:hAnsi="Times New Roman"/>
          <w:color w:val="000000"/>
          <w:sz w:val="24"/>
          <w:szCs w:val="24"/>
        </w:rPr>
        <w:t>cho</w:t>
      </w:r>
      <w:proofErr w:type="spellEnd"/>
      <w:r w:rsidR="00004334" w:rsidRPr="002136F3">
        <w:rPr>
          <w:rFonts w:ascii="Times New Roman" w:hAnsi="Times New Roman"/>
          <w:color w:val="000000"/>
          <w:sz w:val="24"/>
          <w:szCs w:val="24"/>
        </w:rPr>
        <w:t xml:space="preserve"> </w:t>
      </w:r>
      <w:proofErr w:type="spellStart"/>
      <w:r w:rsidR="00004334" w:rsidRPr="002136F3">
        <w:rPr>
          <w:rFonts w:ascii="Times New Roman" w:hAnsi="Times New Roman"/>
          <w:color w:val="000000"/>
          <w:sz w:val="24"/>
          <w:szCs w:val="24"/>
        </w:rPr>
        <w:t>tổng</w:t>
      </w:r>
      <w:proofErr w:type="spellEnd"/>
      <w:r w:rsidR="00004334" w:rsidRPr="002136F3">
        <w:rPr>
          <w:rFonts w:ascii="Times New Roman" w:hAnsi="Times New Roman"/>
          <w:color w:val="000000"/>
          <w:sz w:val="24"/>
          <w:szCs w:val="24"/>
        </w:rPr>
        <w:t xml:space="preserve"> </w:t>
      </w:r>
      <w:proofErr w:type="spellStart"/>
      <w:r w:rsidR="00004334" w:rsidRPr="002136F3">
        <w:rPr>
          <w:rFonts w:ascii="Times New Roman" w:hAnsi="Times New Roman"/>
          <w:color w:val="000000"/>
          <w:sz w:val="24"/>
          <w:szCs w:val="24"/>
        </w:rPr>
        <w:t>số</w:t>
      </w:r>
      <w:proofErr w:type="spellEnd"/>
      <w:r w:rsidR="00004334" w:rsidRPr="002136F3">
        <w:rPr>
          <w:rFonts w:ascii="Times New Roman" w:hAnsi="Times New Roman"/>
          <w:color w:val="000000"/>
          <w:sz w:val="24"/>
          <w:szCs w:val="24"/>
        </w:rPr>
        <w:t xml:space="preserve"> </w:t>
      </w:r>
      <w:proofErr w:type="spellStart"/>
      <w:r w:rsidR="00004334" w:rsidRPr="002136F3">
        <w:rPr>
          <w:rFonts w:ascii="Times New Roman" w:hAnsi="Times New Roman"/>
          <w:color w:val="000000"/>
          <w:sz w:val="24"/>
          <w:szCs w:val="24"/>
        </w:rPr>
        <w:t>chứng</w:t>
      </w:r>
      <w:proofErr w:type="spellEnd"/>
      <w:r w:rsidR="00004334" w:rsidRPr="002136F3">
        <w:rPr>
          <w:rFonts w:ascii="Times New Roman" w:hAnsi="Times New Roman"/>
          <w:color w:val="000000"/>
          <w:sz w:val="24"/>
          <w:szCs w:val="24"/>
        </w:rPr>
        <w:t xml:space="preserve"> </w:t>
      </w:r>
      <w:proofErr w:type="spellStart"/>
      <w:r w:rsidR="00004334" w:rsidRPr="002136F3">
        <w:rPr>
          <w:rFonts w:ascii="Times New Roman" w:hAnsi="Times New Roman"/>
          <w:color w:val="000000"/>
          <w:sz w:val="24"/>
          <w:szCs w:val="24"/>
        </w:rPr>
        <w:t>chỉ</w:t>
      </w:r>
      <w:proofErr w:type="spellEnd"/>
      <w:r w:rsidR="00004334" w:rsidRPr="002136F3">
        <w:rPr>
          <w:rFonts w:ascii="Times New Roman" w:hAnsi="Times New Roman"/>
          <w:color w:val="000000"/>
          <w:sz w:val="24"/>
          <w:szCs w:val="24"/>
        </w:rPr>
        <w:t xml:space="preserve"> </w:t>
      </w:r>
      <w:proofErr w:type="spellStart"/>
      <w:r w:rsidR="00004334" w:rsidRPr="002136F3">
        <w:rPr>
          <w:rFonts w:ascii="Times New Roman" w:hAnsi="Times New Roman"/>
          <w:color w:val="000000"/>
          <w:sz w:val="24"/>
          <w:szCs w:val="24"/>
        </w:rPr>
        <w:t>quỹ</w:t>
      </w:r>
      <w:proofErr w:type="spellEnd"/>
      <w:r w:rsidR="00004334" w:rsidRPr="002136F3">
        <w:rPr>
          <w:rFonts w:ascii="Times New Roman" w:hAnsi="Times New Roman"/>
          <w:color w:val="000000"/>
          <w:sz w:val="24"/>
          <w:szCs w:val="24"/>
        </w:rPr>
        <w:t xml:space="preserve"> </w:t>
      </w:r>
      <w:proofErr w:type="spellStart"/>
      <w:r w:rsidR="00004334" w:rsidRPr="002136F3">
        <w:rPr>
          <w:rFonts w:ascii="Times New Roman" w:hAnsi="Times New Roman"/>
          <w:color w:val="000000"/>
          <w:sz w:val="24"/>
          <w:szCs w:val="24"/>
        </w:rPr>
        <w:t>đang</w:t>
      </w:r>
      <w:proofErr w:type="spellEnd"/>
      <w:r w:rsidR="00004334" w:rsidRPr="002136F3">
        <w:rPr>
          <w:rFonts w:ascii="Times New Roman" w:hAnsi="Times New Roman"/>
          <w:color w:val="000000"/>
          <w:sz w:val="24"/>
          <w:szCs w:val="24"/>
        </w:rPr>
        <w:t xml:space="preserve"> </w:t>
      </w:r>
      <w:proofErr w:type="spellStart"/>
      <w:r w:rsidR="00004334" w:rsidRPr="002136F3">
        <w:rPr>
          <w:rFonts w:ascii="Times New Roman" w:hAnsi="Times New Roman"/>
          <w:color w:val="000000"/>
          <w:sz w:val="24"/>
          <w:szCs w:val="24"/>
        </w:rPr>
        <w:t>lưu</w:t>
      </w:r>
      <w:proofErr w:type="spellEnd"/>
      <w:r w:rsidR="00004334" w:rsidRPr="002136F3">
        <w:rPr>
          <w:rFonts w:ascii="Times New Roman" w:hAnsi="Times New Roman"/>
          <w:color w:val="000000"/>
          <w:sz w:val="24"/>
          <w:szCs w:val="24"/>
        </w:rPr>
        <w:t xml:space="preserve"> </w:t>
      </w:r>
      <w:proofErr w:type="spellStart"/>
      <w:r w:rsidR="00004334" w:rsidRPr="002136F3">
        <w:rPr>
          <w:rFonts w:ascii="Times New Roman" w:hAnsi="Times New Roman"/>
          <w:color w:val="000000"/>
          <w:sz w:val="24"/>
          <w:szCs w:val="24"/>
        </w:rPr>
        <w:t>hành</w:t>
      </w:r>
      <w:proofErr w:type="spellEnd"/>
      <w:r w:rsidR="00004334" w:rsidRPr="002136F3">
        <w:rPr>
          <w:rFonts w:ascii="Times New Roman" w:hAnsi="Times New Roman"/>
          <w:color w:val="000000"/>
          <w:sz w:val="24"/>
          <w:szCs w:val="24"/>
        </w:rPr>
        <w:t xml:space="preserve"> </w:t>
      </w:r>
      <w:proofErr w:type="spellStart"/>
      <w:r w:rsidR="00004334" w:rsidRPr="002136F3">
        <w:rPr>
          <w:rFonts w:ascii="Times New Roman" w:hAnsi="Times New Roman"/>
          <w:color w:val="000000"/>
          <w:sz w:val="24"/>
          <w:szCs w:val="24"/>
        </w:rPr>
        <w:t>và</w:t>
      </w:r>
      <w:proofErr w:type="spellEnd"/>
      <w:r w:rsidR="00004334" w:rsidRPr="002136F3">
        <w:rPr>
          <w:rFonts w:ascii="Times New Roman" w:hAnsi="Times New Roman"/>
          <w:color w:val="000000"/>
          <w:sz w:val="24"/>
          <w:szCs w:val="24"/>
        </w:rPr>
        <w:t xml:space="preserve"> </w:t>
      </w:r>
      <w:proofErr w:type="spellStart"/>
      <w:r w:rsidR="00004334" w:rsidRPr="002136F3">
        <w:rPr>
          <w:rFonts w:ascii="Times New Roman" w:hAnsi="Times New Roman"/>
          <w:color w:val="000000"/>
          <w:sz w:val="24"/>
          <w:szCs w:val="24"/>
        </w:rPr>
        <w:t>lấy</w:t>
      </w:r>
      <w:proofErr w:type="spellEnd"/>
      <w:r w:rsidR="00004334" w:rsidRPr="002136F3">
        <w:rPr>
          <w:rFonts w:ascii="Times New Roman" w:hAnsi="Times New Roman"/>
          <w:color w:val="000000"/>
          <w:sz w:val="24"/>
          <w:szCs w:val="24"/>
        </w:rPr>
        <w:t xml:space="preserve"> </w:t>
      </w:r>
      <w:proofErr w:type="spellStart"/>
      <w:r w:rsidR="00004334" w:rsidRPr="002136F3">
        <w:rPr>
          <w:rFonts w:ascii="Times New Roman" w:hAnsi="Times New Roman"/>
          <w:color w:val="000000"/>
          <w:sz w:val="24"/>
          <w:szCs w:val="24"/>
        </w:rPr>
        <w:t>đến</w:t>
      </w:r>
      <w:proofErr w:type="spellEnd"/>
      <w:r w:rsidR="00004334" w:rsidRPr="002136F3">
        <w:rPr>
          <w:rFonts w:ascii="Times New Roman" w:hAnsi="Times New Roman"/>
          <w:color w:val="000000"/>
          <w:sz w:val="24"/>
          <w:szCs w:val="24"/>
        </w:rPr>
        <w:t xml:space="preserve"> (02) </w:t>
      </w:r>
      <w:proofErr w:type="spellStart"/>
      <w:r w:rsidR="00004334" w:rsidRPr="002136F3">
        <w:rPr>
          <w:rFonts w:ascii="Times New Roman" w:hAnsi="Times New Roman"/>
          <w:color w:val="000000"/>
          <w:sz w:val="24"/>
          <w:szCs w:val="24"/>
        </w:rPr>
        <w:t>số</w:t>
      </w:r>
      <w:proofErr w:type="spellEnd"/>
      <w:r w:rsidR="00004334" w:rsidRPr="002136F3">
        <w:rPr>
          <w:rFonts w:ascii="Times New Roman" w:hAnsi="Times New Roman"/>
          <w:color w:val="000000"/>
          <w:sz w:val="24"/>
          <w:szCs w:val="24"/>
        </w:rPr>
        <w:t xml:space="preserve"> </w:t>
      </w:r>
      <w:proofErr w:type="spellStart"/>
      <w:r w:rsidR="00004334" w:rsidRPr="002136F3">
        <w:rPr>
          <w:rFonts w:ascii="Times New Roman" w:hAnsi="Times New Roman"/>
          <w:color w:val="000000"/>
          <w:sz w:val="24"/>
          <w:szCs w:val="24"/>
        </w:rPr>
        <w:t>thập</w:t>
      </w:r>
      <w:proofErr w:type="spellEnd"/>
      <w:r w:rsidR="00004334" w:rsidRPr="002136F3">
        <w:rPr>
          <w:rFonts w:ascii="Times New Roman" w:hAnsi="Times New Roman"/>
          <w:color w:val="000000"/>
          <w:sz w:val="24"/>
          <w:szCs w:val="24"/>
        </w:rPr>
        <w:t xml:space="preserve"> </w:t>
      </w:r>
      <w:proofErr w:type="spellStart"/>
      <w:r w:rsidR="00004334" w:rsidRPr="002136F3">
        <w:rPr>
          <w:rFonts w:ascii="Times New Roman" w:hAnsi="Times New Roman"/>
          <w:color w:val="000000"/>
          <w:sz w:val="24"/>
          <w:szCs w:val="24"/>
        </w:rPr>
        <w:t>phân</w:t>
      </w:r>
      <w:proofErr w:type="spellEnd"/>
      <w:r w:rsidRPr="002136F3">
        <w:rPr>
          <w:rFonts w:ascii="Times New Roman" w:hAnsi="Times New Roman"/>
          <w:sz w:val="24"/>
          <w:szCs w:val="24"/>
        </w:rPr>
        <w:t>.</w:t>
      </w:r>
    </w:p>
    <w:p w14:paraId="4BA11BDE" w14:textId="397DA6D1" w:rsidR="00C15BA1" w:rsidRPr="002136F3" w:rsidRDefault="00C15BA1" w:rsidP="00D54A5B">
      <w:pPr>
        <w:spacing w:before="120" w:after="120" w:line="312" w:lineRule="auto"/>
        <w:ind w:left="142" w:right="260"/>
        <w:jc w:val="both"/>
        <w:rPr>
          <w:rFonts w:ascii="Times New Roman" w:hAnsi="Times New Roman"/>
          <w:i/>
          <w:iCs/>
          <w:sz w:val="24"/>
          <w:szCs w:val="24"/>
          <w:lang w:val="vi-VN"/>
        </w:rPr>
      </w:pPr>
      <w:r w:rsidRPr="002136F3">
        <w:rPr>
          <w:rFonts w:ascii="Times New Roman" w:hAnsi="Times New Roman"/>
          <w:i/>
          <w:iCs/>
          <w:sz w:val="24"/>
          <w:szCs w:val="24"/>
        </w:rPr>
        <w:t>Minimum</w:t>
      </w:r>
      <w:r w:rsidRPr="002136F3">
        <w:rPr>
          <w:rFonts w:ascii="Times New Roman" w:hAnsi="Times New Roman"/>
          <w:i/>
          <w:iCs/>
          <w:sz w:val="24"/>
          <w:szCs w:val="24"/>
          <w:lang w:val="vi-VN"/>
        </w:rPr>
        <w:t xml:space="preserve"> quantity for exchange-traded transaction is one 1 lot which is equivalent to one hundred thousand (100.000) fund units. Net asset value per lot is equal to Total Net asset Value of Fund divided by quantity of lots and rounded to unit. Net asset value per fund certificate is equal to Total Net asset Value of Fund divided by quantity of fund units and rounded to 2 decimals.  </w:t>
      </w:r>
    </w:p>
    <w:p w14:paraId="773B4CF5" w14:textId="77777777" w:rsidR="00AD07CC" w:rsidRPr="002136F3" w:rsidRDefault="00E70229" w:rsidP="00D54A5B">
      <w:pPr>
        <w:spacing w:before="120" w:after="120" w:line="312" w:lineRule="auto"/>
        <w:ind w:left="142" w:right="260"/>
        <w:jc w:val="both"/>
        <w:rPr>
          <w:rFonts w:ascii="Times New Roman" w:hAnsi="Times New Roman"/>
          <w:sz w:val="24"/>
          <w:szCs w:val="24"/>
        </w:rPr>
      </w:pPr>
      <w:proofErr w:type="spellStart"/>
      <w:r w:rsidRPr="002136F3">
        <w:rPr>
          <w:rFonts w:ascii="Times New Roman" w:hAnsi="Times New Roman"/>
          <w:sz w:val="24"/>
          <w:szCs w:val="24"/>
        </w:rPr>
        <w:t>Vốn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góp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phát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hành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vốn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góp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từ</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việc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hoán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đổi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lô</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chỉ</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lấy</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danh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mục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cấu</w:t>
      </w:r>
      <w:proofErr w:type="spellEnd"/>
      <w:r w:rsidRPr="002136F3">
        <w:rPr>
          <w:rFonts w:ascii="Times New Roman" w:hAnsi="Times New Roman"/>
          <w:sz w:val="24"/>
          <w:szCs w:val="24"/>
        </w:rPr>
        <w:t>.</w:t>
      </w:r>
      <w:r w:rsidR="001620FB" w:rsidRPr="002136F3">
        <w:rPr>
          <w:rFonts w:ascii="Times New Roman" w:hAnsi="Times New Roman"/>
          <w:sz w:val="24"/>
          <w:szCs w:val="24"/>
        </w:rPr>
        <w:t xml:space="preserve"> </w:t>
      </w:r>
      <w:proofErr w:type="spellStart"/>
      <w:r w:rsidRPr="002136F3">
        <w:rPr>
          <w:rFonts w:ascii="Times New Roman" w:hAnsi="Times New Roman"/>
          <w:sz w:val="24"/>
          <w:szCs w:val="24"/>
        </w:rPr>
        <w:t>Vốn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góp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phát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hành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ánh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theo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mệnh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của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chỉ</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ghi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nhận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tại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ngày</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làm</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việc</w:t>
      </w:r>
      <w:proofErr w:type="spellEnd"/>
      <w:r w:rsidRPr="002136F3">
        <w:rPr>
          <w:rFonts w:ascii="Times New Roman" w:hAnsi="Times New Roman"/>
          <w:sz w:val="24"/>
          <w:szCs w:val="24"/>
        </w:rPr>
        <w:t xml:space="preserve"> </w:t>
      </w:r>
      <w:proofErr w:type="spellStart"/>
      <w:r w:rsidR="00856C59" w:rsidRPr="002136F3">
        <w:rPr>
          <w:rFonts w:ascii="Times New Roman" w:hAnsi="Times New Roman"/>
          <w:sz w:val="24"/>
          <w:szCs w:val="24"/>
        </w:rPr>
        <w:t>đầu</w:t>
      </w:r>
      <w:proofErr w:type="spellEnd"/>
      <w:r w:rsidR="00856C59" w:rsidRPr="002136F3">
        <w:rPr>
          <w:rFonts w:ascii="Times New Roman" w:hAnsi="Times New Roman"/>
          <w:sz w:val="24"/>
          <w:szCs w:val="24"/>
        </w:rPr>
        <w:t xml:space="preserve"> </w:t>
      </w:r>
      <w:proofErr w:type="spellStart"/>
      <w:r w:rsidR="00856C59" w:rsidRPr="002136F3">
        <w:rPr>
          <w:rFonts w:ascii="Times New Roman" w:hAnsi="Times New Roman"/>
          <w:sz w:val="24"/>
          <w:szCs w:val="24"/>
        </w:rPr>
        <w:t>tiên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kể</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từ</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ngày</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giao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dịch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hoán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đổi</w:t>
      </w:r>
      <w:proofErr w:type="spellEnd"/>
      <w:r w:rsidRPr="002136F3">
        <w:rPr>
          <w:rFonts w:ascii="Times New Roman" w:hAnsi="Times New Roman"/>
          <w:sz w:val="24"/>
          <w:szCs w:val="24"/>
        </w:rPr>
        <w:t xml:space="preserve"> – </w:t>
      </w:r>
      <w:proofErr w:type="spellStart"/>
      <w:r w:rsidRPr="002136F3">
        <w:rPr>
          <w:rFonts w:ascii="Times New Roman" w:hAnsi="Times New Roman"/>
          <w:sz w:val="24"/>
          <w:szCs w:val="24"/>
        </w:rPr>
        <w:t>ngày</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xác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nhận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hoàn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tất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giao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dịch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xác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nhận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quyền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sở</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hữu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w:t>
      </w:r>
    </w:p>
    <w:p w14:paraId="48F2AFB4" w14:textId="06961E86" w:rsidR="00C15BA1" w:rsidRPr="00726CC5" w:rsidRDefault="00C15BA1" w:rsidP="006D5144">
      <w:pPr>
        <w:widowControl w:val="0"/>
        <w:ind w:left="180" w:right="296"/>
        <w:jc w:val="both"/>
        <w:rPr>
          <w:rFonts w:ascii="Times New Roman" w:hAnsi="Times New Roman"/>
          <w:i/>
          <w:iCs/>
          <w:sz w:val="24"/>
          <w:szCs w:val="24"/>
          <w:lang w:val="vi-VN"/>
        </w:rPr>
      </w:pPr>
      <w:r w:rsidRPr="002136F3">
        <w:rPr>
          <w:rFonts w:ascii="Times New Roman" w:hAnsi="Times New Roman"/>
          <w:i/>
          <w:iCs/>
          <w:sz w:val="24"/>
          <w:szCs w:val="24"/>
          <w:lang w:val="vi-VN"/>
        </w:rPr>
        <w:lastRenderedPageBreak/>
        <w:t xml:space="preserve">Subscription capital represents the capital contributed by the Fund Unitholders in form of exchange a creation unit for a basket of underlying </w:t>
      </w:r>
      <w:r w:rsidR="003B56DD" w:rsidRPr="002136F3">
        <w:rPr>
          <w:rFonts w:ascii="Times New Roman" w:hAnsi="Times New Roman"/>
          <w:i/>
          <w:iCs/>
          <w:sz w:val="24"/>
          <w:szCs w:val="24"/>
          <w:lang w:val="vi-VN"/>
        </w:rPr>
        <w:t xml:space="preserve">securities. </w:t>
      </w:r>
      <w:r w:rsidRPr="002136F3">
        <w:rPr>
          <w:rFonts w:ascii="Times New Roman" w:hAnsi="Times New Roman"/>
          <w:i/>
          <w:iCs/>
          <w:sz w:val="24"/>
          <w:szCs w:val="24"/>
          <w:lang w:val="vi-VN"/>
        </w:rPr>
        <w:t>Subscription capital</w:t>
      </w:r>
      <w:r w:rsidRPr="002136F3" w:rsidDel="00F43585">
        <w:rPr>
          <w:rFonts w:ascii="Times New Roman" w:hAnsi="Times New Roman"/>
          <w:i/>
          <w:iCs/>
          <w:sz w:val="24"/>
          <w:szCs w:val="24"/>
          <w:lang w:val="vi-VN"/>
        </w:rPr>
        <w:t xml:space="preserve"> </w:t>
      </w:r>
      <w:r w:rsidRPr="002136F3">
        <w:rPr>
          <w:rFonts w:ascii="Times New Roman" w:hAnsi="Times New Roman"/>
          <w:i/>
          <w:iCs/>
          <w:sz w:val="24"/>
          <w:szCs w:val="24"/>
          <w:lang w:val="vi-VN"/>
        </w:rPr>
        <w:t>is recorded at par value of fund unit and recorded on first working day after the exchange-traded date – the date which the transaction is completed and the ownership of the basket of underlying securities is transferred to the Fund.</w:t>
      </w:r>
    </w:p>
    <w:p w14:paraId="39044412" w14:textId="3E84BE5F" w:rsidR="00E70229" w:rsidRPr="002136F3" w:rsidRDefault="00E70229" w:rsidP="001F2E8F">
      <w:pPr>
        <w:numPr>
          <w:ilvl w:val="0"/>
          <w:numId w:val="5"/>
        </w:numPr>
        <w:overflowPunct w:val="0"/>
        <w:autoSpaceDE w:val="0"/>
        <w:autoSpaceDN w:val="0"/>
        <w:adjustRightInd w:val="0"/>
        <w:spacing w:before="120" w:after="120" w:line="312" w:lineRule="auto"/>
        <w:ind w:left="180" w:right="260" w:firstLine="0"/>
        <w:jc w:val="both"/>
        <w:textAlignment w:val="baseline"/>
        <w:outlineLvl w:val="2"/>
        <w:rPr>
          <w:rFonts w:ascii="Times New Roman" w:hAnsi="Times New Roman"/>
          <w:b/>
          <w:i/>
          <w:sz w:val="24"/>
          <w:szCs w:val="24"/>
        </w:rPr>
      </w:pPr>
      <w:proofErr w:type="spellStart"/>
      <w:r w:rsidRPr="002136F3">
        <w:rPr>
          <w:rFonts w:ascii="Times New Roman" w:hAnsi="Times New Roman"/>
          <w:b/>
          <w:i/>
          <w:sz w:val="24"/>
          <w:szCs w:val="24"/>
        </w:rPr>
        <w:t>Vốn</w:t>
      </w:r>
      <w:proofErr w:type="spellEnd"/>
      <w:r w:rsidRPr="002136F3">
        <w:rPr>
          <w:rFonts w:ascii="Times New Roman" w:hAnsi="Times New Roman"/>
          <w:b/>
          <w:i/>
          <w:sz w:val="24"/>
          <w:szCs w:val="24"/>
        </w:rPr>
        <w:t xml:space="preserve"> </w:t>
      </w:r>
      <w:proofErr w:type="spellStart"/>
      <w:r w:rsidRPr="002136F3">
        <w:rPr>
          <w:rFonts w:ascii="Times New Roman" w:hAnsi="Times New Roman"/>
          <w:b/>
          <w:i/>
          <w:sz w:val="24"/>
          <w:szCs w:val="24"/>
        </w:rPr>
        <w:t>góp</w:t>
      </w:r>
      <w:proofErr w:type="spellEnd"/>
      <w:r w:rsidRPr="002136F3">
        <w:rPr>
          <w:rFonts w:ascii="Times New Roman" w:hAnsi="Times New Roman"/>
          <w:b/>
          <w:i/>
          <w:sz w:val="24"/>
          <w:szCs w:val="24"/>
        </w:rPr>
        <w:t xml:space="preserve"> </w:t>
      </w:r>
      <w:proofErr w:type="spellStart"/>
      <w:r w:rsidRPr="002136F3">
        <w:rPr>
          <w:rFonts w:ascii="Times New Roman" w:hAnsi="Times New Roman"/>
          <w:b/>
          <w:i/>
          <w:sz w:val="24"/>
          <w:szCs w:val="24"/>
        </w:rPr>
        <w:t>mua</w:t>
      </w:r>
      <w:proofErr w:type="spellEnd"/>
      <w:r w:rsidRPr="002136F3">
        <w:rPr>
          <w:rFonts w:ascii="Times New Roman" w:hAnsi="Times New Roman"/>
          <w:b/>
          <w:i/>
          <w:sz w:val="24"/>
          <w:szCs w:val="24"/>
        </w:rPr>
        <w:t xml:space="preserve"> </w:t>
      </w:r>
      <w:proofErr w:type="spellStart"/>
      <w:r w:rsidRPr="002136F3">
        <w:rPr>
          <w:rFonts w:ascii="Times New Roman" w:hAnsi="Times New Roman"/>
          <w:b/>
          <w:i/>
          <w:sz w:val="24"/>
          <w:szCs w:val="24"/>
        </w:rPr>
        <w:t>lại</w:t>
      </w:r>
      <w:proofErr w:type="spellEnd"/>
      <w:r w:rsidR="003B56DD" w:rsidRPr="002136F3">
        <w:rPr>
          <w:rFonts w:ascii="Times New Roman" w:hAnsi="Times New Roman"/>
          <w:b/>
          <w:i/>
          <w:sz w:val="24"/>
          <w:szCs w:val="24"/>
          <w:lang w:val="vi-VN"/>
        </w:rPr>
        <w:t xml:space="preserve"> / Redemption Capital</w:t>
      </w:r>
    </w:p>
    <w:p w14:paraId="1355FBE5" w14:textId="77777777" w:rsidR="007B62CE" w:rsidRDefault="00E70229" w:rsidP="006D5144">
      <w:pPr>
        <w:keepNext/>
        <w:widowControl w:val="0"/>
        <w:ind w:left="180" w:right="296"/>
        <w:jc w:val="both"/>
        <w:rPr>
          <w:rFonts w:ascii="Times New Roman" w:hAnsi="Times New Roman"/>
          <w:color w:val="000000"/>
          <w:sz w:val="24"/>
          <w:szCs w:val="24"/>
          <w:lang w:val="vi-VN"/>
        </w:rPr>
      </w:pPr>
      <w:proofErr w:type="spellStart"/>
      <w:r w:rsidRPr="002136F3">
        <w:rPr>
          <w:rFonts w:ascii="Times New Roman" w:hAnsi="Times New Roman"/>
          <w:sz w:val="24"/>
          <w:szCs w:val="24"/>
        </w:rPr>
        <w:t>Vốn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góp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mua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lại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vốn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góp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từ</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việc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hoán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đổi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danh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mục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cấu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lấy</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lô</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chỉ</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Vốn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góp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mua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lại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ánh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theo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mệnh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chỉ</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Vốn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góp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mua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lại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ánh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theo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mệnh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chỉ</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ghi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nhận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tại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ngày</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làm</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việc</w:t>
      </w:r>
      <w:proofErr w:type="spellEnd"/>
      <w:r w:rsidRPr="002136F3">
        <w:rPr>
          <w:rFonts w:ascii="Times New Roman" w:hAnsi="Times New Roman"/>
          <w:sz w:val="24"/>
          <w:szCs w:val="24"/>
        </w:rPr>
        <w:t xml:space="preserve"> </w:t>
      </w:r>
      <w:proofErr w:type="spellStart"/>
      <w:r w:rsidR="00856C59" w:rsidRPr="002136F3">
        <w:rPr>
          <w:rFonts w:ascii="Times New Roman" w:hAnsi="Times New Roman"/>
          <w:sz w:val="24"/>
          <w:szCs w:val="24"/>
        </w:rPr>
        <w:t>đầu</w:t>
      </w:r>
      <w:proofErr w:type="spellEnd"/>
      <w:r w:rsidR="00856C59" w:rsidRPr="002136F3">
        <w:rPr>
          <w:rFonts w:ascii="Times New Roman" w:hAnsi="Times New Roman"/>
          <w:sz w:val="24"/>
          <w:szCs w:val="24"/>
        </w:rPr>
        <w:t xml:space="preserve"> </w:t>
      </w:r>
      <w:proofErr w:type="spellStart"/>
      <w:r w:rsidR="00856C59" w:rsidRPr="002136F3">
        <w:rPr>
          <w:rFonts w:ascii="Times New Roman" w:hAnsi="Times New Roman"/>
          <w:sz w:val="24"/>
          <w:szCs w:val="24"/>
        </w:rPr>
        <w:t>tiên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kể</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từ</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ngày</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giao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dịch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hoán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đổi</w:t>
      </w:r>
      <w:proofErr w:type="spellEnd"/>
      <w:r w:rsidRPr="002136F3">
        <w:rPr>
          <w:rFonts w:ascii="Times New Roman" w:hAnsi="Times New Roman"/>
          <w:sz w:val="24"/>
          <w:szCs w:val="24"/>
        </w:rPr>
        <w:t xml:space="preserve"> – </w:t>
      </w:r>
      <w:proofErr w:type="spellStart"/>
      <w:r w:rsidRPr="002136F3">
        <w:rPr>
          <w:rFonts w:ascii="Times New Roman" w:hAnsi="Times New Roman"/>
          <w:sz w:val="24"/>
          <w:szCs w:val="24"/>
        </w:rPr>
        <w:t>ngày</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xác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nhận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hoàn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tất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giao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dịch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xác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nhận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quyền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sở</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hữu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w:t>
      </w:r>
      <w:r w:rsidR="003B56DD" w:rsidRPr="002136F3">
        <w:rPr>
          <w:rFonts w:ascii="Times New Roman" w:hAnsi="Times New Roman"/>
          <w:color w:val="000000"/>
          <w:sz w:val="24"/>
          <w:szCs w:val="24"/>
        </w:rPr>
        <w:t xml:space="preserve"> </w:t>
      </w:r>
    </w:p>
    <w:p w14:paraId="73B4441F" w14:textId="49B0811C" w:rsidR="00D66577" w:rsidRPr="007B62CE" w:rsidRDefault="003B56DD" w:rsidP="006D5144">
      <w:pPr>
        <w:keepNext/>
        <w:widowControl w:val="0"/>
        <w:ind w:left="180" w:right="296"/>
        <w:jc w:val="both"/>
        <w:rPr>
          <w:rFonts w:ascii="Times New Roman" w:hAnsi="Times New Roman"/>
          <w:i/>
          <w:iCs/>
          <w:color w:val="000000"/>
          <w:sz w:val="24"/>
          <w:szCs w:val="24"/>
        </w:rPr>
      </w:pPr>
      <w:r w:rsidRPr="007B62CE">
        <w:rPr>
          <w:rFonts w:ascii="Times New Roman" w:hAnsi="Times New Roman"/>
          <w:i/>
          <w:iCs/>
          <w:color w:val="000000"/>
          <w:sz w:val="24"/>
          <w:szCs w:val="24"/>
        </w:rPr>
        <w:t xml:space="preserve">Redemption capital represents the redemption of </w:t>
      </w:r>
      <w:r w:rsidRPr="007B62CE">
        <w:rPr>
          <w:rFonts w:ascii="Times New Roman" w:hAnsi="Times New Roman"/>
          <w:i/>
          <w:iCs/>
          <w:color w:val="000000"/>
          <w:sz w:val="24"/>
          <w:szCs w:val="24"/>
          <w:lang w:val="vi-VN"/>
        </w:rPr>
        <w:t>f</w:t>
      </w:r>
      <w:r w:rsidRPr="007B62CE">
        <w:rPr>
          <w:rFonts w:ascii="Times New Roman" w:hAnsi="Times New Roman"/>
          <w:i/>
          <w:iCs/>
          <w:color w:val="000000"/>
          <w:sz w:val="24"/>
          <w:szCs w:val="24"/>
        </w:rPr>
        <w:t xml:space="preserve">und units from </w:t>
      </w:r>
      <w:r w:rsidRPr="007B62CE">
        <w:rPr>
          <w:rFonts w:ascii="Times New Roman" w:hAnsi="Times New Roman"/>
          <w:i/>
          <w:iCs/>
          <w:color w:val="000000"/>
          <w:sz w:val="24"/>
          <w:szCs w:val="24"/>
          <w:lang w:val="vi-VN"/>
        </w:rPr>
        <w:t xml:space="preserve">the </w:t>
      </w:r>
      <w:r w:rsidRPr="007B62CE">
        <w:rPr>
          <w:rFonts w:ascii="Times New Roman" w:hAnsi="Times New Roman"/>
          <w:i/>
          <w:iCs/>
          <w:color w:val="000000"/>
          <w:sz w:val="24"/>
          <w:szCs w:val="24"/>
        </w:rPr>
        <w:t>Fund Unitholders in form of exchange a basket of underlying securities</w:t>
      </w:r>
      <w:r w:rsidRPr="007B62CE">
        <w:rPr>
          <w:rFonts w:ascii="Times New Roman" w:hAnsi="Times New Roman"/>
          <w:i/>
          <w:iCs/>
          <w:color w:val="000000"/>
          <w:sz w:val="24"/>
          <w:szCs w:val="24"/>
          <w:lang w:val="vi-VN"/>
        </w:rPr>
        <w:t xml:space="preserve">. </w:t>
      </w:r>
      <w:r w:rsidRPr="007B62CE">
        <w:rPr>
          <w:rFonts w:ascii="Times New Roman" w:hAnsi="Times New Roman"/>
          <w:i/>
          <w:iCs/>
          <w:color w:val="000000"/>
          <w:sz w:val="24"/>
          <w:szCs w:val="24"/>
        </w:rPr>
        <w:t>Redemption capital is recorded at par value of fund unit and recorded on first working day after the exchange-traded date – the date which the transaction is completed and the ownership of the basket of underlying securities is transferred to the Fund Unitholders.</w:t>
      </w:r>
    </w:p>
    <w:p w14:paraId="65A65471" w14:textId="5374DFC9" w:rsidR="00E70229" w:rsidRPr="002136F3" w:rsidRDefault="00E70229" w:rsidP="001F2E8F">
      <w:pPr>
        <w:numPr>
          <w:ilvl w:val="0"/>
          <w:numId w:val="5"/>
        </w:numPr>
        <w:overflowPunct w:val="0"/>
        <w:autoSpaceDE w:val="0"/>
        <w:autoSpaceDN w:val="0"/>
        <w:adjustRightInd w:val="0"/>
        <w:spacing w:before="120" w:after="120" w:line="312" w:lineRule="auto"/>
        <w:ind w:left="180" w:right="260" w:firstLine="0"/>
        <w:jc w:val="both"/>
        <w:textAlignment w:val="baseline"/>
        <w:outlineLvl w:val="2"/>
        <w:rPr>
          <w:rFonts w:ascii="Times New Roman" w:hAnsi="Times New Roman"/>
          <w:b/>
          <w:i/>
          <w:sz w:val="24"/>
          <w:szCs w:val="24"/>
        </w:rPr>
      </w:pPr>
      <w:proofErr w:type="spellStart"/>
      <w:r w:rsidRPr="002136F3">
        <w:rPr>
          <w:rFonts w:ascii="Times New Roman" w:hAnsi="Times New Roman"/>
          <w:b/>
          <w:i/>
          <w:sz w:val="24"/>
          <w:szCs w:val="24"/>
        </w:rPr>
        <w:t>Thặng</w:t>
      </w:r>
      <w:proofErr w:type="spellEnd"/>
      <w:r w:rsidRPr="002136F3">
        <w:rPr>
          <w:rFonts w:ascii="Times New Roman" w:hAnsi="Times New Roman"/>
          <w:b/>
          <w:i/>
          <w:sz w:val="24"/>
          <w:szCs w:val="24"/>
        </w:rPr>
        <w:t xml:space="preserve"> </w:t>
      </w:r>
      <w:proofErr w:type="spellStart"/>
      <w:r w:rsidRPr="002136F3">
        <w:rPr>
          <w:rFonts w:ascii="Times New Roman" w:hAnsi="Times New Roman"/>
          <w:b/>
          <w:i/>
          <w:sz w:val="24"/>
          <w:szCs w:val="24"/>
        </w:rPr>
        <w:t>dư</w:t>
      </w:r>
      <w:proofErr w:type="spellEnd"/>
      <w:r w:rsidRPr="002136F3">
        <w:rPr>
          <w:rFonts w:ascii="Times New Roman" w:hAnsi="Times New Roman"/>
          <w:b/>
          <w:i/>
          <w:sz w:val="24"/>
          <w:szCs w:val="24"/>
        </w:rPr>
        <w:t xml:space="preserve"> </w:t>
      </w:r>
      <w:proofErr w:type="spellStart"/>
      <w:r w:rsidRPr="002136F3">
        <w:rPr>
          <w:rFonts w:ascii="Times New Roman" w:hAnsi="Times New Roman"/>
          <w:b/>
          <w:i/>
          <w:sz w:val="24"/>
          <w:szCs w:val="24"/>
        </w:rPr>
        <w:t>vốn</w:t>
      </w:r>
      <w:proofErr w:type="spellEnd"/>
      <w:r w:rsidRPr="002136F3">
        <w:rPr>
          <w:rFonts w:ascii="Times New Roman" w:hAnsi="Times New Roman"/>
          <w:b/>
          <w:i/>
          <w:sz w:val="24"/>
          <w:szCs w:val="24"/>
        </w:rPr>
        <w:t xml:space="preserve"> </w:t>
      </w:r>
      <w:proofErr w:type="spellStart"/>
      <w:r w:rsidRPr="002136F3">
        <w:rPr>
          <w:rFonts w:ascii="Times New Roman" w:hAnsi="Times New Roman"/>
          <w:b/>
          <w:i/>
          <w:sz w:val="24"/>
          <w:szCs w:val="24"/>
        </w:rPr>
        <w:t>góp</w:t>
      </w:r>
      <w:proofErr w:type="spellEnd"/>
      <w:r w:rsidRPr="002136F3">
        <w:rPr>
          <w:rFonts w:ascii="Times New Roman" w:hAnsi="Times New Roman"/>
          <w:b/>
          <w:i/>
          <w:sz w:val="24"/>
          <w:szCs w:val="24"/>
        </w:rPr>
        <w:t xml:space="preserve"> </w:t>
      </w:r>
      <w:proofErr w:type="spellStart"/>
      <w:r w:rsidRPr="002136F3">
        <w:rPr>
          <w:rFonts w:ascii="Times New Roman" w:hAnsi="Times New Roman"/>
          <w:b/>
          <w:i/>
          <w:sz w:val="24"/>
          <w:szCs w:val="24"/>
        </w:rPr>
        <w:t>của</w:t>
      </w:r>
      <w:proofErr w:type="spellEnd"/>
      <w:r w:rsidRPr="002136F3">
        <w:rPr>
          <w:rFonts w:ascii="Times New Roman" w:hAnsi="Times New Roman"/>
          <w:b/>
          <w:i/>
          <w:sz w:val="24"/>
          <w:szCs w:val="24"/>
        </w:rPr>
        <w:t xml:space="preserve"> </w:t>
      </w:r>
      <w:proofErr w:type="spellStart"/>
      <w:r w:rsidRPr="002136F3">
        <w:rPr>
          <w:rFonts w:ascii="Times New Roman" w:hAnsi="Times New Roman"/>
          <w:b/>
          <w:i/>
          <w:sz w:val="24"/>
          <w:szCs w:val="24"/>
        </w:rPr>
        <w:t>nhà</w:t>
      </w:r>
      <w:proofErr w:type="spellEnd"/>
      <w:r w:rsidRPr="002136F3">
        <w:rPr>
          <w:rFonts w:ascii="Times New Roman" w:hAnsi="Times New Roman"/>
          <w:b/>
          <w:i/>
          <w:sz w:val="24"/>
          <w:szCs w:val="24"/>
        </w:rPr>
        <w:t xml:space="preserve"> </w:t>
      </w:r>
      <w:proofErr w:type="spellStart"/>
      <w:r w:rsidRPr="002136F3">
        <w:rPr>
          <w:rFonts w:ascii="Times New Roman" w:hAnsi="Times New Roman"/>
          <w:b/>
          <w:i/>
          <w:sz w:val="24"/>
          <w:szCs w:val="24"/>
        </w:rPr>
        <w:t>đầu</w:t>
      </w:r>
      <w:proofErr w:type="spellEnd"/>
      <w:r w:rsidRPr="002136F3">
        <w:rPr>
          <w:rFonts w:ascii="Times New Roman" w:hAnsi="Times New Roman"/>
          <w:b/>
          <w:i/>
          <w:sz w:val="24"/>
          <w:szCs w:val="24"/>
        </w:rPr>
        <w:t xml:space="preserve"> </w:t>
      </w:r>
      <w:proofErr w:type="spellStart"/>
      <w:r w:rsidRPr="002136F3">
        <w:rPr>
          <w:rFonts w:ascii="Times New Roman" w:hAnsi="Times New Roman"/>
          <w:b/>
          <w:i/>
          <w:sz w:val="24"/>
          <w:szCs w:val="24"/>
        </w:rPr>
        <w:t>tư</w:t>
      </w:r>
      <w:proofErr w:type="spellEnd"/>
      <w:r w:rsidR="003B56DD" w:rsidRPr="002136F3">
        <w:rPr>
          <w:rFonts w:ascii="Times New Roman" w:hAnsi="Times New Roman"/>
          <w:b/>
          <w:i/>
          <w:sz w:val="24"/>
          <w:szCs w:val="24"/>
          <w:lang w:val="vi-VN"/>
        </w:rPr>
        <w:t xml:space="preserve"> / Capital premium </w:t>
      </w:r>
    </w:p>
    <w:p w14:paraId="39026491" w14:textId="77777777" w:rsidR="00E70229" w:rsidRPr="002136F3" w:rsidRDefault="00E70229" w:rsidP="00726CC5">
      <w:pPr>
        <w:widowControl w:val="0"/>
        <w:spacing w:before="120" w:after="120" w:line="312" w:lineRule="auto"/>
        <w:ind w:left="180" w:right="259"/>
        <w:jc w:val="both"/>
        <w:rPr>
          <w:rFonts w:ascii="Times New Roman" w:hAnsi="Times New Roman"/>
          <w:sz w:val="24"/>
          <w:szCs w:val="24"/>
        </w:rPr>
      </w:pPr>
      <w:proofErr w:type="spellStart"/>
      <w:r w:rsidRPr="002136F3">
        <w:rPr>
          <w:rFonts w:ascii="Times New Roman" w:hAnsi="Times New Roman"/>
          <w:sz w:val="24"/>
          <w:szCs w:val="24"/>
        </w:rPr>
        <w:t>Thặng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dư</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vốn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thể</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hiện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chênh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lệch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giữa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trị</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tài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ròng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trên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một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chỉ</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dùng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để</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hoán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đổi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với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mệnh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đối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với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chỉ</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phát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hành</w:t>
      </w:r>
      <w:proofErr w:type="spellEnd"/>
      <w:r w:rsidRPr="002136F3">
        <w:rPr>
          <w:rFonts w:ascii="Times New Roman" w:hAnsi="Times New Roman"/>
          <w:sz w:val="24"/>
          <w:szCs w:val="24"/>
        </w:rPr>
        <w:t>/</w:t>
      </w:r>
      <w:proofErr w:type="spellStart"/>
      <w:r w:rsidRPr="002136F3">
        <w:rPr>
          <w:rFonts w:ascii="Times New Roman" w:hAnsi="Times New Roman"/>
          <w:sz w:val="24"/>
          <w:szCs w:val="24"/>
        </w:rPr>
        <w:t>mua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lại</w:t>
      </w:r>
      <w:proofErr w:type="spellEnd"/>
      <w:r w:rsidRPr="002136F3">
        <w:rPr>
          <w:rFonts w:ascii="Times New Roman" w:hAnsi="Times New Roman"/>
          <w:sz w:val="24"/>
          <w:szCs w:val="24"/>
        </w:rPr>
        <w:t xml:space="preserve">. </w:t>
      </w:r>
    </w:p>
    <w:p w14:paraId="3CA21F0B" w14:textId="51065613" w:rsidR="003B56DD" w:rsidRPr="00726CC5" w:rsidRDefault="003B56DD" w:rsidP="006D5144">
      <w:pPr>
        <w:widowControl w:val="0"/>
        <w:ind w:left="180" w:right="296"/>
        <w:jc w:val="both"/>
        <w:rPr>
          <w:rFonts w:ascii="Times New Roman" w:hAnsi="Times New Roman"/>
          <w:i/>
          <w:iCs/>
          <w:color w:val="000000"/>
          <w:sz w:val="24"/>
          <w:szCs w:val="24"/>
        </w:rPr>
      </w:pPr>
      <w:r w:rsidRPr="002136F3">
        <w:rPr>
          <w:rFonts w:ascii="Times New Roman" w:hAnsi="Times New Roman"/>
          <w:i/>
          <w:iCs/>
          <w:color w:val="000000"/>
          <w:sz w:val="24"/>
          <w:szCs w:val="24"/>
        </w:rPr>
        <w:t>Capital premium is the difference between subscription/redemption price per a fund unit</w:t>
      </w:r>
      <w:r w:rsidRPr="002136F3" w:rsidDel="00FA2E8B">
        <w:rPr>
          <w:rFonts w:ascii="Times New Roman" w:hAnsi="Times New Roman"/>
          <w:i/>
          <w:iCs/>
          <w:color w:val="000000"/>
          <w:sz w:val="24"/>
          <w:szCs w:val="24"/>
        </w:rPr>
        <w:t xml:space="preserve"> </w:t>
      </w:r>
      <w:r w:rsidRPr="002136F3">
        <w:rPr>
          <w:rFonts w:ascii="Times New Roman" w:hAnsi="Times New Roman"/>
          <w:i/>
          <w:iCs/>
          <w:color w:val="000000"/>
          <w:sz w:val="24"/>
          <w:szCs w:val="24"/>
        </w:rPr>
        <w:t xml:space="preserve">and par value of fund unit in a subscription/redemption transaction and is </w:t>
      </w:r>
      <w:proofErr w:type="spellStart"/>
      <w:r w:rsidRPr="002136F3">
        <w:rPr>
          <w:rFonts w:ascii="Times New Roman" w:hAnsi="Times New Roman"/>
          <w:i/>
          <w:iCs/>
          <w:color w:val="000000"/>
          <w:sz w:val="24"/>
          <w:szCs w:val="24"/>
        </w:rPr>
        <w:t>recognised</w:t>
      </w:r>
      <w:proofErr w:type="spellEnd"/>
      <w:r w:rsidRPr="002136F3">
        <w:rPr>
          <w:rFonts w:ascii="Times New Roman" w:hAnsi="Times New Roman"/>
          <w:i/>
          <w:iCs/>
          <w:color w:val="000000"/>
          <w:sz w:val="24"/>
          <w:szCs w:val="24"/>
        </w:rPr>
        <w:t xml:space="preserve"> at the same time with the recognition of subscription/redemption capital.</w:t>
      </w:r>
    </w:p>
    <w:p w14:paraId="2BD8EFA2" w14:textId="59831BF9" w:rsidR="00E70229" w:rsidRPr="002136F3" w:rsidRDefault="00E70229" w:rsidP="001F2E8F">
      <w:pPr>
        <w:numPr>
          <w:ilvl w:val="0"/>
          <w:numId w:val="5"/>
        </w:numPr>
        <w:overflowPunct w:val="0"/>
        <w:autoSpaceDE w:val="0"/>
        <w:autoSpaceDN w:val="0"/>
        <w:adjustRightInd w:val="0"/>
        <w:spacing w:before="120" w:after="120" w:line="312" w:lineRule="auto"/>
        <w:ind w:left="180" w:right="259" w:firstLine="0"/>
        <w:jc w:val="both"/>
        <w:textAlignment w:val="baseline"/>
        <w:outlineLvl w:val="2"/>
        <w:rPr>
          <w:rFonts w:ascii="Times New Roman" w:hAnsi="Times New Roman"/>
          <w:b/>
          <w:i/>
          <w:sz w:val="24"/>
          <w:szCs w:val="24"/>
        </w:rPr>
      </w:pPr>
      <w:proofErr w:type="spellStart"/>
      <w:r w:rsidRPr="002136F3">
        <w:rPr>
          <w:rFonts w:ascii="Times New Roman" w:hAnsi="Times New Roman"/>
          <w:b/>
          <w:i/>
          <w:sz w:val="24"/>
          <w:szCs w:val="24"/>
        </w:rPr>
        <w:t>Phân</w:t>
      </w:r>
      <w:proofErr w:type="spellEnd"/>
      <w:r w:rsidRPr="002136F3">
        <w:rPr>
          <w:rFonts w:ascii="Times New Roman" w:hAnsi="Times New Roman"/>
          <w:b/>
          <w:i/>
          <w:sz w:val="24"/>
          <w:szCs w:val="24"/>
        </w:rPr>
        <w:t xml:space="preserve"> </w:t>
      </w:r>
      <w:proofErr w:type="spellStart"/>
      <w:r w:rsidRPr="002136F3">
        <w:rPr>
          <w:rFonts w:ascii="Times New Roman" w:hAnsi="Times New Roman"/>
          <w:b/>
          <w:i/>
          <w:sz w:val="24"/>
          <w:szCs w:val="24"/>
        </w:rPr>
        <w:t>phối</w:t>
      </w:r>
      <w:proofErr w:type="spellEnd"/>
      <w:r w:rsidRPr="002136F3">
        <w:rPr>
          <w:rFonts w:ascii="Times New Roman" w:hAnsi="Times New Roman"/>
          <w:b/>
          <w:i/>
          <w:sz w:val="24"/>
          <w:szCs w:val="24"/>
        </w:rPr>
        <w:t xml:space="preserve"> </w:t>
      </w:r>
      <w:proofErr w:type="spellStart"/>
      <w:r w:rsidRPr="002136F3">
        <w:rPr>
          <w:rFonts w:ascii="Times New Roman" w:hAnsi="Times New Roman"/>
          <w:b/>
          <w:i/>
          <w:sz w:val="24"/>
          <w:szCs w:val="24"/>
        </w:rPr>
        <w:t>thu</w:t>
      </w:r>
      <w:proofErr w:type="spellEnd"/>
      <w:r w:rsidRPr="002136F3">
        <w:rPr>
          <w:rFonts w:ascii="Times New Roman" w:hAnsi="Times New Roman"/>
          <w:b/>
          <w:i/>
          <w:sz w:val="24"/>
          <w:szCs w:val="24"/>
        </w:rPr>
        <w:t xml:space="preserve"> </w:t>
      </w:r>
      <w:proofErr w:type="spellStart"/>
      <w:r w:rsidRPr="002136F3">
        <w:rPr>
          <w:rFonts w:ascii="Times New Roman" w:hAnsi="Times New Roman"/>
          <w:b/>
          <w:i/>
          <w:sz w:val="24"/>
          <w:szCs w:val="24"/>
        </w:rPr>
        <w:t>nhập</w:t>
      </w:r>
      <w:proofErr w:type="spellEnd"/>
      <w:r w:rsidRPr="002136F3">
        <w:rPr>
          <w:rFonts w:ascii="Times New Roman" w:hAnsi="Times New Roman"/>
          <w:b/>
          <w:i/>
          <w:sz w:val="24"/>
          <w:szCs w:val="24"/>
        </w:rPr>
        <w:t xml:space="preserve"> </w:t>
      </w:r>
      <w:proofErr w:type="spellStart"/>
      <w:r w:rsidRPr="002136F3">
        <w:rPr>
          <w:rFonts w:ascii="Times New Roman" w:hAnsi="Times New Roman"/>
          <w:b/>
          <w:i/>
          <w:sz w:val="24"/>
          <w:szCs w:val="24"/>
        </w:rPr>
        <w:t>của</w:t>
      </w:r>
      <w:proofErr w:type="spellEnd"/>
      <w:r w:rsidRPr="002136F3">
        <w:rPr>
          <w:rFonts w:ascii="Times New Roman" w:hAnsi="Times New Roman"/>
          <w:b/>
          <w:i/>
          <w:sz w:val="24"/>
          <w:szCs w:val="24"/>
        </w:rPr>
        <w:t xml:space="preserve"> </w:t>
      </w:r>
      <w:proofErr w:type="spellStart"/>
      <w:r w:rsidRPr="002136F3">
        <w:rPr>
          <w:rFonts w:ascii="Times New Roman" w:hAnsi="Times New Roman"/>
          <w:b/>
          <w:i/>
          <w:sz w:val="24"/>
          <w:szCs w:val="24"/>
        </w:rPr>
        <w:t>Quỹ</w:t>
      </w:r>
      <w:proofErr w:type="spellEnd"/>
      <w:r w:rsidR="003B56DD" w:rsidRPr="002136F3">
        <w:rPr>
          <w:rFonts w:ascii="Times New Roman" w:hAnsi="Times New Roman"/>
          <w:b/>
          <w:i/>
          <w:sz w:val="24"/>
          <w:szCs w:val="24"/>
          <w:lang w:val="vi-VN"/>
        </w:rPr>
        <w:t xml:space="preserve"> / Profit distributions of Fund</w:t>
      </w:r>
    </w:p>
    <w:p w14:paraId="3C6DF557" w14:textId="01492C38" w:rsidR="00E73401" w:rsidRPr="002136F3" w:rsidRDefault="00E70229" w:rsidP="00726CC5">
      <w:pPr>
        <w:keepLines/>
        <w:overflowPunct w:val="0"/>
        <w:autoSpaceDE w:val="0"/>
        <w:autoSpaceDN w:val="0"/>
        <w:adjustRightInd w:val="0"/>
        <w:spacing w:before="120" w:after="120" w:line="312" w:lineRule="auto"/>
        <w:ind w:left="180" w:right="259"/>
        <w:jc w:val="both"/>
        <w:textAlignment w:val="baseline"/>
        <w:outlineLvl w:val="2"/>
        <w:rPr>
          <w:rFonts w:ascii="Times New Roman" w:hAnsi="Times New Roman"/>
          <w:sz w:val="24"/>
          <w:szCs w:val="24"/>
          <w:lang w:val="vi-VN"/>
        </w:rPr>
      </w:pPr>
      <w:r w:rsidRPr="002136F3">
        <w:rPr>
          <w:rFonts w:ascii="Times New Roman" w:hAnsi="Times New Roman"/>
          <w:sz w:val="24"/>
          <w:szCs w:val="24"/>
        </w:rPr>
        <w:t xml:space="preserve">Theo </w:t>
      </w:r>
      <w:proofErr w:type="spellStart"/>
      <w:r w:rsidRPr="002136F3">
        <w:rPr>
          <w:rFonts w:ascii="Times New Roman" w:hAnsi="Times New Roman"/>
          <w:sz w:val="24"/>
          <w:szCs w:val="24"/>
        </w:rPr>
        <w:t>Điều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lệ</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của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00865616" w:rsidRPr="002136F3">
        <w:rPr>
          <w:rFonts w:ascii="Times New Roman" w:hAnsi="Times New Roman"/>
          <w:sz w:val="24"/>
          <w:szCs w:val="24"/>
        </w:rPr>
        <w:t>để</w:t>
      </w:r>
      <w:proofErr w:type="spellEnd"/>
      <w:r w:rsidR="00865616" w:rsidRPr="002136F3">
        <w:rPr>
          <w:rFonts w:ascii="Times New Roman" w:hAnsi="Times New Roman"/>
          <w:sz w:val="24"/>
          <w:szCs w:val="24"/>
        </w:rPr>
        <w:t xml:space="preserve"> </w:t>
      </w:r>
      <w:proofErr w:type="spellStart"/>
      <w:r w:rsidR="00865616" w:rsidRPr="002136F3">
        <w:rPr>
          <w:rFonts w:ascii="Times New Roman" w:hAnsi="Times New Roman"/>
          <w:sz w:val="24"/>
          <w:szCs w:val="24"/>
        </w:rPr>
        <w:t>hạn</w:t>
      </w:r>
      <w:proofErr w:type="spellEnd"/>
      <w:r w:rsidR="00865616" w:rsidRPr="002136F3">
        <w:rPr>
          <w:rFonts w:ascii="Times New Roman" w:hAnsi="Times New Roman"/>
          <w:sz w:val="24"/>
          <w:szCs w:val="24"/>
        </w:rPr>
        <w:t xml:space="preserve"> </w:t>
      </w:r>
      <w:proofErr w:type="spellStart"/>
      <w:r w:rsidR="00865616" w:rsidRPr="002136F3">
        <w:rPr>
          <w:rFonts w:ascii="Times New Roman" w:hAnsi="Times New Roman"/>
          <w:sz w:val="24"/>
          <w:szCs w:val="24"/>
        </w:rPr>
        <w:t>chế</w:t>
      </w:r>
      <w:proofErr w:type="spellEnd"/>
      <w:r w:rsidR="00865616" w:rsidRPr="002136F3">
        <w:rPr>
          <w:rFonts w:ascii="Times New Roman" w:hAnsi="Times New Roman"/>
          <w:sz w:val="24"/>
          <w:szCs w:val="24"/>
        </w:rPr>
        <w:t xml:space="preserve"> </w:t>
      </w:r>
      <w:proofErr w:type="spellStart"/>
      <w:r w:rsidR="00865616" w:rsidRPr="002136F3">
        <w:rPr>
          <w:rFonts w:ascii="Times New Roman" w:hAnsi="Times New Roman"/>
          <w:sz w:val="24"/>
          <w:szCs w:val="24"/>
        </w:rPr>
        <w:t>tối</w:t>
      </w:r>
      <w:proofErr w:type="spellEnd"/>
      <w:r w:rsidR="00865616" w:rsidRPr="002136F3">
        <w:rPr>
          <w:rFonts w:ascii="Times New Roman" w:hAnsi="Times New Roman"/>
          <w:sz w:val="24"/>
          <w:szCs w:val="24"/>
        </w:rPr>
        <w:t xml:space="preserve"> </w:t>
      </w:r>
      <w:proofErr w:type="spellStart"/>
      <w:r w:rsidR="00865616" w:rsidRPr="002136F3">
        <w:rPr>
          <w:rFonts w:ascii="Times New Roman" w:hAnsi="Times New Roman"/>
          <w:sz w:val="24"/>
          <w:szCs w:val="24"/>
        </w:rPr>
        <w:t>đa</w:t>
      </w:r>
      <w:proofErr w:type="spellEnd"/>
      <w:r w:rsidR="00865616" w:rsidRPr="002136F3">
        <w:rPr>
          <w:rFonts w:ascii="Times New Roman" w:hAnsi="Times New Roman"/>
          <w:sz w:val="24"/>
          <w:szCs w:val="24"/>
        </w:rPr>
        <w:t xml:space="preserve"> chi </w:t>
      </w:r>
      <w:proofErr w:type="spellStart"/>
      <w:r w:rsidR="00865616" w:rsidRPr="002136F3">
        <w:rPr>
          <w:rFonts w:ascii="Times New Roman" w:hAnsi="Times New Roman"/>
          <w:sz w:val="24"/>
          <w:szCs w:val="24"/>
        </w:rPr>
        <w:t>phí</w:t>
      </w:r>
      <w:proofErr w:type="spellEnd"/>
      <w:r w:rsidR="00865616" w:rsidRPr="002136F3">
        <w:rPr>
          <w:rFonts w:ascii="Times New Roman" w:hAnsi="Times New Roman"/>
          <w:sz w:val="24"/>
          <w:szCs w:val="24"/>
        </w:rPr>
        <w:t xml:space="preserve"> </w:t>
      </w:r>
      <w:proofErr w:type="spellStart"/>
      <w:r w:rsidR="00865616" w:rsidRPr="002136F3">
        <w:rPr>
          <w:rFonts w:ascii="Times New Roman" w:hAnsi="Times New Roman"/>
          <w:sz w:val="24"/>
          <w:szCs w:val="24"/>
        </w:rPr>
        <w:t>phát</w:t>
      </w:r>
      <w:proofErr w:type="spellEnd"/>
      <w:r w:rsidR="00865616" w:rsidRPr="002136F3">
        <w:rPr>
          <w:rFonts w:ascii="Times New Roman" w:hAnsi="Times New Roman"/>
          <w:sz w:val="24"/>
          <w:szCs w:val="24"/>
        </w:rPr>
        <w:t xml:space="preserve"> </w:t>
      </w:r>
      <w:proofErr w:type="spellStart"/>
      <w:r w:rsidR="00865616" w:rsidRPr="002136F3">
        <w:rPr>
          <w:rFonts w:ascii="Times New Roman" w:hAnsi="Times New Roman"/>
          <w:sz w:val="24"/>
          <w:szCs w:val="24"/>
        </w:rPr>
        <w:t>sinh</w:t>
      </w:r>
      <w:proofErr w:type="spellEnd"/>
      <w:r w:rsidR="00865616" w:rsidRPr="002136F3">
        <w:rPr>
          <w:rFonts w:ascii="Times New Roman" w:hAnsi="Times New Roman"/>
          <w:sz w:val="24"/>
          <w:szCs w:val="24"/>
        </w:rPr>
        <w:t xml:space="preserve">, </w:t>
      </w:r>
      <w:proofErr w:type="spellStart"/>
      <w:r w:rsidR="00865616" w:rsidRPr="002136F3">
        <w:rPr>
          <w:rFonts w:ascii="Times New Roman" w:hAnsi="Times New Roman"/>
          <w:sz w:val="24"/>
          <w:szCs w:val="24"/>
        </w:rPr>
        <w:t>Quỹ</w:t>
      </w:r>
      <w:proofErr w:type="spellEnd"/>
      <w:r w:rsidR="00865616" w:rsidRPr="002136F3">
        <w:rPr>
          <w:rFonts w:ascii="Times New Roman" w:hAnsi="Times New Roman"/>
          <w:sz w:val="24"/>
          <w:szCs w:val="24"/>
        </w:rPr>
        <w:t xml:space="preserve"> </w:t>
      </w:r>
      <w:proofErr w:type="spellStart"/>
      <w:r w:rsidR="00865616" w:rsidRPr="002136F3">
        <w:rPr>
          <w:rFonts w:ascii="Times New Roman" w:hAnsi="Times New Roman"/>
          <w:sz w:val="24"/>
          <w:szCs w:val="24"/>
        </w:rPr>
        <w:t>sẽ</w:t>
      </w:r>
      <w:proofErr w:type="spellEnd"/>
      <w:r w:rsidR="00865616" w:rsidRPr="002136F3">
        <w:rPr>
          <w:rFonts w:ascii="Times New Roman" w:hAnsi="Times New Roman"/>
          <w:sz w:val="24"/>
          <w:szCs w:val="24"/>
        </w:rPr>
        <w:t xml:space="preserve"> </w:t>
      </w:r>
      <w:proofErr w:type="spellStart"/>
      <w:r w:rsidR="00865616" w:rsidRPr="002136F3">
        <w:rPr>
          <w:rFonts w:ascii="Times New Roman" w:hAnsi="Times New Roman"/>
          <w:sz w:val="24"/>
          <w:szCs w:val="24"/>
        </w:rPr>
        <w:t>không</w:t>
      </w:r>
      <w:proofErr w:type="spellEnd"/>
      <w:r w:rsidR="00865616" w:rsidRPr="002136F3">
        <w:rPr>
          <w:rFonts w:ascii="Times New Roman" w:hAnsi="Times New Roman"/>
          <w:sz w:val="24"/>
          <w:szCs w:val="24"/>
        </w:rPr>
        <w:t xml:space="preserve"> </w:t>
      </w:r>
      <w:proofErr w:type="spellStart"/>
      <w:r w:rsidR="00865616" w:rsidRPr="002136F3">
        <w:rPr>
          <w:rFonts w:ascii="Times New Roman" w:hAnsi="Times New Roman"/>
          <w:sz w:val="24"/>
          <w:szCs w:val="24"/>
        </w:rPr>
        <w:t>phân</w:t>
      </w:r>
      <w:proofErr w:type="spellEnd"/>
      <w:r w:rsidR="00865616" w:rsidRPr="002136F3">
        <w:rPr>
          <w:rFonts w:ascii="Times New Roman" w:hAnsi="Times New Roman"/>
          <w:sz w:val="24"/>
          <w:szCs w:val="24"/>
        </w:rPr>
        <w:t xml:space="preserve"> </w:t>
      </w:r>
      <w:proofErr w:type="spellStart"/>
      <w:r w:rsidR="00865616" w:rsidRPr="002136F3">
        <w:rPr>
          <w:rFonts w:ascii="Times New Roman" w:hAnsi="Times New Roman"/>
          <w:sz w:val="24"/>
          <w:szCs w:val="24"/>
        </w:rPr>
        <w:t>phối</w:t>
      </w:r>
      <w:proofErr w:type="spellEnd"/>
      <w:r w:rsidR="00865616" w:rsidRPr="002136F3">
        <w:rPr>
          <w:rFonts w:ascii="Times New Roman" w:hAnsi="Times New Roman"/>
          <w:sz w:val="24"/>
          <w:szCs w:val="24"/>
        </w:rPr>
        <w:t xml:space="preserve"> </w:t>
      </w:r>
      <w:proofErr w:type="spellStart"/>
      <w:r w:rsidR="00865616" w:rsidRPr="002136F3">
        <w:rPr>
          <w:rFonts w:ascii="Times New Roman" w:hAnsi="Times New Roman"/>
          <w:sz w:val="24"/>
          <w:szCs w:val="24"/>
        </w:rPr>
        <w:t>lợi</w:t>
      </w:r>
      <w:proofErr w:type="spellEnd"/>
      <w:r w:rsidR="00865616" w:rsidRPr="002136F3">
        <w:rPr>
          <w:rFonts w:ascii="Times New Roman" w:hAnsi="Times New Roman"/>
          <w:sz w:val="24"/>
          <w:szCs w:val="24"/>
        </w:rPr>
        <w:t xml:space="preserve"> </w:t>
      </w:r>
      <w:proofErr w:type="spellStart"/>
      <w:r w:rsidR="00865616" w:rsidRPr="002136F3">
        <w:rPr>
          <w:rFonts w:ascii="Times New Roman" w:hAnsi="Times New Roman"/>
          <w:sz w:val="24"/>
          <w:szCs w:val="24"/>
        </w:rPr>
        <w:t>nhuận</w:t>
      </w:r>
      <w:proofErr w:type="spellEnd"/>
      <w:r w:rsidRPr="002136F3">
        <w:rPr>
          <w:rFonts w:ascii="Times New Roman" w:hAnsi="Times New Roman"/>
          <w:sz w:val="24"/>
          <w:szCs w:val="24"/>
        </w:rPr>
        <w:t xml:space="preserve">. </w:t>
      </w:r>
      <w:proofErr w:type="spellStart"/>
      <w:r w:rsidR="00865616" w:rsidRPr="002136F3">
        <w:rPr>
          <w:rFonts w:ascii="Times New Roman" w:hAnsi="Times New Roman"/>
          <w:sz w:val="24"/>
          <w:szCs w:val="24"/>
        </w:rPr>
        <w:t>Toàn</w:t>
      </w:r>
      <w:proofErr w:type="spellEnd"/>
      <w:r w:rsidR="00865616" w:rsidRPr="002136F3">
        <w:rPr>
          <w:rFonts w:ascii="Times New Roman" w:hAnsi="Times New Roman"/>
          <w:sz w:val="24"/>
          <w:szCs w:val="24"/>
        </w:rPr>
        <w:t xml:space="preserve"> </w:t>
      </w:r>
      <w:proofErr w:type="spellStart"/>
      <w:r w:rsidR="00865616" w:rsidRPr="002136F3">
        <w:rPr>
          <w:rFonts w:ascii="Times New Roman" w:hAnsi="Times New Roman"/>
          <w:sz w:val="24"/>
          <w:szCs w:val="24"/>
        </w:rPr>
        <w:t>bộ</w:t>
      </w:r>
      <w:proofErr w:type="spellEnd"/>
      <w:r w:rsidR="00865616" w:rsidRPr="002136F3">
        <w:rPr>
          <w:rFonts w:ascii="Times New Roman" w:hAnsi="Times New Roman"/>
          <w:sz w:val="24"/>
          <w:szCs w:val="24"/>
        </w:rPr>
        <w:t xml:space="preserve"> </w:t>
      </w:r>
      <w:proofErr w:type="spellStart"/>
      <w:r w:rsidR="00865616" w:rsidRPr="002136F3">
        <w:rPr>
          <w:rFonts w:ascii="Times New Roman" w:hAnsi="Times New Roman"/>
          <w:sz w:val="24"/>
          <w:szCs w:val="24"/>
        </w:rPr>
        <w:t>lợi</w:t>
      </w:r>
      <w:proofErr w:type="spellEnd"/>
      <w:r w:rsidR="00865616" w:rsidRPr="002136F3">
        <w:rPr>
          <w:rFonts w:ascii="Times New Roman" w:hAnsi="Times New Roman"/>
          <w:sz w:val="24"/>
          <w:szCs w:val="24"/>
        </w:rPr>
        <w:t xml:space="preserve"> </w:t>
      </w:r>
      <w:proofErr w:type="spellStart"/>
      <w:r w:rsidR="00865616" w:rsidRPr="002136F3">
        <w:rPr>
          <w:rFonts w:ascii="Times New Roman" w:hAnsi="Times New Roman"/>
          <w:sz w:val="24"/>
          <w:szCs w:val="24"/>
        </w:rPr>
        <w:t>nhuận</w:t>
      </w:r>
      <w:proofErr w:type="spellEnd"/>
      <w:r w:rsidR="00865616" w:rsidRPr="002136F3">
        <w:rPr>
          <w:rFonts w:ascii="Times New Roman" w:hAnsi="Times New Roman"/>
          <w:sz w:val="24"/>
          <w:szCs w:val="24"/>
        </w:rPr>
        <w:t xml:space="preserve"> </w:t>
      </w:r>
      <w:proofErr w:type="spellStart"/>
      <w:r w:rsidR="00865616" w:rsidRPr="002136F3">
        <w:rPr>
          <w:rFonts w:ascii="Times New Roman" w:hAnsi="Times New Roman"/>
          <w:sz w:val="24"/>
          <w:szCs w:val="24"/>
        </w:rPr>
        <w:t>của</w:t>
      </w:r>
      <w:proofErr w:type="spellEnd"/>
      <w:r w:rsidR="00865616" w:rsidRPr="002136F3">
        <w:rPr>
          <w:rFonts w:ascii="Times New Roman" w:hAnsi="Times New Roman"/>
          <w:sz w:val="24"/>
          <w:szCs w:val="24"/>
        </w:rPr>
        <w:t xml:space="preserve"> </w:t>
      </w:r>
      <w:proofErr w:type="spellStart"/>
      <w:r w:rsidR="00865616" w:rsidRPr="002136F3">
        <w:rPr>
          <w:rFonts w:ascii="Times New Roman" w:hAnsi="Times New Roman"/>
          <w:sz w:val="24"/>
          <w:szCs w:val="24"/>
        </w:rPr>
        <w:t>Quỹ</w:t>
      </w:r>
      <w:proofErr w:type="spellEnd"/>
      <w:r w:rsidR="00865616" w:rsidRPr="002136F3">
        <w:rPr>
          <w:rFonts w:ascii="Times New Roman" w:hAnsi="Times New Roman"/>
          <w:sz w:val="24"/>
          <w:szCs w:val="24"/>
        </w:rPr>
        <w:t xml:space="preserve"> </w:t>
      </w:r>
      <w:proofErr w:type="spellStart"/>
      <w:r w:rsidR="00865616" w:rsidRPr="002136F3">
        <w:rPr>
          <w:rFonts w:ascii="Times New Roman" w:hAnsi="Times New Roman"/>
          <w:sz w:val="24"/>
          <w:szCs w:val="24"/>
        </w:rPr>
        <w:t>phát</w:t>
      </w:r>
      <w:proofErr w:type="spellEnd"/>
      <w:r w:rsidR="00865616" w:rsidRPr="002136F3">
        <w:rPr>
          <w:rFonts w:ascii="Times New Roman" w:hAnsi="Times New Roman"/>
          <w:sz w:val="24"/>
          <w:szCs w:val="24"/>
        </w:rPr>
        <w:t xml:space="preserve"> </w:t>
      </w:r>
      <w:proofErr w:type="spellStart"/>
      <w:r w:rsidR="00865616" w:rsidRPr="002136F3">
        <w:rPr>
          <w:rFonts w:ascii="Times New Roman" w:hAnsi="Times New Roman"/>
          <w:sz w:val="24"/>
          <w:szCs w:val="24"/>
        </w:rPr>
        <w:t>sinh</w:t>
      </w:r>
      <w:proofErr w:type="spellEnd"/>
      <w:r w:rsidR="00865616" w:rsidRPr="002136F3">
        <w:rPr>
          <w:rFonts w:ascii="Times New Roman" w:hAnsi="Times New Roman"/>
          <w:sz w:val="24"/>
          <w:szCs w:val="24"/>
        </w:rPr>
        <w:t xml:space="preserve"> </w:t>
      </w:r>
      <w:proofErr w:type="spellStart"/>
      <w:r w:rsidR="00865616" w:rsidRPr="002136F3">
        <w:rPr>
          <w:rFonts w:ascii="Times New Roman" w:hAnsi="Times New Roman"/>
          <w:sz w:val="24"/>
          <w:szCs w:val="24"/>
        </w:rPr>
        <w:t>trong</w:t>
      </w:r>
      <w:proofErr w:type="spellEnd"/>
      <w:r w:rsidR="00865616" w:rsidRPr="002136F3">
        <w:rPr>
          <w:rFonts w:ascii="Times New Roman" w:hAnsi="Times New Roman"/>
          <w:sz w:val="24"/>
          <w:szCs w:val="24"/>
        </w:rPr>
        <w:t xml:space="preserve"> </w:t>
      </w:r>
      <w:proofErr w:type="spellStart"/>
      <w:r w:rsidR="00865616" w:rsidRPr="002136F3">
        <w:rPr>
          <w:rFonts w:ascii="Times New Roman" w:hAnsi="Times New Roman"/>
          <w:sz w:val="24"/>
          <w:szCs w:val="24"/>
        </w:rPr>
        <w:t>quá</w:t>
      </w:r>
      <w:proofErr w:type="spellEnd"/>
      <w:r w:rsidR="00865616" w:rsidRPr="002136F3">
        <w:rPr>
          <w:rFonts w:ascii="Times New Roman" w:hAnsi="Times New Roman"/>
          <w:sz w:val="24"/>
          <w:szCs w:val="24"/>
        </w:rPr>
        <w:t xml:space="preserve"> </w:t>
      </w:r>
      <w:proofErr w:type="spellStart"/>
      <w:r w:rsidR="00865616" w:rsidRPr="002136F3">
        <w:rPr>
          <w:rFonts w:ascii="Times New Roman" w:hAnsi="Times New Roman"/>
          <w:sz w:val="24"/>
          <w:szCs w:val="24"/>
        </w:rPr>
        <w:t>trình</w:t>
      </w:r>
      <w:proofErr w:type="spellEnd"/>
      <w:r w:rsidR="00865616" w:rsidRPr="002136F3">
        <w:rPr>
          <w:rFonts w:ascii="Times New Roman" w:hAnsi="Times New Roman"/>
          <w:sz w:val="24"/>
          <w:szCs w:val="24"/>
        </w:rPr>
        <w:t xml:space="preserve"> </w:t>
      </w:r>
      <w:proofErr w:type="spellStart"/>
      <w:r w:rsidR="00865616" w:rsidRPr="002136F3">
        <w:rPr>
          <w:rFonts w:ascii="Times New Roman" w:hAnsi="Times New Roman"/>
          <w:sz w:val="24"/>
          <w:szCs w:val="24"/>
        </w:rPr>
        <w:t>hoạt</w:t>
      </w:r>
      <w:proofErr w:type="spellEnd"/>
      <w:r w:rsidR="00865616" w:rsidRPr="002136F3">
        <w:rPr>
          <w:rFonts w:ascii="Times New Roman" w:hAnsi="Times New Roman"/>
          <w:sz w:val="24"/>
          <w:szCs w:val="24"/>
        </w:rPr>
        <w:t xml:space="preserve"> </w:t>
      </w:r>
      <w:proofErr w:type="spellStart"/>
      <w:r w:rsidR="00865616" w:rsidRPr="002136F3">
        <w:rPr>
          <w:rFonts w:ascii="Times New Roman" w:hAnsi="Times New Roman"/>
          <w:sz w:val="24"/>
          <w:szCs w:val="24"/>
        </w:rPr>
        <w:t>động</w:t>
      </w:r>
      <w:proofErr w:type="spellEnd"/>
      <w:r w:rsidR="00865616" w:rsidRPr="002136F3">
        <w:rPr>
          <w:rFonts w:ascii="Times New Roman" w:hAnsi="Times New Roman"/>
          <w:sz w:val="24"/>
          <w:szCs w:val="24"/>
        </w:rPr>
        <w:t xml:space="preserve"> </w:t>
      </w:r>
      <w:proofErr w:type="spellStart"/>
      <w:r w:rsidR="00865616" w:rsidRPr="002136F3">
        <w:rPr>
          <w:rFonts w:ascii="Times New Roman" w:hAnsi="Times New Roman"/>
          <w:sz w:val="24"/>
          <w:szCs w:val="24"/>
        </w:rPr>
        <w:t>sẽ</w:t>
      </w:r>
      <w:proofErr w:type="spellEnd"/>
      <w:r w:rsidR="00865616" w:rsidRPr="002136F3">
        <w:rPr>
          <w:rFonts w:ascii="Times New Roman" w:hAnsi="Times New Roman"/>
          <w:sz w:val="24"/>
          <w:szCs w:val="24"/>
        </w:rPr>
        <w:t xml:space="preserve"> </w:t>
      </w:r>
      <w:proofErr w:type="spellStart"/>
      <w:r w:rsidR="00865616" w:rsidRPr="002136F3">
        <w:rPr>
          <w:rFonts w:ascii="Times New Roman" w:hAnsi="Times New Roman"/>
          <w:sz w:val="24"/>
          <w:szCs w:val="24"/>
        </w:rPr>
        <w:t>được</w:t>
      </w:r>
      <w:proofErr w:type="spellEnd"/>
      <w:r w:rsidR="00865616" w:rsidRPr="002136F3">
        <w:rPr>
          <w:rFonts w:ascii="Times New Roman" w:hAnsi="Times New Roman"/>
          <w:sz w:val="24"/>
          <w:szCs w:val="24"/>
        </w:rPr>
        <w:t xml:space="preserve"> </w:t>
      </w:r>
      <w:proofErr w:type="spellStart"/>
      <w:r w:rsidR="00865616" w:rsidRPr="002136F3">
        <w:rPr>
          <w:rFonts w:ascii="Times New Roman" w:hAnsi="Times New Roman"/>
          <w:sz w:val="24"/>
          <w:szCs w:val="24"/>
        </w:rPr>
        <w:t>tích</w:t>
      </w:r>
      <w:proofErr w:type="spellEnd"/>
      <w:r w:rsidR="00865616" w:rsidRPr="002136F3">
        <w:rPr>
          <w:rFonts w:ascii="Times New Roman" w:hAnsi="Times New Roman"/>
          <w:sz w:val="24"/>
          <w:szCs w:val="24"/>
        </w:rPr>
        <w:t xml:space="preserve"> </w:t>
      </w:r>
      <w:proofErr w:type="spellStart"/>
      <w:r w:rsidR="00865616" w:rsidRPr="002136F3">
        <w:rPr>
          <w:rFonts w:ascii="Times New Roman" w:hAnsi="Times New Roman"/>
          <w:sz w:val="24"/>
          <w:szCs w:val="24"/>
        </w:rPr>
        <w:t>lũy</w:t>
      </w:r>
      <w:proofErr w:type="spellEnd"/>
      <w:r w:rsidR="00865616" w:rsidRPr="002136F3">
        <w:rPr>
          <w:rFonts w:ascii="Times New Roman" w:hAnsi="Times New Roman"/>
          <w:sz w:val="24"/>
          <w:szCs w:val="24"/>
        </w:rPr>
        <w:t xml:space="preserve"> </w:t>
      </w:r>
      <w:proofErr w:type="spellStart"/>
      <w:r w:rsidR="00865616" w:rsidRPr="002136F3">
        <w:rPr>
          <w:rFonts w:ascii="Times New Roman" w:hAnsi="Times New Roman"/>
          <w:sz w:val="24"/>
          <w:szCs w:val="24"/>
        </w:rPr>
        <w:t>làm</w:t>
      </w:r>
      <w:proofErr w:type="spellEnd"/>
      <w:r w:rsidR="00865616" w:rsidRPr="002136F3">
        <w:rPr>
          <w:rFonts w:ascii="Times New Roman" w:hAnsi="Times New Roman"/>
          <w:sz w:val="24"/>
          <w:szCs w:val="24"/>
        </w:rPr>
        <w:t xml:space="preserve"> </w:t>
      </w:r>
      <w:proofErr w:type="spellStart"/>
      <w:r w:rsidR="00865616" w:rsidRPr="002136F3">
        <w:rPr>
          <w:rFonts w:ascii="Times New Roman" w:hAnsi="Times New Roman"/>
          <w:sz w:val="24"/>
          <w:szCs w:val="24"/>
        </w:rPr>
        <w:t>gia</w:t>
      </w:r>
      <w:proofErr w:type="spellEnd"/>
      <w:r w:rsidR="00865616" w:rsidRPr="002136F3">
        <w:rPr>
          <w:rFonts w:ascii="Times New Roman" w:hAnsi="Times New Roman"/>
          <w:sz w:val="24"/>
          <w:szCs w:val="24"/>
        </w:rPr>
        <w:t xml:space="preserve"> </w:t>
      </w:r>
      <w:proofErr w:type="spellStart"/>
      <w:r w:rsidR="00865616" w:rsidRPr="002136F3">
        <w:rPr>
          <w:rFonts w:ascii="Times New Roman" w:hAnsi="Times New Roman"/>
          <w:sz w:val="24"/>
          <w:szCs w:val="24"/>
        </w:rPr>
        <w:t>tăng</w:t>
      </w:r>
      <w:proofErr w:type="spellEnd"/>
      <w:r w:rsidR="00865616" w:rsidRPr="002136F3">
        <w:rPr>
          <w:rFonts w:ascii="Times New Roman" w:hAnsi="Times New Roman"/>
          <w:sz w:val="24"/>
          <w:szCs w:val="24"/>
        </w:rPr>
        <w:t xml:space="preserve"> </w:t>
      </w:r>
      <w:proofErr w:type="spellStart"/>
      <w:r w:rsidR="00865616" w:rsidRPr="002136F3">
        <w:rPr>
          <w:rFonts w:ascii="Times New Roman" w:hAnsi="Times New Roman"/>
          <w:sz w:val="24"/>
          <w:szCs w:val="24"/>
        </w:rPr>
        <w:t>giá</w:t>
      </w:r>
      <w:proofErr w:type="spellEnd"/>
      <w:r w:rsidR="00865616" w:rsidRPr="002136F3">
        <w:rPr>
          <w:rFonts w:ascii="Times New Roman" w:hAnsi="Times New Roman"/>
          <w:sz w:val="24"/>
          <w:szCs w:val="24"/>
        </w:rPr>
        <w:t xml:space="preserve"> </w:t>
      </w:r>
      <w:proofErr w:type="spellStart"/>
      <w:r w:rsidR="00865616" w:rsidRPr="002136F3">
        <w:rPr>
          <w:rFonts w:ascii="Times New Roman" w:hAnsi="Times New Roman"/>
          <w:sz w:val="24"/>
          <w:szCs w:val="24"/>
        </w:rPr>
        <w:t>trị</w:t>
      </w:r>
      <w:proofErr w:type="spellEnd"/>
      <w:r w:rsidR="00865616" w:rsidRPr="002136F3">
        <w:rPr>
          <w:rFonts w:ascii="Times New Roman" w:hAnsi="Times New Roman"/>
          <w:sz w:val="24"/>
          <w:szCs w:val="24"/>
        </w:rPr>
        <w:t xml:space="preserve"> </w:t>
      </w:r>
      <w:proofErr w:type="spellStart"/>
      <w:r w:rsidR="00865616" w:rsidRPr="002136F3">
        <w:rPr>
          <w:rFonts w:ascii="Times New Roman" w:hAnsi="Times New Roman"/>
          <w:sz w:val="24"/>
          <w:szCs w:val="24"/>
        </w:rPr>
        <w:t>tài</w:t>
      </w:r>
      <w:proofErr w:type="spellEnd"/>
      <w:r w:rsidR="00865616" w:rsidRPr="002136F3">
        <w:rPr>
          <w:rFonts w:ascii="Times New Roman" w:hAnsi="Times New Roman"/>
          <w:sz w:val="24"/>
          <w:szCs w:val="24"/>
        </w:rPr>
        <w:t xml:space="preserve"> </w:t>
      </w:r>
      <w:proofErr w:type="spellStart"/>
      <w:r w:rsidR="00865616" w:rsidRPr="002136F3">
        <w:rPr>
          <w:rFonts w:ascii="Times New Roman" w:hAnsi="Times New Roman"/>
          <w:sz w:val="24"/>
          <w:szCs w:val="24"/>
        </w:rPr>
        <w:t>sản</w:t>
      </w:r>
      <w:proofErr w:type="spellEnd"/>
      <w:r w:rsidR="00865616" w:rsidRPr="002136F3">
        <w:rPr>
          <w:rFonts w:ascii="Times New Roman" w:hAnsi="Times New Roman"/>
          <w:sz w:val="24"/>
          <w:szCs w:val="24"/>
        </w:rPr>
        <w:t xml:space="preserve"> </w:t>
      </w:r>
      <w:proofErr w:type="spellStart"/>
      <w:r w:rsidR="00865616" w:rsidRPr="002136F3">
        <w:rPr>
          <w:rFonts w:ascii="Times New Roman" w:hAnsi="Times New Roman"/>
          <w:sz w:val="24"/>
          <w:szCs w:val="24"/>
        </w:rPr>
        <w:t>ròng</w:t>
      </w:r>
      <w:proofErr w:type="spellEnd"/>
      <w:r w:rsidR="00865616" w:rsidRPr="002136F3">
        <w:rPr>
          <w:rFonts w:ascii="Times New Roman" w:hAnsi="Times New Roman"/>
          <w:sz w:val="24"/>
          <w:szCs w:val="24"/>
        </w:rPr>
        <w:t xml:space="preserve"> </w:t>
      </w:r>
      <w:proofErr w:type="spellStart"/>
      <w:r w:rsidR="00865616" w:rsidRPr="002136F3">
        <w:rPr>
          <w:rFonts w:ascii="Times New Roman" w:hAnsi="Times New Roman"/>
          <w:sz w:val="24"/>
          <w:szCs w:val="24"/>
        </w:rPr>
        <w:t>của</w:t>
      </w:r>
      <w:proofErr w:type="spellEnd"/>
      <w:r w:rsidR="00865616" w:rsidRPr="002136F3">
        <w:rPr>
          <w:rFonts w:ascii="Times New Roman" w:hAnsi="Times New Roman"/>
          <w:sz w:val="24"/>
          <w:szCs w:val="24"/>
        </w:rPr>
        <w:t xml:space="preserve"> </w:t>
      </w:r>
      <w:proofErr w:type="spellStart"/>
      <w:r w:rsidR="00865616" w:rsidRPr="002136F3">
        <w:rPr>
          <w:rFonts w:ascii="Times New Roman" w:hAnsi="Times New Roman"/>
          <w:sz w:val="24"/>
          <w:szCs w:val="24"/>
        </w:rPr>
        <w:t>Quỹ</w:t>
      </w:r>
      <w:proofErr w:type="spellEnd"/>
      <w:r w:rsidRPr="002136F3">
        <w:rPr>
          <w:rFonts w:ascii="Times New Roman" w:hAnsi="Times New Roman"/>
          <w:sz w:val="24"/>
          <w:szCs w:val="24"/>
        </w:rPr>
        <w:t xml:space="preserve">. </w:t>
      </w:r>
    </w:p>
    <w:p w14:paraId="745E044A" w14:textId="12017008" w:rsidR="003B56DD" w:rsidRPr="00726CC5" w:rsidRDefault="003B56DD" w:rsidP="00726CC5">
      <w:pPr>
        <w:keepLines/>
        <w:overflowPunct w:val="0"/>
        <w:autoSpaceDE w:val="0"/>
        <w:autoSpaceDN w:val="0"/>
        <w:adjustRightInd w:val="0"/>
        <w:spacing w:before="120" w:after="120" w:line="312" w:lineRule="auto"/>
        <w:ind w:left="180" w:right="259"/>
        <w:jc w:val="both"/>
        <w:textAlignment w:val="baseline"/>
        <w:outlineLvl w:val="2"/>
        <w:rPr>
          <w:rFonts w:ascii="Times New Roman" w:hAnsi="Times New Roman"/>
          <w:i/>
          <w:iCs/>
          <w:sz w:val="24"/>
          <w:szCs w:val="24"/>
          <w:lang w:val="vi-VN"/>
        </w:rPr>
      </w:pPr>
      <w:r w:rsidRPr="00726CC5">
        <w:rPr>
          <w:rFonts w:ascii="Times New Roman" w:hAnsi="Times New Roman"/>
          <w:i/>
          <w:iCs/>
          <w:sz w:val="24"/>
          <w:szCs w:val="24"/>
          <w:lang w:val="vi-VN"/>
        </w:rPr>
        <w:t xml:space="preserve">According to Fund’s Charter, to minimize expense incurred, Fund will not distribute profits. All operating profits will be accumulated to increase Net Asset Value of Fund. </w:t>
      </w:r>
    </w:p>
    <w:p w14:paraId="352EA971" w14:textId="786EFEE0" w:rsidR="00E70229" w:rsidRPr="002136F3" w:rsidRDefault="00200471" w:rsidP="00726CC5">
      <w:pPr>
        <w:shd w:val="clear" w:color="auto" w:fill="FFFFFF"/>
        <w:spacing w:before="120" w:after="120" w:line="312" w:lineRule="auto"/>
        <w:ind w:left="180" w:right="259"/>
        <w:jc w:val="both"/>
        <w:rPr>
          <w:rFonts w:ascii="Times New Roman" w:hAnsi="Times New Roman"/>
          <w:b/>
          <w:sz w:val="24"/>
          <w:szCs w:val="24"/>
          <w:lang w:val="vi-VN"/>
        </w:rPr>
      </w:pPr>
      <w:r w:rsidRPr="002136F3">
        <w:rPr>
          <w:rFonts w:ascii="Times New Roman" w:hAnsi="Times New Roman"/>
          <w:b/>
          <w:sz w:val="24"/>
          <w:szCs w:val="24"/>
          <w:lang w:val="nl-NL"/>
        </w:rPr>
        <w:t>4.9</w:t>
      </w:r>
      <w:r w:rsidRPr="002136F3">
        <w:rPr>
          <w:rFonts w:ascii="Times New Roman" w:hAnsi="Times New Roman"/>
          <w:b/>
          <w:sz w:val="24"/>
          <w:szCs w:val="24"/>
          <w:lang w:val="nl-NL"/>
        </w:rPr>
        <w:tab/>
      </w:r>
      <w:r w:rsidR="00E70229" w:rsidRPr="002136F3">
        <w:rPr>
          <w:rFonts w:ascii="Times New Roman" w:hAnsi="Times New Roman"/>
          <w:b/>
          <w:sz w:val="24"/>
          <w:szCs w:val="24"/>
          <w:lang w:val="nl-NL"/>
        </w:rPr>
        <w:t xml:space="preserve">Doanh thu </w:t>
      </w:r>
      <w:r w:rsidR="003B56DD" w:rsidRPr="002136F3">
        <w:rPr>
          <w:rFonts w:ascii="Times New Roman" w:hAnsi="Times New Roman"/>
          <w:b/>
          <w:sz w:val="24"/>
          <w:szCs w:val="24"/>
          <w:lang w:val="vi-VN"/>
        </w:rPr>
        <w:t>/ Revenue</w:t>
      </w:r>
    </w:p>
    <w:p w14:paraId="19591D07" w14:textId="77777777" w:rsidR="00726CC5" w:rsidRDefault="00E70229" w:rsidP="006D5144">
      <w:pPr>
        <w:ind w:left="180" w:right="296"/>
        <w:jc w:val="both"/>
        <w:rPr>
          <w:rFonts w:ascii="Times New Roman" w:hAnsi="Times New Roman"/>
          <w:sz w:val="24"/>
          <w:szCs w:val="24"/>
        </w:rPr>
      </w:pPr>
      <w:proofErr w:type="spellStart"/>
      <w:r w:rsidRPr="002136F3">
        <w:rPr>
          <w:rFonts w:ascii="Times New Roman" w:hAnsi="Times New Roman"/>
          <w:sz w:val="24"/>
          <w:szCs w:val="24"/>
        </w:rPr>
        <w:t>Doanh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ghi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nhận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có</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khả</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năng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tương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đối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chắc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chắn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nhận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lợi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ích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kinh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tế</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doanh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này</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có</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thể</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xác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định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một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đáng</w:t>
      </w:r>
      <w:proofErr w:type="spellEnd"/>
      <w:r w:rsidRPr="002136F3">
        <w:rPr>
          <w:rFonts w:ascii="Times New Roman" w:hAnsi="Times New Roman"/>
          <w:sz w:val="24"/>
          <w:szCs w:val="24"/>
        </w:rPr>
        <w:t xml:space="preserve"> tin </w:t>
      </w:r>
      <w:proofErr w:type="spellStart"/>
      <w:r w:rsidRPr="002136F3">
        <w:rPr>
          <w:rFonts w:ascii="Times New Roman" w:hAnsi="Times New Roman"/>
          <w:sz w:val="24"/>
          <w:szCs w:val="24"/>
        </w:rPr>
        <w:t>cậy</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tiêu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chuẩn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cụ</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thể</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sau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đây</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phải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đáp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trước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doanh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ghi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nhận</w:t>
      </w:r>
      <w:proofErr w:type="spellEnd"/>
      <w:r w:rsidRPr="002136F3">
        <w:rPr>
          <w:rFonts w:ascii="Times New Roman" w:hAnsi="Times New Roman"/>
          <w:sz w:val="24"/>
          <w:szCs w:val="24"/>
        </w:rPr>
        <w:t>.</w:t>
      </w:r>
      <w:r w:rsidR="003B56DD" w:rsidRPr="002136F3">
        <w:rPr>
          <w:rFonts w:ascii="Times New Roman" w:hAnsi="Times New Roman"/>
          <w:sz w:val="24"/>
          <w:szCs w:val="24"/>
        </w:rPr>
        <w:t xml:space="preserve"> </w:t>
      </w:r>
    </w:p>
    <w:p w14:paraId="5A272A84" w14:textId="22CFCF86" w:rsidR="00E70229" w:rsidRPr="002136F3" w:rsidRDefault="003B56DD" w:rsidP="006D5144">
      <w:pPr>
        <w:ind w:left="180" w:right="296"/>
        <w:jc w:val="both"/>
        <w:rPr>
          <w:rFonts w:ascii="Times New Roman" w:hAnsi="Times New Roman"/>
          <w:sz w:val="24"/>
          <w:szCs w:val="24"/>
        </w:rPr>
      </w:pPr>
      <w:r w:rsidRPr="002136F3">
        <w:rPr>
          <w:rFonts w:ascii="Times New Roman" w:hAnsi="Times New Roman"/>
          <w:i/>
          <w:iCs/>
          <w:sz w:val="24"/>
          <w:szCs w:val="24"/>
        </w:rPr>
        <w:t xml:space="preserve">Revenue is </w:t>
      </w:r>
      <w:proofErr w:type="spellStart"/>
      <w:r w:rsidRPr="002136F3">
        <w:rPr>
          <w:rFonts w:ascii="Times New Roman" w:hAnsi="Times New Roman"/>
          <w:i/>
          <w:iCs/>
          <w:sz w:val="24"/>
          <w:szCs w:val="24"/>
        </w:rPr>
        <w:t>recognised</w:t>
      </w:r>
      <w:proofErr w:type="spellEnd"/>
      <w:r w:rsidRPr="002136F3">
        <w:rPr>
          <w:rFonts w:ascii="Times New Roman" w:hAnsi="Times New Roman"/>
          <w:i/>
          <w:iCs/>
          <w:sz w:val="24"/>
          <w:szCs w:val="24"/>
        </w:rPr>
        <w:t xml:space="preserve"> to the extent that it is probable that the economic benefits will flow to the Fund and the revenue can be measured reliably.  The following specific recognition criteria must also be met before revenue is </w:t>
      </w:r>
      <w:proofErr w:type="spellStart"/>
      <w:r w:rsidRPr="002136F3">
        <w:rPr>
          <w:rFonts w:ascii="Times New Roman" w:hAnsi="Times New Roman"/>
          <w:i/>
          <w:iCs/>
          <w:sz w:val="24"/>
          <w:szCs w:val="24"/>
        </w:rPr>
        <w:t>recognised</w:t>
      </w:r>
      <w:proofErr w:type="spellEnd"/>
      <w:r w:rsidRPr="002136F3">
        <w:rPr>
          <w:rFonts w:ascii="Times New Roman" w:hAnsi="Times New Roman"/>
          <w:sz w:val="24"/>
          <w:szCs w:val="24"/>
        </w:rPr>
        <w:t>.</w:t>
      </w:r>
    </w:p>
    <w:p w14:paraId="2B96FB52" w14:textId="24340721" w:rsidR="00E70229" w:rsidRPr="002136F3" w:rsidRDefault="00E70229" w:rsidP="00726CC5">
      <w:pPr>
        <w:shd w:val="clear" w:color="auto" w:fill="FFFFFF"/>
        <w:spacing w:before="120" w:after="120" w:line="312" w:lineRule="auto"/>
        <w:ind w:left="180" w:right="260"/>
        <w:jc w:val="both"/>
        <w:rPr>
          <w:rFonts w:ascii="Times New Roman" w:hAnsi="Times New Roman"/>
          <w:b/>
          <w:i/>
          <w:sz w:val="24"/>
          <w:szCs w:val="24"/>
          <w:lang w:val="vi-VN"/>
        </w:rPr>
      </w:pPr>
      <w:r w:rsidRPr="002136F3">
        <w:rPr>
          <w:rFonts w:ascii="Times New Roman" w:hAnsi="Times New Roman"/>
          <w:b/>
          <w:i/>
          <w:sz w:val="24"/>
          <w:szCs w:val="24"/>
          <w:lang w:val="nl-NL"/>
        </w:rPr>
        <w:t>(i)</w:t>
      </w:r>
      <w:r w:rsidRPr="002136F3">
        <w:rPr>
          <w:rFonts w:ascii="Times New Roman" w:hAnsi="Times New Roman"/>
          <w:b/>
          <w:i/>
          <w:sz w:val="24"/>
          <w:szCs w:val="24"/>
          <w:lang w:val="nl-NL"/>
        </w:rPr>
        <w:tab/>
        <w:t>Thu nhập lãi tiền gửi, lãi trái phiếu và cổ tức</w:t>
      </w:r>
      <w:r w:rsidR="003B56DD" w:rsidRPr="002136F3">
        <w:rPr>
          <w:rFonts w:ascii="Times New Roman" w:hAnsi="Times New Roman"/>
          <w:b/>
          <w:i/>
          <w:sz w:val="24"/>
          <w:szCs w:val="24"/>
          <w:lang w:val="vi-VN"/>
        </w:rPr>
        <w:t xml:space="preserve"> / Interest Income and Dividend Income</w:t>
      </w:r>
    </w:p>
    <w:p w14:paraId="5A344BCF" w14:textId="77777777" w:rsidR="00E70229" w:rsidRPr="002136F3" w:rsidRDefault="00E70229" w:rsidP="00726CC5">
      <w:pPr>
        <w:spacing w:before="120" w:after="120" w:line="312" w:lineRule="auto"/>
        <w:ind w:left="180" w:right="260"/>
        <w:jc w:val="both"/>
        <w:rPr>
          <w:rFonts w:ascii="Times New Roman" w:hAnsi="Times New Roman"/>
          <w:sz w:val="24"/>
          <w:szCs w:val="24"/>
        </w:rPr>
      </w:pPr>
      <w:r w:rsidRPr="002136F3">
        <w:rPr>
          <w:rFonts w:ascii="Times New Roman" w:hAnsi="Times New Roman"/>
          <w:sz w:val="24"/>
          <w:szCs w:val="24"/>
        </w:rPr>
        <w:lastRenderedPageBreak/>
        <w:t xml:space="preserve">Thu </w:t>
      </w:r>
      <w:proofErr w:type="spellStart"/>
      <w:r w:rsidRPr="002136F3">
        <w:rPr>
          <w:rFonts w:ascii="Times New Roman" w:hAnsi="Times New Roman"/>
          <w:sz w:val="24"/>
          <w:szCs w:val="24"/>
        </w:rPr>
        <w:t>nhập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lãi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tiền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gửi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lãi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trái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phiếu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ghi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nhận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trong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báo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nhập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trên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sở</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dồn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tích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trừ</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khả</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năng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hồi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không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chắc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chắ</w:t>
      </w:r>
      <w:r w:rsidR="00C12EDB" w:rsidRPr="002136F3">
        <w:rPr>
          <w:rFonts w:ascii="Times New Roman" w:hAnsi="Times New Roman"/>
          <w:sz w:val="24"/>
          <w:szCs w:val="24"/>
        </w:rPr>
        <w:t>c</w:t>
      </w:r>
      <w:proofErr w:type="spellEnd"/>
      <w:r w:rsidR="00C12EDB" w:rsidRPr="002136F3">
        <w:rPr>
          <w:rFonts w:ascii="Times New Roman" w:hAnsi="Times New Roman"/>
          <w:sz w:val="24"/>
          <w:szCs w:val="24"/>
        </w:rPr>
        <w:t xml:space="preserve">. </w:t>
      </w:r>
      <w:r w:rsidRPr="002136F3">
        <w:rPr>
          <w:rFonts w:ascii="Times New Roman" w:hAnsi="Times New Roman"/>
          <w:sz w:val="24"/>
          <w:szCs w:val="24"/>
        </w:rPr>
        <w:t xml:space="preserve">Thu </w:t>
      </w:r>
      <w:proofErr w:type="spellStart"/>
      <w:r w:rsidRPr="002136F3">
        <w:rPr>
          <w:rFonts w:ascii="Times New Roman" w:hAnsi="Times New Roman"/>
          <w:sz w:val="24"/>
          <w:szCs w:val="24"/>
        </w:rPr>
        <w:t>nhập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từ</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cổ</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tức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ghi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nhận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quyền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nhận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cổ</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tức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của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xác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lập</w:t>
      </w:r>
      <w:proofErr w:type="spellEnd"/>
      <w:r w:rsidRPr="002136F3">
        <w:rPr>
          <w:rFonts w:ascii="Times New Roman" w:hAnsi="Times New Roman"/>
          <w:sz w:val="24"/>
          <w:szCs w:val="24"/>
        </w:rPr>
        <w:t>.</w:t>
      </w:r>
    </w:p>
    <w:p w14:paraId="6DDC6CB5" w14:textId="22835139" w:rsidR="003B56DD" w:rsidRPr="00726CC5" w:rsidRDefault="003B56DD" w:rsidP="006D5144">
      <w:pPr>
        <w:widowControl w:val="0"/>
        <w:ind w:left="180" w:right="296"/>
        <w:jc w:val="both"/>
        <w:rPr>
          <w:rFonts w:ascii="Times New Roman" w:hAnsi="Times New Roman"/>
          <w:i/>
          <w:iCs/>
          <w:sz w:val="24"/>
          <w:szCs w:val="24"/>
        </w:rPr>
      </w:pPr>
      <w:r w:rsidRPr="00726CC5">
        <w:rPr>
          <w:rFonts w:ascii="Times New Roman" w:hAnsi="Times New Roman"/>
          <w:i/>
          <w:iCs/>
          <w:sz w:val="24"/>
          <w:szCs w:val="24"/>
        </w:rPr>
        <w:t xml:space="preserve">Interest income is </w:t>
      </w:r>
      <w:proofErr w:type="spellStart"/>
      <w:r w:rsidRPr="00726CC5">
        <w:rPr>
          <w:rFonts w:ascii="Times New Roman" w:hAnsi="Times New Roman"/>
          <w:i/>
          <w:iCs/>
          <w:sz w:val="24"/>
          <w:szCs w:val="24"/>
        </w:rPr>
        <w:t>recognised</w:t>
      </w:r>
      <w:proofErr w:type="spellEnd"/>
      <w:r w:rsidRPr="00726CC5">
        <w:rPr>
          <w:rFonts w:ascii="Times New Roman" w:hAnsi="Times New Roman"/>
          <w:i/>
          <w:iCs/>
          <w:sz w:val="24"/>
          <w:szCs w:val="24"/>
        </w:rPr>
        <w:t xml:space="preserve"> on a time proportion basis with reference to the principal outstanding and the applicable interest rate in the statement of income on accrual basis unless the recoverability is uncertain.</w:t>
      </w:r>
      <w:r w:rsidRPr="00726CC5">
        <w:rPr>
          <w:rFonts w:ascii="Times New Roman" w:hAnsi="Times New Roman"/>
          <w:i/>
          <w:iCs/>
          <w:sz w:val="24"/>
          <w:szCs w:val="24"/>
          <w:lang w:val="vi-VN"/>
        </w:rPr>
        <w:t xml:space="preserve"> </w:t>
      </w:r>
      <w:r w:rsidRPr="00726CC5">
        <w:rPr>
          <w:rFonts w:ascii="Times New Roman" w:hAnsi="Times New Roman"/>
          <w:i/>
          <w:iCs/>
          <w:sz w:val="24"/>
          <w:szCs w:val="24"/>
        </w:rPr>
        <w:t xml:space="preserve">Dividend income is </w:t>
      </w:r>
      <w:proofErr w:type="spellStart"/>
      <w:r w:rsidRPr="00726CC5">
        <w:rPr>
          <w:rFonts w:ascii="Times New Roman" w:hAnsi="Times New Roman"/>
          <w:i/>
          <w:iCs/>
          <w:sz w:val="24"/>
          <w:szCs w:val="24"/>
        </w:rPr>
        <w:t>recognised</w:t>
      </w:r>
      <w:proofErr w:type="spellEnd"/>
      <w:r w:rsidRPr="00726CC5">
        <w:rPr>
          <w:rFonts w:ascii="Times New Roman" w:hAnsi="Times New Roman"/>
          <w:i/>
          <w:iCs/>
          <w:sz w:val="24"/>
          <w:szCs w:val="24"/>
        </w:rPr>
        <w:t xml:space="preserve"> in the statement of income when the right to receive payment is established.  Share dividends are not </w:t>
      </w:r>
      <w:proofErr w:type="spellStart"/>
      <w:r w:rsidRPr="00726CC5">
        <w:rPr>
          <w:rFonts w:ascii="Times New Roman" w:hAnsi="Times New Roman"/>
          <w:i/>
          <w:iCs/>
          <w:sz w:val="24"/>
          <w:szCs w:val="24"/>
        </w:rPr>
        <w:t>recognised</w:t>
      </w:r>
      <w:proofErr w:type="spellEnd"/>
      <w:r w:rsidRPr="00726CC5">
        <w:rPr>
          <w:rFonts w:ascii="Times New Roman" w:hAnsi="Times New Roman"/>
          <w:i/>
          <w:iCs/>
          <w:sz w:val="24"/>
          <w:szCs w:val="24"/>
        </w:rPr>
        <w:t xml:space="preserve"> as income.</w:t>
      </w:r>
    </w:p>
    <w:p w14:paraId="234D27EE" w14:textId="77777777" w:rsidR="00E70229" w:rsidRPr="002136F3" w:rsidRDefault="00F276A5" w:rsidP="00726CC5">
      <w:pPr>
        <w:shd w:val="clear" w:color="auto" w:fill="FFFFFF"/>
        <w:spacing w:before="120" w:after="120" w:line="312" w:lineRule="auto"/>
        <w:ind w:left="180" w:right="260"/>
        <w:jc w:val="both"/>
        <w:rPr>
          <w:rFonts w:ascii="Times New Roman" w:hAnsi="Times New Roman"/>
          <w:b/>
          <w:i/>
          <w:sz w:val="24"/>
          <w:szCs w:val="24"/>
          <w:lang w:val="nl-NL"/>
        </w:rPr>
      </w:pPr>
      <w:r w:rsidRPr="002136F3">
        <w:rPr>
          <w:rFonts w:ascii="Times New Roman" w:hAnsi="Times New Roman"/>
          <w:b/>
          <w:i/>
          <w:sz w:val="24"/>
          <w:szCs w:val="24"/>
          <w:lang w:val="nl-NL"/>
        </w:rPr>
        <w:t>(ii)</w:t>
      </w:r>
      <w:r w:rsidRPr="002136F3">
        <w:rPr>
          <w:rFonts w:ascii="Times New Roman" w:hAnsi="Times New Roman"/>
          <w:b/>
          <w:i/>
          <w:sz w:val="24"/>
          <w:szCs w:val="24"/>
          <w:lang w:val="nl-NL"/>
        </w:rPr>
        <w:tab/>
      </w:r>
      <w:r w:rsidR="00E70229" w:rsidRPr="002136F3">
        <w:rPr>
          <w:rFonts w:ascii="Times New Roman" w:hAnsi="Times New Roman"/>
          <w:b/>
          <w:i/>
          <w:sz w:val="24"/>
          <w:szCs w:val="24"/>
          <w:lang w:val="nl-NL"/>
        </w:rPr>
        <w:t>Thu nhập từ hoạt động kinh doanh chứng khoán</w:t>
      </w:r>
      <w:r w:rsidR="00E70229" w:rsidRPr="002136F3" w:rsidDel="00BF2BFA">
        <w:rPr>
          <w:rFonts w:ascii="Times New Roman" w:hAnsi="Times New Roman"/>
          <w:b/>
          <w:i/>
          <w:sz w:val="24"/>
          <w:szCs w:val="24"/>
          <w:lang w:val="nl-NL"/>
        </w:rPr>
        <w:t xml:space="preserve"> </w:t>
      </w:r>
    </w:p>
    <w:p w14:paraId="6201A63B" w14:textId="77777777" w:rsidR="00E70229" w:rsidRPr="002136F3" w:rsidRDefault="00E70229" w:rsidP="0020699B">
      <w:pPr>
        <w:spacing w:before="120" w:after="120" w:line="312" w:lineRule="auto"/>
        <w:ind w:left="180" w:right="260"/>
        <w:jc w:val="both"/>
        <w:rPr>
          <w:rFonts w:ascii="Times New Roman" w:hAnsi="Times New Roman"/>
          <w:sz w:val="24"/>
          <w:szCs w:val="24"/>
        </w:rPr>
      </w:pPr>
      <w:r w:rsidRPr="002136F3">
        <w:rPr>
          <w:rFonts w:ascii="Times New Roman" w:hAnsi="Times New Roman"/>
          <w:sz w:val="24"/>
          <w:szCs w:val="24"/>
        </w:rPr>
        <w:t xml:space="preserve">Thu </w:t>
      </w:r>
      <w:proofErr w:type="spellStart"/>
      <w:r w:rsidRPr="002136F3">
        <w:rPr>
          <w:rFonts w:ascii="Times New Roman" w:hAnsi="Times New Roman"/>
          <w:sz w:val="24"/>
          <w:szCs w:val="24"/>
        </w:rPr>
        <w:t>nhập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từ</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hoạt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động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kinh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doanh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ghi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nhận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trong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báo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nhập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nhận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thông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báo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kết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quả</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giao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dịch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hoán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đổi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chỉ</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kết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quả</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giao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dịch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từ</w:t>
      </w:r>
      <w:proofErr w:type="spellEnd"/>
      <w:r w:rsidRPr="002136F3">
        <w:rPr>
          <w:rFonts w:ascii="Times New Roman" w:hAnsi="Times New Roman"/>
          <w:sz w:val="24"/>
          <w:szCs w:val="24"/>
        </w:rPr>
        <w:t xml:space="preserve"> Trung </w:t>
      </w:r>
      <w:proofErr w:type="spellStart"/>
      <w:r w:rsidRPr="002136F3">
        <w:rPr>
          <w:rFonts w:ascii="Times New Roman" w:hAnsi="Times New Roman"/>
          <w:sz w:val="24"/>
          <w:szCs w:val="24"/>
        </w:rPr>
        <w:t>Tâm</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Lưu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ký</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Việt</w:t>
      </w:r>
      <w:proofErr w:type="spellEnd"/>
      <w:r w:rsidRPr="002136F3">
        <w:rPr>
          <w:rFonts w:ascii="Times New Roman" w:hAnsi="Times New Roman"/>
          <w:sz w:val="24"/>
          <w:szCs w:val="24"/>
        </w:rPr>
        <w:t xml:space="preserve"> Nam </w:t>
      </w:r>
      <w:proofErr w:type="spellStart"/>
      <w:r w:rsidRPr="002136F3">
        <w:rPr>
          <w:rFonts w:ascii="Times New Roman" w:hAnsi="Times New Roman"/>
          <w:sz w:val="24"/>
          <w:szCs w:val="24"/>
        </w:rPr>
        <w:t>đã</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kiểm</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bởi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Ngân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hàng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Giám</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sát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đối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với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đã</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niêm</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yết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hoàn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tất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hợp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đồng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chuyển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nhượng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tài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đối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với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chưa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niêm</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yết</w:t>
      </w:r>
      <w:proofErr w:type="spellEnd"/>
      <w:r w:rsidRPr="002136F3">
        <w:rPr>
          <w:rFonts w:ascii="Times New Roman" w:hAnsi="Times New Roman"/>
          <w:sz w:val="24"/>
          <w:szCs w:val="24"/>
        </w:rPr>
        <w:t>).</w:t>
      </w:r>
    </w:p>
    <w:p w14:paraId="34D92158" w14:textId="08E0E9BD" w:rsidR="003B56DD" w:rsidRPr="0020699B" w:rsidRDefault="003B56DD" w:rsidP="0020699B">
      <w:pPr>
        <w:spacing w:before="120" w:after="120" w:line="312" w:lineRule="auto"/>
        <w:ind w:left="180" w:right="260"/>
        <w:jc w:val="both"/>
        <w:rPr>
          <w:rFonts w:ascii="Times New Roman" w:hAnsi="Times New Roman"/>
          <w:i/>
          <w:iCs/>
          <w:sz w:val="24"/>
          <w:szCs w:val="24"/>
        </w:rPr>
      </w:pPr>
      <w:r w:rsidRPr="0020699B">
        <w:rPr>
          <w:rFonts w:ascii="Times New Roman" w:hAnsi="Times New Roman"/>
          <w:i/>
          <w:iCs/>
          <w:sz w:val="24"/>
          <w:szCs w:val="24"/>
        </w:rPr>
        <w:t xml:space="preserve">Income from trading securities activities is </w:t>
      </w:r>
      <w:proofErr w:type="spellStart"/>
      <w:r w:rsidRPr="0020699B">
        <w:rPr>
          <w:rFonts w:ascii="Times New Roman" w:hAnsi="Times New Roman"/>
          <w:i/>
          <w:iCs/>
          <w:sz w:val="24"/>
          <w:szCs w:val="24"/>
        </w:rPr>
        <w:t>recognised</w:t>
      </w:r>
      <w:proofErr w:type="spellEnd"/>
      <w:r w:rsidRPr="0020699B">
        <w:rPr>
          <w:rFonts w:ascii="Times New Roman" w:hAnsi="Times New Roman"/>
          <w:i/>
          <w:iCs/>
          <w:sz w:val="24"/>
          <w:szCs w:val="24"/>
        </w:rPr>
        <w:t xml:space="preserve"> in the statement of income upon receipt of the notice of exchange-traded transactions, deal confirmation from the </w:t>
      </w:r>
      <w:r w:rsidRPr="0020699B">
        <w:rPr>
          <w:rFonts w:ascii="Times New Roman" w:hAnsi="Times New Roman"/>
          <w:i/>
          <w:iCs/>
          <w:color w:val="000000"/>
          <w:sz w:val="24"/>
          <w:szCs w:val="24"/>
        </w:rPr>
        <w:t>Vietnam Securities Depository and Clearing Corporation</w:t>
      </w:r>
      <w:r w:rsidRPr="0020699B">
        <w:rPr>
          <w:rFonts w:ascii="Times New Roman" w:hAnsi="Times New Roman"/>
          <w:i/>
          <w:iCs/>
          <w:sz w:val="24"/>
          <w:szCs w:val="24"/>
        </w:rPr>
        <w:t xml:space="preserve"> (for listed securities) which are verified by the Supervisory Bank and upon completion of the agreement on transfer of assets (for unlisted securities).</w:t>
      </w:r>
    </w:p>
    <w:p w14:paraId="74531E4A" w14:textId="76CBF3DC" w:rsidR="00E70229" w:rsidRPr="002136F3" w:rsidRDefault="00200471" w:rsidP="0020699B">
      <w:pPr>
        <w:shd w:val="clear" w:color="auto" w:fill="FFFFFF"/>
        <w:spacing w:before="120" w:after="120" w:line="312" w:lineRule="auto"/>
        <w:ind w:left="180" w:right="260"/>
        <w:jc w:val="both"/>
        <w:rPr>
          <w:rFonts w:ascii="Times New Roman" w:hAnsi="Times New Roman"/>
          <w:b/>
          <w:sz w:val="24"/>
          <w:szCs w:val="24"/>
          <w:lang w:val="vi-VN"/>
        </w:rPr>
      </w:pPr>
      <w:bookmarkStart w:id="4" w:name="_Toc124143374"/>
      <w:bookmarkStart w:id="5" w:name="_Toc124143455"/>
      <w:bookmarkStart w:id="6" w:name="_Toc125971147"/>
      <w:bookmarkStart w:id="7" w:name="_Toc127268632"/>
      <w:bookmarkStart w:id="8" w:name="_Toc24202945"/>
      <w:bookmarkStart w:id="9" w:name="_Ref55382971"/>
      <w:bookmarkStart w:id="10" w:name="_Toc118086242"/>
      <w:r w:rsidRPr="002136F3">
        <w:rPr>
          <w:rFonts w:ascii="Times New Roman" w:hAnsi="Times New Roman"/>
          <w:b/>
          <w:sz w:val="24"/>
          <w:szCs w:val="24"/>
          <w:lang w:val="nl-NL"/>
        </w:rPr>
        <w:t>4.</w:t>
      </w:r>
      <w:r w:rsidR="00726CC5">
        <w:rPr>
          <w:rFonts w:ascii="Times New Roman" w:hAnsi="Times New Roman"/>
          <w:b/>
          <w:sz w:val="24"/>
          <w:szCs w:val="24"/>
          <w:lang w:val="nl-NL"/>
        </w:rPr>
        <w:t>10</w:t>
      </w:r>
      <w:r w:rsidR="00726CC5">
        <w:rPr>
          <w:rFonts w:ascii="Times New Roman" w:hAnsi="Times New Roman"/>
          <w:b/>
          <w:sz w:val="24"/>
          <w:szCs w:val="24"/>
          <w:lang w:val="vi-VN"/>
        </w:rPr>
        <w:t xml:space="preserve">   </w:t>
      </w:r>
      <w:r w:rsidR="00E70229" w:rsidRPr="002136F3">
        <w:rPr>
          <w:rFonts w:ascii="Times New Roman" w:hAnsi="Times New Roman"/>
          <w:b/>
          <w:sz w:val="24"/>
          <w:szCs w:val="24"/>
          <w:lang w:val="nl-NL"/>
        </w:rPr>
        <w:t xml:space="preserve">Chi phí  </w:t>
      </w:r>
      <w:bookmarkEnd w:id="4"/>
      <w:bookmarkEnd w:id="5"/>
      <w:bookmarkEnd w:id="6"/>
      <w:bookmarkEnd w:id="7"/>
      <w:bookmarkEnd w:id="8"/>
      <w:bookmarkEnd w:id="9"/>
      <w:bookmarkEnd w:id="10"/>
      <w:r w:rsidR="003B56DD" w:rsidRPr="002136F3">
        <w:rPr>
          <w:rFonts w:ascii="Times New Roman" w:hAnsi="Times New Roman"/>
          <w:b/>
          <w:sz w:val="24"/>
          <w:szCs w:val="24"/>
          <w:lang w:val="vi-VN"/>
        </w:rPr>
        <w:t>/ Expenses</w:t>
      </w:r>
    </w:p>
    <w:p w14:paraId="33BDFC90" w14:textId="77777777" w:rsidR="00E70229" w:rsidRPr="002136F3" w:rsidRDefault="00E70229" w:rsidP="0020699B">
      <w:pPr>
        <w:spacing w:before="120" w:after="120" w:line="312" w:lineRule="auto"/>
        <w:ind w:left="180" w:right="260"/>
        <w:jc w:val="both"/>
        <w:rPr>
          <w:rFonts w:ascii="Times New Roman" w:hAnsi="Times New Roman"/>
          <w:sz w:val="24"/>
          <w:szCs w:val="24"/>
        </w:rPr>
      </w:pP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khoản</w:t>
      </w:r>
      <w:proofErr w:type="spellEnd"/>
      <w:r w:rsidRPr="002136F3">
        <w:rPr>
          <w:rFonts w:ascii="Times New Roman" w:hAnsi="Times New Roman"/>
          <w:sz w:val="24"/>
          <w:szCs w:val="24"/>
        </w:rPr>
        <w:t xml:space="preserve"> chi </w:t>
      </w:r>
      <w:proofErr w:type="spellStart"/>
      <w:r w:rsidRPr="002136F3">
        <w:rPr>
          <w:rFonts w:ascii="Times New Roman" w:hAnsi="Times New Roman"/>
          <w:sz w:val="24"/>
          <w:szCs w:val="24"/>
        </w:rPr>
        <w:t>phí</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ghi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nhận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trong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báo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nhập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trên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sở</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dồn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tích</w:t>
      </w:r>
      <w:proofErr w:type="spellEnd"/>
      <w:r w:rsidRPr="002136F3">
        <w:rPr>
          <w:rFonts w:ascii="Times New Roman" w:hAnsi="Times New Roman"/>
          <w:sz w:val="24"/>
          <w:szCs w:val="24"/>
        </w:rPr>
        <w:t>.</w:t>
      </w:r>
    </w:p>
    <w:p w14:paraId="0C630F23" w14:textId="2918CC45" w:rsidR="003B56DD" w:rsidRPr="0020699B" w:rsidRDefault="003B56DD" w:rsidP="0020699B">
      <w:pPr>
        <w:keepNext/>
        <w:widowControl w:val="0"/>
        <w:ind w:left="180"/>
        <w:rPr>
          <w:rFonts w:ascii="Times New Roman" w:hAnsi="Times New Roman"/>
          <w:i/>
          <w:iCs/>
          <w:color w:val="000000"/>
          <w:sz w:val="24"/>
          <w:szCs w:val="24"/>
        </w:rPr>
      </w:pPr>
      <w:r w:rsidRPr="0020699B">
        <w:rPr>
          <w:rFonts w:ascii="Times New Roman" w:hAnsi="Times New Roman"/>
          <w:i/>
          <w:iCs/>
          <w:sz w:val="24"/>
          <w:szCs w:val="24"/>
        </w:rPr>
        <w:t xml:space="preserve">Expenses are </w:t>
      </w:r>
      <w:proofErr w:type="spellStart"/>
      <w:r w:rsidRPr="0020699B">
        <w:rPr>
          <w:rFonts w:ascii="Times New Roman" w:hAnsi="Times New Roman"/>
          <w:i/>
          <w:iCs/>
          <w:sz w:val="24"/>
          <w:szCs w:val="24"/>
        </w:rPr>
        <w:t>recognised</w:t>
      </w:r>
      <w:proofErr w:type="spellEnd"/>
      <w:r w:rsidRPr="0020699B">
        <w:rPr>
          <w:rFonts w:ascii="Times New Roman" w:hAnsi="Times New Roman"/>
          <w:i/>
          <w:iCs/>
          <w:sz w:val="24"/>
          <w:szCs w:val="24"/>
        </w:rPr>
        <w:t xml:space="preserve"> in the statement of income as incurred.</w:t>
      </w:r>
    </w:p>
    <w:p w14:paraId="1A8EE792" w14:textId="630B6AC2" w:rsidR="00E70229" w:rsidRPr="002136F3" w:rsidRDefault="00200471" w:rsidP="0020699B">
      <w:pPr>
        <w:shd w:val="clear" w:color="auto" w:fill="FFFFFF"/>
        <w:spacing w:before="120" w:after="120" w:line="312" w:lineRule="auto"/>
        <w:ind w:left="180" w:right="260"/>
        <w:jc w:val="both"/>
        <w:rPr>
          <w:rFonts w:ascii="Times New Roman" w:hAnsi="Times New Roman"/>
          <w:b/>
          <w:sz w:val="24"/>
          <w:szCs w:val="24"/>
          <w:lang w:val="vi-VN"/>
        </w:rPr>
      </w:pPr>
      <w:r w:rsidRPr="002136F3">
        <w:rPr>
          <w:rFonts w:ascii="Times New Roman" w:hAnsi="Times New Roman"/>
          <w:b/>
          <w:sz w:val="24"/>
          <w:szCs w:val="24"/>
          <w:lang w:val="nl-NL"/>
        </w:rPr>
        <w:t>4.11</w:t>
      </w:r>
      <w:r w:rsidRPr="002136F3">
        <w:rPr>
          <w:rFonts w:ascii="Times New Roman" w:hAnsi="Times New Roman"/>
          <w:b/>
          <w:sz w:val="24"/>
          <w:szCs w:val="24"/>
          <w:lang w:val="nl-NL"/>
        </w:rPr>
        <w:tab/>
      </w:r>
      <w:r w:rsidR="00E70229" w:rsidRPr="002136F3">
        <w:rPr>
          <w:rFonts w:ascii="Times New Roman" w:hAnsi="Times New Roman"/>
          <w:b/>
          <w:sz w:val="24"/>
          <w:szCs w:val="24"/>
          <w:lang w:val="nl-NL"/>
        </w:rPr>
        <w:t>Giá trị tài sản ròng trên mỗi chứng chỉ quỹ và giá trị tài sản ròng trên mỗi lô chứng chỉ quỹ</w:t>
      </w:r>
      <w:r w:rsidR="003B56DD" w:rsidRPr="002136F3">
        <w:rPr>
          <w:rFonts w:ascii="Times New Roman" w:hAnsi="Times New Roman"/>
          <w:b/>
          <w:sz w:val="24"/>
          <w:szCs w:val="24"/>
          <w:lang w:val="vi-VN"/>
        </w:rPr>
        <w:t xml:space="preserve"> / Net Asset Value per Fund unit and Net Asset Value per Lot</w:t>
      </w:r>
    </w:p>
    <w:p w14:paraId="77569BE9" w14:textId="77777777" w:rsidR="00E70229" w:rsidRPr="002136F3" w:rsidRDefault="00E70229" w:rsidP="0020699B">
      <w:pPr>
        <w:spacing w:before="120" w:after="120" w:line="312" w:lineRule="auto"/>
        <w:ind w:left="180" w:right="260"/>
        <w:jc w:val="both"/>
        <w:rPr>
          <w:rFonts w:ascii="Times New Roman" w:hAnsi="Times New Roman"/>
          <w:sz w:val="24"/>
          <w:szCs w:val="24"/>
        </w:rPr>
      </w:pPr>
      <w:proofErr w:type="spellStart"/>
      <w:r w:rsidRPr="002136F3">
        <w:rPr>
          <w:rFonts w:ascii="Times New Roman" w:hAnsi="Times New Roman"/>
          <w:sz w:val="24"/>
          <w:szCs w:val="24"/>
        </w:rPr>
        <w:t>Giá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trị</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tài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ròng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trên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mỗi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chỉ</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tính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bằng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cách</w:t>
      </w:r>
      <w:proofErr w:type="spellEnd"/>
      <w:r w:rsidRPr="002136F3">
        <w:rPr>
          <w:rFonts w:ascii="Times New Roman" w:hAnsi="Times New Roman"/>
          <w:sz w:val="24"/>
          <w:szCs w:val="24"/>
        </w:rPr>
        <w:t xml:space="preserve"> chia </w:t>
      </w:r>
      <w:proofErr w:type="spellStart"/>
      <w:r w:rsidRPr="002136F3">
        <w:rPr>
          <w:rFonts w:ascii="Times New Roman" w:hAnsi="Times New Roman"/>
          <w:sz w:val="24"/>
          <w:szCs w:val="24"/>
        </w:rPr>
        <w:t>giá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trị</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tài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ròng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của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chỉ</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đang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lưu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hành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tại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ngày</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của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báo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tình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hình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tài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chính</w:t>
      </w:r>
      <w:proofErr w:type="spellEnd"/>
      <w:r w:rsidRPr="002136F3">
        <w:rPr>
          <w:rFonts w:ascii="Times New Roman" w:hAnsi="Times New Roman"/>
          <w:sz w:val="24"/>
          <w:szCs w:val="24"/>
        </w:rPr>
        <w:t xml:space="preserve">. </w:t>
      </w:r>
    </w:p>
    <w:p w14:paraId="7DB2DBA2" w14:textId="69D282C7" w:rsidR="003B56DD" w:rsidRPr="002136F3" w:rsidRDefault="003B56DD" w:rsidP="0020699B">
      <w:pPr>
        <w:spacing w:before="120" w:after="120" w:line="312" w:lineRule="auto"/>
        <w:ind w:left="180" w:right="260"/>
        <w:jc w:val="both"/>
        <w:rPr>
          <w:rFonts w:ascii="Times New Roman" w:hAnsi="Times New Roman"/>
          <w:i/>
          <w:iCs/>
          <w:sz w:val="24"/>
          <w:szCs w:val="24"/>
          <w:lang w:val="vi-VN"/>
        </w:rPr>
      </w:pPr>
      <w:r w:rsidRPr="002136F3">
        <w:rPr>
          <w:rFonts w:ascii="Times New Roman" w:hAnsi="Times New Roman"/>
          <w:i/>
          <w:iCs/>
          <w:sz w:val="24"/>
          <w:szCs w:val="24"/>
        </w:rPr>
        <w:t>Net</w:t>
      </w:r>
      <w:r w:rsidRPr="002136F3">
        <w:rPr>
          <w:rFonts w:ascii="Times New Roman" w:hAnsi="Times New Roman"/>
          <w:i/>
          <w:iCs/>
          <w:sz w:val="24"/>
          <w:szCs w:val="24"/>
          <w:lang w:val="vi-VN"/>
        </w:rPr>
        <w:t xml:space="preserve"> Asset Value per Fund unit is equal to Net Asset Value of Fund divided by outstanding quantity of Fund units as at Financial Statements date. </w:t>
      </w:r>
    </w:p>
    <w:p w14:paraId="50A82B9C" w14:textId="77777777" w:rsidR="00E70229" w:rsidRPr="002136F3" w:rsidRDefault="00E70229" w:rsidP="0020699B">
      <w:pPr>
        <w:spacing w:before="120" w:after="120" w:line="312" w:lineRule="auto"/>
        <w:ind w:left="180" w:right="260"/>
        <w:jc w:val="both"/>
        <w:rPr>
          <w:rFonts w:ascii="Times New Roman" w:hAnsi="Times New Roman"/>
          <w:sz w:val="24"/>
          <w:szCs w:val="24"/>
        </w:rPr>
      </w:pPr>
      <w:proofErr w:type="spellStart"/>
      <w:r w:rsidRPr="002136F3">
        <w:rPr>
          <w:rFonts w:ascii="Times New Roman" w:hAnsi="Times New Roman"/>
          <w:sz w:val="24"/>
          <w:szCs w:val="24"/>
        </w:rPr>
        <w:t>Giá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trị</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tài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ròng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trên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mỗi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lô</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chỉ</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tính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bằng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cách</w:t>
      </w:r>
      <w:proofErr w:type="spellEnd"/>
      <w:r w:rsidRPr="002136F3">
        <w:rPr>
          <w:rFonts w:ascii="Times New Roman" w:hAnsi="Times New Roman"/>
          <w:sz w:val="24"/>
          <w:szCs w:val="24"/>
        </w:rPr>
        <w:t xml:space="preserve"> chia </w:t>
      </w:r>
      <w:proofErr w:type="spellStart"/>
      <w:r w:rsidRPr="002136F3">
        <w:rPr>
          <w:rFonts w:ascii="Times New Roman" w:hAnsi="Times New Roman"/>
          <w:sz w:val="24"/>
          <w:szCs w:val="24"/>
        </w:rPr>
        <w:t>giá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trị</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tài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ròng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của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lô</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chỉ</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đang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lưu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hành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tại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ngày</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của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báo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tình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hình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tài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chính</w:t>
      </w:r>
      <w:proofErr w:type="spellEnd"/>
      <w:r w:rsidRPr="002136F3">
        <w:rPr>
          <w:rFonts w:ascii="Times New Roman" w:hAnsi="Times New Roman"/>
          <w:sz w:val="24"/>
          <w:szCs w:val="24"/>
        </w:rPr>
        <w:t>.</w:t>
      </w:r>
    </w:p>
    <w:p w14:paraId="14D6C273" w14:textId="48412907" w:rsidR="003B56DD" w:rsidRPr="002136F3" w:rsidRDefault="003B56DD" w:rsidP="0020699B">
      <w:pPr>
        <w:spacing w:before="120" w:after="120" w:line="312" w:lineRule="auto"/>
        <w:ind w:left="180" w:right="260"/>
        <w:jc w:val="both"/>
        <w:rPr>
          <w:rFonts w:ascii="Times New Roman" w:hAnsi="Times New Roman"/>
          <w:i/>
          <w:iCs/>
          <w:sz w:val="24"/>
          <w:szCs w:val="24"/>
          <w:lang w:val="vi-VN"/>
        </w:rPr>
      </w:pPr>
      <w:r w:rsidRPr="002136F3">
        <w:rPr>
          <w:rFonts w:ascii="Times New Roman" w:hAnsi="Times New Roman"/>
          <w:i/>
          <w:iCs/>
          <w:sz w:val="24"/>
          <w:szCs w:val="24"/>
        </w:rPr>
        <w:t>Net</w:t>
      </w:r>
      <w:r w:rsidRPr="002136F3">
        <w:rPr>
          <w:rFonts w:ascii="Times New Roman" w:hAnsi="Times New Roman"/>
          <w:i/>
          <w:iCs/>
          <w:sz w:val="24"/>
          <w:szCs w:val="24"/>
          <w:lang w:val="vi-VN"/>
        </w:rPr>
        <w:t xml:space="preserve"> Asset Value per Lot is eual to Net Asset Value of Fund divided by outstanding quantity of Lots as at Financial Statements date. </w:t>
      </w:r>
    </w:p>
    <w:p w14:paraId="5E9DE426" w14:textId="77777777" w:rsidR="00E70229" w:rsidRPr="002136F3" w:rsidRDefault="00E70229" w:rsidP="0020699B">
      <w:pPr>
        <w:spacing w:before="120" w:after="120" w:line="312" w:lineRule="auto"/>
        <w:ind w:left="180" w:right="260"/>
        <w:jc w:val="both"/>
        <w:rPr>
          <w:rFonts w:ascii="Times New Roman" w:hAnsi="Times New Roman"/>
          <w:sz w:val="24"/>
          <w:szCs w:val="24"/>
        </w:rPr>
      </w:pPr>
      <w:proofErr w:type="spellStart"/>
      <w:r w:rsidRPr="002136F3">
        <w:rPr>
          <w:rFonts w:ascii="Times New Roman" w:hAnsi="Times New Roman"/>
          <w:sz w:val="24"/>
          <w:szCs w:val="24"/>
        </w:rPr>
        <w:t>Giá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trị</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tài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ròng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xác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định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bằng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lấy</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tổng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tài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trừ</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tổng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nợ</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phải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trả</w:t>
      </w:r>
      <w:proofErr w:type="spellEnd"/>
      <w:r w:rsidRPr="002136F3">
        <w:rPr>
          <w:rFonts w:ascii="Times New Roman" w:hAnsi="Times New Roman"/>
          <w:sz w:val="24"/>
          <w:szCs w:val="24"/>
        </w:rPr>
        <w:t xml:space="preserve">. </w:t>
      </w:r>
    </w:p>
    <w:p w14:paraId="537DF169" w14:textId="4BEFCD57" w:rsidR="003B56DD" w:rsidRPr="002136F3" w:rsidRDefault="003B56DD" w:rsidP="0020699B">
      <w:pPr>
        <w:spacing w:before="120" w:after="120" w:line="312" w:lineRule="auto"/>
        <w:ind w:left="180" w:right="260"/>
        <w:jc w:val="both"/>
        <w:rPr>
          <w:rFonts w:ascii="Times New Roman" w:hAnsi="Times New Roman"/>
          <w:i/>
          <w:iCs/>
          <w:sz w:val="24"/>
          <w:szCs w:val="24"/>
          <w:lang w:val="vi-VN"/>
        </w:rPr>
      </w:pPr>
      <w:r w:rsidRPr="002136F3">
        <w:rPr>
          <w:rFonts w:ascii="Times New Roman" w:hAnsi="Times New Roman"/>
          <w:i/>
          <w:iCs/>
          <w:sz w:val="24"/>
          <w:szCs w:val="24"/>
        </w:rPr>
        <w:t>Net</w:t>
      </w:r>
      <w:r w:rsidRPr="002136F3">
        <w:rPr>
          <w:rFonts w:ascii="Times New Roman" w:hAnsi="Times New Roman"/>
          <w:i/>
          <w:iCs/>
          <w:sz w:val="24"/>
          <w:szCs w:val="24"/>
          <w:lang w:val="vi-VN"/>
        </w:rPr>
        <w:t xml:space="preserve"> Asset Value is determined by subtracting Total Liabilties from Total Assetes. </w:t>
      </w:r>
    </w:p>
    <w:p w14:paraId="6A4675E5" w14:textId="79A51602" w:rsidR="00E70229" w:rsidRPr="002136F3" w:rsidRDefault="00200471" w:rsidP="0020699B">
      <w:pPr>
        <w:shd w:val="clear" w:color="auto" w:fill="FFFFFF"/>
        <w:spacing w:before="120" w:after="120" w:line="312" w:lineRule="auto"/>
        <w:ind w:left="180" w:right="260"/>
        <w:jc w:val="both"/>
        <w:rPr>
          <w:rFonts w:ascii="Times New Roman" w:hAnsi="Times New Roman"/>
          <w:b/>
          <w:sz w:val="24"/>
          <w:szCs w:val="24"/>
          <w:lang w:val="vi-VN"/>
        </w:rPr>
      </w:pPr>
      <w:r w:rsidRPr="002136F3">
        <w:rPr>
          <w:rFonts w:ascii="Times New Roman" w:hAnsi="Times New Roman"/>
          <w:b/>
          <w:sz w:val="24"/>
          <w:szCs w:val="24"/>
          <w:lang w:val="nl-NL"/>
        </w:rPr>
        <w:t>4.12</w:t>
      </w:r>
      <w:r w:rsidRPr="002136F3">
        <w:rPr>
          <w:rFonts w:ascii="Times New Roman" w:hAnsi="Times New Roman"/>
          <w:b/>
          <w:sz w:val="24"/>
          <w:szCs w:val="24"/>
          <w:lang w:val="nl-NL"/>
        </w:rPr>
        <w:tab/>
      </w:r>
      <w:r w:rsidR="00E70229" w:rsidRPr="002136F3">
        <w:rPr>
          <w:rFonts w:ascii="Times New Roman" w:hAnsi="Times New Roman"/>
          <w:b/>
          <w:sz w:val="24"/>
          <w:szCs w:val="24"/>
          <w:lang w:val="nl-NL"/>
        </w:rPr>
        <w:t>Báo cáo bộ phận</w:t>
      </w:r>
      <w:r w:rsidR="00E70229" w:rsidRPr="002136F3" w:rsidDel="00BF2BFA">
        <w:rPr>
          <w:rFonts w:ascii="Times New Roman" w:hAnsi="Times New Roman"/>
          <w:b/>
          <w:sz w:val="24"/>
          <w:szCs w:val="24"/>
          <w:lang w:val="nl-NL"/>
        </w:rPr>
        <w:t xml:space="preserve"> </w:t>
      </w:r>
      <w:r w:rsidR="003B56DD" w:rsidRPr="002136F3">
        <w:rPr>
          <w:rFonts w:ascii="Times New Roman" w:hAnsi="Times New Roman"/>
          <w:b/>
          <w:sz w:val="24"/>
          <w:szCs w:val="24"/>
          <w:lang w:val="vi-VN"/>
        </w:rPr>
        <w:t>/ Segment reporting</w:t>
      </w:r>
    </w:p>
    <w:p w14:paraId="2C25C834" w14:textId="77777777" w:rsidR="00E70229" w:rsidRPr="002136F3" w:rsidRDefault="00E70229" w:rsidP="0020699B">
      <w:pPr>
        <w:spacing w:before="120" w:after="120" w:line="312" w:lineRule="auto"/>
        <w:ind w:left="180" w:right="260"/>
        <w:jc w:val="both"/>
        <w:rPr>
          <w:rFonts w:ascii="Times New Roman" w:hAnsi="Times New Roman"/>
          <w:sz w:val="24"/>
          <w:szCs w:val="24"/>
        </w:rPr>
      </w:pP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hoạt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động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như</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một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bộ</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phận</w:t>
      </w:r>
      <w:proofErr w:type="spellEnd"/>
      <w:r w:rsidRPr="002136F3">
        <w:rPr>
          <w:rFonts w:ascii="Times New Roman" w:hAnsi="Times New Roman"/>
          <w:sz w:val="24"/>
          <w:szCs w:val="24"/>
        </w:rPr>
        <w:t>.</w:t>
      </w:r>
    </w:p>
    <w:p w14:paraId="669985A2" w14:textId="466181B0" w:rsidR="003B56DD" w:rsidRPr="0020699B" w:rsidRDefault="003B56DD" w:rsidP="0020699B">
      <w:pPr>
        <w:spacing w:before="120" w:after="120" w:line="312" w:lineRule="auto"/>
        <w:ind w:left="180" w:right="260"/>
        <w:jc w:val="both"/>
        <w:rPr>
          <w:rFonts w:ascii="Times New Roman" w:hAnsi="Times New Roman"/>
          <w:i/>
          <w:iCs/>
          <w:sz w:val="24"/>
          <w:szCs w:val="24"/>
          <w:lang w:val="vi-VN"/>
        </w:rPr>
      </w:pPr>
      <w:r w:rsidRPr="0020699B">
        <w:rPr>
          <w:rFonts w:ascii="Times New Roman" w:hAnsi="Times New Roman"/>
          <w:i/>
          <w:iCs/>
          <w:sz w:val="24"/>
          <w:szCs w:val="24"/>
        </w:rPr>
        <w:t>Fund</w:t>
      </w:r>
      <w:r w:rsidRPr="0020699B">
        <w:rPr>
          <w:rFonts w:ascii="Times New Roman" w:hAnsi="Times New Roman"/>
          <w:i/>
          <w:iCs/>
          <w:sz w:val="24"/>
          <w:szCs w:val="24"/>
          <w:lang w:val="vi-VN"/>
        </w:rPr>
        <w:t xml:space="preserve"> is operating as a segment. </w:t>
      </w:r>
    </w:p>
    <w:p w14:paraId="407E4FF4" w14:textId="387BF511" w:rsidR="00E70229" w:rsidRPr="002136F3" w:rsidRDefault="00200471" w:rsidP="0020699B">
      <w:pPr>
        <w:shd w:val="clear" w:color="auto" w:fill="FFFFFF"/>
        <w:spacing w:before="120" w:after="120" w:line="312" w:lineRule="auto"/>
        <w:ind w:left="180" w:right="260"/>
        <w:jc w:val="both"/>
        <w:rPr>
          <w:rFonts w:ascii="Times New Roman" w:hAnsi="Times New Roman"/>
          <w:b/>
          <w:sz w:val="24"/>
          <w:szCs w:val="24"/>
          <w:lang w:val="vi-VN"/>
        </w:rPr>
      </w:pPr>
      <w:r w:rsidRPr="002136F3">
        <w:rPr>
          <w:rFonts w:ascii="Times New Roman" w:hAnsi="Times New Roman"/>
          <w:b/>
          <w:sz w:val="24"/>
          <w:szCs w:val="24"/>
          <w:lang w:val="nl-NL"/>
        </w:rPr>
        <w:lastRenderedPageBreak/>
        <w:t>4.13</w:t>
      </w:r>
      <w:r w:rsidRPr="002136F3">
        <w:rPr>
          <w:rFonts w:ascii="Times New Roman" w:hAnsi="Times New Roman"/>
          <w:b/>
          <w:sz w:val="24"/>
          <w:szCs w:val="24"/>
          <w:lang w:val="nl-NL"/>
        </w:rPr>
        <w:tab/>
      </w:r>
      <w:r w:rsidR="00E70229" w:rsidRPr="002136F3">
        <w:rPr>
          <w:rFonts w:ascii="Times New Roman" w:hAnsi="Times New Roman"/>
          <w:b/>
          <w:sz w:val="24"/>
          <w:szCs w:val="24"/>
          <w:lang w:val="nl-NL"/>
        </w:rPr>
        <w:t>Các bên liên quan</w:t>
      </w:r>
      <w:r w:rsidR="00E70229" w:rsidRPr="002136F3" w:rsidDel="00BE1F44">
        <w:rPr>
          <w:rFonts w:ascii="Times New Roman" w:hAnsi="Times New Roman"/>
          <w:b/>
          <w:sz w:val="24"/>
          <w:szCs w:val="24"/>
          <w:lang w:val="nl-NL"/>
        </w:rPr>
        <w:t xml:space="preserve"> </w:t>
      </w:r>
      <w:r w:rsidR="003B56DD" w:rsidRPr="002136F3">
        <w:rPr>
          <w:rFonts w:ascii="Times New Roman" w:hAnsi="Times New Roman"/>
          <w:b/>
          <w:sz w:val="24"/>
          <w:szCs w:val="24"/>
          <w:lang w:val="vi-VN"/>
        </w:rPr>
        <w:t>/ Related parties</w:t>
      </w:r>
    </w:p>
    <w:p w14:paraId="22CAE30B" w14:textId="04618A43" w:rsidR="003B56DD" w:rsidRPr="002136F3" w:rsidRDefault="00E70229" w:rsidP="0020699B">
      <w:pPr>
        <w:spacing w:before="120" w:after="120" w:line="312" w:lineRule="auto"/>
        <w:ind w:left="180" w:right="260"/>
        <w:jc w:val="both"/>
        <w:rPr>
          <w:rFonts w:ascii="Times New Roman" w:hAnsi="Times New Roman"/>
          <w:sz w:val="24"/>
          <w:szCs w:val="24"/>
        </w:rPr>
      </w:pP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bên</w:t>
      </w:r>
      <w:proofErr w:type="spellEnd"/>
      <w:r w:rsidRPr="002136F3">
        <w:rPr>
          <w:rFonts w:ascii="Times New Roman" w:hAnsi="Times New Roman"/>
          <w:sz w:val="24"/>
          <w:szCs w:val="24"/>
        </w:rPr>
        <w:t>/</w:t>
      </w:r>
      <w:proofErr w:type="spellStart"/>
      <w:r w:rsidRPr="002136F3">
        <w:rPr>
          <w:rFonts w:ascii="Times New Roman" w:hAnsi="Times New Roman"/>
          <w:sz w:val="24"/>
          <w:szCs w:val="24"/>
        </w:rPr>
        <w:t>người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xem</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có</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liên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quan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nếu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một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bên</w:t>
      </w:r>
      <w:proofErr w:type="spellEnd"/>
      <w:r w:rsidRPr="002136F3">
        <w:rPr>
          <w:rFonts w:ascii="Times New Roman" w:hAnsi="Times New Roman"/>
          <w:sz w:val="24"/>
          <w:szCs w:val="24"/>
        </w:rPr>
        <w:t>/</w:t>
      </w:r>
      <w:proofErr w:type="spellStart"/>
      <w:r w:rsidRPr="002136F3">
        <w:rPr>
          <w:rFonts w:ascii="Times New Roman" w:hAnsi="Times New Roman"/>
          <w:sz w:val="24"/>
          <w:szCs w:val="24"/>
        </w:rPr>
        <w:t>người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có</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khả</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năng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trực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tiếp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hoặc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tiếp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kiểm</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soát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hoặc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có</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ảnh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hưởng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đáng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kể</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đối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với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bên</w:t>
      </w:r>
      <w:proofErr w:type="spellEnd"/>
      <w:r w:rsidRPr="002136F3">
        <w:rPr>
          <w:rFonts w:ascii="Times New Roman" w:hAnsi="Times New Roman"/>
          <w:sz w:val="24"/>
          <w:szCs w:val="24"/>
        </w:rPr>
        <w:t xml:space="preserve"> kia </w:t>
      </w:r>
      <w:proofErr w:type="spellStart"/>
      <w:r w:rsidRPr="002136F3">
        <w:rPr>
          <w:rFonts w:ascii="Times New Roman" w:hAnsi="Times New Roman"/>
          <w:sz w:val="24"/>
          <w:szCs w:val="24"/>
        </w:rPr>
        <w:t>trong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việc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ra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quyết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định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tài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chính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hoạt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động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kinh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doanh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bên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xem</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có</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liên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quan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nếu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bên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cùng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chịu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sự</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kiểm</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soát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chung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hoặc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cùng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chịu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ảnh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hưởng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đáng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kể</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chung</w:t>
      </w:r>
      <w:proofErr w:type="spellEnd"/>
      <w:r w:rsidRPr="002136F3">
        <w:rPr>
          <w:rFonts w:ascii="Times New Roman" w:hAnsi="Times New Roman"/>
          <w:sz w:val="24"/>
          <w:szCs w:val="24"/>
        </w:rPr>
        <w:t>.</w:t>
      </w:r>
    </w:p>
    <w:p w14:paraId="0C037A61" w14:textId="4EE237CA" w:rsidR="003B56DD" w:rsidRPr="0020699B" w:rsidRDefault="003B56DD" w:rsidP="006D5144">
      <w:pPr>
        <w:keepNext/>
        <w:widowControl w:val="0"/>
        <w:ind w:left="180" w:right="296"/>
        <w:jc w:val="both"/>
        <w:rPr>
          <w:rFonts w:ascii="Times New Roman" w:hAnsi="Times New Roman"/>
          <w:i/>
          <w:iCs/>
          <w:sz w:val="24"/>
          <w:szCs w:val="24"/>
        </w:rPr>
      </w:pPr>
      <w:r w:rsidRPr="0020699B">
        <w:rPr>
          <w:rFonts w:ascii="Times New Roman" w:hAnsi="Times New Roman"/>
          <w:i/>
          <w:iCs/>
          <w:sz w:val="24"/>
          <w:szCs w:val="24"/>
        </w:rPr>
        <w:t xml:space="preserve">Parties </w:t>
      </w:r>
      <w:proofErr w:type="gramStart"/>
      <w:r w:rsidRPr="0020699B">
        <w:rPr>
          <w:rFonts w:ascii="Times New Roman" w:hAnsi="Times New Roman"/>
          <w:i/>
          <w:iCs/>
          <w:sz w:val="24"/>
          <w:szCs w:val="24"/>
        </w:rPr>
        <w:t>are considered to be</w:t>
      </w:r>
      <w:proofErr w:type="gramEnd"/>
      <w:r w:rsidRPr="0020699B">
        <w:rPr>
          <w:rFonts w:ascii="Times New Roman" w:hAnsi="Times New Roman"/>
          <w:i/>
          <w:iCs/>
          <w:sz w:val="24"/>
          <w:szCs w:val="24"/>
        </w:rPr>
        <w:t xml:space="preserve"> related to the Fund if one party has the ability, directly or indirectly, to control the other party or exercise significant influence over the other party in making financial and operating decisions, or where the Fund and the other party are subject to common control or significant influence.   </w:t>
      </w:r>
    </w:p>
    <w:p w14:paraId="4C2B157A" w14:textId="71139904" w:rsidR="00D2172E" w:rsidRPr="002136F3" w:rsidRDefault="00E70229" w:rsidP="0020699B">
      <w:pPr>
        <w:spacing w:before="120" w:after="120" w:line="312" w:lineRule="auto"/>
        <w:ind w:left="180" w:right="260"/>
        <w:jc w:val="both"/>
        <w:rPr>
          <w:rFonts w:ascii="Times New Roman" w:hAnsi="Times New Roman"/>
          <w:sz w:val="24"/>
          <w:szCs w:val="24"/>
        </w:rPr>
      </w:pP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đầu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tư</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dưới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sự</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lý</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của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Công</w:t>
      </w:r>
      <w:proofErr w:type="spellEnd"/>
      <w:r w:rsidRPr="002136F3">
        <w:rPr>
          <w:rFonts w:ascii="Times New Roman" w:hAnsi="Times New Roman"/>
          <w:sz w:val="24"/>
          <w:szCs w:val="24"/>
        </w:rPr>
        <w:t xml:space="preserve"> ty </w:t>
      </w:r>
      <w:proofErr w:type="spellStart"/>
      <w:r w:rsidRPr="002136F3">
        <w:rPr>
          <w:rFonts w:ascii="Times New Roman" w:hAnsi="Times New Roman"/>
          <w:sz w:val="24"/>
          <w:szCs w:val="24"/>
        </w:rPr>
        <w:t>Quản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lý</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người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có</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liên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quan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của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Công</w:t>
      </w:r>
      <w:proofErr w:type="spellEnd"/>
      <w:r w:rsidRPr="002136F3">
        <w:rPr>
          <w:rFonts w:ascii="Times New Roman" w:hAnsi="Times New Roman"/>
          <w:sz w:val="24"/>
          <w:szCs w:val="24"/>
        </w:rPr>
        <w:t xml:space="preserve"> ty </w:t>
      </w:r>
      <w:proofErr w:type="spellStart"/>
      <w:r w:rsidRPr="002136F3">
        <w:rPr>
          <w:rFonts w:ascii="Times New Roman" w:hAnsi="Times New Roman"/>
          <w:sz w:val="24"/>
          <w:szCs w:val="24"/>
        </w:rPr>
        <w:t>Quản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lý</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theo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quy</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định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tại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Luật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xem</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bên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liên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quan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với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w:t>
      </w:r>
    </w:p>
    <w:p w14:paraId="47ACE221" w14:textId="4E6BF171" w:rsidR="001B68EE" w:rsidRPr="0020699B" w:rsidRDefault="001B68EE" w:rsidP="0020699B">
      <w:pPr>
        <w:spacing w:before="120" w:after="120" w:line="312" w:lineRule="auto"/>
        <w:ind w:left="180" w:right="260"/>
        <w:jc w:val="both"/>
        <w:rPr>
          <w:rFonts w:ascii="Times New Roman" w:hAnsi="Times New Roman"/>
          <w:i/>
          <w:iCs/>
          <w:sz w:val="24"/>
          <w:szCs w:val="24"/>
        </w:rPr>
      </w:pPr>
      <w:r w:rsidRPr="0020699B">
        <w:rPr>
          <w:rFonts w:ascii="Times New Roman" w:hAnsi="Times New Roman"/>
          <w:i/>
          <w:iCs/>
          <w:sz w:val="24"/>
          <w:szCs w:val="24"/>
        </w:rPr>
        <w:t>Other investment funds under the management of the Fund Management Company</w:t>
      </w:r>
      <w:r w:rsidRPr="0020699B" w:rsidDel="00CD2FB7">
        <w:rPr>
          <w:rFonts w:ascii="Times New Roman" w:hAnsi="Times New Roman"/>
          <w:i/>
          <w:iCs/>
          <w:sz w:val="24"/>
          <w:szCs w:val="24"/>
        </w:rPr>
        <w:t xml:space="preserve"> </w:t>
      </w:r>
      <w:r w:rsidRPr="0020699B">
        <w:rPr>
          <w:rFonts w:ascii="Times New Roman" w:hAnsi="Times New Roman"/>
          <w:i/>
          <w:iCs/>
          <w:sz w:val="24"/>
          <w:szCs w:val="24"/>
        </w:rPr>
        <w:t>and related parties of the Fund Management Company are considered related parties to the Fund in accordance with Law on Securities.</w:t>
      </w:r>
    </w:p>
    <w:p w14:paraId="54894BF8" w14:textId="65BCDAD6" w:rsidR="00E70229" w:rsidRPr="002136F3" w:rsidRDefault="00200471" w:rsidP="0020699B">
      <w:pPr>
        <w:shd w:val="clear" w:color="auto" w:fill="FFFFFF"/>
        <w:spacing w:before="120" w:after="120" w:line="312" w:lineRule="auto"/>
        <w:ind w:left="180" w:right="260"/>
        <w:jc w:val="both"/>
        <w:rPr>
          <w:rFonts w:ascii="Times New Roman" w:hAnsi="Times New Roman"/>
          <w:b/>
          <w:sz w:val="24"/>
          <w:szCs w:val="24"/>
          <w:lang w:val="vi-VN"/>
        </w:rPr>
      </w:pPr>
      <w:r w:rsidRPr="002136F3">
        <w:rPr>
          <w:rFonts w:ascii="Times New Roman" w:hAnsi="Times New Roman"/>
          <w:b/>
          <w:sz w:val="24"/>
          <w:szCs w:val="24"/>
          <w:lang w:val="nl-NL"/>
        </w:rPr>
        <w:t>4.14</w:t>
      </w:r>
      <w:r w:rsidR="0020699B">
        <w:rPr>
          <w:rFonts w:ascii="Times New Roman" w:hAnsi="Times New Roman"/>
          <w:b/>
          <w:sz w:val="24"/>
          <w:szCs w:val="24"/>
          <w:lang w:val="vi-VN"/>
        </w:rPr>
        <w:t xml:space="preserve">    </w:t>
      </w:r>
      <w:r w:rsidR="00E70229" w:rsidRPr="002136F3">
        <w:rPr>
          <w:rFonts w:ascii="Times New Roman" w:hAnsi="Times New Roman"/>
          <w:b/>
          <w:sz w:val="24"/>
          <w:szCs w:val="24"/>
          <w:lang w:val="nl-NL"/>
        </w:rPr>
        <w:t>Số dư bằng không</w:t>
      </w:r>
      <w:r w:rsidR="00E70229" w:rsidRPr="002136F3" w:rsidDel="00BE1F44">
        <w:rPr>
          <w:rFonts w:ascii="Times New Roman" w:hAnsi="Times New Roman"/>
          <w:b/>
          <w:sz w:val="24"/>
          <w:szCs w:val="24"/>
          <w:lang w:val="nl-NL"/>
        </w:rPr>
        <w:t xml:space="preserve"> </w:t>
      </w:r>
      <w:r w:rsidR="001B68EE" w:rsidRPr="002136F3">
        <w:rPr>
          <w:rFonts w:ascii="Times New Roman" w:hAnsi="Times New Roman"/>
          <w:b/>
          <w:sz w:val="24"/>
          <w:szCs w:val="24"/>
          <w:lang w:val="vi-VN"/>
        </w:rPr>
        <w:t>/ Nil balances</w:t>
      </w:r>
    </w:p>
    <w:p w14:paraId="5FD7133F" w14:textId="590A4FEC" w:rsidR="0088410D" w:rsidRPr="002136F3" w:rsidRDefault="00E70229" w:rsidP="006D5144">
      <w:pPr>
        <w:tabs>
          <w:tab w:val="left" w:pos="1134"/>
        </w:tabs>
        <w:spacing w:before="120" w:after="120" w:line="312" w:lineRule="auto"/>
        <w:ind w:left="180" w:right="260"/>
        <w:jc w:val="both"/>
        <w:rPr>
          <w:rFonts w:ascii="Times New Roman" w:hAnsi="Times New Roman"/>
          <w:sz w:val="24"/>
          <w:szCs w:val="24"/>
        </w:rPr>
      </w:pPr>
      <w:proofErr w:type="spellStart"/>
      <w:r w:rsidRPr="002136F3">
        <w:rPr>
          <w:rFonts w:ascii="Times New Roman" w:hAnsi="Times New Roman"/>
          <w:sz w:val="24"/>
          <w:szCs w:val="24"/>
        </w:rPr>
        <w:t>Các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mục</w:t>
      </w:r>
      <w:proofErr w:type="spellEnd"/>
      <w:r w:rsidRPr="002136F3">
        <w:rPr>
          <w:rFonts w:ascii="Times New Roman" w:hAnsi="Times New Roman"/>
          <w:sz w:val="24"/>
          <w:szCs w:val="24"/>
        </w:rPr>
        <w:t xml:space="preserve"> hay </w:t>
      </w:r>
      <w:proofErr w:type="spellStart"/>
      <w:r w:rsidRPr="002136F3">
        <w:rPr>
          <w:rFonts w:ascii="Times New Roman" w:hAnsi="Times New Roman"/>
          <w:sz w:val="24"/>
          <w:szCs w:val="24"/>
        </w:rPr>
        <w:t>số</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dư</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quy</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định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trong</w:t>
      </w:r>
      <w:proofErr w:type="spellEnd"/>
      <w:r w:rsidRPr="002136F3">
        <w:rPr>
          <w:rFonts w:ascii="Times New Roman" w:hAnsi="Times New Roman"/>
          <w:sz w:val="24"/>
          <w:szCs w:val="24"/>
        </w:rPr>
        <w:t xml:space="preserve"> </w:t>
      </w:r>
      <w:r w:rsidR="00A51415" w:rsidRPr="002136F3">
        <w:rPr>
          <w:rFonts w:ascii="Times New Roman" w:hAnsi="Times New Roman"/>
          <w:sz w:val="24"/>
          <w:szCs w:val="24"/>
        </w:rPr>
        <w:t xml:space="preserve">Thông </w:t>
      </w:r>
      <w:proofErr w:type="spellStart"/>
      <w:r w:rsidR="00A51415" w:rsidRPr="002136F3">
        <w:rPr>
          <w:rFonts w:ascii="Times New Roman" w:hAnsi="Times New Roman"/>
          <w:sz w:val="24"/>
          <w:szCs w:val="24"/>
        </w:rPr>
        <w:t>tư</w:t>
      </w:r>
      <w:proofErr w:type="spellEnd"/>
      <w:r w:rsidR="00A51415" w:rsidRPr="002136F3">
        <w:rPr>
          <w:rFonts w:ascii="Times New Roman" w:hAnsi="Times New Roman"/>
          <w:sz w:val="24"/>
          <w:szCs w:val="24"/>
        </w:rPr>
        <w:t xml:space="preserve"> </w:t>
      </w:r>
      <w:proofErr w:type="spellStart"/>
      <w:r w:rsidR="00A51415" w:rsidRPr="002136F3">
        <w:rPr>
          <w:rFonts w:ascii="Times New Roman" w:hAnsi="Times New Roman"/>
          <w:sz w:val="24"/>
          <w:szCs w:val="24"/>
        </w:rPr>
        <w:t>số</w:t>
      </w:r>
      <w:proofErr w:type="spellEnd"/>
      <w:r w:rsidR="00A51415" w:rsidRPr="002136F3">
        <w:rPr>
          <w:rFonts w:ascii="Times New Roman" w:hAnsi="Times New Roman"/>
          <w:sz w:val="24"/>
          <w:szCs w:val="24"/>
        </w:rPr>
        <w:t xml:space="preserve"> 181/2015/TT-BTC </w:t>
      </w:r>
      <w:proofErr w:type="spellStart"/>
      <w:r w:rsidR="00A51415" w:rsidRPr="002136F3">
        <w:rPr>
          <w:rFonts w:ascii="Times New Roman" w:hAnsi="Times New Roman"/>
          <w:sz w:val="24"/>
          <w:szCs w:val="24"/>
        </w:rPr>
        <w:t>ngày</w:t>
      </w:r>
      <w:proofErr w:type="spellEnd"/>
      <w:r w:rsidR="00A51415" w:rsidRPr="002136F3">
        <w:rPr>
          <w:rFonts w:ascii="Times New Roman" w:hAnsi="Times New Roman"/>
          <w:sz w:val="24"/>
          <w:szCs w:val="24"/>
        </w:rPr>
        <w:t xml:space="preserve"> 13/11/2015 </w:t>
      </w:r>
      <w:proofErr w:type="spellStart"/>
      <w:r w:rsidR="00A51415" w:rsidRPr="002136F3">
        <w:rPr>
          <w:rFonts w:ascii="Times New Roman" w:hAnsi="Times New Roman"/>
          <w:sz w:val="24"/>
          <w:szCs w:val="24"/>
        </w:rPr>
        <w:t>của</w:t>
      </w:r>
      <w:proofErr w:type="spellEnd"/>
      <w:r w:rsidR="00A51415" w:rsidRPr="002136F3">
        <w:rPr>
          <w:rFonts w:ascii="Times New Roman" w:hAnsi="Times New Roman"/>
          <w:sz w:val="24"/>
          <w:szCs w:val="24"/>
        </w:rPr>
        <w:t xml:space="preserve"> </w:t>
      </w:r>
      <w:proofErr w:type="spellStart"/>
      <w:r w:rsidR="00A51415" w:rsidRPr="002136F3">
        <w:rPr>
          <w:rFonts w:ascii="Times New Roman" w:hAnsi="Times New Roman"/>
          <w:sz w:val="24"/>
          <w:szCs w:val="24"/>
        </w:rPr>
        <w:t>Bộ</w:t>
      </w:r>
      <w:proofErr w:type="spellEnd"/>
      <w:r w:rsidR="00A51415" w:rsidRPr="002136F3">
        <w:rPr>
          <w:rFonts w:ascii="Times New Roman" w:hAnsi="Times New Roman"/>
          <w:sz w:val="24"/>
          <w:szCs w:val="24"/>
        </w:rPr>
        <w:t xml:space="preserve"> </w:t>
      </w:r>
      <w:proofErr w:type="spellStart"/>
      <w:r w:rsidR="00A51415" w:rsidRPr="002136F3">
        <w:rPr>
          <w:rFonts w:ascii="Times New Roman" w:hAnsi="Times New Roman"/>
          <w:sz w:val="24"/>
          <w:szCs w:val="24"/>
        </w:rPr>
        <w:t>Tài</w:t>
      </w:r>
      <w:proofErr w:type="spellEnd"/>
      <w:r w:rsidR="00A51415" w:rsidRPr="002136F3">
        <w:rPr>
          <w:rFonts w:ascii="Times New Roman" w:hAnsi="Times New Roman"/>
          <w:sz w:val="24"/>
          <w:szCs w:val="24"/>
        </w:rPr>
        <w:t xml:space="preserve"> </w:t>
      </w:r>
      <w:proofErr w:type="spellStart"/>
      <w:r w:rsidR="00A51415" w:rsidRPr="002136F3">
        <w:rPr>
          <w:rFonts w:ascii="Times New Roman" w:hAnsi="Times New Roman"/>
          <w:sz w:val="24"/>
          <w:szCs w:val="24"/>
        </w:rPr>
        <w:t>chính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về</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chế</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độ</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kế</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toán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áp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dụng</w:t>
      </w:r>
      <w:proofErr w:type="spellEnd"/>
      <w:r w:rsidR="00A51415" w:rsidRPr="002136F3">
        <w:rPr>
          <w:rFonts w:ascii="Times New Roman" w:hAnsi="Times New Roman"/>
          <w:sz w:val="24"/>
          <w:szCs w:val="24"/>
        </w:rPr>
        <w:t xml:space="preserve"> </w:t>
      </w:r>
      <w:proofErr w:type="spellStart"/>
      <w:r w:rsidR="00A51415" w:rsidRPr="002136F3">
        <w:rPr>
          <w:rFonts w:ascii="Times New Roman" w:hAnsi="Times New Roman"/>
          <w:sz w:val="24"/>
          <w:szCs w:val="24"/>
        </w:rPr>
        <w:t>đối</w:t>
      </w:r>
      <w:proofErr w:type="spellEnd"/>
      <w:r w:rsidR="00A51415" w:rsidRPr="002136F3">
        <w:rPr>
          <w:rFonts w:ascii="Times New Roman" w:hAnsi="Times New Roman"/>
          <w:sz w:val="24"/>
          <w:szCs w:val="24"/>
        </w:rPr>
        <w:t xml:space="preserve"> </w:t>
      </w:r>
      <w:proofErr w:type="spellStart"/>
      <w:r w:rsidR="00A51415" w:rsidRPr="002136F3">
        <w:rPr>
          <w:rFonts w:ascii="Times New Roman" w:hAnsi="Times New Roman"/>
          <w:sz w:val="24"/>
          <w:szCs w:val="24"/>
        </w:rPr>
        <w:t>với</w:t>
      </w:r>
      <w:proofErr w:type="spellEnd"/>
      <w:r w:rsidR="00A51415" w:rsidRPr="002136F3">
        <w:rPr>
          <w:rFonts w:ascii="Times New Roman" w:hAnsi="Times New Roman"/>
          <w:sz w:val="24"/>
          <w:szCs w:val="24"/>
        </w:rPr>
        <w:t xml:space="preserve"> </w:t>
      </w:r>
      <w:proofErr w:type="spellStart"/>
      <w:r w:rsidR="00A51415" w:rsidRPr="002136F3">
        <w:rPr>
          <w:rFonts w:ascii="Times New Roman" w:hAnsi="Times New Roman"/>
          <w:sz w:val="24"/>
          <w:szCs w:val="24"/>
        </w:rPr>
        <w:t>quỹ</w:t>
      </w:r>
      <w:proofErr w:type="spellEnd"/>
      <w:r w:rsidR="00A51415" w:rsidRPr="002136F3">
        <w:rPr>
          <w:rFonts w:ascii="Times New Roman" w:hAnsi="Times New Roman"/>
          <w:sz w:val="24"/>
          <w:szCs w:val="24"/>
        </w:rPr>
        <w:t xml:space="preserve"> ETF </w:t>
      </w:r>
      <w:proofErr w:type="spellStart"/>
      <w:r w:rsidRPr="002136F3">
        <w:rPr>
          <w:rFonts w:ascii="Times New Roman" w:hAnsi="Times New Roman"/>
          <w:sz w:val="24"/>
          <w:szCs w:val="24"/>
        </w:rPr>
        <w:t>không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thể</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hiện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trong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báo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cáo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tài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chính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này</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thì</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hiểu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có</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số</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dư</w:t>
      </w:r>
      <w:proofErr w:type="spellEnd"/>
      <w:r w:rsidR="00ED2683" w:rsidRPr="002136F3">
        <w:rPr>
          <w:rFonts w:ascii="Times New Roman" w:hAnsi="Times New Roman"/>
          <w:sz w:val="24"/>
          <w:szCs w:val="24"/>
        </w:rPr>
        <w:t xml:space="preserve"> </w:t>
      </w:r>
      <w:proofErr w:type="spellStart"/>
      <w:r w:rsidR="00ED2683" w:rsidRPr="002136F3">
        <w:rPr>
          <w:rFonts w:ascii="Times New Roman" w:hAnsi="Times New Roman"/>
          <w:sz w:val="24"/>
          <w:szCs w:val="24"/>
        </w:rPr>
        <w:t>bằng</w:t>
      </w:r>
      <w:proofErr w:type="spellEnd"/>
      <w:r w:rsidR="00ED2683" w:rsidRPr="002136F3">
        <w:rPr>
          <w:rFonts w:ascii="Times New Roman" w:hAnsi="Times New Roman"/>
          <w:sz w:val="24"/>
          <w:szCs w:val="24"/>
        </w:rPr>
        <w:t xml:space="preserve"> </w:t>
      </w:r>
      <w:proofErr w:type="spellStart"/>
      <w:r w:rsidR="00ED2683" w:rsidRPr="002136F3">
        <w:rPr>
          <w:rFonts w:ascii="Times New Roman" w:hAnsi="Times New Roman"/>
          <w:sz w:val="24"/>
          <w:szCs w:val="24"/>
        </w:rPr>
        <w:t>không</w:t>
      </w:r>
      <w:proofErr w:type="spellEnd"/>
      <w:r w:rsidR="00807D23" w:rsidRPr="002136F3">
        <w:rPr>
          <w:rFonts w:ascii="Times New Roman" w:hAnsi="Times New Roman"/>
          <w:sz w:val="24"/>
          <w:szCs w:val="24"/>
        </w:rPr>
        <w:t>.</w:t>
      </w:r>
    </w:p>
    <w:p w14:paraId="0A51BE0B" w14:textId="5AA0593E" w:rsidR="001B68EE" w:rsidRPr="0020699B" w:rsidRDefault="001B68EE" w:rsidP="006D5144">
      <w:pPr>
        <w:widowControl w:val="0"/>
        <w:ind w:left="180" w:right="296"/>
        <w:jc w:val="both"/>
        <w:rPr>
          <w:rFonts w:ascii="Times New Roman" w:hAnsi="Times New Roman"/>
          <w:i/>
          <w:iCs/>
          <w:sz w:val="24"/>
          <w:szCs w:val="24"/>
        </w:rPr>
      </w:pPr>
      <w:r w:rsidRPr="0020699B">
        <w:rPr>
          <w:rFonts w:ascii="Times New Roman" w:hAnsi="Times New Roman"/>
          <w:i/>
          <w:iCs/>
          <w:sz w:val="24"/>
          <w:szCs w:val="24"/>
        </w:rPr>
        <w:t>Items or balances required by Circular No. 181/2015/TT-BTC dated 13 November 2015 issued by the Ministry of Finance on the promulgation of accounting system for exchange-traded funds that are not shown in these interim financial statements indicate nil balances.</w:t>
      </w:r>
    </w:p>
    <w:p w14:paraId="2423BD27" w14:textId="6A71C6FE" w:rsidR="0040188C" w:rsidRPr="002136F3" w:rsidRDefault="00EC6525" w:rsidP="001F2E8F">
      <w:pPr>
        <w:pStyle w:val="ListParagraph"/>
        <w:numPr>
          <w:ilvl w:val="0"/>
          <w:numId w:val="6"/>
        </w:numPr>
        <w:tabs>
          <w:tab w:val="left" w:pos="810"/>
          <w:tab w:val="left" w:pos="1260"/>
        </w:tabs>
        <w:spacing w:before="120" w:after="120" w:line="312" w:lineRule="auto"/>
        <w:ind w:left="180" w:right="260" w:firstLine="0"/>
        <w:rPr>
          <w:rFonts w:ascii="Times New Roman" w:hAnsi="Times New Roman"/>
          <w:sz w:val="24"/>
          <w:szCs w:val="24"/>
        </w:rPr>
      </w:pPr>
      <w:r w:rsidRPr="002136F3">
        <w:rPr>
          <w:rFonts w:ascii="Times New Roman" w:hAnsi="Times New Roman"/>
          <w:b/>
          <w:sz w:val="24"/>
          <w:szCs w:val="24"/>
          <w:lang w:val="nl-NL"/>
        </w:rPr>
        <w:t>Thông tin bổ sung cho báo cáo tài chính</w:t>
      </w:r>
      <w:r w:rsidR="001B68EE" w:rsidRPr="002136F3">
        <w:rPr>
          <w:rFonts w:ascii="Times New Roman" w:hAnsi="Times New Roman"/>
          <w:b/>
          <w:sz w:val="24"/>
          <w:szCs w:val="24"/>
          <w:lang w:val="vi-VN"/>
        </w:rPr>
        <w:t xml:space="preserve"> / Additional information to financial statements</w:t>
      </w:r>
    </w:p>
    <w:p w14:paraId="2F4D5B0B" w14:textId="337174D1" w:rsidR="00EC6525" w:rsidRPr="002136F3" w:rsidRDefault="00EC6525" w:rsidP="0020699B">
      <w:pPr>
        <w:pStyle w:val="ListParagraph"/>
        <w:tabs>
          <w:tab w:val="left" w:pos="1134"/>
          <w:tab w:val="left" w:pos="1260"/>
        </w:tabs>
        <w:spacing w:before="120" w:after="120" w:line="312" w:lineRule="auto"/>
        <w:ind w:left="180" w:right="260"/>
        <w:rPr>
          <w:rFonts w:ascii="Times New Roman" w:hAnsi="Times New Roman"/>
          <w:sz w:val="24"/>
          <w:szCs w:val="24"/>
        </w:rPr>
      </w:pPr>
      <w:proofErr w:type="spellStart"/>
      <w:r w:rsidRPr="002136F3">
        <w:rPr>
          <w:rFonts w:ascii="Times New Roman" w:hAnsi="Times New Roman"/>
          <w:sz w:val="24"/>
          <w:szCs w:val="24"/>
        </w:rPr>
        <w:t>Phần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thuyết</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minh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này</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trình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bày</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theo</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phụ</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lục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đính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kèm</w:t>
      </w:r>
      <w:proofErr w:type="spellEnd"/>
    </w:p>
    <w:p w14:paraId="5C4C6E7A" w14:textId="720353C7" w:rsidR="001B68EE" w:rsidRPr="007B62CE" w:rsidRDefault="001B68EE" w:rsidP="0020699B">
      <w:pPr>
        <w:pStyle w:val="ListParagraph"/>
        <w:tabs>
          <w:tab w:val="left" w:pos="1134"/>
          <w:tab w:val="left" w:pos="1260"/>
        </w:tabs>
        <w:spacing w:before="120" w:after="120" w:line="312" w:lineRule="auto"/>
        <w:ind w:left="180" w:right="260"/>
        <w:rPr>
          <w:rFonts w:ascii="Times New Roman" w:hAnsi="Times New Roman"/>
          <w:i/>
          <w:iCs/>
          <w:sz w:val="24"/>
          <w:szCs w:val="24"/>
          <w:lang w:val="vi-VN"/>
        </w:rPr>
      </w:pPr>
      <w:r w:rsidRPr="007B62CE">
        <w:rPr>
          <w:rFonts w:ascii="Times New Roman" w:hAnsi="Times New Roman"/>
          <w:i/>
          <w:iCs/>
          <w:sz w:val="24"/>
          <w:szCs w:val="24"/>
        </w:rPr>
        <w:t>Detail</w:t>
      </w:r>
      <w:r w:rsidRPr="007B62CE">
        <w:rPr>
          <w:rFonts w:ascii="Times New Roman" w:hAnsi="Times New Roman"/>
          <w:i/>
          <w:iCs/>
          <w:sz w:val="24"/>
          <w:szCs w:val="24"/>
          <w:lang w:val="vi-VN"/>
        </w:rPr>
        <w:t xml:space="preserve"> of Notes to financial statements</w:t>
      </w:r>
    </w:p>
    <w:p w14:paraId="66C0539A" w14:textId="2BC1289C" w:rsidR="000876AD" w:rsidRPr="002136F3" w:rsidRDefault="008E0B85" w:rsidP="0020699B">
      <w:pPr>
        <w:pStyle w:val="ListParagraph"/>
        <w:tabs>
          <w:tab w:val="left" w:pos="1134"/>
          <w:tab w:val="left" w:pos="1260"/>
        </w:tabs>
        <w:spacing w:before="120" w:after="120" w:line="312" w:lineRule="auto"/>
        <w:ind w:left="180" w:right="260"/>
        <w:rPr>
          <w:rFonts w:ascii="Times New Roman" w:hAnsi="Times New Roman"/>
          <w:sz w:val="24"/>
          <w:szCs w:val="24"/>
        </w:rPr>
      </w:pPr>
      <w:r>
        <w:rPr>
          <w:rFonts w:ascii="Times New Roman" w:hAnsi="Times New Roman"/>
          <w:sz w:val="24"/>
          <w:szCs w:val="24"/>
        </w:rPr>
        <w:object w:dxaOrig="1309" w:dyaOrig="850" w14:anchorId="5CB2BE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5.15pt;height:42pt" o:ole="">
            <v:imagedata r:id="rId8" o:title=""/>
          </v:shape>
          <o:OLEObject Type="Embed" ProgID="Excel.Sheet.12" ShapeID="_x0000_i1027" DrawAspect="Icon" ObjectID="_1806411887" r:id="rId9"/>
        </w:object>
      </w:r>
    </w:p>
    <w:p w14:paraId="6793A7D0" w14:textId="77777777" w:rsidR="000876AD" w:rsidRPr="002136F3" w:rsidRDefault="000876AD" w:rsidP="00726CC5">
      <w:pPr>
        <w:pStyle w:val="ListParagraph"/>
        <w:tabs>
          <w:tab w:val="left" w:pos="1134"/>
          <w:tab w:val="left" w:pos="1260"/>
        </w:tabs>
        <w:spacing w:before="120" w:after="120" w:line="312" w:lineRule="auto"/>
        <w:ind w:left="270" w:right="260" w:hanging="360"/>
        <w:rPr>
          <w:rFonts w:ascii="Times New Roman" w:hAnsi="Times New Roman"/>
          <w:sz w:val="24"/>
          <w:szCs w:val="24"/>
        </w:rPr>
      </w:pPr>
    </w:p>
    <w:p w14:paraId="3B74DAAD" w14:textId="48FBD6C2" w:rsidR="00EC6525" w:rsidRPr="002136F3" w:rsidRDefault="00EC6525" w:rsidP="001F2E8F">
      <w:pPr>
        <w:pStyle w:val="ListParagraph"/>
        <w:numPr>
          <w:ilvl w:val="0"/>
          <w:numId w:val="6"/>
        </w:numPr>
        <w:spacing w:before="120" w:after="120" w:line="240" w:lineRule="auto"/>
        <w:ind w:left="180" w:right="260" w:firstLine="0"/>
        <w:contextualSpacing w:val="0"/>
        <w:jc w:val="both"/>
        <w:outlineLvl w:val="0"/>
        <w:rPr>
          <w:rFonts w:ascii="Times New Roman" w:hAnsi="Times New Roman"/>
          <w:b/>
          <w:sz w:val="24"/>
          <w:szCs w:val="24"/>
        </w:rPr>
      </w:pPr>
      <w:proofErr w:type="spellStart"/>
      <w:r w:rsidRPr="002136F3">
        <w:rPr>
          <w:rFonts w:ascii="Times New Roman" w:hAnsi="Times New Roman"/>
          <w:b/>
          <w:sz w:val="24"/>
          <w:szCs w:val="24"/>
        </w:rPr>
        <w:t>Phải</w:t>
      </w:r>
      <w:proofErr w:type="spellEnd"/>
      <w:r w:rsidRPr="002136F3">
        <w:rPr>
          <w:rFonts w:ascii="Times New Roman" w:hAnsi="Times New Roman"/>
          <w:b/>
          <w:sz w:val="24"/>
          <w:szCs w:val="24"/>
        </w:rPr>
        <w:t xml:space="preserve"> </w:t>
      </w:r>
      <w:proofErr w:type="spellStart"/>
      <w:r w:rsidRPr="002136F3">
        <w:rPr>
          <w:rFonts w:ascii="Times New Roman" w:hAnsi="Times New Roman"/>
          <w:b/>
          <w:sz w:val="24"/>
          <w:szCs w:val="24"/>
        </w:rPr>
        <w:t>trả</w:t>
      </w:r>
      <w:proofErr w:type="spellEnd"/>
      <w:r w:rsidRPr="002136F3">
        <w:rPr>
          <w:rFonts w:ascii="Times New Roman" w:hAnsi="Times New Roman"/>
          <w:b/>
          <w:sz w:val="24"/>
          <w:szCs w:val="24"/>
        </w:rPr>
        <w:t xml:space="preserve"> </w:t>
      </w:r>
      <w:proofErr w:type="spellStart"/>
      <w:r w:rsidRPr="002136F3">
        <w:rPr>
          <w:rFonts w:ascii="Times New Roman" w:hAnsi="Times New Roman"/>
          <w:b/>
          <w:sz w:val="24"/>
          <w:szCs w:val="24"/>
        </w:rPr>
        <w:t>dịch</w:t>
      </w:r>
      <w:proofErr w:type="spellEnd"/>
      <w:r w:rsidRPr="002136F3">
        <w:rPr>
          <w:rFonts w:ascii="Times New Roman" w:hAnsi="Times New Roman"/>
          <w:b/>
          <w:sz w:val="24"/>
          <w:szCs w:val="24"/>
        </w:rPr>
        <w:t xml:space="preserve"> </w:t>
      </w:r>
      <w:proofErr w:type="spellStart"/>
      <w:r w:rsidRPr="002136F3">
        <w:rPr>
          <w:rFonts w:ascii="Times New Roman" w:hAnsi="Times New Roman"/>
          <w:b/>
          <w:sz w:val="24"/>
          <w:szCs w:val="24"/>
        </w:rPr>
        <w:t>vụ</w:t>
      </w:r>
      <w:proofErr w:type="spellEnd"/>
      <w:r w:rsidRPr="002136F3">
        <w:rPr>
          <w:rFonts w:ascii="Times New Roman" w:hAnsi="Times New Roman"/>
          <w:b/>
          <w:sz w:val="24"/>
          <w:szCs w:val="24"/>
        </w:rPr>
        <w:t xml:space="preserve"> </w:t>
      </w:r>
      <w:proofErr w:type="spellStart"/>
      <w:r w:rsidRPr="002136F3">
        <w:rPr>
          <w:rFonts w:ascii="Times New Roman" w:hAnsi="Times New Roman"/>
          <w:b/>
          <w:sz w:val="24"/>
          <w:szCs w:val="24"/>
        </w:rPr>
        <w:t>quản</w:t>
      </w:r>
      <w:proofErr w:type="spellEnd"/>
      <w:r w:rsidRPr="002136F3">
        <w:rPr>
          <w:rFonts w:ascii="Times New Roman" w:hAnsi="Times New Roman"/>
          <w:b/>
          <w:sz w:val="24"/>
          <w:szCs w:val="24"/>
        </w:rPr>
        <w:t xml:space="preserve"> </w:t>
      </w:r>
      <w:proofErr w:type="spellStart"/>
      <w:r w:rsidRPr="002136F3">
        <w:rPr>
          <w:rFonts w:ascii="Times New Roman" w:hAnsi="Times New Roman"/>
          <w:b/>
          <w:sz w:val="24"/>
          <w:szCs w:val="24"/>
        </w:rPr>
        <w:t>lý</w:t>
      </w:r>
      <w:proofErr w:type="spellEnd"/>
      <w:r w:rsidRPr="002136F3">
        <w:rPr>
          <w:rFonts w:ascii="Times New Roman" w:hAnsi="Times New Roman"/>
          <w:b/>
          <w:sz w:val="24"/>
          <w:szCs w:val="24"/>
        </w:rPr>
        <w:t xml:space="preserve"> </w:t>
      </w:r>
      <w:proofErr w:type="spellStart"/>
      <w:r w:rsidRPr="002136F3">
        <w:rPr>
          <w:rFonts w:ascii="Times New Roman" w:hAnsi="Times New Roman"/>
          <w:b/>
          <w:sz w:val="24"/>
          <w:szCs w:val="24"/>
        </w:rPr>
        <w:t>quỹ</w:t>
      </w:r>
      <w:proofErr w:type="spellEnd"/>
      <w:r w:rsidRPr="002136F3">
        <w:rPr>
          <w:rFonts w:ascii="Times New Roman" w:hAnsi="Times New Roman"/>
          <w:b/>
          <w:sz w:val="24"/>
          <w:szCs w:val="24"/>
        </w:rPr>
        <w:t xml:space="preserve"> ETF</w:t>
      </w:r>
      <w:r w:rsidR="001B68EE" w:rsidRPr="002136F3">
        <w:rPr>
          <w:rFonts w:ascii="Times New Roman" w:hAnsi="Times New Roman"/>
          <w:b/>
          <w:sz w:val="24"/>
          <w:szCs w:val="24"/>
          <w:lang w:val="vi-VN"/>
        </w:rPr>
        <w:t xml:space="preserve"> / ETF services fees rate </w:t>
      </w:r>
    </w:p>
    <w:p w14:paraId="65E33557" w14:textId="77777777" w:rsidR="00E70229" w:rsidRPr="002136F3" w:rsidRDefault="00E70229" w:rsidP="001F2E8F">
      <w:pPr>
        <w:pStyle w:val="ListParagraph"/>
        <w:spacing w:before="120" w:after="120" w:line="240" w:lineRule="auto"/>
        <w:ind w:left="180" w:right="260"/>
        <w:jc w:val="both"/>
        <w:rPr>
          <w:rFonts w:ascii="Times New Roman" w:eastAsia="Times New Roman" w:hAnsi="Times New Roman"/>
          <w:bCs/>
          <w:sz w:val="24"/>
          <w:szCs w:val="24"/>
          <w:lang w:eastAsia="en-GB"/>
        </w:rPr>
      </w:pPr>
    </w:p>
    <w:p w14:paraId="58823EE5" w14:textId="714A3EF6" w:rsidR="00E70229" w:rsidRPr="002136F3" w:rsidRDefault="00295762" w:rsidP="001F2E8F">
      <w:pPr>
        <w:pStyle w:val="ListParagraph"/>
        <w:numPr>
          <w:ilvl w:val="2"/>
          <w:numId w:val="6"/>
        </w:numPr>
        <w:spacing w:before="120" w:after="120" w:line="240" w:lineRule="auto"/>
        <w:ind w:left="180" w:right="260" w:firstLine="0"/>
        <w:contextualSpacing w:val="0"/>
        <w:jc w:val="both"/>
        <w:outlineLvl w:val="0"/>
        <w:rPr>
          <w:rFonts w:ascii="Times New Roman" w:hAnsi="Times New Roman"/>
          <w:b/>
          <w:i/>
          <w:sz w:val="24"/>
          <w:szCs w:val="24"/>
        </w:rPr>
      </w:pPr>
      <w:proofErr w:type="spellStart"/>
      <w:r w:rsidRPr="002136F3">
        <w:rPr>
          <w:rFonts w:ascii="Times New Roman" w:hAnsi="Times New Roman"/>
          <w:b/>
          <w:i/>
          <w:sz w:val="24"/>
          <w:szCs w:val="24"/>
        </w:rPr>
        <w:t>Giá</w:t>
      </w:r>
      <w:proofErr w:type="spellEnd"/>
      <w:r w:rsidRPr="002136F3">
        <w:rPr>
          <w:rFonts w:ascii="Times New Roman" w:hAnsi="Times New Roman"/>
          <w:b/>
          <w:i/>
          <w:sz w:val="24"/>
          <w:szCs w:val="24"/>
        </w:rPr>
        <w:t xml:space="preserve"> </w:t>
      </w:r>
      <w:proofErr w:type="spellStart"/>
      <w:r w:rsidRPr="002136F3">
        <w:rPr>
          <w:rFonts w:ascii="Times New Roman" w:hAnsi="Times New Roman"/>
          <w:b/>
          <w:i/>
          <w:sz w:val="24"/>
          <w:szCs w:val="24"/>
        </w:rPr>
        <w:t>dịch</w:t>
      </w:r>
      <w:proofErr w:type="spellEnd"/>
      <w:r w:rsidRPr="002136F3">
        <w:rPr>
          <w:rFonts w:ascii="Times New Roman" w:hAnsi="Times New Roman"/>
          <w:b/>
          <w:i/>
          <w:sz w:val="24"/>
          <w:szCs w:val="24"/>
        </w:rPr>
        <w:t xml:space="preserve"> </w:t>
      </w:r>
      <w:proofErr w:type="spellStart"/>
      <w:r w:rsidRPr="002136F3">
        <w:rPr>
          <w:rFonts w:ascii="Times New Roman" w:hAnsi="Times New Roman"/>
          <w:b/>
          <w:i/>
          <w:sz w:val="24"/>
          <w:szCs w:val="24"/>
        </w:rPr>
        <w:t>vụ</w:t>
      </w:r>
      <w:proofErr w:type="spellEnd"/>
      <w:r w:rsidR="00E70229" w:rsidRPr="002136F3">
        <w:rPr>
          <w:rFonts w:ascii="Times New Roman" w:hAnsi="Times New Roman"/>
          <w:b/>
          <w:i/>
          <w:sz w:val="24"/>
          <w:szCs w:val="24"/>
        </w:rPr>
        <w:t xml:space="preserve"> </w:t>
      </w:r>
      <w:proofErr w:type="spellStart"/>
      <w:r w:rsidR="00E70229" w:rsidRPr="002136F3">
        <w:rPr>
          <w:rFonts w:ascii="Times New Roman" w:hAnsi="Times New Roman"/>
          <w:b/>
          <w:i/>
          <w:sz w:val="24"/>
          <w:szCs w:val="24"/>
        </w:rPr>
        <w:t>lưu</w:t>
      </w:r>
      <w:proofErr w:type="spellEnd"/>
      <w:r w:rsidR="00E70229" w:rsidRPr="002136F3">
        <w:rPr>
          <w:rFonts w:ascii="Times New Roman" w:hAnsi="Times New Roman"/>
          <w:b/>
          <w:i/>
          <w:sz w:val="24"/>
          <w:szCs w:val="24"/>
        </w:rPr>
        <w:t xml:space="preserve"> </w:t>
      </w:r>
      <w:proofErr w:type="spellStart"/>
      <w:r w:rsidR="00E70229" w:rsidRPr="002136F3">
        <w:rPr>
          <w:rFonts w:ascii="Times New Roman" w:hAnsi="Times New Roman"/>
          <w:b/>
          <w:i/>
          <w:sz w:val="24"/>
          <w:szCs w:val="24"/>
        </w:rPr>
        <w:t>ký</w:t>
      </w:r>
      <w:proofErr w:type="spellEnd"/>
      <w:r w:rsidR="000B2614" w:rsidRPr="002136F3">
        <w:rPr>
          <w:rFonts w:ascii="Times New Roman" w:hAnsi="Times New Roman"/>
          <w:b/>
          <w:i/>
          <w:sz w:val="24"/>
          <w:szCs w:val="24"/>
        </w:rPr>
        <w:t xml:space="preserve">, </w:t>
      </w:r>
      <w:proofErr w:type="spellStart"/>
      <w:r w:rsidR="000B2614" w:rsidRPr="002136F3">
        <w:rPr>
          <w:rFonts w:ascii="Times New Roman" w:hAnsi="Times New Roman"/>
          <w:b/>
          <w:i/>
          <w:sz w:val="24"/>
          <w:szCs w:val="24"/>
        </w:rPr>
        <w:t>dịch</w:t>
      </w:r>
      <w:proofErr w:type="spellEnd"/>
      <w:r w:rsidR="000B2614" w:rsidRPr="002136F3">
        <w:rPr>
          <w:rFonts w:ascii="Times New Roman" w:hAnsi="Times New Roman"/>
          <w:b/>
          <w:i/>
          <w:sz w:val="24"/>
          <w:szCs w:val="24"/>
        </w:rPr>
        <w:t xml:space="preserve"> </w:t>
      </w:r>
      <w:proofErr w:type="spellStart"/>
      <w:r w:rsidR="000B2614" w:rsidRPr="002136F3">
        <w:rPr>
          <w:rFonts w:ascii="Times New Roman" w:hAnsi="Times New Roman"/>
          <w:b/>
          <w:i/>
          <w:sz w:val="24"/>
          <w:szCs w:val="24"/>
        </w:rPr>
        <w:t>vụ</w:t>
      </w:r>
      <w:proofErr w:type="spellEnd"/>
      <w:r w:rsidR="000B2614" w:rsidRPr="002136F3">
        <w:rPr>
          <w:rFonts w:ascii="Times New Roman" w:hAnsi="Times New Roman"/>
          <w:b/>
          <w:i/>
          <w:sz w:val="24"/>
          <w:szCs w:val="24"/>
        </w:rPr>
        <w:t xml:space="preserve"> </w:t>
      </w:r>
      <w:proofErr w:type="spellStart"/>
      <w:r w:rsidR="00E70229" w:rsidRPr="002136F3">
        <w:rPr>
          <w:rFonts w:ascii="Times New Roman" w:hAnsi="Times New Roman"/>
          <w:b/>
          <w:i/>
          <w:sz w:val="24"/>
          <w:szCs w:val="24"/>
        </w:rPr>
        <w:t>giám</w:t>
      </w:r>
      <w:proofErr w:type="spellEnd"/>
      <w:r w:rsidR="00E70229" w:rsidRPr="002136F3">
        <w:rPr>
          <w:rFonts w:ascii="Times New Roman" w:hAnsi="Times New Roman"/>
          <w:b/>
          <w:i/>
          <w:sz w:val="24"/>
          <w:szCs w:val="24"/>
        </w:rPr>
        <w:t xml:space="preserve"> </w:t>
      </w:r>
      <w:proofErr w:type="spellStart"/>
      <w:r w:rsidR="00E70229" w:rsidRPr="002136F3">
        <w:rPr>
          <w:rFonts w:ascii="Times New Roman" w:hAnsi="Times New Roman"/>
          <w:b/>
          <w:i/>
          <w:sz w:val="24"/>
          <w:szCs w:val="24"/>
        </w:rPr>
        <w:t>sát</w:t>
      </w:r>
      <w:proofErr w:type="spellEnd"/>
      <w:r w:rsidR="00E70229" w:rsidRPr="002136F3">
        <w:rPr>
          <w:rFonts w:ascii="Times New Roman" w:hAnsi="Times New Roman"/>
          <w:b/>
          <w:i/>
          <w:sz w:val="24"/>
          <w:szCs w:val="24"/>
        </w:rPr>
        <w:t xml:space="preserve"> </w:t>
      </w:r>
      <w:proofErr w:type="spellStart"/>
      <w:r w:rsidR="00E70229" w:rsidRPr="002136F3">
        <w:rPr>
          <w:rFonts w:ascii="Times New Roman" w:hAnsi="Times New Roman"/>
          <w:b/>
          <w:i/>
          <w:sz w:val="24"/>
          <w:szCs w:val="24"/>
        </w:rPr>
        <w:t>Quỹ</w:t>
      </w:r>
      <w:proofErr w:type="spellEnd"/>
      <w:r w:rsidR="000B2614" w:rsidRPr="002136F3">
        <w:rPr>
          <w:rFonts w:ascii="Times New Roman" w:hAnsi="Times New Roman"/>
          <w:b/>
          <w:i/>
          <w:sz w:val="24"/>
          <w:szCs w:val="24"/>
        </w:rPr>
        <w:t xml:space="preserve">, </w:t>
      </w:r>
      <w:proofErr w:type="spellStart"/>
      <w:r w:rsidR="000B2614" w:rsidRPr="002136F3">
        <w:rPr>
          <w:rFonts w:ascii="Times New Roman" w:hAnsi="Times New Roman"/>
          <w:b/>
          <w:i/>
          <w:sz w:val="24"/>
          <w:szCs w:val="24"/>
        </w:rPr>
        <w:t>dịch</w:t>
      </w:r>
      <w:proofErr w:type="spellEnd"/>
      <w:r w:rsidR="000B2614" w:rsidRPr="002136F3">
        <w:rPr>
          <w:rFonts w:ascii="Times New Roman" w:hAnsi="Times New Roman"/>
          <w:b/>
          <w:i/>
          <w:sz w:val="24"/>
          <w:szCs w:val="24"/>
        </w:rPr>
        <w:t xml:space="preserve"> </w:t>
      </w:r>
      <w:proofErr w:type="spellStart"/>
      <w:r w:rsidR="000B2614" w:rsidRPr="002136F3">
        <w:rPr>
          <w:rFonts w:ascii="Times New Roman" w:hAnsi="Times New Roman"/>
          <w:b/>
          <w:i/>
          <w:sz w:val="24"/>
          <w:szCs w:val="24"/>
        </w:rPr>
        <w:t>vụ</w:t>
      </w:r>
      <w:proofErr w:type="spellEnd"/>
      <w:r w:rsidRPr="002136F3">
        <w:rPr>
          <w:rFonts w:ascii="Times New Roman" w:hAnsi="Times New Roman"/>
          <w:b/>
          <w:i/>
          <w:sz w:val="24"/>
          <w:szCs w:val="24"/>
        </w:rPr>
        <w:t xml:space="preserve"> </w:t>
      </w:r>
      <w:proofErr w:type="spellStart"/>
      <w:r w:rsidR="00E70229" w:rsidRPr="002136F3">
        <w:rPr>
          <w:rFonts w:ascii="Times New Roman" w:hAnsi="Times New Roman"/>
          <w:b/>
          <w:i/>
          <w:sz w:val="24"/>
          <w:szCs w:val="24"/>
        </w:rPr>
        <w:t>quản</w:t>
      </w:r>
      <w:proofErr w:type="spellEnd"/>
      <w:r w:rsidR="00E70229" w:rsidRPr="002136F3">
        <w:rPr>
          <w:rFonts w:ascii="Times New Roman" w:hAnsi="Times New Roman"/>
          <w:b/>
          <w:i/>
          <w:sz w:val="24"/>
          <w:szCs w:val="24"/>
        </w:rPr>
        <w:t xml:space="preserve"> </w:t>
      </w:r>
      <w:proofErr w:type="spellStart"/>
      <w:r w:rsidR="00E70229" w:rsidRPr="002136F3">
        <w:rPr>
          <w:rFonts w:ascii="Times New Roman" w:hAnsi="Times New Roman"/>
          <w:b/>
          <w:i/>
          <w:sz w:val="24"/>
          <w:szCs w:val="24"/>
        </w:rPr>
        <w:t>trị</w:t>
      </w:r>
      <w:proofErr w:type="spellEnd"/>
      <w:r w:rsidR="00E70229" w:rsidRPr="002136F3">
        <w:rPr>
          <w:rFonts w:ascii="Times New Roman" w:hAnsi="Times New Roman"/>
          <w:b/>
          <w:i/>
          <w:sz w:val="24"/>
          <w:szCs w:val="24"/>
        </w:rPr>
        <w:t xml:space="preserve"> </w:t>
      </w:r>
      <w:proofErr w:type="spellStart"/>
      <w:r w:rsidR="00E70229" w:rsidRPr="002136F3">
        <w:rPr>
          <w:rFonts w:ascii="Times New Roman" w:hAnsi="Times New Roman"/>
          <w:b/>
          <w:i/>
          <w:sz w:val="24"/>
          <w:szCs w:val="24"/>
        </w:rPr>
        <w:t>Quỹ</w:t>
      </w:r>
      <w:proofErr w:type="spellEnd"/>
      <w:r w:rsidR="00E70229" w:rsidRPr="002136F3">
        <w:rPr>
          <w:rFonts w:ascii="Times New Roman" w:hAnsi="Times New Roman"/>
          <w:b/>
          <w:i/>
          <w:sz w:val="24"/>
          <w:szCs w:val="24"/>
        </w:rPr>
        <w:t xml:space="preserve"> </w:t>
      </w:r>
      <w:r w:rsidR="001B68EE" w:rsidRPr="002136F3">
        <w:rPr>
          <w:rFonts w:ascii="Times New Roman" w:hAnsi="Times New Roman"/>
          <w:b/>
          <w:i/>
          <w:sz w:val="24"/>
          <w:szCs w:val="24"/>
          <w:lang w:val="vi-VN"/>
        </w:rPr>
        <w:t xml:space="preserve">/ Custody Service fee/ Supervisory Service fee/ Administration Service fee </w:t>
      </w:r>
    </w:p>
    <w:tbl>
      <w:tblPr>
        <w:tblW w:w="9744" w:type="dxa"/>
        <w:tblInd w:w="534" w:type="dxa"/>
        <w:tblBorders>
          <w:bottom w:val="double" w:sz="4" w:space="0" w:color="auto"/>
        </w:tblBorders>
        <w:tblLayout w:type="fixed"/>
        <w:tblLook w:val="0000" w:firstRow="0" w:lastRow="0" w:firstColumn="0" w:lastColumn="0" w:noHBand="0" w:noVBand="0"/>
      </w:tblPr>
      <w:tblGrid>
        <w:gridCol w:w="2364"/>
        <w:gridCol w:w="7380"/>
      </w:tblGrid>
      <w:tr w:rsidR="00E70229" w:rsidRPr="002136F3" w14:paraId="2B619968" w14:textId="77777777" w:rsidTr="001F2E8F">
        <w:trPr>
          <w:tblHeader/>
        </w:trPr>
        <w:tc>
          <w:tcPr>
            <w:tcW w:w="2364" w:type="dxa"/>
            <w:shd w:val="clear" w:color="auto" w:fill="auto"/>
          </w:tcPr>
          <w:p w14:paraId="3ABED685" w14:textId="77777777" w:rsidR="00E70229" w:rsidRPr="002136F3" w:rsidRDefault="00E70229" w:rsidP="00726CC5">
            <w:pPr>
              <w:spacing w:before="120" w:after="120"/>
              <w:ind w:left="270" w:right="260"/>
              <w:rPr>
                <w:rFonts w:ascii="Times New Roman" w:hAnsi="Times New Roman"/>
                <w:b/>
                <w:color w:val="000000"/>
                <w:sz w:val="24"/>
                <w:szCs w:val="24"/>
              </w:rPr>
            </w:pPr>
            <w:proofErr w:type="spellStart"/>
            <w:r w:rsidRPr="002136F3">
              <w:rPr>
                <w:rFonts w:ascii="Times New Roman" w:hAnsi="Times New Roman"/>
                <w:b/>
                <w:color w:val="000000"/>
                <w:sz w:val="24"/>
                <w:szCs w:val="24"/>
              </w:rPr>
              <w:t>Dịch</w:t>
            </w:r>
            <w:proofErr w:type="spellEnd"/>
            <w:r w:rsidRPr="002136F3">
              <w:rPr>
                <w:rFonts w:ascii="Times New Roman" w:hAnsi="Times New Roman"/>
                <w:b/>
                <w:color w:val="000000"/>
                <w:sz w:val="24"/>
                <w:szCs w:val="24"/>
              </w:rPr>
              <w:t xml:space="preserve"> </w:t>
            </w:r>
            <w:proofErr w:type="spellStart"/>
            <w:r w:rsidRPr="002136F3">
              <w:rPr>
                <w:rFonts w:ascii="Times New Roman" w:hAnsi="Times New Roman"/>
                <w:b/>
                <w:color w:val="000000"/>
                <w:sz w:val="24"/>
                <w:szCs w:val="24"/>
              </w:rPr>
              <w:t>vụ</w:t>
            </w:r>
            <w:proofErr w:type="spellEnd"/>
          </w:p>
          <w:p w14:paraId="17B3AD70" w14:textId="3E5FBD1E" w:rsidR="001B68EE" w:rsidRPr="001F2E8F" w:rsidRDefault="001B68EE" w:rsidP="00726CC5">
            <w:pPr>
              <w:spacing w:before="120" w:after="120"/>
              <w:ind w:left="270" w:right="260"/>
              <w:rPr>
                <w:rFonts w:ascii="Times New Roman" w:hAnsi="Times New Roman"/>
                <w:b/>
                <w:i/>
                <w:iCs/>
                <w:color w:val="000000"/>
                <w:sz w:val="24"/>
                <w:szCs w:val="24"/>
              </w:rPr>
            </w:pPr>
            <w:r w:rsidRPr="001F2E8F">
              <w:rPr>
                <w:rFonts w:ascii="Times New Roman" w:hAnsi="Times New Roman"/>
                <w:b/>
                <w:i/>
                <w:iCs/>
                <w:color w:val="000000"/>
                <w:sz w:val="24"/>
                <w:szCs w:val="24"/>
              </w:rPr>
              <w:t>Service</w:t>
            </w:r>
          </w:p>
        </w:tc>
        <w:tc>
          <w:tcPr>
            <w:tcW w:w="7380" w:type="dxa"/>
            <w:shd w:val="clear" w:color="auto" w:fill="auto"/>
          </w:tcPr>
          <w:p w14:paraId="30204B7A" w14:textId="77777777" w:rsidR="00E70229" w:rsidRPr="002136F3" w:rsidRDefault="00E70229" w:rsidP="00726CC5">
            <w:pPr>
              <w:spacing w:before="120" w:after="120"/>
              <w:ind w:left="270" w:right="260"/>
              <w:rPr>
                <w:rFonts w:ascii="Times New Roman" w:hAnsi="Times New Roman"/>
                <w:b/>
                <w:color w:val="000000"/>
                <w:sz w:val="24"/>
                <w:szCs w:val="24"/>
              </w:rPr>
            </w:pPr>
            <w:proofErr w:type="spellStart"/>
            <w:r w:rsidRPr="002136F3">
              <w:rPr>
                <w:rFonts w:ascii="Times New Roman" w:hAnsi="Times New Roman"/>
                <w:b/>
                <w:color w:val="000000"/>
                <w:sz w:val="24"/>
                <w:szCs w:val="24"/>
              </w:rPr>
              <w:t>Biểu</w:t>
            </w:r>
            <w:proofErr w:type="spellEnd"/>
            <w:r w:rsidRPr="002136F3">
              <w:rPr>
                <w:rFonts w:ascii="Times New Roman" w:hAnsi="Times New Roman"/>
                <w:b/>
                <w:color w:val="000000"/>
                <w:sz w:val="24"/>
                <w:szCs w:val="24"/>
              </w:rPr>
              <w:t xml:space="preserve"> </w:t>
            </w:r>
            <w:proofErr w:type="spellStart"/>
            <w:r w:rsidRPr="002136F3">
              <w:rPr>
                <w:rFonts w:ascii="Times New Roman" w:hAnsi="Times New Roman"/>
                <w:b/>
                <w:color w:val="000000"/>
                <w:sz w:val="24"/>
                <w:szCs w:val="24"/>
              </w:rPr>
              <w:t>phí</w:t>
            </w:r>
            <w:proofErr w:type="spellEnd"/>
          </w:p>
          <w:p w14:paraId="631157C9" w14:textId="79D4558F" w:rsidR="001B68EE" w:rsidRPr="002136F3" w:rsidRDefault="001B68EE" w:rsidP="00726CC5">
            <w:pPr>
              <w:spacing w:before="120" w:after="120"/>
              <w:ind w:left="270" w:right="260"/>
              <w:rPr>
                <w:rFonts w:ascii="Times New Roman" w:hAnsi="Times New Roman"/>
                <w:b/>
                <w:color w:val="000000"/>
                <w:sz w:val="24"/>
                <w:szCs w:val="24"/>
                <w:lang w:val="vi-VN"/>
              </w:rPr>
            </w:pPr>
            <w:r w:rsidRPr="002136F3">
              <w:rPr>
                <w:rFonts w:ascii="Times New Roman" w:hAnsi="Times New Roman"/>
                <w:b/>
                <w:color w:val="000000"/>
                <w:sz w:val="24"/>
                <w:szCs w:val="24"/>
              </w:rPr>
              <w:t>Fee</w:t>
            </w:r>
            <w:r w:rsidRPr="002136F3">
              <w:rPr>
                <w:rFonts w:ascii="Times New Roman" w:hAnsi="Times New Roman"/>
                <w:b/>
                <w:color w:val="000000"/>
                <w:sz w:val="24"/>
                <w:szCs w:val="24"/>
                <w:lang w:val="vi-VN"/>
              </w:rPr>
              <w:t xml:space="preserve"> </w:t>
            </w:r>
            <w:r w:rsidRPr="001F2E8F">
              <w:rPr>
                <w:rFonts w:ascii="Times New Roman" w:hAnsi="Times New Roman"/>
                <w:b/>
                <w:i/>
                <w:iCs/>
                <w:color w:val="000000"/>
                <w:sz w:val="24"/>
                <w:szCs w:val="24"/>
                <w:lang w:val="vi-VN"/>
              </w:rPr>
              <w:t>rate</w:t>
            </w:r>
          </w:p>
        </w:tc>
      </w:tr>
      <w:tr w:rsidR="00E70229" w:rsidRPr="002136F3" w14:paraId="0CFC2DE8" w14:textId="77777777" w:rsidTr="001F2E8F">
        <w:trPr>
          <w:trHeight w:val="259"/>
          <w:tblHeader/>
        </w:trPr>
        <w:tc>
          <w:tcPr>
            <w:tcW w:w="2364" w:type="dxa"/>
            <w:shd w:val="clear" w:color="auto" w:fill="auto"/>
          </w:tcPr>
          <w:p w14:paraId="67356A5D" w14:textId="77777777" w:rsidR="00E70229" w:rsidRPr="002136F3" w:rsidRDefault="00E70229" w:rsidP="00726CC5">
            <w:pPr>
              <w:spacing w:before="120" w:after="120"/>
              <w:ind w:left="270" w:right="260"/>
              <w:rPr>
                <w:rFonts w:ascii="Times New Roman" w:hAnsi="Times New Roman"/>
                <w:color w:val="000000"/>
                <w:sz w:val="24"/>
                <w:szCs w:val="24"/>
              </w:rPr>
            </w:pPr>
            <w:proofErr w:type="spellStart"/>
            <w:r w:rsidRPr="002136F3">
              <w:rPr>
                <w:rFonts w:ascii="Times New Roman" w:hAnsi="Times New Roman"/>
                <w:color w:val="000000"/>
                <w:sz w:val="24"/>
                <w:szCs w:val="24"/>
              </w:rPr>
              <w:t>Giám</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sát</w:t>
            </w:r>
            <w:proofErr w:type="spellEnd"/>
          </w:p>
          <w:p w14:paraId="5A46E706" w14:textId="583AD3CF" w:rsidR="001B68EE" w:rsidRPr="001F2E8F" w:rsidRDefault="001B68EE" w:rsidP="00726CC5">
            <w:pPr>
              <w:spacing w:before="120" w:after="120"/>
              <w:ind w:left="270" w:right="260"/>
              <w:rPr>
                <w:rFonts w:ascii="Times New Roman" w:hAnsi="Times New Roman"/>
                <w:i/>
                <w:iCs/>
                <w:color w:val="000000"/>
                <w:sz w:val="24"/>
                <w:szCs w:val="24"/>
                <w:lang w:val="vi-VN"/>
              </w:rPr>
            </w:pPr>
            <w:r w:rsidRPr="001F2E8F">
              <w:rPr>
                <w:rFonts w:ascii="Times New Roman" w:hAnsi="Times New Roman"/>
                <w:i/>
                <w:iCs/>
                <w:color w:val="000000"/>
                <w:sz w:val="24"/>
                <w:szCs w:val="24"/>
              </w:rPr>
              <w:t>Supervisory</w:t>
            </w:r>
          </w:p>
        </w:tc>
        <w:tc>
          <w:tcPr>
            <w:tcW w:w="7380" w:type="dxa"/>
            <w:shd w:val="clear" w:color="auto" w:fill="auto"/>
          </w:tcPr>
          <w:p w14:paraId="1EC9D6E7" w14:textId="77777777" w:rsidR="00E70229" w:rsidRPr="002136F3" w:rsidRDefault="00B207BB" w:rsidP="001F2E8F">
            <w:pPr>
              <w:numPr>
                <w:ilvl w:val="0"/>
                <w:numId w:val="7"/>
              </w:numPr>
              <w:tabs>
                <w:tab w:val="left" w:pos="616"/>
              </w:tabs>
              <w:overflowPunct w:val="0"/>
              <w:autoSpaceDE w:val="0"/>
              <w:autoSpaceDN w:val="0"/>
              <w:adjustRightInd w:val="0"/>
              <w:spacing w:before="120" w:after="120" w:line="240" w:lineRule="auto"/>
              <w:ind w:left="270" w:right="260" w:firstLine="0"/>
              <w:textAlignment w:val="baseline"/>
              <w:rPr>
                <w:rFonts w:ascii="Times New Roman" w:hAnsi="Times New Roman"/>
                <w:color w:val="000000"/>
                <w:sz w:val="24"/>
                <w:szCs w:val="24"/>
              </w:rPr>
            </w:pPr>
            <w:proofErr w:type="spellStart"/>
            <w:r w:rsidRPr="002136F3">
              <w:rPr>
                <w:rFonts w:ascii="Times New Roman" w:hAnsi="Times New Roman"/>
                <w:color w:val="000000"/>
                <w:sz w:val="24"/>
                <w:szCs w:val="24"/>
              </w:rPr>
              <w:t>Tối</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đa</w:t>
            </w:r>
            <w:proofErr w:type="spellEnd"/>
            <w:r w:rsidR="00A511B4" w:rsidRPr="002136F3">
              <w:rPr>
                <w:rFonts w:ascii="Times New Roman" w:hAnsi="Times New Roman"/>
                <w:color w:val="000000"/>
                <w:sz w:val="24"/>
                <w:szCs w:val="24"/>
              </w:rPr>
              <w:t xml:space="preserve"> </w:t>
            </w:r>
            <w:proofErr w:type="spellStart"/>
            <w:r w:rsidR="00A511B4" w:rsidRPr="002136F3">
              <w:rPr>
                <w:rFonts w:ascii="Times New Roman" w:hAnsi="Times New Roman"/>
                <w:color w:val="000000"/>
                <w:sz w:val="24"/>
                <w:szCs w:val="24"/>
              </w:rPr>
              <w:t>là</w:t>
            </w:r>
            <w:proofErr w:type="spellEnd"/>
            <w:r w:rsidRPr="002136F3">
              <w:rPr>
                <w:rFonts w:ascii="Times New Roman" w:hAnsi="Times New Roman"/>
                <w:color w:val="000000"/>
                <w:sz w:val="24"/>
                <w:szCs w:val="24"/>
              </w:rPr>
              <w:t xml:space="preserve"> </w:t>
            </w:r>
            <w:r w:rsidR="0081433D" w:rsidRPr="002136F3">
              <w:rPr>
                <w:rFonts w:ascii="Times New Roman" w:hAnsi="Times New Roman"/>
                <w:color w:val="000000"/>
                <w:sz w:val="24"/>
                <w:szCs w:val="24"/>
              </w:rPr>
              <w:t>0</w:t>
            </w:r>
            <w:r w:rsidR="00F81D71" w:rsidRPr="002136F3">
              <w:rPr>
                <w:rFonts w:ascii="Times New Roman" w:hAnsi="Times New Roman"/>
                <w:color w:val="000000"/>
                <w:sz w:val="24"/>
                <w:szCs w:val="24"/>
              </w:rPr>
              <w:t>,</w:t>
            </w:r>
            <w:r w:rsidR="0081433D" w:rsidRPr="002136F3">
              <w:rPr>
                <w:rFonts w:ascii="Times New Roman" w:hAnsi="Times New Roman"/>
                <w:color w:val="000000"/>
                <w:sz w:val="24"/>
                <w:szCs w:val="24"/>
              </w:rPr>
              <w:t>02% NAV/</w:t>
            </w:r>
            <w:proofErr w:type="spellStart"/>
            <w:r w:rsidR="0081433D" w:rsidRPr="002136F3">
              <w:rPr>
                <w:rFonts w:ascii="Times New Roman" w:hAnsi="Times New Roman"/>
                <w:color w:val="000000"/>
                <w:sz w:val="24"/>
                <w:szCs w:val="24"/>
              </w:rPr>
              <w:t>năm</w:t>
            </w:r>
            <w:proofErr w:type="spellEnd"/>
            <w:r w:rsidR="0081433D" w:rsidRPr="002136F3">
              <w:rPr>
                <w:rFonts w:ascii="Times New Roman" w:hAnsi="Times New Roman"/>
                <w:color w:val="000000"/>
                <w:sz w:val="24"/>
                <w:szCs w:val="24"/>
              </w:rPr>
              <w:t xml:space="preserve"> (</w:t>
            </w:r>
            <w:proofErr w:type="spellStart"/>
            <w:r w:rsidR="0081433D" w:rsidRPr="002136F3">
              <w:rPr>
                <w:rFonts w:ascii="Times New Roman" w:hAnsi="Times New Roman"/>
                <w:color w:val="000000"/>
                <w:sz w:val="24"/>
                <w:szCs w:val="24"/>
              </w:rPr>
              <w:t>chưa</w:t>
            </w:r>
            <w:proofErr w:type="spellEnd"/>
            <w:r w:rsidR="0081433D" w:rsidRPr="002136F3">
              <w:rPr>
                <w:rFonts w:ascii="Times New Roman" w:hAnsi="Times New Roman"/>
                <w:color w:val="000000"/>
                <w:sz w:val="24"/>
                <w:szCs w:val="24"/>
              </w:rPr>
              <w:t xml:space="preserve"> bao </w:t>
            </w:r>
            <w:proofErr w:type="spellStart"/>
            <w:r w:rsidR="0081433D" w:rsidRPr="002136F3">
              <w:rPr>
                <w:rFonts w:ascii="Times New Roman" w:hAnsi="Times New Roman"/>
                <w:color w:val="000000"/>
                <w:sz w:val="24"/>
                <w:szCs w:val="24"/>
              </w:rPr>
              <w:t>gồm</w:t>
            </w:r>
            <w:proofErr w:type="spellEnd"/>
            <w:r w:rsidR="0081433D" w:rsidRPr="002136F3">
              <w:rPr>
                <w:rFonts w:ascii="Times New Roman" w:hAnsi="Times New Roman"/>
                <w:color w:val="000000"/>
                <w:sz w:val="24"/>
                <w:szCs w:val="24"/>
              </w:rPr>
              <w:t xml:space="preserve"> </w:t>
            </w:r>
            <w:proofErr w:type="spellStart"/>
            <w:r w:rsidR="0081433D" w:rsidRPr="002136F3">
              <w:rPr>
                <w:rFonts w:ascii="Times New Roman" w:hAnsi="Times New Roman"/>
                <w:color w:val="000000"/>
                <w:sz w:val="24"/>
                <w:szCs w:val="24"/>
              </w:rPr>
              <w:t>thuế</w:t>
            </w:r>
            <w:proofErr w:type="spellEnd"/>
            <w:r w:rsidR="0081433D" w:rsidRPr="002136F3">
              <w:rPr>
                <w:rFonts w:ascii="Times New Roman" w:hAnsi="Times New Roman"/>
                <w:color w:val="000000"/>
                <w:sz w:val="24"/>
                <w:szCs w:val="24"/>
              </w:rPr>
              <w:t xml:space="preserve"> </w:t>
            </w:r>
            <w:proofErr w:type="gramStart"/>
            <w:r w:rsidR="0081433D" w:rsidRPr="002136F3">
              <w:rPr>
                <w:rFonts w:ascii="Times New Roman" w:hAnsi="Times New Roman"/>
                <w:color w:val="000000"/>
                <w:sz w:val="24"/>
                <w:szCs w:val="24"/>
              </w:rPr>
              <w:t>GTGT(</w:t>
            </w:r>
            <w:proofErr w:type="spellStart"/>
            <w:proofErr w:type="gramEnd"/>
            <w:r w:rsidR="0081433D" w:rsidRPr="002136F3">
              <w:rPr>
                <w:rFonts w:ascii="Times New Roman" w:hAnsi="Times New Roman"/>
                <w:color w:val="000000"/>
                <w:sz w:val="24"/>
                <w:szCs w:val="24"/>
              </w:rPr>
              <w:t>nếu</w:t>
            </w:r>
            <w:proofErr w:type="spellEnd"/>
            <w:r w:rsidR="0081433D" w:rsidRPr="002136F3">
              <w:rPr>
                <w:rFonts w:ascii="Times New Roman" w:hAnsi="Times New Roman"/>
                <w:color w:val="000000"/>
                <w:sz w:val="24"/>
                <w:szCs w:val="24"/>
              </w:rPr>
              <w:t xml:space="preserve"> </w:t>
            </w:r>
            <w:proofErr w:type="spellStart"/>
            <w:r w:rsidR="0081433D" w:rsidRPr="002136F3">
              <w:rPr>
                <w:rFonts w:ascii="Times New Roman" w:hAnsi="Times New Roman"/>
                <w:color w:val="000000"/>
                <w:sz w:val="24"/>
                <w:szCs w:val="24"/>
              </w:rPr>
              <w:t>có</w:t>
            </w:r>
            <w:proofErr w:type="spellEnd"/>
            <w:r w:rsidR="0081433D" w:rsidRPr="002136F3">
              <w:rPr>
                <w:rFonts w:ascii="Times New Roman" w:hAnsi="Times New Roman"/>
                <w:color w:val="000000"/>
                <w:sz w:val="24"/>
                <w:szCs w:val="24"/>
              </w:rPr>
              <w:t>))</w:t>
            </w:r>
          </w:p>
          <w:p w14:paraId="6D19AC84" w14:textId="3BBF238B" w:rsidR="001B68EE" w:rsidRPr="001F2E8F" w:rsidRDefault="001B68EE" w:rsidP="001F2E8F">
            <w:pPr>
              <w:numPr>
                <w:ilvl w:val="0"/>
                <w:numId w:val="7"/>
              </w:numPr>
              <w:tabs>
                <w:tab w:val="left" w:pos="616"/>
              </w:tabs>
              <w:overflowPunct w:val="0"/>
              <w:autoSpaceDE w:val="0"/>
              <w:autoSpaceDN w:val="0"/>
              <w:adjustRightInd w:val="0"/>
              <w:spacing w:before="120" w:after="120" w:line="240" w:lineRule="auto"/>
              <w:ind w:left="270" w:right="260" w:firstLine="0"/>
              <w:textAlignment w:val="baseline"/>
              <w:rPr>
                <w:rFonts w:ascii="Times New Roman" w:hAnsi="Times New Roman"/>
                <w:i/>
                <w:iCs/>
                <w:color w:val="000000"/>
                <w:sz w:val="24"/>
                <w:szCs w:val="24"/>
              </w:rPr>
            </w:pPr>
            <w:r w:rsidRPr="001F2E8F">
              <w:rPr>
                <w:rFonts w:ascii="Times New Roman" w:hAnsi="Times New Roman"/>
                <w:i/>
                <w:iCs/>
                <w:color w:val="000000"/>
                <w:sz w:val="24"/>
                <w:szCs w:val="24"/>
              </w:rPr>
              <w:t>Maximum</w:t>
            </w:r>
            <w:r w:rsidRPr="001F2E8F">
              <w:rPr>
                <w:rFonts w:ascii="Times New Roman" w:hAnsi="Times New Roman"/>
                <w:i/>
                <w:iCs/>
                <w:color w:val="000000"/>
                <w:sz w:val="24"/>
                <w:szCs w:val="24"/>
                <w:lang w:val="vi-VN"/>
              </w:rPr>
              <w:t xml:space="preserve"> fee rate is 0,02% NAV per annum (excluding VAT (if any))</w:t>
            </w:r>
          </w:p>
        </w:tc>
      </w:tr>
      <w:tr w:rsidR="00E70229" w:rsidRPr="002136F3" w14:paraId="2EC55D6F" w14:textId="77777777" w:rsidTr="001F2E8F">
        <w:tc>
          <w:tcPr>
            <w:tcW w:w="2364" w:type="dxa"/>
            <w:shd w:val="clear" w:color="auto" w:fill="auto"/>
          </w:tcPr>
          <w:p w14:paraId="1A91B4B7" w14:textId="77777777" w:rsidR="00E70229" w:rsidRPr="002136F3" w:rsidRDefault="00E70229" w:rsidP="00726CC5">
            <w:pPr>
              <w:tabs>
                <w:tab w:val="num" w:pos="340"/>
              </w:tabs>
              <w:spacing w:before="120" w:after="120"/>
              <w:ind w:left="270" w:right="260"/>
              <w:rPr>
                <w:rFonts w:ascii="Times New Roman" w:hAnsi="Times New Roman"/>
                <w:sz w:val="24"/>
                <w:szCs w:val="24"/>
              </w:rPr>
            </w:pPr>
            <w:proofErr w:type="spellStart"/>
            <w:r w:rsidRPr="002136F3">
              <w:rPr>
                <w:rFonts w:ascii="Times New Roman" w:hAnsi="Times New Roman"/>
                <w:sz w:val="24"/>
                <w:szCs w:val="24"/>
              </w:rPr>
              <w:lastRenderedPageBreak/>
              <w:t>Lưu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ký</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khoán</w:t>
            </w:r>
            <w:proofErr w:type="spellEnd"/>
          </w:p>
          <w:p w14:paraId="4179CAC3" w14:textId="65F24695" w:rsidR="001B68EE" w:rsidRPr="001F2E8F" w:rsidRDefault="001B68EE" w:rsidP="00726CC5">
            <w:pPr>
              <w:tabs>
                <w:tab w:val="num" w:pos="340"/>
              </w:tabs>
              <w:spacing w:before="120" w:after="120"/>
              <w:ind w:left="270" w:right="260"/>
              <w:rPr>
                <w:rFonts w:ascii="Times New Roman" w:hAnsi="Times New Roman"/>
                <w:i/>
                <w:iCs/>
                <w:color w:val="000000"/>
                <w:sz w:val="24"/>
                <w:szCs w:val="24"/>
              </w:rPr>
            </w:pPr>
            <w:r w:rsidRPr="001F2E8F">
              <w:rPr>
                <w:rFonts w:ascii="Times New Roman" w:hAnsi="Times New Roman"/>
                <w:i/>
                <w:iCs/>
                <w:sz w:val="24"/>
                <w:szCs w:val="24"/>
              </w:rPr>
              <w:t>Custody</w:t>
            </w:r>
          </w:p>
        </w:tc>
        <w:tc>
          <w:tcPr>
            <w:tcW w:w="7380" w:type="dxa"/>
            <w:shd w:val="clear" w:color="auto" w:fill="auto"/>
            <w:vAlign w:val="bottom"/>
          </w:tcPr>
          <w:p w14:paraId="56A77B90" w14:textId="77777777" w:rsidR="00E70229" w:rsidRPr="002136F3" w:rsidRDefault="00B207BB" w:rsidP="001F2E8F">
            <w:pPr>
              <w:numPr>
                <w:ilvl w:val="0"/>
                <w:numId w:val="8"/>
              </w:numPr>
              <w:tabs>
                <w:tab w:val="left" w:pos="616"/>
                <w:tab w:val="decimal" w:pos="995"/>
              </w:tabs>
              <w:overflowPunct w:val="0"/>
              <w:autoSpaceDE w:val="0"/>
              <w:autoSpaceDN w:val="0"/>
              <w:adjustRightInd w:val="0"/>
              <w:spacing w:before="120" w:after="120" w:line="240" w:lineRule="auto"/>
              <w:ind w:left="270" w:right="260" w:firstLine="0"/>
              <w:textAlignment w:val="baseline"/>
              <w:rPr>
                <w:rFonts w:ascii="Times New Roman" w:hAnsi="Times New Roman"/>
                <w:color w:val="000000"/>
                <w:sz w:val="24"/>
                <w:szCs w:val="24"/>
              </w:rPr>
            </w:pPr>
            <w:proofErr w:type="spellStart"/>
            <w:r w:rsidRPr="002136F3">
              <w:rPr>
                <w:rFonts w:ascii="Times New Roman" w:hAnsi="Times New Roman"/>
                <w:color w:val="000000"/>
                <w:sz w:val="24"/>
                <w:szCs w:val="24"/>
              </w:rPr>
              <w:t>Tối</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đa</w:t>
            </w:r>
            <w:proofErr w:type="spellEnd"/>
            <w:r w:rsidR="00A511B4" w:rsidRPr="002136F3">
              <w:rPr>
                <w:rFonts w:ascii="Times New Roman" w:hAnsi="Times New Roman"/>
                <w:color w:val="000000"/>
                <w:sz w:val="24"/>
                <w:szCs w:val="24"/>
              </w:rPr>
              <w:t xml:space="preserve"> </w:t>
            </w:r>
            <w:proofErr w:type="spellStart"/>
            <w:r w:rsidR="00A511B4" w:rsidRPr="002136F3">
              <w:rPr>
                <w:rFonts w:ascii="Times New Roman" w:hAnsi="Times New Roman"/>
                <w:color w:val="000000"/>
                <w:sz w:val="24"/>
                <w:szCs w:val="24"/>
              </w:rPr>
              <w:t>là</w:t>
            </w:r>
            <w:proofErr w:type="spellEnd"/>
            <w:r w:rsidRPr="002136F3">
              <w:rPr>
                <w:rFonts w:ascii="Times New Roman" w:hAnsi="Times New Roman"/>
                <w:color w:val="000000"/>
                <w:sz w:val="24"/>
                <w:szCs w:val="24"/>
              </w:rPr>
              <w:t xml:space="preserve"> 0,06% NAV/</w:t>
            </w:r>
            <w:proofErr w:type="spellStart"/>
            <w:r w:rsidRPr="002136F3">
              <w:rPr>
                <w:rFonts w:ascii="Times New Roman" w:hAnsi="Times New Roman"/>
                <w:color w:val="000000"/>
                <w:sz w:val="24"/>
                <w:szCs w:val="24"/>
              </w:rPr>
              <w:t>năm</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chưa</w:t>
            </w:r>
            <w:proofErr w:type="spellEnd"/>
            <w:r w:rsidRPr="002136F3">
              <w:rPr>
                <w:rFonts w:ascii="Times New Roman" w:hAnsi="Times New Roman"/>
                <w:color w:val="000000"/>
                <w:sz w:val="24"/>
                <w:szCs w:val="24"/>
              </w:rPr>
              <w:t xml:space="preserve"> bao </w:t>
            </w:r>
            <w:proofErr w:type="spellStart"/>
            <w:r w:rsidRPr="002136F3">
              <w:rPr>
                <w:rFonts w:ascii="Times New Roman" w:hAnsi="Times New Roman"/>
                <w:color w:val="000000"/>
                <w:sz w:val="24"/>
                <w:szCs w:val="24"/>
              </w:rPr>
              <w:t>gồm</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thuế</w:t>
            </w:r>
            <w:proofErr w:type="spellEnd"/>
            <w:r w:rsidRPr="002136F3">
              <w:rPr>
                <w:rFonts w:ascii="Times New Roman" w:hAnsi="Times New Roman"/>
                <w:color w:val="000000"/>
                <w:sz w:val="24"/>
                <w:szCs w:val="24"/>
              </w:rPr>
              <w:t xml:space="preserve"> </w:t>
            </w:r>
            <w:proofErr w:type="gramStart"/>
            <w:r w:rsidRPr="002136F3">
              <w:rPr>
                <w:rFonts w:ascii="Times New Roman" w:hAnsi="Times New Roman"/>
                <w:color w:val="000000"/>
                <w:sz w:val="24"/>
                <w:szCs w:val="24"/>
              </w:rPr>
              <w:t>GTGT(</w:t>
            </w:r>
            <w:proofErr w:type="spellStart"/>
            <w:proofErr w:type="gramEnd"/>
            <w:r w:rsidRPr="002136F3">
              <w:rPr>
                <w:rFonts w:ascii="Times New Roman" w:hAnsi="Times New Roman"/>
                <w:color w:val="000000"/>
                <w:sz w:val="24"/>
                <w:szCs w:val="24"/>
              </w:rPr>
              <w:t>nếu</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có</w:t>
            </w:r>
            <w:proofErr w:type="spellEnd"/>
            <w:r w:rsidRPr="002136F3">
              <w:rPr>
                <w:rFonts w:ascii="Times New Roman" w:hAnsi="Times New Roman"/>
                <w:color w:val="000000"/>
                <w:sz w:val="24"/>
                <w:szCs w:val="24"/>
              </w:rPr>
              <w:t>))</w:t>
            </w:r>
          </w:p>
          <w:p w14:paraId="68B2CF3E" w14:textId="45E6508A" w:rsidR="001B68EE" w:rsidRPr="001F2E8F" w:rsidRDefault="001B68EE" w:rsidP="001F2E8F">
            <w:pPr>
              <w:numPr>
                <w:ilvl w:val="0"/>
                <w:numId w:val="8"/>
              </w:numPr>
              <w:tabs>
                <w:tab w:val="left" w:pos="616"/>
                <w:tab w:val="decimal" w:pos="995"/>
              </w:tabs>
              <w:overflowPunct w:val="0"/>
              <w:autoSpaceDE w:val="0"/>
              <w:autoSpaceDN w:val="0"/>
              <w:adjustRightInd w:val="0"/>
              <w:spacing w:before="120" w:after="120" w:line="240" w:lineRule="auto"/>
              <w:ind w:left="270" w:right="260" w:firstLine="0"/>
              <w:textAlignment w:val="baseline"/>
              <w:rPr>
                <w:rFonts w:ascii="Times New Roman" w:hAnsi="Times New Roman"/>
                <w:i/>
                <w:iCs/>
                <w:color w:val="000000"/>
                <w:sz w:val="24"/>
                <w:szCs w:val="24"/>
              </w:rPr>
            </w:pPr>
            <w:r w:rsidRPr="001F2E8F">
              <w:rPr>
                <w:rFonts w:ascii="Times New Roman" w:hAnsi="Times New Roman"/>
                <w:i/>
                <w:iCs/>
                <w:color w:val="000000"/>
                <w:sz w:val="24"/>
                <w:szCs w:val="24"/>
              </w:rPr>
              <w:t>Maximum</w:t>
            </w:r>
            <w:r w:rsidRPr="001F2E8F">
              <w:rPr>
                <w:rFonts w:ascii="Times New Roman" w:hAnsi="Times New Roman"/>
                <w:i/>
                <w:iCs/>
                <w:color w:val="000000"/>
                <w:sz w:val="24"/>
                <w:szCs w:val="24"/>
                <w:lang w:val="vi-VN"/>
              </w:rPr>
              <w:t xml:space="preserve"> fee rate is 0,06% NAV per annum (excluding VAT (if any))</w:t>
            </w:r>
          </w:p>
        </w:tc>
      </w:tr>
      <w:tr w:rsidR="00E70229" w:rsidRPr="002136F3" w14:paraId="209B3184" w14:textId="77777777" w:rsidTr="001F2E8F">
        <w:tc>
          <w:tcPr>
            <w:tcW w:w="2364" w:type="dxa"/>
            <w:shd w:val="clear" w:color="auto" w:fill="auto"/>
          </w:tcPr>
          <w:p w14:paraId="0C298A4E" w14:textId="77777777" w:rsidR="00E70229" w:rsidRPr="002136F3" w:rsidRDefault="00E70229" w:rsidP="00726CC5">
            <w:pPr>
              <w:spacing w:before="120" w:after="120"/>
              <w:ind w:left="270" w:right="260"/>
              <w:rPr>
                <w:rFonts w:ascii="Times New Roman" w:hAnsi="Times New Roman"/>
                <w:color w:val="000000"/>
                <w:sz w:val="24"/>
                <w:szCs w:val="24"/>
              </w:rPr>
            </w:pPr>
            <w:proofErr w:type="spellStart"/>
            <w:r w:rsidRPr="002136F3">
              <w:rPr>
                <w:rFonts w:ascii="Times New Roman" w:hAnsi="Times New Roman"/>
                <w:color w:val="000000"/>
                <w:sz w:val="24"/>
                <w:szCs w:val="24"/>
              </w:rPr>
              <w:t>Quản</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trị</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Quỹ</w:t>
            </w:r>
            <w:proofErr w:type="spellEnd"/>
          </w:p>
          <w:p w14:paraId="649E31FB" w14:textId="31AE704D" w:rsidR="001B68EE" w:rsidRPr="001F2E8F" w:rsidRDefault="001B68EE" w:rsidP="00726CC5">
            <w:pPr>
              <w:spacing w:before="120" w:after="120"/>
              <w:ind w:left="270" w:right="260"/>
              <w:rPr>
                <w:rFonts w:ascii="Times New Roman" w:hAnsi="Times New Roman"/>
                <w:i/>
                <w:iCs/>
                <w:color w:val="000000"/>
                <w:sz w:val="24"/>
                <w:szCs w:val="24"/>
                <w:lang w:val="vi-VN"/>
              </w:rPr>
            </w:pPr>
            <w:r w:rsidRPr="001F2E8F">
              <w:rPr>
                <w:rFonts w:ascii="Times New Roman" w:hAnsi="Times New Roman"/>
                <w:i/>
                <w:iCs/>
                <w:color w:val="000000"/>
                <w:sz w:val="24"/>
                <w:szCs w:val="24"/>
              </w:rPr>
              <w:t>Administration</w:t>
            </w:r>
          </w:p>
        </w:tc>
        <w:tc>
          <w:tcPr>
            <w:tcW w:w="7380" w:type="dxa"/>
            <w:shd w:val="clear" w:color="auto" w:fill="auto"/>
          </w:tcPr>
          <w:p w14:paraId="67C58DB8" w14:textId="77777777" w:rsidR="00E70229" w:rsidRPr="002136F3" w:rsidRDefault="00B207BB" w:rsidP="001F2E8F">
            <w:pPr>
              <w:numPr>
                <w:ilvl w:val="0"/>
                <w:numId w:val="7"/>
              </w:numPr>
              <w:tabs>
                <w:tab w:val="left" w:pos="616"/>
                <w:tab w:val="decimal" w:pos="995"/>
              </w:tabs>
              <w:overflowPunct w:val="0"/>
              <w:autoSpaceDE w:val="0"/>
              <w:autoSpaceDN w:val="0"/>
              <w:adjustRightInd w:val="0"/>
              <w:spacing w:before="120" w:after="120" w:line="240" w:lineRule="auto"/>
              <w:ind w:left="270" w:right="260" w:firstLine="0"/>
              <w:textAlignment w:val="baseline"/>
              <w:rPr>
                <w:rFonts w:ascii="Times New Roman" w:hAnsi="Times New Roman"/>
                <w:color w:val="000000"/>
                <w:sz w:val="24"/>
                <w:szCs w:val="24"/>
              </w:rPr>
            </w:pPr>
            <w:proofErr w:type="spellStart"/>
            <w:r w:rsidRPr="002136F3">
              <w:rPr>
                <w:rFonts w:ascii="Times New Roman" w:hAnsi="Times New Roman"/>
                <w:color w:val="000000"/>
                <w:sz w:val="24"/>
                <w:szCs w:val="24"/>
              </w:rPr>
              <w:t>Tối</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đa</w:t>
            </w:r>
            <w:proofErr w:type="spellEnd"/>
            <w:r w:rsidRPr="002136F3">
              <w:rPr>
                <w:rFonts w:ascii="Times New Roman" w:hAnsi="Times New Roman"/>
                <w:color w:val="000000"/>
                <w:sz w:val="24"/>
                <w:szCs w:val="24"/>
              </w:rPr>
              <w:t xml:space="preserve"> </w:t>
            </w:r>
            <w:proofErr w:type="spellStart"/>
            <w:r w:rsidR="00A511B4" w:rsidRPr="002136F3">
              <w:rPr>
                <w:rFonts w:ascii="Times New Roman" w:hAnsi="Times New Roman"/>
                <w:color w:val="000000"/>
                <w:sz w:val="24"/>
                <w:szCs w:val="24"/>
              </w:rPr>
              <w:t>là</w:t>
            </w:r>
            <w:proofErr w:type="spellEnd"/>
            <w:r w:rsidR="00A511B4" w:rsidRPr="002136F3">
              <w:rPr>
                <w:rFonts w:ascii="Times New Roman" w:hAnsi="Times New Roman"/>
                <w:color w:val="000000"/>
                <w:sz w:val="24"/>
                <w:szCs w:val="24"/>
              </w:rPr>
              <w:t xml:space="preserve"> 0,035% NAV/</w:t>
            </w:r>
            <w:proofErr w:type="spellStart"/>
            <w:r w:rsidR="00A511B4" w:rsidRPr="002136F3">
              <w:rPr>
                <w:rFonts w:ascii="Times New Roman" w:hAnsi="Times New Roman"/>
                <w:color w:val="000000"/>
                <w:sz w:val="24"/>
                <w:szCs w:val="24"/>
              </w:rPr>
              <w:t>năm</w:t>
            </w:r>
            <w:proofErr w:type="spellEnd"/>
            <w:r w:rsidR="00A511B4" w:rsidRPr="002136F3">
              <w:rPr>
                <w:rFonts w:ascii="Times New Roman" w:hAnsi="Times New Roman"/>
                <w:color w:val="000000"/>
                <w:sz w:val="24"/>
                <w:szCs w:val="24"/>
              </w:rPr>
              <w:t xml:space="preserve"> (</w:t>
            </w:r>
            <w:proofErr w:type="spellStart"/>
            <w:r w:rsidR="00A511B4" w:rsidRPr="002136F3">
              <w:rPr>
                <w:rFonts w:ascii="Times New Roman" w:hAnsi="Times New Roman"/>
                <w:color w:val="000000"/>
                <w:sz w:val="24"/>
                <w:szCs w:val="24"/>
              </w:rPr>
              <w:t>chưa</w:t>
            </w:r>
            <w:proofErr w:type="spellEnd"/>
            <w:r w:rsidR="00A511B4" w:rsidRPr="002136F3">
              <w:rPr>
                <w:rFonts w:ascii="Times New Roman" w:hAnsi="Times New Roman"/>
                <w:color w:val="000000"/>
                <w:sz w:val="24"/>
                <w:szCs w:val="24"/>
              </w:rPr>
              <w:t xml:space="preserve"> bao </w:t>
            </w:r>
            <w:proofErr w:type="spellStart"/>
            <w:r w:rsidR="00A511B4" w:rsidRPr="002136F3">
              <w:rPr>
                <w:rFonts w:ascii="Times New Roman" w:hAnsi="Times New Roman"/>
                <w:color w:val="000000"/>
                <w:sz w:val="24"/>
                <w:szCs w:val="24"/>
              </w:rPr>
              <w:t>gồm</w:t>
            </w:r>
            <w:proofErr w:type="spellEnd"/>
            <w:r w:rsidR="00A511B4" w:rsidRPr="002136F3">
              <w:rPr>
                <w:rFonts w:ascii="Times New Roman" w:hAnsi="Times New Roman"/>
                <w:color w:val="000000"/>
                <w:sz w:val="24"/>
                <w:szCs w:val="24"/>
              </w:rPr>
              <w:t xml:space="preserve"> </w:t>
            </w:r>
            <w:proofErr w:type="spellStart"/>
            <w:r w:rsidR="00A511B4" w:rsidRPr="002136F3">
              <w:rPr>
                <w:rFonts w:ascii="Times New Roman" w:hAnsi="Times New Roman"/>
                <w:color w:val="000000"/>
                <w:sz w:val="24"/>
                <w:szCs w:val="24"/>
              </w:rPr>
              <w:t>thuế</w:t>
            </w:r>
            <w:proofErr w:type="spellEnd"/>
            <w:r w:rsidR="00A511B4" w:rsidRPr="002136F3">
              <w:rPr>
                <w:rFonts w:ascii="Times New Roman" w:hAnsi="Times New Roman"/>
                <w:color w:val="000000"/>
                <w:sz w:val="24"/>
                <w:szCs w:val="24"/>
              </w:rPr>
              <w:t xml:space="preserve"> </w:t>
            </w:r>
            <w:proofErr w:type="gramStart"/>
            <w:r w:rsidR="00A511B4" w:rsidRPr="002136F3">
              <w:rPr>
                <w:rFonts w:ascii="Times New Roman" w:hAnsi="Times New Roman"/>
                <w:color w:val="000000"/>
                <w:sz w:val="24"/>
                <w:szCs w:val="24"/>
              </w:rPr>
              <w:t>GTGT(</w:t>
            </w:r>
            <w:proofErr w:type="spellStart"/>
            <w:proofErr w:type="gramEnd"/>
            <w:r w:rsidR="00A511B4" w:rsidRPr="002136F3">
              <w:rPr>
                <w:rFonts w:ascii="Times New Roman" w:hAnsi="Times New Roman"/>
                <w:color w:val="000000"/>
                <w:sz w:val="24"/>
                <w:szCs w:val="24"/>
              </w:rPr>
              <w:t>nếu</w:t>
            </w:r>
            <w:proofErr w:type="spellEnd"/>
            <w:r w:rsidR="00A511B4" w:rsidRPr="002136F3">
              <w:rPr>
                <w:rFonts w:ascii="Times New Roman" w:hAnsi="Times New Roman"/>
                <w:color w:val="000000"/>
                <w:sz w:val="24"/>
                <w:szCs w:val="24"/>
              </w:rPr>
              <w:t xml:space="preserve"> </w:t>
            </w:r>
            <w:proofErr w:type="spellStart"/>
            <w:r w:rsidR="00A511B4" w:rsidRPr="002136F3">
              <w:rPr>
                <w:rFonts w:ascii="Times New Roman" w:hAnsi="Times New Roman"/>
                <w:color w:val="000000"/>
                <w:sz w:val="24"/>
                <w:szCs w:val="24"/>
              </w:rPr>
              <w:t>có</w:t>
            </w:r>
            <w:proofErr w:type="spellEnd"/>
            <w:r w:rsidR="00A511B4" w:rsidRPr="002136F3">
              <w:rPr>
                <w:rFonts w:ascii="Times New Roman" w:hAnsi="Times New Roman"/>
                <w:color w:val="000000"/>
                <w:sz w:val="24"/>
                <w:szCs w:val="24"/>
              </w:rPr>
              <w:t>))</w:t>
            </w:r>
          </w:p>
          <w:p w14:paraId="5514F8D7" w14:textId="77D30AFB" w:rsidR="001B68EE" w:rsidRPr="001F2E8F" w:rsidRDefault="001B68EE" w:rsidP="001F2E8F">
            <w:pPr>
              <w:numPr>
                <w:ilvl w:val="0"/>
                <w:numId w:val="7"/>
              </w:numPr>
              <w:tabs>
                <w:tab w:val="left" w:pos="616"/>
                <w:tab w:val="decimal" w:pos="995"/>
              </w:tabs>
              <w:overflowPunct w:val="0"/>
              <w:autoSpaceDE w:val="0"/>
              <w:autoSpaceDN w:val="0"/>
              <w:adjustRightInd w:val="0"/>
              <w:spacing w:before="120" w:after="120" w:line="240" w:lineRule="auto"/>
              <w:ind w:left="270" w:right="260" w:firstLine="0"/>
              <w:textAlignment w:val="baseline"/>
              <w:rPr>
                <w:rFonts w:ascii="Times New Roman" w:hAnsi="Times New Roman"/>
                <w:i/>
                <w:iCs/>
                <w:color w:val="000000"/>
                <w:sz w:val="24"/>
                <w:szCs w:val="24"/>
              </w:rPr>
            </w:pPr>
            <w:r w:rsidRPr="001F2E8F">
              <w:rPr>
                <w:rFonts w:ascii="Times New Roman" w:hAnsi="Times New Roman"/>
                <w:i/>
                <w:iCs/>
                <w:color w:val="000000"/>
                <w:sz w:val="24"/>
                <w:szCs w:val="24"/>
              </w:rPr>
              <w:t>Maximum</w:t>
            </w:r>
            <w:r w:rsidRPr="001F2E8F">
              <w:rPr>
                <w:rFonts w:ascii="Times New Roman" w:hAnsi="Times New Roman"/>
                <w:i/>
                <w:iCs/>
                <w:color w:val="000000"/>
                <w:sz w:val="24"/>
                <w:szCs w:val="24"/>
                <w:lang w:val="vi-VN"/>
              </w:rPr>
              <w:t xml:space="preserve"> fee rate is 0,035% NAV per annum (excluding VAT (if any))</w:t>
            </w:r>
          </w:p>
        </w:tc>
      </w:tr>
    </w:tbl>
    <w:p w14:paraId="7CC74D85" w14:textId="77777777" w:rsidR="000603D1" w:rsidRPr="002136F3" w:rsidRDefault="000603D1" w:rsidP="001F2E8F">
      <w:pPr>
        <w:spacing w:before="120" w:after="120"/>
        <w:ind w:left="180" w:right="260"/>
        <w:rPr>
          <w:rFonts w:ascii="Times New Roman" w:hAnsi="Times New Roman"/>
          <w:color w:val="000000"/>
          <w:sz w:val="24"/>
          <w:szCs w:val="24"/>
        </w:rPr>
      </w:pPr>
    </w:p>
    <w:p w14:paraId="142C1EA3" w14:textId="556D1E58" w:rsidR="00AB3EE3" w:rsidRPr="002136F3" w:rsidRDefault="006E18BB" w:rsidP="001F2E8F">
      <w:pPr>
        <w:spacing w:before="120" w:after="120" w:line="312" w:lineRule="auto"/>
        <w:ind w:left="180" w:right="259"/>
        <w:jc w:val="both"/>
        <w:rPr>
          <w:rFonts w:ascii="Times New Roman" w:hAnsi="Times New Roman"/>
          <w:color w:val="000000"/>
          <w:sz w:val="24"/>
          <w:szCs w:val="24"/>
        </w:rPr>
      </w:pPr>
      <w:proofErr w:type="spellStart"/>
      <w:r w:rsidRPr="002136F3">
        <w:rPr>
          <w:rFonts w:ascii="Times New Roman" w:hAnsi="Times New Roman"/>
          <w:color w:val="000000"/>
          <w:sz w:val="24"/>
          <w:szCs w:val="24"/>
        </w:rPr>
        <w:t>Tổng</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giá</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dịch</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vụ</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Giám</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sát</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lưu</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ký</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và</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dịch</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vụ</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quản</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trị</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quỹ</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tổi</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thiểu</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hàng</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tháng</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là</w:t>
      </w:r>
      <w:proofErr w:type="spellEnd"/>
      <w:r w:rsidRPr="002136F3">
        <w:rPr>
          <w:rFonts w:ascii="Times New Roman" w:hAnsi="Times New Roman"/>
          <w:color w:val="000000"/>
          <w:sz w:val="24"/>
          <w:szCs w:val="24"/>
        </w:rPr>
        <w:t xml:space="preserve"> 50 </w:t>
      </w:r>
      <w:proofErr w:type="spellStart"/>
      <w:r w:rsidRPr="002136F3">
        <w:rPr>
          <w:rFonts w:ascii="Times New Roman" w:hAnsi="Times New Roman"/>
          <w:color w:val="000000"/>
          <w:sz w:val="24"/>
          <w:szCs w:val="24"/>
        </w:rPr>
        <w:t>triệu</w:t>
      </w:r>
      <w:proofErr w:type="spellEnd"/>
      <w:r w:rsidRPr="002136F3">
        <w:rPr>
          <w:rFonts w:ascii="Times New Roman" w:hAnsi="Times New Roman"/>
          <w:color w:val="000000"/>
          <w:sz w:val="24"/>
          <w:szCs w:val="24"/>
        </w:rPr>
        <w:t>/</w:t>
      </w:r>
      <w:proofErr w:type="spellStart"/>
      <w:r w:rsidRPr="002136F3">
        <w:rPr>
          <w:rFonts w:ascii="Times New Roman" w:hAnsi="Times New Roman"/>
          <w:color w:val="000000"/>
          <w:sz w:val="24"/>
          <w:szCs w:val="24"/>
        </w:rPr>
        <w:t>tháng</w:t>
      </w:r>
      <w:proofErr w:type="spellEnd"/>
      <w:r w:rsidRPr="002136F3">
        <w:rPr>
          <w:rFonts w:ascii="Times New Roman" w:hAnsi="Times New Roman"/>
          <w:color w:val="000000"/>
          <w:sz w:val="24"/>
          <w:szCs w:val="24"/>
        </w:rPr>
        <w:t xml:space="preserve">. </w:t>
      </w:r>
    </w:p>
    <w:p w14:paraId="598B2328" w14:textId="5A7BDC34" w:rsidR="001B68EE" w:rsidRPr="001F2E8F" w:rsidRDefault="001B68EE" w:rsidP="001F2E8F">
      <w:pPr>
        <w:spacing w:before="120" w:after="120" w:line="312" w:lineRule="auto"/>
        <w:ind w:left="180" w:right="259"/>
        <w:jc w:val="both"/>
        <w:rPr>
          <w:rFonts w:ascii="Times New Roman" w:hAnsi="Times New Roman"/>
          <w:i/>
          <w:iCs/>
          <w:color w:val="000000"/>
          <w:sz w:val="24"/>
          <w:szCs w:val="24"/>
          <w:lang w:val="vi-VN"/>
        </w:rPr>
      </w:pPr>
      <w:r w:rsidRPr="001F2E8F">
        <w:rPr>
          <w:rFonts w:ascii="Times New Roman" w:hAnsi="Times New Roman"/>
          <w:i/>
          <w:iCs/>
          <w:color w:val="000000"/>
          <w:sz w:val="24"/>
          <w:szCs w:val="24"/>
        </w:rPr>
        <w:t>Total</w:t>
      </w:r>
      <w:r w:rsidRPr="001F2E8F">
        <w:rPr>
          <w:rFonts w:ascii="Times New Roman" w:hAnsi="Times New Roman"/>
          <w:i/>
          <w:iCs/>
          <w:color w:val="000000"/>
          <w:sz w:val="24"/>
          <w:szCs w:val="24"/>
          <w:lang w:val="vi-VN"/>
        </w:rPr>
        <w:t xml:space="preserve"> minimum fee amount for Supervisory Service, Custody Service and Administration service is 50 million per month. </w:t>
      </w:r>
    </w:p>
    <w:p w14:paraId="698BC1F4" w14:textId="7174429B" w:rsidR="00B9506A" w:rsidRPr="002136F3" w:rsidRDefault="00B34807" w:rsidP="001F2E8F">
      <w:pPr>
        <w:spacing w:before="120" w:after="120" w:line="312" w:lineRule="auto"/>
        <w:ind w:left="180" w:right="259"/>
        <w:jc w:val="both"/>
        <w:rPr>
          <w:rFonts w:ascii="Times New Roman" w:hAnsi="Times New Roman"/>
          <w:color w:val="000000"/>
          <w:sz w:val="24"/>
          <w:szCs w:val="24"/>
        </w:rPr>
      </w:pPr>
      <w:proofErr w:type="spellStart"/>
      <w:r w:rsidRPr="002136F3">
        <w:rPr>
          <w:rFonts w:ascii="Times New Roman" w:hAnsi="Times New Roman"/>
          <w:color w:val="000000"/>
          <w:sz w:val="24"/>
          <w:szCs w:val="24"/>
        </w:rPr>
        <w:t>Các</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giá</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dịch</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vụ</w:t>
      </w:r>
      <w:proofErr w:type="spellEnd"/>
      <w:r w:rsidR="00E70229" w:rsidRPr="002136F3">
        <w:rPr>
          <w:rFonts w:ascii="Times New Roman" w:hAnsi="Times New Roman"/>
          <w:color w:val="000000"/>
          <w:sz w:val="24"/>
          <w:szCs w:val="24"/>
        </w:rPr>
        <w:t xml:space="preserve"> </w:t>
      </w:r>
      <w:proofErr w:type="spellStart"/>
      <w:r w:rsidR="00E70229" w:rsidRPr="002136F3">
        <w:rPr>
          <w:rFonts w:ascii="Times New Roman" w:hAnsi="Times New Roman"/>
          <w:color w:val="000000"/>
          <w:sz w:val="24"/>
          <w:szCs w:val="24"/>
        </w:rPr>
        <w:t>trên</w:t>
      </w:r>
      <w:proofErr w:type="spellEnd"/>
      <w:r w:rsidR="00E70229" w:rsidRPr="002136F3">
        <w:rPr>
          <w:rFonts w:ascii="Times New Roman" w:hAnsi="Times New Roman"/>
          <w:color w:val="000000"/>
          <w:sz w:val="24"/>
          <w:szCs w:val="24"/>
        </w:rPr>
        <w:t xml:space="preserve"> </w:t>
      </w:r>
      <w:proofErr w:type="spellStart"/>
      <w:r w:rsidR="00E70229" w:rsidRPr="002136F3">
        <w:rPr>
          <w:rFonts w:ascii="Times New Roman" w:hAnsi="Times New Roman"/>
          <w:color w:val="000000"/>
          <w:sz w:val="24"/>
          <w:szCs w:val="24"/>
        </w:rPr>
        <w:t>được</w:t>
      </w:r>
      <w:proofErr w:type="spellEnd"/>
      <w:r w:rsidR="00E70229" w:rsidRPr="002136F3">
        <w:rPr>
          <w:rFonts w:ascii="Times New Roman" w:hAnsi="Times New Roman"/>
          <w:color w:val="000000"/>
          <w:sz w:val="24"/>
          <w:szCs w:val="24"/>
        </w:rPr>
        <w:t xml:space="preserve"> </w:t>
      </w:r>
      <w:proofErr w:type="spellStart"/>
      <w:r w:rsidR="00E70229" w:rsidRPr="002136F3">
        <w:rPr>
          <w:rFonts w:ascii="Times New Roman" w:hAnsi="Times New Roman"/>
          <w:color w:val="000000"/>
          <w:sz w:val="24"/>
          <w:szCs w:val="24"/>
        </w:rPr>
        <w:t>tính</w:t>
      </w:r>
      <w:proofErr w:type="spellEnd"/>
      <w:r w:rsidR="00E70229" w:rsidRPr="002136F3">
        <w:rPr>
          <w:rFonts w:ascii="Times New Roman" w:hAnsi="Times New Roman"/>
          <w:color w:val="000000"/>
          <w:sz w:val="24"/>
          <w:szCs w:val="24"/>
        </w:rPr>
        <w:t xml:space="preserve"> </w:t>
      </w:r>
      <w:proofErr w:type="spellStart"/>
      <w:r w:rsidR="00E70229" w:rsidRPr="002136F3">
        <w:rPr>
          <w:rFonts w:ascii="Times New Roman" w:hAnsi="Times New Roman"/>
          <w:color w:val="000000"/>
          <w:sz w:val="24"/>
          <w:szCs w:val="24"/>
        </w:rPr>
        <w:t>vào</w:t>
      </w:r>
      <w:proofErr w:type="spellEnd"/>
      <w:r w:rsidR="00E70229" w:rsidRPr="002136F3">
        <w:rPr>
          <w:rFonts w:ascii="Times New Roman" w:hAnsi="Times New Roman"/>
          <w:color w:val="000000"/>
          <w:sz w:val="24"/>
          <w:szCs w:val="24"/>
        </w:rPr>
        <w:t xml:space="preserve"> </w:t>
      </w:r>
      <w:proofErr w:type="spellStart"/>
      <w:r w:rsidR="00E70229" w:rsidRPr="002136F3">
        <w:rPr>
          <w:rFonts w:ascii="Times New Roman" w:hAnsi="Times New Roman"/>
          <w:color w:val="000000"/>
          <w:sz w:val="24"/>
          <w:szCs w:val="24"/>
        </w:rPr>
        <w:t>mỗi</w:t>
      </w:r>
      <w:proofErr w:type="spellEnd"/>
      <w:r w:rsidR="00E70229" w:rsidRPr="002136F3">
        <w:rPr>
          <w:rFonts w:ascii="Times New Roman" w:hAnsi="Times New Roman"/>
          <w:color w:val="000000"/>
          <w:sz w:val="24"/>
          <w:szCs w:val="24"/>
        </w:rPr>
        <w:t xml:space="preserve"> </w:t>
      </w:r>
      <w:proofErr w:type="spellStart"/>
      <w:r w:rsidR="00E70229" w:rsidRPr="002136F3">
        <w:rPr>
          <w:rFonts w:ascii="Times New Roman" w:hAnsi="Times New Roman"/>
          <w:color w:val="000000"/>
          <w:sz w:val="24"/>
          <w:szCs w:val="24"/>
        </w:rPr>
        <w:t>kỳ</w:t>
      </w:r>
      <w:proofErr w:type="spellEnd"/>
      <w:r w:rsidR="00E70229" w:rsidRPr="002136F3">
        <w:rPr>
          <w:rFonts w:ascii="Times New Roman" w:hAnsi="Times New Roman"/>
          <w:color w:val="000000"/>
          <w:sz w:val="24"/>
          <w:szCs w:val="24"/>
        </w:rPr>
        <w:t xml:space="preserve"> </w:t>
      </w:r>
      <w:proofErr w:type="spellStart"/>
      <w:r w:rsidR="00E70229" w:rsidRPr="002136F3">
        <w:rPr>
          <w:rFonts w:ascii="Times New Roman" w:hAnsi="Times New Roman"/>
          <w:color w:val="000000"/>
          <w:sz w:val="24"/>
          <w:szCs w:val="24"/>
        </w:rPr>
        <w:t>định</w:t>
      </w:r>
      <w:proofErr w:type="spellEnd"/>
      <w:r w:rsidR="00E70229" w:rsidRPr="002136F3">
        <w:rPr>
          <w:rFonts w:ascii="Times New Roman" w:hAnsi="Times New Roman"/>
          <w:color w:val="000000"/>
          <w:sz w:val="24"/>
          <w:szCs w:val="24"/>
        </w:rPr>
        <w:t xml:space="preserve"> </w:t>
      </w:r>
      <w:proofErr w:type="spellStart"/>
      <w:r w:rsidR="00E70229" w:rsidRPr="002136F3">
        <w:rPr>
          <w:rFonts w:ascii="Times New Roman" w:hAnsi="Times New Roman"/>
          <w:color w:val="000000"/>
          <w:sz w:val="24"/>
          <w:szCs w:val="24"/>
        </w:rPr>
        <w:t>giá</w:t>
      </w:r>
      <w:proofErr w:type="spellEnd"/>
      <w:r w:rsidR="00E70229" w:rsidRPr="002136F3">
        <w:rPr>
          <w:rFonts w:ascii="Times New Roman" w:hAnsi="Times New Roman"/>
          <w:color w:val="000000"/>
          <w:sz w:val="24"/>
          <w:szCs w:val="24"/>
        </w:rPr>
        <w:t xml:space="preserve"> </w:t>
      </w:r>
      <w:proofErr w:type="spellStart"/>
      <w:r w:rsidR="00E70229" w:rsidRPr="002136F3">
        <w:rPr>
          <w:rFonts w:ascii="Times New Roman" w:hAnsi="Times New Roman"/>
          <w:color w:val="000000"/>
          <w:sz w:val="24"/>
          <w:szCs w:val="24"/>
        </w:rPr>
        <w:t>dựa</w:t>
      </w:r>
      <w:proofErr w:type="spellEnd"/>
      <w:r w:rsidR="00E70229" w:rsidRPr="002136F3">
        <w:rPr>
          <w:rFonts w:ascii="Times New Roman" w:hAnsi="Times New Roman"/>
          <w:color w:val="000000"/>
          <w:sz w:val="24"/>
          <w:szCs w:val="24"/>
        </w:rPr>
        <w:t xml:space="preserve"> </w:t>
      </w:r>
      <w:proofErr w:type="spellStart"/>
      <w:r w:rsidR="00E70229" w:rsidRPr="002136F3">
        <w:rPr>
          <w:rFonts w:ascii="Times New Roman" w:hAnsi="Times New Roman"/>
          <w:color w:val="000000"/>
          <w:sz w:val="24"/>
          <w:szCs w:val="24"/>
        </w:rPr>
        <w:t>trên</w:t>
      </w:r>
      <w:proofErr w:type="spellEnd"/>
      <w:r w:rsidR="00E70229" w:rsidRPr="002136F3">
        <w:rPr>
          <w:rFonts w:ascii="Times New Roman" w:hAnsi="Times New Roman"/>
          <w:color w:val="000000"/>
          <w:sz w:val="24"/>
          <w:szCs w:val="24"/>
        </w:rPr>
        <w:t xml:space="preserve"> NAV </w:t>
      </w:r>
      <w:proofErr w:type="spellStart"/>
      <w:r w:rsidR="00E70229" w:rsidRPr="002136F3">
        <w:rPr>
          <w:rFonts w:ascii="Times New Roman" w:hAnsi="Times New Roman"/>
          <w:color w:val="000000"/>
          <w:sz w:val="24"/>
          <w:szCs w:val="24"/>
        </w:rPr>
        <w:t>trước</w:t>
      </w:r>
      <w:proofErr w:type="spellEnd"/>
      <w:r w:rsidR="00E70229" w:rsidRPr="002136F3">
        <w:rPr>
          <w:rFonts w:ascii="Times New Roman" w:hAnsi="Times New Roman"/>
          <w:color w:val="000000"/>
          <w:sz w:val="24"/>
          <w:szCs w:val="24"/>
        </w:rPr>
        <w:t xml:space="preserve"> </w:t>
      </w:r>
      <w:proofErr w:type="spellStart"/>
      <w:r w:rsidR="00E70229" w:rsidRPr="002136F3">
        <w:rPr>
          <w:rFonts w:ascii="Times New Roman" w:hAnsi="Times New Roman"/>
          <w:color w:val="000000"/>
          <w:sz w:val="24"/>
          <w:szCs w:val="24"/>
        </w:rPr>
        <w:t>phí</w:t>
      </w:r>
      <w:proofErr w:type="spellEnd"/>
      <w:r w:rsidR="00E70229" w:rsidRPr="002136F3">
        <w:rPr>
          <w:rFonts w:ascii="Times New Roman" w:hAnsi="Times New Roman"/>
          <w:color w:val="000000"/>
          <w:sz w:val="24"/>
          <w:szCs w:val="24"/>
        </w:rPr>
        <w:t xml:space="preserve"> </w:t>
      </w:r>
      <w:proofErr w:type="spellStart"/>
      <w:r w:rsidR="00E70229" w:rsidRPr="002136F3">
        <w:rPr>
          <w:rFonts w:ascii="Times New Roman" w:hAnsi="Times New Roman"/>
          <w:color w:val="000000"/>
          <w:sz w:val="24"/>
          <w:szCs w:val="24"/>
        </w:rPr>
        <w:t>tại</w:t>
      </w:r>
      <w:proofErr w:type="spellEnd"/>
      <w:r w:rsidR="00E70229" w:rsidRPr="002136F3">
        <w:rPr>
          <w:rFonts w:ascii="Times New Roman" w:hAnsi="Times New Roman"/>
          <w:color w:val="000000"/>
          <w:sz w:val="24"/>
          <w:szCs w:val="24"/>
        </w:rPr>
        <w:t xml:space="preserve"> </w:t>
      </w:r>
      <w:proofErr w:type="spellStart"/>
      <w:r w:rsidR="00E70229" w:rsidRPr="002136F3">
        <w:rPr>
          <w:rFonts w:ascii="Times New Roman" w:hAnsi="Times New Roman"/>
          <w:color w:val="000000"/>
          <w:sz w:val="24"/>
          <w:szCs w:val="24"/>
        </w:rPr>
        <w:t>ngày</w:t>
      </w:r>
      <w:proofErr w:type="spellEnd"/>
      <w:r w:rsidR="00E70229" w:rsidRPr="002136F3">
        <w:rPr>
          <w:rFonts w:ascii="Times New Roman" w:hAnsi="Times New Roman"/>
          <w:color w:val="000000"/>
          <w:sz w:val="24"/>
          <w:szCs w:val="24"/>
        </w:rPr>
        <w:t xml:space="preserve"> </w:t>
      </w:r>
      <w:proofErr w:type="spellStart"/>
      <w:r w:rsidR="00E70229" w:rsidRPr="002136F3">
        <w:rPr>
          <w:rFonts w:ascii="Times New Roman" w:hAnsi="Times New Roman"/>
          <w:color w:val="000000"/>
          <w:sz w:val="24"/>
          <w:szCs w:val="24"/>
        </w:rPr>
        <w:t>trước</w:t>
      </w:r>
      <w:proofErr w:type="spellEnd"/>
      <w:r w:rsidR="00E70229" w:rsidRPr="002136F3">
        <w:rPr>
          <w:rFonts w:ascii="Times New Roman" w:hAnsi="Times New Roman"/>
          <w:color w:val="000000"/>
          <w:sz w:val="24"/>
          <w:szCs w:val="24"/>
        </w:rPr>
        <w:t xml:space="preserve"> </w:t>
      </w:r>
      <w:proofErr w:type="spellStart"/>
      <w:r w:rsidR="00E70229" w:rsidRPr="002136F3">
        <w:rPr>
          <w:rFonts w:ascii="Times New Roman" w:hAnsi="Times New Roman"/>
          <w:color w:val="000000"/>
          <w:sz w:val="24"/>
          <w:szCs w:val="24"/>
        </w:rPr>
        <w:t>ngày</w:t>
      </w:r>
      <w:proofErr w:type="spellEnd"/>
      <w:r w:rsidR="00E70229" w:rsidRPr="002136F3">
        <w:rPr>
          <w:rFonts w:ascii="Times New Roman" w:hAnsi="Times New Roman"/>
          <w:color w:val="000000"/>
          <w:sz w:val="24"/>
          <w:szCs w:val="24"/>
        </w:rPr>
        <w:t xml:space="preserve"> </w:t>
      </w:r>
      <w:proofErr w:type="spellStart"/>
      <w:r w:rsidR="00E70229" w:rsidRPr="002136F3">
        <w:rPr>
          <w:rFonts w:ascii="Times New Roman" w:hAnsi="Times New Roman"/>
          <w:color w:val="000000"/>
          <w:sz w:val="24"/>
          <w:szCs w:val="24"/>
        </w:rPr>
        <w:t>định</w:t>
      </w:r>
      <w:proofErr w:type="spellEnd"/>
      <w:r w:rsidR="00E70229" w:rsidRPr="002136F3">
        <w:rPr>
          <w:rFonts w:ascii="Times New Roman" w:hAnsi="Times New Roman"/>
          <w:color w:val="000000"/>
          <w:sz w:val="24"/>
          <w:szCs w:val="24"/>
        </w:rPr>
        <w:t xml:space="preserve"> </w:t>
      </w:r>
      <w:proofErr w:type="spellStart"/>
      <w:r w:rsidR="00E70229" w:rsidRPr="002136F3">
        <w:rPr>
          <w:rFonts w:ascii="Times New Roman" w:hAnsi="Times New Roman"/>
          <w:color w:val="000000"/>
          <w:sz w:val="24"/>
          <w:szCs w:val="24"/>
        </w:rPr>
        <w:t>giá</w:t>
      </w:r>
      <w:proofErr w:type="spellEnd"/>
      <w:r w:rsidR="00E70229" w:rsidRPr="002136F3">
        <w:rPr>
          <w:rFonts w:ascii="Times New Roman" w:hAnsi="Times New Roman"/>
          <w:color w:val="000000"/>
          <w:sz w:val="24"/>
          <w:szCs w:val="24"/>
        </w:rPr>
        <w:t xml:space="preserve"> </w:t>
      </w:r>
      <w:proofErr w:type="spellStart"/>
      <w:r w:rsidR="00E70229" w:rsidRPr="002136F3">
        <w:rPr>
          <w:rFonts w:ascii="Times New Roman" w:hAnsi="Times New Roman"/>
          <w:color w:val="000000"/>
          <w:sz w:val="24"/>
          <w:szCs w:val="24"/>
        </w:rPr>
        <w:t>và</w:t>
      </w:r>
      <w:proofErr w:type="spellEnd"/>
      <w:r w:rsidR="00E70229" w:rsidRPr="002136F3">
        <w:rPr>
          <w:rFonts w:ascii="Times New Roman" w:hAnsi="Times New Roman"/>
          <w:color w:val="000000"/>
          <w:sz w:val="24"/>
          <w:szCs w:val="24"/>
        </w:rPr>
        <w:t xml:space="preserve"> </w:t>
      </w:r>
      <w:proofErr w:type="spellStart"/>
      <w:r w:rsidR="00E70229" w:rsidRPr="002136F3">
        <w:rPr>
          <w:rFonts w:ascii="Times New Roman" w:hAnsi="Times New Roman"/>
          <w:color w:val="000000"/>
          <w:sz w:val="24"/>
          <w:szCs w:val="24"/>
        </w:rPr>
        <w:t>được</w:t>
      </w:r>
      <w:proofErr w:type="spellEnd"/>
      <w:r w:rsidR="00E70229" w:rsidRPr="002136F3">
        <w:rPr>
          <w:rFonts w:ascii="Times New Roman" w:hAnsi="Times New Roman"/>
          <w:color w:val="000000"/>
          <w:sz w:val="24"/>
          <w:szCs w:val="24"/>
        </w:rPr>
        <w:t xml:space="preserve"> </w:t>
      </w:r>
      <w:proofErr w:type="spellStart"/>
      <w:r w:rsidR="00E70229" w:rsidRPr="002136F3">
        <w:rPr>
          <w:rFonts w:ascii="Times New Roman" w:hAnsi="Times New Roman"/>
          <w:color w:val="000000"/>
          <w:sz w:val="24"/>
          <w:szCs w:val="24"/>
        </w:rPr>
        <w:t>trả</w:t>
      </w:r>
      <w:proofErr w:type="spellEnd"/>
      <w:r w:rsidR="00E70229" w:rsidRPr="002136F3">
        <w:rPr>
          <w:rFonts w:ascii="Times New Roman" w:hAnsi="Times New Roman"/>
          <w:color w:val="000000"/>
          <w:sz w:val="24"/>
          <w:szCs w:val="24"/>
        </w:rPr>
        <w:t xml:space="preserve"> </w:t>
      </w:r>
      <w:proofErr w:type="spellStart"/>
      <w:r w:rsidR="00E70229" w:rsidRPr="002136F3">
        <w:rPr>
          <w:rFonts w:ascii="Times New Roman" w:hAnsi="Times New Roman"/>
          <w:color w:val="000000"/>
          <w:sz w:val="24"/>
          <w:szCs w:val="24"/>
        </w:rPr>
        <w:t>hàng</w:t>
      </w:r>
      <w:proofErr w:type="spellEnd"/>
      <w:r w:rsidR="00E70229" w:rsidRPr="002136F3">
        <w:rPr>
          <w:rFonts w:ascii="Times New Roman" w:hAnsi="Times New Roman"/>
          <w:color w:val="000000"/>
          <w:sz w:val="24"/>
          <w:szCs w:val="24"/>
        </w:rPr>
        <w:t xml:space="preserve"> </w:t>
      </w:r>
      <w:proofErr w:type="spellStart"/>
      <w:r w:rsidR="00E70229" w:rsidRPr="002136F3">
        <w:rPr>
          <w:rFonts w:ascii="Times New Roman" w:hAnsi="Times New Roman"/>
          <w:color w:val="000000"/>
          <w:sz w:val="24"/>
          <w:szCs w:val="24"/>
        </w:rPr>
        <w:t>tháng</w:t>
      </w:r>
      <w:proofErr w:type="spellEnd"/>
      <w:r w:rsidR="002C6E80" w:rsidRPr="002136F3">
        <w:rPr>
          <w:rFonts w:ascii="Times New Roman" w:hAnsi="Times New Roman"/>
          <w:color w:val="000000"/>
          <w:sz w:val="24"/>
          <w:szCs w:val="24"/>
        </w:rPr>
        <w:t xml:space="preserve">. </w:t>
      </w:r>
      <w:proofErr w:type="spellStart"/>
      <w:r w:rsidR="002C6E80" w:rsidRPr="002136F3">
        <w:rPr>
          <w:rFonts w:ascii="Times New Roman" w:hAnsi="Times New Roman"/>
          <w:color w:val="000000"/>
          <w:sz w:val="24"/>
          <w:szCs w:val="24"/>
        </w:rPr>
        <w:t>S</w:t>
      </w:r>
      <w:r w:rsidR="00E70229" w:rsidRPr="002136F3">
        <w:rPr>
          <w:rFonts w:ascii="Times New Roman" w:hAnsi="Times New Roman"/>
          <w:color w:val="000000"/>
          <w:sz w:val="24"/>
          <w:szCs w:val="24"/>
        </w:rPr>
        <w:t>ố</w:t>
      </w:r>
      <w:proofErr w:type="spellEnd"/>
      <w:r w:rsidR="00300440" w:rsidRPr="002136F3">
        <w:rPr>
          <w:rFonts w:ascii="Times New Roman" w:hAnsi="Times New Roman"/>
          <w:color w:val="000000"/>
          <w:sz w:val="24"/>
          <w:szCs w:val="24"/>
        </w:rPr>
        <w:t xml:space="preserve"> </w:t>
      </w:r>
      <w:proofErr w:type="spellStart"/>
      <w:r w:rsidR="00300440" w:rsidRPr="002136F3">
        <w:rPr>
          <w:rFonts w:ascii="Times New Roman" w:hAnsi="Times New Roman"/>
          <w:color w:val="000000"/>
          <w:sz w:val="24"/>
          <w:szCs w:val="24"/>
        </w:rPr>
        <w:t>giá</w:t>
      </w:r>
      <w:proofErr w:type="spellEnd"/>
      <w:r w:rsidR="00300440" w:rsidRPr="002136F3">
        <w:rPr>
          <w:rFonts w:ascii="Times New Roman" w:hAnsi="Times New Roman"/>
          <w:color w:val="000000"/>
          <w:sz w:val="24"/>
          <w:szCs w:val="24"/>
        </w:rPr>
        <w:t xml:space="preserve"> </w:t>
      </w:r>
      <w:proofErr w:type="spellStart"/>
      <w:r w:rsidR="00300440" w:rsidRPr="002136F3">
        <w:rPr>
          <w:rFonts w:ascii="Times New Roman" w:hAnsi="Times New Roman"/>
          <w:color w:val="000000"/>
          <w:sz w:val="24"/>
          <w:szCs w:val="24"/>
        </w:rPr>
        <w:t>dịch</w:t>
      </w:r>
      <w:proofErr w:type="spellEnd"/>
      <w:r w:rsidR="00300440" w:rsidRPr="002136F3">
        <w:rPr>
          <w:rFonts w:ascii="Times New Roman" w:hAnsi="Times New Roman"/>
          <w:color w:val="000000"/>
          <w:sz w:val="24"/>
          <w:szCs w:val="24"/>
        </w:rPr>
        <w:t xml:space="preserve"> </w:t>
      </w:r>
      <w:proofErr w:type="spellStart"/>
      <w:r w:rsidR="00300440" w:rsidRPr="002136F3">
        <w:rPr>
          <w:rFonts w:ascii="Times New Roman" w:hAnsi="Times New Roman"/>
          <w:color w:val="000000"/>
          <w:sz w:val="24"/>
          <w:szCs w:val="24"/>
        </w:rPr>
        <w:t>vụ</w:t>
      </w:r>
      <w:proofErr w:type="spellEnd"/>
      <w:r w:rsidR="00E70229" w:rsidRPr="002136F3">
        <w:rPr>
          <w:rFonts w:ascii="Times New Roman" w:hAnsi="Times New Roman"/>
          <w:color w:val="000000"/>
          <w:sz w:val="24"/>
          <w:szCs w:val="24"/>
        </w:rPr>
        <w:t xml:space="preserve"> </w:t>
      </w:r>
      <w:proofErr w:type="spellStart"/>
      <w:r w:rsidR="00E70229" w:rsidRPr="002136F3">
        <w:rPr>
          <w:rFonts w:ascii="Times New Roman" w:hAnsi="Times New Roman"/>
          <w:color w:val="000000"/>
          <w:sz w:val="24"/>
          <w:szCs w:val="24"/>
        </w:rPr>
        <w:t>trả</w:t>
      </w:r>
      <w:proofErr w:type="spellEnd"/>
      <w:r w:rsidR="00E70229" w:rsidRPr="002136F3">
        <w:rPr>
          <w:rFonts w:ascii="Times New Roman" w:hAnsi="Times New Roman"/>
          <w:color w:val="000000"/>
          <w:sz w:val="24"/>
          <w:szCs w:val="24"/>
        </w:rPr>
        <w:t xml:space="preserve"> </w:t>
      </w:r>
      <w:proofErr w:type="spellStart"/>
      <w:r w:rsidR="00E70229" w:rsidRPr="002136F3">
        <w:rPr>
          <w:rFonts w:ascii="Times New Roman" w:hAnsi="Times New Roman"/>
          <w:color w:val="000000"/>
          <w:sz w:val="24"/>
          <w:szCs w:val="24"/>
        </w:rPr>
        <w:t>hàng</w:t>
      </w:r>
      <w:proofErr w:type="spellEnd"/>
      <w:r w:rsidR="00E70229" w:rsidRPr="002136F3">
        <w:rPr>
          <w:rFonts w:ascii="Times New Roman" w:hAnsi="Times New Roman"/>
          <w:color w:val="000000"/>
          <w:sz w:val="24"/>
          <w:szCs w:val="24"/>
        </w:rPr>
        <w:t xml:space="preserve"> </w:t>
      </w:r>
      <w:proofErr w:type="spellStart"/>
      <w:r w:rsidR="00E70229" w:rsidRPr="002136F3">
        <w:rPr>
          <w:rFonts w:ascii="Times New Roman" w:hAnsi="Times New Roman"/>
          <w:color w:val="000000"/>
          <w:sz w:val="24"/>
          <w:szCs w:val="24"/>
        </w:rPr>
        <w:t>tháng</w:t>
      </w:r>
      <w:proofErr w:type="spellEnd"/>
      <w:r w:rsidR="00E70229" w:rsidRPr="002136F3">
        <w:rPr>
          <w:rFonts w:ascii="Times New Roman" w:hAnsi="Times New Roman"/>
          <w:color w:val="000000"/>
          <w:sz w:val="24"/>
          <w:szCs w:val="24"/>
        </w:rPr>
        <w:t xml:space="preserve"> </w:t>
      </w:r>
      <w:proofErr w:type="spellStart"/>
      <w:r w:rsidR="00E70229" w:rsidRPr="002136F3">
        <w:rPr>
          <w:rFonts w:ascii="Times New Roman" w:hAnsi="Times New Roman"/>
          <w:color w:val="000000"/>
          <w:sz w:val="24"/>
          <w:szCs w:val="24"/>
        </w:rPr>
        <w:t>là</w:t>
      </w:r>
      <w:proofErr w:type="spellEnd"/>
      <w:r w:rsidR="00E70229" w:rsidRPr="002136F3">
        <w:rPr>
          <w:rFonts w:ascii="Times New Roman" w:hAnsi="Times New Roman"/>
          <w:color w:val="000000"/>
          <w:sz w:val="24"/>
          <w:szCs w:val="24"/>
        </w:rPr>
        <w:t xml:space="preserve"> </w:t>
      </w:r>
      <w:proofErr w:type="spellStart"/>
      <w:r w:rsidR="00E70229" w:rsidRPr="002136F3">
        <w:rPr>
          <w:rFonts w:ascii="Times New Roman" w:hAnsi="Times New Roman"/>
          <w:color w:val="000000"/>
          <w:sz w:val="24"/>
          <w:szCs w:val="24"/>
        </w:rPr>
        <w:t>tổng</w:t>
      </w:r>
      <w:proofErr w:type="spellEnd"/>
      <w:r w:rsidR="00E70229" w:rsidRPr="002136F3">
        <w:rPr>
          <w:rFonts w:ascii="Times New Roman" w:hAnsi="Times New Roman"/>
          <w:color w:val="000000"/>
          <w:sz w:val="24"/>
          <w:szCs w:val="24"/>
        </w:rPr>
        <w:t xml:space="preserve"> </w:t>
      </w:r>
      <w:proofErr w:type="spellStart"/>
      <w:r w:rsidR="00E70229" w:rsidRPr="002136F3">
        <w:rPr>
          <w:rFonts w:ascii="Times New Roman" w:hAnsi="Times New Roman"/>
          <w:color w:val="000000"/>
          <w:sz w:val="24"/>
          <w:szCs w:val="24"/>
        </w:rPr>
        <w:t>số</w:t>
      </w:r>
      <w:proofErr w:type="spellEnd"/>
      <w:r w:rsidR="00806A47" w:rsidRPr="002136F3">
        <w:rPr>
          <w:rFonts w:ascii="Times New Roman" w:hAnsi="Times New Roman"/>
          <w:color w:val="000000"/>
          <w:sz w:val="24"/>
          <w:szCs w:val="24"/>
        </w:rPr>
        <w:t xml:space="preserve"> </w:t>
      </w:r>
      <w:proofErr w:type="spellStart"/>
      <w:r w:rsidR="00806A47" w:rsidRPr="002136F3">
        <w:rPr>
          <w:rFonts w:ascii="Times New Roman" w:hAnsi="Times New Roman"/>
          <w:color w:val="000000"/>
          <w:sz w:val="24"/>
          <w:szCs w:val="24"/>
        </w:rPr>
        <w:t>giá</w:t>
      </w:r>
      <w:proofErr w:type="spellEnd"/>
      <w:r w:rsidR="00806A47" w:rsidRPr="002136F3">
        <w:rPr>
          <w:rFonts w:ascii="Times New Roman" w:hAnsi="Times New Roman"/>
          <w:color w:val="000000"/>
          <w:sz w:val="24"/>
          <w:szCs w:val="24"/>
        </w:rPr>
        <w:t xml:space="preserve"> </w:t>
      </w:r>
      <w:proofErr w:type="spellStart"/>
      <w:r w:rsidR="00806A47" w:rsidRPr="002136F3">
        <w:rPr>
          <w:rFonts w:ascii="Times New Roman" w:hAnsi="Times New Roman"/>
          <w:color w:val="000000"/>
          <w:sz w:val="24"/>
          <w:szCs w:val="24"/>
        </w:rPr>
        <w:t>dịch</w:t>
      </w:r>
      <w:proofErr w:type="spellEnd"/>
      <w:r w:rsidR="00806A47" w:rsidRPr="002136F3">
        <w:rPr>
          <w:rFonts w:ascii="Times New Roman" w:hAnsi="Times New Roman"/>
          <w:color w:val="000000"/>
          <w:sz w:val="24"/>
          <w:szCs w:val="24"/>
        </w:rPr>
        <w:t xml:space="preserve"> </w:t>
      </w:r>
      <w:proofErr w:type="spellStart"/>
      <w:r w:rsidR="00806A47" w:rsidRPr="002136F3">
        <w:rPr>
          <w:rFonts w:ascii="Times New Roman" w:hAnsi="Times New Roman"/>
          <w:color w:val="000000"/>
          <w:sz w:val="24"/>
          <w:szCs w:val="24"/>
        </w:rPr>
        <w:t>vụ</w:t>
      </w:r>
      <w:proofErr w:type="spellEnd"/>
      <w:r w:rsidR="00E70229" w:rsidRPr="002136F3">
        <w:rPr>
          <w:rFonts w:ascii="Times New Roman" w:hAnsi="Times New Roman"/>
          <w:color w:val="000000"/>
          <w:sz w:val="24"/>
          <w:szCs w:val="24"/>
        </w:rPr>
        <w:t xml:space="preserve"> </w:t>
      </w:r>
      <w:proofErr w:type="spellStart"/>
      <w:r w:rsidR="00E70229" w:rsidRPr="002136F3">
        <w:rPr>
          <w:rFonts w:ascii="Times New Roman" w:hAnsi="Times New Roman"/>
          <w:color w:val="000000"/>
          <w:sz w:val="24"/>
          <w:szCs w:val="24"/>
        </w:rPr>
        <w:t>được</w:t>
      </w:r>
      <w:proofErr w:type="spellEnd"/>
      <w:r w:rsidR="00E70229" w:rsidRPr="002136F3">
        <w:rPr>
          <w:rFonts w:ascii="Times New Roman" w:hAnsi="Times New Roman"/>
          <w:color w:val="000000"/>
          <w:sz w:val="24"/>
          <w:szCs w:val="24"/>
        </w:rPr>
        <w:t xml:space="preserve"> </w:t>
      </w:r>
      <w:proofErr w:type="spellStart"/>
      <w:r w:rsidR="00E70229" w:rsidRPr="002136F3">
        <w:rPr>
          <w:rFonts w:ascii="Times New Roman" w:hAnsi="Times New Roman"/>
          <w:color w:val="000000"/>
          <w:sz w:val="24"/>
          <w:szCs w:val="24"/>
        </w:rPr>
        <w:t>tính</w:t>
      </w:r>
      <w:proofErr w:type="spellEnd"/>
      <w:r w:rsidR="00E70229" w:rsidRPr="002136F3">
        <w:rPr>
          <w:rFonts w:ascii="Times New Roman" w:hAnsi="Times New Roman"/>
          <w:color w:val="000000"/>
          <w:sz w:val="24"/>
          <w:szCs w:val="24"/>
        </w:rPr>
        <w:t xml:space="preserve"> </w:t>
      </w:r>
      <w:proofErr w:type="spellStart"/>
      <w:r w:rsidR="00E70229" w:rsidRPr="002136F3">
        <w:rPr>
          <w:rFonts w:ascii="Times New Roman" w:hAnsi="Times New Roman"/>
          <w:color w:val="000000"/>
          <w:sz w:val="24"/>
          <w:szCs w:val="24"/>
        </w:rPr>
        <w:t>cho</w:t>
      </w:r>
      <w:proofErr w:type="spellEnd"/>
      <w:r w:rsidR="00E70229" w:rsidRPr="002136F3">
        <w:rPr>
          <w:rFonts w:ascii="Times New Roman" w:hAnsi="Times New Roman"/>
          <w:color w:val="000000"/>
          <w:sz w:val="24"/>
          <w:szCs w:val="24"/>
        </w:rPr>
        <w:t xml:space="preserve"> </w:t>
      </w:r>
      <w:proofErr w:type="spellStart"/>
      <w:r w:rsidR="00E70229" w:rsidRPr="002136F3">
        <w:rPr>
          <w:rFonts w:ascii="Times New Roman" w:hAnsi="Times New Roman"/>
          <w:color w:val="000000"/>
          <w:sz w:val="24"/>
          <w:szCs w:val="24"/>
        </w:rPr>
        <w:t>các</w:t>
      </w:r>
      <w:proofErr w:type="spellEnd"/>
      <w:r w:rsidR="00E70229" w:rsidRPr="002136F3">
        <w:rPr>
          <w:rFonts w:ascii="Times New Roman" w:hAnsi="Times New Roman"/>
          <w:color w:val="000000"/>
          <w:sz w:val="24"/>
          <w:szCs w:val="24"/>
        </w:rPr>
        <w:t xml:space="preserve"> </w:t>
      </w:r>
      <w:proofErr w:type="spellStart"/>
      <w:r w:rsidR="00E70229" w:rsidRPr="002136F3">
        <w:rPr>
          <w:rFonts w:ascii="Times New Roman" w:hAnsi="Times New Roman"/>
          <w:color w:val="000000"/>
          <w:sz w:val="24"/>
          <w:szCs w:val="24"/>
        </w:rPr>
        <w:t>kỳ</w:t>
      </w:r>
      <w:proofErr w:type="spellEnd"/>
      <w:r w:rsidR="00E70229" w:rsidRPr="002136F3">
        <w:rPr>
          <w:rFonts w:ascii="Times New Roman" w:hAnsi="Times New Roman"/>
          <w:color w:val="000000"/>
          <w:sz w:val="24"/>
          <w:szCs w:val="24"/>
        </w:rPr>
        <w:t xml:space="preserve"> </w:t>
      </w:r>
      <w:proofErr w:type="spellStart"/>
      <w:r w:rsidR="00E70229" w:rsidRPr="002136F3">
        <w:rPr>
          <w:rFonts w:ascii="Times New Roman" w:hAnsi="Times New Roman"/>
          <w:color w:val="000000"/>
          <w:sz w:val="24"/>
          <w:szCs w:val="24"/>
        </w:rPr>
        <w:t>định</w:t>
      </w:r>
      <w:proofErr w:type="spellEnd"/>
      <w:r w:rsidR="00E70229" w:rsidRPr="002136F3">
        <w:rPr>
          <w:rFonts w:ascii="Times New Roman" w:hAnsi="Times New Roman"/>
          <w:color w:val="000000"/>
          <w:sz w:val="24"/>
          <w:szCs w:val="24"/>
        </w:rPr>
        <w:t xml:space="preserve"> </w:t>
      </w:r>
      <w:proofErr w:type="spellStart"/>
      <w:r w:rsidR="00E70229" w:rsidRPr="002136F3">
        <w:rPr>
          <w:rFonts w:ascii="Times New Roman" w:hAnsi="Times New Roman"/>
          <w:color w:val="000000"/>
          <w:sz w:val="24"/>
          <w:szCs w:val="24"/>
        </w:rPr>
        <w:t>giá</w:t>
      </w:r>
      <w:proofErr w:type="spellEnd"/>
      <w:r w:rsidR="00E70229" w:rsidRPr="002136F3">
        <w:rPr>
          <w:rFonts w:ascii="Times New Roman" w:hAnsi="Times New Roman"/>
          <w:color w:val="000000"/>
          <w:sz w:val="24"/>
          <w:szCs w:val="24"/>
        </w:rPr>
        <w:t xml:space="preserve"> </w:t>
      </w:r>
      <w:proofErr w:type="spellStart"/>
      <w:r w:rsidR="00E70229" w:rsidRPr="002136F3">
        <w:rPr>
          <w:rFonts w:ascii="Times New Roman" w:hAnsi="Times New Roman"/>
          <w:color w:val="000000"/>
          <w:sz w:val="24"/>
          <w:szCs w:val="24"/>
        </w:rPr>
        <w:t>thực</w:t>
      </w:r>
      <w:proofErr w:type="spellEnd"/>
      <w:r w:rsidR="00E70229" w:rsidRPr="002136F3">
        <w:rPr>
          <w:rFonts w:ascii="Times New Roman" w:hAnsi="Times New Roman"/>
          <w:color w:val="000000"/>
          <w:sz w:val="24"/>
          <w:szCs w:val="24"/>
        </w:rPr>
        <w:t xml:space="preserve"> </w:t>
      </w:r>
      <w:proofErr w:type="spellStart"/>
      <w:r w:rsidR="00E70229" w:rsidRPr="002136F3">
        <w:rPr>
          <w:rFonts w:ascii="Times New Roman" w:hAnsi="Times New Roman"/>
          <w:color w:val="000000"/>
          <w:sz w:val="24"/>
          <w:szCs w:val="24"/>
        </w:rPr>
        <w:t>hiện</w:t>
      </w:r>
      <w:proofErr w:type="spellEnd"/>
      <w:r w:rsidR="00E70229" w:rsidRPr="002136F3">
        <w:rPr>
          <w:rFonts w:ascii="Times New Roman" w:hAnsi="Times New Roman"/>
          <w:color w:val="000000"/>
          <w:sz w:val="24"/>
          <w:szCs w:val="24"/>
        </w:rPr>
        <w:t xml:space="preserve"> </w:t>
      </w:r>
      <w:proofErr w:type="spellStart"/>
      <w:r w:rsidR="00E70229" w:rsidRPr="002136F3">
        <w:rPr>
          <w:rFonts w:ascii="Times New Roman" w:hAnsi="Times New Roman"/>
          <w:color w:val="000000"/>
          <w:sz w:val="24"/>
          <w:szCs w:val="24"/>
        </w:rPr>
        <w:t>trong</w:t>
      </w:r>
      <w:proofErr w:type="spellEnd"/>
      <w:r w:rsidR="00E70229" w:rsidRPr="002136F3">
        <w:rPr>
          <w:rFonts w:ascii="Times New Roman" w:hAnsi="Times New Roman"/>
          <w:color w:val="000000"/>
          <w:sz w:val="24"/>
          <w:szCs w:val="24"/>
        </w:rPr>
        <w:t xml:space="preserve"> </w:t>
      </w:r>
      <w:proofErr w:type="spellStart"/>
      <w:r w:rsidR="00E70229" w:rsidRPr="002136F3">
        <w:rPr>
          <w:rFonts w:ascii="Times New Roman" w:hAnsi="Times New Roman"/>
          <w:color w:val="000000"/>
          <w:sz w:val="24"/>
          <w:szCs w:val="24"/>
        </w:rPr>
        <w:t>tháng</w:t>
      </w:r>
      <w:proofErr w:type="spellEnd"/>
      <w:r w:rsidR="00156681" w:rsidRPr="002136F3">
        <w:rPr>
          <w:rFonts w:ascii="Times New Roman" w:hAnsi="Times New Roman"/>
          <w:color w:val="000000"/>
          <w:sz w:val="24"/>
          <w:szCs w:val="24"/>
        </w:rPr>
        <w:t>.</w:t>
      </w:r>
    </w:p>
    <w:p w14:paraId="26A5B9D3" w14:textId="25940852" w:rsidR="001B68EE" w:rsidRPr="002136F3" w:rsidRDefault="001B68EE" w:rsidP="001F2E8F">
      <w:pPr>
        <w:spacing w:before="120" w:after="120" w:line="312" w:lineRule="auto"/>
        <w:ind w:left="180" w:right="259"/>
        <w:jc w:val="both"/>
        <w:rPr>
          <w:rFonts w:ascii="Times New Roman" w:hAnsi="Times New Roman"/>
          <w:i/>
          <w:iCs/>
          <w:color w:val="000000"/>
          <w:sz w:val="24"/>
          <w:szCs w:val="24"/>
          <w:lang w:val="vi-VN"/>
        </w:rPr>
      </w:pPr>
      <w:r w:rsidRPr="002136F3">
        <w:rPr>
          <w:rFonts w:ascii="Times New Roman" w:hAnsi="Times New Roman"/>
          <w:i/>
          <w:iCs/>
          <w:color w:val="000000"/>
          <w:sz w:val="24"/>
          <w:szCs w:val="24"/>
        </w:rPr>
        <w:t>The</w:t>
      </w:r>
      <w:r w:rsidRPr="002136F3">
        <w:rPr>
          <w:rFonts w:ascii="Times New Roman" w:hAnsi="Times New Roman"/>
          <w:i/>
          <w:iCs/>
          <w:color w:val="000000"/>
          <w:sz w:val="24"/>
          <w:szCs w:val="24"/>
          <w:lang w:val="vi-VN"/>
        </w:rPr>
        <w:t xml:space="preserve"> above service fee is calculated based on Gross Asset Value as at the day before Valuation date and is paid </w:t>
      </w:r>
      <w:proofErr w:type="gramStart"/>
      <w:r w:rsidRPr="002136F3">
        <w:rPr>
          <w:rFonts w:ascii="Times New Roman" w:hAnsi="Times New Roman"/>
          <w:i/>
          <w:iCs/>
          <w:color w:val="000000"/>
          <w:sz w:val="24"/>
          <w:szCs w:val="24"/>
          <w:lang w:val="vi-VN"/>
        </w:rPr>
        <w:t>on a monthly basis</w:t>
      </w:r>
      <w:proofErr w:type="gramEnd"/>
      <w:r w:rsidRPr="002136F3">
        <w:rPr>
          <w:rFonts w:ascii="Times New Roman" w:hAnsi="Times New Roman"/>
          <w:i/>
          <w:iCs/>
          <w:color w:val="000000"/>
          <w:sz w:val="24"/>
          <w:szCs w:val="24"/>
          <w:lang w:val="vi-VN"/>
        </w:rPr>
        <w:t xml:space="preserve">. Monthly fee payament is total amount of fee calculated on each NAV cycle during the month. </w:t>
      </w:r>
    </w:p>
    <w:p w14:paraId="6130BB60" w14:textId="27698317" w:rsidR="00234F1B" w:rsidRPr="002136F3" w:rsidRDefault="004F5283" w:rsidP="001F2E8F">
      <w:pPr>
        <w:pStyle w:val="ListParagraph"/>
        <w:numPr>
          <w:ilvl w:val="2"/>
          <w:numId w:val="6"/>
        </w:numPr>
        <w:spacing w:before="120" w:after="120" w:line="240" w:lineRule="auto"/>
        <w:ind w:left="180" w:right="260" w:firstLine="0"/>
        <w:contextualSpacing w:val="0"/>
        <w:jc w:val="both"/>
        <w:outlineLvl w:val="0"/>
        <w:rPr>
          <w:rFonts w:ascii="Times New Roman" w:hAnsi="Times New Roman"/>
          <w:b/>
          <w:i/>
          <w:sz w:val="24"/>
          <w:szCs w:val="24"/>
        </w:rPr>
      </w:pPr>
      <w:proofErr w:type="spellStart"/>
      <w:r w:rsidRPr="002136F3">
        <w:rPr>
          <w:rFonts w:ascii="Times New Roman" w:hAnsi="Times New Roman"/>
          <w:b/>
          <w:i/>
          <w:sz w:val="24"/>
          <w:szCs w:val="24"/>
        </w:rPr>
        <w:t>Giá</w:t>
      </w:r>
      <w:proofErr w:type="spellEnd"/>
      <w:r w:rsidRPr="002136F3">
        <w:rPr>
          <w:rFonts w:ascii="Times New Roman" w:hAnsi="Times New Roman"/>
          <w:b/>
          <w:i/>
          <w:sz w:val="24"/>
          <w:szCs w:val="24"/>
        </w:rPr>
        <w:t xml:space="preserve"> </w:t>
      </w:r>
      <w:proofErr w:type="spellStart"/>
      <w:r w:rsidRPr="002136F3">
        <w:rPr>
          <w:rFonts w:ascii="Times New Roman" w:hAnsi="Times New Roman"/>
          <w:b/>
          <w:i/>
          <w:sz w:val="24"/>
          <w:szCs w:val="24"/>
        </w:rPr>
        <w:t>dịch</w:t>
      </w:r>
      <w:proofErr w:type="spellEnd"/>
      <w:r w:rsidRPr="002136F3">
        <w:rPr>
          <w:rFonts w:ascii="Times New Roman" w:hAnsi="Times New Roman"/>
          <w:b/>
          <w:i/>
          <w:sz w:val="24"/>
          <w:szCs w:val="24"/>
        </w:rPr>
        <w:t xml:space="preserve"> </w:t>
      </w:r>
      <w:proofErr w:type="spellStart"/>
      <w:r w:rsidRPr="002136F3">
        <w:rPr>
          <w:rFonts w:ascii="Times New Roman" w:hAnsi="Times New Roman"/>
          <w:b/>
          <w:i/>
          <w:sz w:val="24"/>
          <w:szCs w:val="24"/>
        </w:rPr>
        <w:t>vụ</w:t>
      </w:r>
      <w:proofErr w:type="spellEnd"/>
      <w:r w:rsidR="00D91ED0" w:rsidRPr="002136F3">
        <w:rPr>
          <w:rFonts w:ascii="Times New Roman" w:hAnsi="Times New Roman"/>
          <w:b/>
          <w:i/>
          <w:sz w:val="24"/>
          <w:szCs w:val="24"/>
        </w:rPr>
        <w:t xml:space="preserve"> </w:t>
      </w:r>
      <w:proofErr w:type="spellStart"/>
      <w:r w:rsidR="00D91ED0" w:rsidRPr="002136F3">
        <w:rPr>
          <w:rFonts w:ascii="Times New Roman" w:hAnsi="Times New Roman"/>
          <w:b/>
          <w:i/>
          <w:sz w:val="24"/>
          <w:szCs w:val="24"/>
        </w:rPr>
        <w:t>cung</w:t>
      </w:r>
      <w:proofErr w:type="spellEnd"/>
      <w:r w:rsidR="00D91ED0" w:rsidRPr="002136F3">
        <w:rPr>
          <w:rFonts w:ascii="Times New Roman" w:hAnsi="Times New Roman"/>
          <w:b/>
          <w:i/>
          <w:sz w:val="24"/>
          <w:szCs w:val="24"/>
        </w:rPr>
        <w:t xml:space="preserve"> </w:t>
      </w:r>
      <w:proofErr w:type="spellStart"/>
      <w:r w:rsidR="00D91ED0" w:rsidRPr="002136F3">
        <w:rPr>
          <w:rFonts w:ascii="Times New Roman" w:hAnsi="Times New Roman"/>
          <w:b/>
          <w:i/>
          <w:sz w:val="24"/>
          <w:szCs w:val="24"/>
        </w:rPr>
        <w:t>cấp</w:t>
      </w:r>
      <w:proofErr w:type="spellEnd"/>
      <w:r w:rsidR="00D91ED0" w:rsidRPr="002136F3">
        <w:rPr>
          <w:rFonts w:ascii="Times New Roman" w:hAnsi="Times New Roman"/>
          <w:b/>
          <w:i/>
          <w:sz w:val="24"/>
          <w:szCs w:val="24"/>
        </w:rPr>
        <w:t xml:space="preserve"> </w:t>
      </w:r>
      <w:proofErr w:type="spellStart"/>
      <w:r w:rsidR="00D91ED0" w:rsidRPr="002136F3">
        <w:rPr>
          <w:rFonts w:ascii="Times New Roman" w:hAnsi="Times New Roman"/>
          <w:b/>
          <w:i/>
          <w:sz w:val="24"/>
          <w:szCs w:val="24"/>
        </w:rPr>
        <w:t>dịch</w:t>
      </w:r>
      <w:proofErr w:type="spellEnd"/>
      <w:r w:rsidR="00D91ED0" w:rsidRPr="002136F3">
        <w:rPr>
          <w:rFonts w:ascii="Times New Roman" w:hAnsi="Times New Roman"/>
          <w:b/>
          <w:i/>
          <w:sz w:val="24"/>
          <w:szCs w:val="24"/>
        </w:rPr>
        <w:t xml:space="preserve"> </w:t>
      </w:r>
      <w:proofErr w:type="spellStart"/>
      <w:r w:rsidR="00D91ED0" w:rsidRPr="002136F3">
        <w:rPr>
          <w:rFonts w:ascii="Times New Roman" w:hAnsi="Times New Roman"/>
          <w:b/>
          <w:i/>
          <w:sz w:val="24"/>
          <w:szCs w:val="24"/>
        </w:rPr>
        <w:t>vụ</w:t>
      </w:r>
      <w:proofErr w:type="spellEnd"/>
      <w:r w:rsidR="00D91ED0" w:rsidRPr="002136F3">
        <w:rPr>
          <w:rFonts w:ascii="Times New Roman" w:hAnsi="Times New Roman"/>
          <w:b/>
          <w:i/>
          <w:sz w:val="24"/>
          <w:szCs w:val="24"/>
        </w:rPr>
        <w:t xml:space="preserve"> </w:t>
      </w:r>
      <w:proofErr w:type="spellStart"/>
      <w:r w:rsidR="00D91ED0" w:rsidRPr="002136F3">
        <w:rPr>
          <w:rFonts w:ascii="Times New Roman" w:hAnsi="Times New Roman"/>
          <w:b/>
          <w:i/>
          <w:sz w:val="24"/>
          <w:szCs w:val="24"/>
        </w:rPr>
        <w:t>tính</w:t>
      </w:r>
      <w:proofErr w:type="spellEnd"/>
      <w:r w:rsidR="00D91ED0" w:rsidRPr="002136F3">
        <w:rPr>
          <w:rFonts w:ascii="Times New Roman" w:hAnsi="Times New Roman"/>
          <w:b/>
          <w:i/>
          <w:sz w:val="24"/>
          <w:szCs w:val="24"/>
        </w:rPr>
        <w:t xml:space="preserve"> </w:t>
      </w:r>
      <w:proofErr w:type="spellStart"/>
      <w:r w:rsidR="00D91ED0" w:rsidRPr="002136F3">
        <w:rPr>
          <w:rFonts w:ascii="Times New Roman" w:hAnsi="Times New Roman"/>
          <w:b/>
          <w:i/>
          <w:sz w:val="24"/>
          <w:szCs w:val="24"/>
        </w:rPr>
        <w:t>giá</w:t>
      </w:r>
      <w:proofErr w:type="spellEnd"/>
      <w:r w:rsidR="00D91ED0" w:rsidRPr="002136F3">
        <w:rPr>
          <w:rFonts w:ascii="Times New Roman" w:hAnsi="Times New Roman"/>
          <w:b/>
          <w:i/>
          <w:sz w:val="24"/>
          <w:szCs w:val="24"/>
        </w:rPr>
        <w:t xml:space="preserve"> </w:t>
      </w:r>
      <w:proofErr w:type="spellStart"/>
      <w:r w:rsidR="00D91ED0" w:rsidRPr="002136F3">
        <w:rPr>
          <w:rFonts w:ascii="Times New Roman" w:hAnsi="Times New Roman"/>
          <w:b/>
          <w:i/>
          <w:sz w:val="24"/>
          <w:szCs w:val="24"/>
        </w:rPr>
        <w:t>trị</w:t>
      </w:r>
      <w:proofErr w:type="spellEnd"/>
      <w:r w:rsidR="00D91ED0" w:rsidRPr="002136F3">
        <w:rPr>
          <w:rFonts w:ascii="Times New Roman" w:hAnsi="Times New Roman"/>
          <w:b/>
          <w:i/>
          <w:sz w:val="24"/>
          <w:szCs w:val="24"/>
        </w:rPr>
        <w:t xml:space="preserve"> </w:t>
      </w:r>
      <w:proofErr w:type="spellStart"/>
      <w:r w:rsidR="00D91ED0" w:rsidRPr="002136F3">
        <w:rPr>
          <w:rFonts w:ascii="Times New Roman" w:hAnsi="Times New Roman"/>
          <w:b/>
          <w:i/>
          <w:sz w:val="24"/>
          <w:szCs w:val="24"/>
        </w:rPr>
        <w:t>tài</w:t>
      </w:r>
      <w:proofErr w:type="spellEnd"/>
      <w:r w:rsidR="00D91ED0" w:rsidRPr="002136F3">
        <w:rPr>
          <w:rFonts w:ascii="Times New Roman" w:hAnsi="Times New Roman"/>
          <w:b/>
          <w:i/>
          <w:sz w:val="24"/>
          <w:szCs w:val="24"/>
        </w:rPr>
        <w:t xml:space="preserve"> </w:t>
      </w:r>
      <w:proofErr w:type="spellStart"/>
      <w:r w:rsidR="00D91ED0" w:rsidRPr="002136F3">
        <w:rPr>
          <w:rFonts w:ascii="Times New Roman" w:hAnsi="Times New Roman"/>
          <w:b/>
          <w:i/>
          <w:sz w:val="24"/>
          <w:szCs w:val="24"/>
        </w:rPr>
        <w:t>sản</w:t>
      </w:r>
      <w:proofErr w:type="spellEnd"/>
      <w:r w:rsidR="00D91ED0" w:rsidRPr="002136F3">
        <w:rPr>
          <w:rFonts w:ascii="Times New Roman" w:hAnsi="Times New Roman"/>
          <w:b/>
          <w:i/>
          <w:sz w:val="24"/>
          <w:szCs w:val="24"/>
        </w:rPr>
        <w:t xml:space="preserve"> </w:t>
      </w:r>
      <w:proofErr w:type="spellStart"/>
      <w:r w:rsidR="00D91ED0" w:rsidRPr="002136F3">
        <w:rPr>
          <w:rFonts w:ascii="Times New Roman" w:hAnsi="Times New Roman"/>
          <w:b/>
          <w:i/>
          <w:sz w:val="24"/>
          <w:szCs w:val="24"/>
        </w:rPr>
        <w:t>ròng</w:t>
      </w:r>
      <w:proofErr w:type="spellEnd"/>
      <w:r w:rsidR="00D91ED0" w:rsidRPr="002136F3">
        <w:rPr>
          <w:rFonts w:ascii="Times New Roman" w:hAnsi="Times New Roman"/>
          <w:b/>
          <w:i/>
          <w:sz w:val="24"/>
          <w:szCs w:val="24"/>
        </w:rPr>
        <w:t xml:space="preserve"> </w:t>
      </w:r>
      <w:proofErr w:type="spellStart"/>
      <w:r w:rsidR="00D91ED0" w:rsidRPr="002136F3">
        <w:rPr>
          <w:rFonts w:ascii="Times New Roman" w:hAnsi="Times New Roman"/>
          <w:b/>
          <w:i/>
          <w:sz w:val="24"/>
          <w:szCs w:val="24"/>
        </w:rPr>
        <w:t>tham</w:t>
      </w:r>
      <w:proofErr w:type="spellEnd"/>
      <w:r w:rsidR="00D91ED0" w:rsidRPr="002136F3">
        <w:rPr>
          <w:rFonts w:ascii="Times New Roman" w:hAnsi="Times New Roman"/>
          <w:b/>
          <w:i/>
          <w:sz w:val="24"/>
          <w:szCs w:val="24"/>
        </w:rPr>
        <w:t xml:space="preserve"> </w:t>
      </w:r>
      <w:proofErr w:type="spellStart"/>
      <w:r w:rsidR="00D91ED0" w:rsidRPr="002136F3">
        <w:rPr>
          <w:rFonts w:ascii="Times New Roman" w:hAnsi="Times New Roman"/>
          <w:b/>
          <w:i/>
          <w:sz w:val="24"/>
          <w:szCs w:val="24"/>
        </w:rPr>
        <w:t>chiếu</w:t>
      </w:r>
      <w:proofErr w:type="spellEnd"/>
      <w:r w:rsidR="00E31435" w:rsidRPr="002136F3">
        <w:rPr>
          <w:rFonts w:ascii="Times New Roman" w:hAnsi="Times New Roman"/>
          <w:b/>
          <w:i/>
          <w:sz w:val="24"/>
          <w:szCs w:val="24"/>
        </w:rPr>
        <w:t xml:space="preserve"> (</w:t>
      </w:r>
      <w:proofErr w:type="spellStart"/>
      <w:r w:rsidR="00E31435" w:rsidRPr="002136F3">
        <w:rPr>
          <w:rFonts w:ascii="Times New Roman" w:hAnsi="Times New Roman"/>
          <w:b/>
          <w:i/>
          <w:sz w:val="24"/>
          <w:szCs w:val="24"/>
        </w:rPr>
        <w:t>iNAV</w:t>
      </w:r>
      <w:proofErr w:type="spellEnd"/>
      <w:r w:rsidR="00E31435" w:rsidRPr="002136F3">
        <w:rPr>
          <w:rFonts w:ascii="Times New Roman" w:hAnsi="Times New Roman"/>
          <w:b/>
          <w:i/>
          <w:sz w:val="24"/>
          <w:szCs w:val="24"/>
        </w:rPr>
        <w:t>)</w:t>
      </w:r>
      <w:r w:rsidR="00806A47" w:rsidRPr="002136F3">
        <w:rPr>
          <w:rFonts w:ascii="Times New Roman" w:hAnsi="Times New Roman"/>
          <w:b/>
          <w:i/>
          <w:sz w:val="24"/>
          <w:szCs w:val="24"/>
        </w:rPr>
        <w:t>,</w:t>
      </w:r>
      <w:r w:rsidRPr="002136F3">
        <w:rPr>
          <w:rFonts w:ascii="Times New Roman" w:hAnsi="Times New Roman"/>
          <w:b/>
          <w:i/>
          <w:sz w:val="24"/>
          <w:szCs w:val="24"/>
        </w:rPr>
        <w:t xml:space="preserve"> </w:t>
      </w:r>
      <w:proofErr w:type="spellStart"/>
      <w:r w:rsidRPr="002136F3">
        <w:rPr>
          <w:rFonts w:ascii="Times New Roman" w:hAnsi="Times New Roman"/>
          <w:b/>
          <w:i/>
          <w:sz w:val="24"/>
          <w:szCs w:val="24"/>
        </w:rPr>
        <w:t>giá</w:t>
      </w:r>
      <w:proofErr w:type="spellEnd"/>
      <w:r w:rsidRPr="002136F3">
        <w:rPr>
          <w:rFonts w:ascii="Times New Roman" w:hAnsi="Times New Roman"/>
          <w:b/>
          <w:i/>
          <w:sz w:val="24"/>
          <w:szCs w:val="24"/>
        </w:rPr>
        <w:t xml:space="preserve"> </w:t>
      </w:r>
      <w:proofErr w:type="spellStart"/>
      <w:r w:rsidRPr="002136F3">
        <w:rPr>
          <w:rFonts w:ascii="Times New Roman" w:hAnsi="Times New Roman"/>
          <w:b/>
          <w:i/>
          <w:sz w:val="24"/>
          <w:szCs w:val="24"/>
        </w:rPr>
        <w:t>dịch</w:t>
      </w:r>
      <w:proofErr w:type="spellEnd"/>
      <w:r w:rsidRPr="002136F3">
        <w:rPr>
          <w:rFonts w:ascii="Times New Roman" w:hAnsi="Times New Roman"/>
          <w:b/>
          <w:i/>
          <w:sz w:val="24"/>
          <w:szCs w:val="24"/>
        </w:rPr>
        <w:t xml:space="preserve"> </w:t>
      </w:r>
      <w:proofErr w:type="spellStart"/>
      <w:r w:rsidRPr="002136F3">
        <w:rPr>
          <w:rFonts w:ascii="Times New Roman" w:hAnsi="Times New Roman"/>
          <w:b/>
          <w:i/>
          <w:sz w:val="24"/>
          <w:szCs w:val="24"/>
        </w:rPr>
        <w:t>vụ</w:t>
      </w:r>
      <w:proofErr w:type="spellEnd"/>
      <w:r w:rsidR="00E31435" w:rsidRPr="002136F3">
        <w:rPr>
          <w:rFonts w:ascii="Times New Roman" w:hAnsi="Times New Roman"/>
          <w:b/>
          <w:i/>
          <w:sz w:val="24"/>
          <w:szCs w:val="24"/>
        </w:rPr>
        <w:t xml:space="preserve"> </w:t>
      </w:r>
      <w:proofErr w:type="spellStart"/>
      <w:r w:rsidR="00E31435" w:rsidRPr="002136F3">
        <w:rPr>
          <w:rFonts w:ascii="Times New Roman" w:hAnsi="Times New Roman"/>
          <w:b/>
          <w:i/>
          <w:sz w:val="24"/>
          <w:szCs w:val="24"/>
        </w:rPr>
        <w:t>quản</w:t>
      </w:r>
      <w:proofErr w:type="spellEnd"/>
      <w:r w:rsidR="00E31435" w:rsidRPr="002136F3">
        <w:rPr>
          <w:rFonts w:ascii="Times New Roman" w:hAnsi="Times New Roman"/>
          <w:b/>
          <w:i/>
          <w:sz w:val="24"/>
          <w:szCs w:val="24"/>
        </w:rPr>
        <w:t xml:space="preserve"> </w:t>
      </w:r>
      <w:proofErr w:type="spellStart"/>
      <w:r w:rsidR="00E31435" w:rsidRPr="002136F3">
        <w:rPr>
          <w:rFonts w:ascii="Times New Roman" w:hAnsi="Times New Roman"/>
          <w:b/>
          <w:i/>
          <w:sz w:val="24"/>
          <w:szCs w:val="24"/>
        </w:rPr>
        <w:t>lý</w:t>
      </w:r>
      <w:proofErr w:type="spellEnd"/>
      <w:r w:rsidR="00E31435" w:rsidRPr="002136F3">
        <w:rPr>
          <w:rFonts w:ascii="Times New Roman" w:hAnsi="Times New Roman"/>
          <w:b/>
          <w:i/>
          <w:sz w:val="24"/>
          <w:szCs w:val="24"/>
        </w:rPr>
        <w:t xml:space="preserve"> </w:t>
      </w:r>
      <w:proofErr w:type="spellStart"/>
      <w:r w:rsidR="00E31435" w:rsidRPr="002136F3">
        <w:rPr>
          <w:rFonts w:ascii="Times New Roman" w:hAnsi="Times New Roman"/>
          <w:b/>
          <w:i/>
          <w:sz w:val="24"/>
          <w:szCs w:val="24"/>
        </w:rPr>
        <w:t>và</w:t>
      </w:r>
      <w:proofErr w:type="spellEnd"/>
      <w:r w:rsidR="00E31435" w:rsidRPr="002136F3">
        <w:rPr>
          <w:rFonts w:ascii="Times New Roman" w:hAnsi="Times New Roman"/>
          <w:b/>
          <w:i/>
          <w:sz w:val="24"/>
          <w:szCs w:val="24"/>
        </w:rPr>
        <w:t xml:space="preserve"> </w:t>
      </w:r>
      <w:proofErr w:type="spellStart"/>
      <w:r w:rsidR="00E31435" w:rsidRPr="002136F3">
        <w:rPr>
          <w:rFonts w:ascii="Times New Roman" w:hAnsi="Times New Roman"/>
          <w:b/>
          <w:i/>
          <w:sz w:val="24"/>
          <w:szCs w:val="24"/>
        </w:rPr>
        <w:t>vận</w:t>
      </w:r>
      <w:proofErr w:type="spellEnd"/>
      <w:r w:rsidR="00E31435" w:rsidRPr="002136F3">
        <w:rPr>
          <w:rFonts w:ascii="Times New Roman" w:hAnsi="Times New Roman"/>
          <w:b/>
          <w:i/>
          <w:sz w:val="24"/>
          <w:szCs w:val="24"/>
        </w:rPr>
        <w:t xml:space="preserve"> </w:t>
      </w:r>
      <w:proofErr w:type="spellStart"/>
      <w:r w:rsidR="00E31435" w:rsidRPr="002136F3">
        <w:rPr>
          <w:rFonts w:ascii="Times New Roman" w:hAnsi="Times New Roman"/>
          <w:b/>
          <w:i/>
          <w:sz w:val="24"/>
          <w:szCs w:val="24"/>
        </w:rPr>
        <w:t>hành</w:t>
      </w:r>
      <w:proofErr w:type="spellEnd"/>
      <w:r w:rsidR="00E31435" w:rsidRPr="002136F3">
        <w:rPr>
          <w:rFonts w:ascii="Times New Roman" w:hAnsi="Times New Roman"/>
          <w:b/>
          <w:i/>
          <w:sz w:val="24"/>
          <w:szCs w:val="24"/>
        </w:rPr>
        <w:t xml:space="preserve"> </w:t>
      </w:r>
      <w:proofErr w:type="spellStart"/>
      <w:r w:rsidR="00E31435" w:rsidRPr="002136F3">
        <w:rPr>
          <w:rFonts w:ascii="Times New Roman" w:hAnsi="Times New Roman"/>
          <w:b/>
          <w:i/>
          <w:sz w:val="24"/>
          <w:szCs w:val="24"/>
        </w:rPr>
        <w:t>chỉ</w:t>
      </w:r>
      <w:proofErr w:type="spellEnd"/>
      <w:r w:rsidR="00E31435" w:rsidRPr="002136F3">
        <w:rPr>
          <w:rFonts w:ascii="Times New Roman" w:hAnsi="Times New Roman"/>
          <w:b/>
          <w:i/>
          <w:sz w:val="24"/>
          <w:szCs w:val="24"/>
        </w:rPr>
        <w:t xml:space="preserve"> </w:t>
      </w:r>
      <w:proofErr w:type="spellStart"/>
      <w:r w:rsidR="00E31435" w:rsidRPr="002136F3">
        <w:rPr>
          <w:rFonts w:ascii="Times New Roman" w:hAnsi="Times New Roman"/>
          <w:b/>
          <w:i/>
          <w:sz w:val="24"/>
          <w:szCs w:val="24"/>
        </w:rPr>
        <w:t>số</w:t>
      </w:r>
      <w:proofErr w:type="spellEnd"/>
      <w:r w:rsidR="00E31435" w:rsidRPr="002136F3">
        <w:rPr>
          <w:rFonts w:ascii="Times New Roman" w:hAnsi="Times New Roman"/>
          <w:b/>
          <w:i/>
          <w:sz w:val="24"/>
          <w:szCs w:val="24"/>
        </w:rPr>
        <w:t xml:space="preserve"> </w:t>
      </w:r>
      <w:proofErr w:type="spellStart"/>
      <w:r w:rsidR="00E31435" w:rsidRPr="002136F3">
        <w:rPr>
          <w:rFonts w:ascii="Times New Roman" w:hAnsi="Times New Roman"/>
          <w:b/>
          <w:i/>
          <w:sz w:val="24"/>
          <w:szCs w:val="24"/>
        </w:rPr>
        <w:t>tham</w:t>
      </w:r>
      <w:proofErr w:type="spellEnd"/>
      <w:r w:rsidR="00E31435" w:rsidRPr="002136F3">
        <w:rPr>
          <w:rFonts w:ascii="Times New Roman" w:hAnsi="Times New Roman"/>
          <w:b/>
          <w:i/>
          <w:sz w:val="24"/>
          <w:szCs w:val="24"/>
        </w:rPr>
        <w:t xml:space="preserve"> </w:t>
      </w:r>
      <w:proofErr w:type="spellStart"/>
      <w:r w:rsidR="00E31435" w:rsidRPr="002136F3">
        <w:rPr>
          <w:rFonts w:ascii="Times New Roman" w:hAnsi="Times New Roman"/>
          <w:b/>
          <w:i/>
          <w:sz w:val="24"/>
          <w:szCs w:val="24"/>
        </w:rPr>
        <w:t>chiếu</w:t>
      </w:r>
      <w:proofErr w:type="spellEnd"/>
      <w:r w:rsidR="001B68EE" w:rsidRPr="002136F3">
        <w:rPr>
          <w:rFonts w:ascii="Times New Roman" w:hAnsi="Times New Roman"/>
          <w:b/>
          <w:i/>
          <w:sz w:val="24"/>
          <w:szCs w:val="24"/>
          <w:lang w:val="vi-VN"/>
        </w:rPr>
        <w:t xml:space="preserve"> / Indicative NAV calculation fee and Index fee</w:t>
      </w:r>
    </w:p>
    <w:tbl>
      <w:tblPr>
        <w:tblW w:w="9744" w:type="dxa"/>
        <w:tblInd w:w="534" w:type="dxa"/>
        <w:tblLayout w:type="fixed"/>
        <w:tblLook w:val="0000" w:firstRow="0" w:lastRow="0" w:firstColumn="0" w:lastColumn="0" w:noHBand="0" w:noVBand="0"/>
      </w:tblPr>
      <w:tblGrid>
        <w:gridCol w:w="2454"/>
        <w:gridCol w:w="7290"/>
      </w:tblGrid>
      <w:tr w:rsidR="00234F1B" w:rsidRPr="002136F3" w14:paraId="6B998503" w14:textId="77777777" w:rsidTr="006D5144">
        <w:trPr>
          <w:tblHeader/>
        </w:trPr>
        <w:tc>
          <w:tcPr>
            <w:tcW w:w="2454" w:type="dxa"/>
            <w:shd w:val="clear" w:color="auto" w:fill="auto"/>
          </w:tcPr>
          <w:p w14:paraId="6D362519" w14:textId="116B7F94" w:rsidR="00234F1B" w:rsidRPr="002136F3" w:rsidRDefault="00234F1B" w:rsidP="00726CC5">
            <w:pPr>
              <w:spacing w:before="120" w:after="120"/>
              <w:ind w:left="270" w:right="260"/>
              <w:rPr>
                <w:rFonts w:ascii="Times New Roman" w:hAnsi="Times New Roman"/>
                <w:b/>
                <w:color w:val="000000"/>
                <w:sz w:val="24"/>
                <w:szCs w:val="24"/>
              </w:rPr>
            </w:pPr>
            <w:proofErr w:type="spellStart"/>
            <w:r w:rsidRPr="002136F3">
              <w:rPr>
                <w:rFonts w:ascii="Times New Roman" w:hAnsi="Times New Roman"/>
                <w:b/>
                <w:color w:val="000000"/>
                <w:sz w:val="24"/>
                <w:szCs w:val="24"/>
              </w:rPr>
              <w:t>Dịch</w:t>
            </w:r>
            <w:proofErr w:type="spellEnd"/>
            <w:r w:rsidRPr="002136F3">
              <w:rPr>
                <w:rFonts w:ascii="Times New Roman" w:hAnsi="Times New Roman"/>
                <w:b/>
                <w:color w:val="000000"/>
                <w:sz w:val="24"/>
                <w:szCs w:val="24"/>
              </w:rPr>
              <w:t xml:space="preserve"> </w:t>
            </w:r>
            <w:proofErr w:type="spellStart"/>
            <w:r w:rsidRPr="002136F3">
              <w:rPr>
                <w:rFonts w:ascii="Times New Roman" w:hAnsi="Times New Roman"/>
                <w:b/>
                <w:color w:val="000000"/>
                <w:sz w:val="24"/>
                <w:szCs w:val="24"/>
              </w:rPr>
              <w:t>vụ</w:t>
            </w:r>
            <w:proofErr w:type="spellEnd"/>
          </w:p>
          <w:p w14:paraId="259130E3" w14:textId="21F97455" w:rsidR="001B68EE" w:rsidRPr="001F2E8F" w:rsidRDefault="001B68EE" w:rsidP="00726CC5">
            <w:pPr>
              <w:spacing w:before="120" w:after="120"/>
              <w:ind w:left="270" w:right="260"/>
              <w:rPr>
                <w:rFonts w:ascii="Times New Roman" w:hAnsi="Times New Roman"/>
                <w:b/>
                <w:i/>
                <w:iCs/>
                <w:color w:val="000000"/>
                <w:sz w:val="24"/>
                <w:szCs w:val="24"/>
              </w:rPr>
            </w:pPr>
            <w:r w:rsidRPr="001F2E8F">
              <w:rPr>
                <w:rFonts w:ascii="Times New Roman" w:hAnsi="Times New Roman"/>
                <w:b/>
                <w:i/>
                <w:iCs/>
                <w:color w:val="000000"/>
                <w:sz w:val="24"/>
                <w:szCs w:val="24"/>
              </w:rPr>
              <w:t>Service</w:t>
            </w:r>
          </w:p>
        </w:tc>
        <w:tc>
          <w:tcPr>
            <w:tcW w:w="7290" w:type="dxa"/>
            <w:shd w:val="clear" w:color="auto" w:fill="auto"/>
          </w:tcPr>
          <w:p w14:paraId="1ED12937" w14:textId="77777777" w:rsidR="00234F1B" w:rsidRPr="002136F3" w:rsidRDefault="00234F1B" w:rsidP="00726CC5">
            <w:pPr>
              <w:spacing w:before="120" w:after="120"/>
              <w:ind w:left="270" w:right="260"/>
              <w:rPr>
                <w:rFonts w:ascii="Times New Roman" w:hAnsi="Times New Roman"/>
                <w:b/>
                <w:color w:val="000000"/>
                <w:sz w:val="24"/>
                <w:szCs w:val="24"/>
              </w:rPr>
            </w:pPr>
            <w:proofErr w:type="spellStart"/>
            <w:r w:rsidRPr="002136F3">
              <w:rPr>
                <w:rFonts w:ascii="Times New Roman" w:hAnsi="Times New Roman"/>
                <w:b/>
                <w:color w:val="000000"/>
                <w:sz w:val="24"/>
                <w:szCs w:val="24"/>
              </w:rPr>
              <w:t>Biểu</w:t>
            </w:r>
            <w:proofErr w:type="spellEnd"/>
            <w:r w:rsidRPr="002136F3">
              <w:rPr>
                <w:rFonts w:ascii="Times New Roman" w:hAnsi="Times New Roman"/>
                <w:b/>
                <w:color w:val="000000"/>
                <w:sz w:val="24"/>
                <w:szCs w:val="24"/>
              </w:rPr>
              <w:t xml:space="preserve"> </w:t>
            </w:r>
            <w:proofErr w:type="spellStart"/>
            <w:r w:rsidRPr="002136F3">
              <w:rPr>
                <w:rFonts w:ascii="Times New Roman" w:hAnsi="Times New Roman"/>
                <w:b/>
                <w:color w:val="000000"/>
                <w:sz w:val="24"/>
                <w:szCs w:val="24"/>
              </w:rPr>
              <w:t>phí</w:t>
            </w:r>
            <w:proofErr w:type="spellEnd"/>
          </w:p>
          <w:p w14:paraId="4E0D343A" w14:textId="2D75E492" w:rsidR="001B68EE" w:rsidRPr="002136F3" w:rsidRDefault="001B68EE" w:rsidP="00726CC5">
            <w:pPr>
              <w:spacing w:before="120" w:after="120"/>
              <w:ind w:left="270" w:right="260"/>
              <w:rPr>
                <w:rFonts w:ascii="Times New Roman" w:hAnsi="Times New Roman"/>
                <w:b/>
                <w:color w:val="000000"/>
                <w:sz w:val="24"/>
                <w:szCs w:val="24"/>
                <w:lang w:val="vi-VN"/>
              </w:rPr>
            </w:pPr>
            <w:r w:rsidRPr="001F2E8F">
              <w:rPr>
                <w:rFonts w:ascii="Times New Roman" w:hAnsi="Times New Roman"/>
                <w:b/>
                <w:i/>
                <w:iCs/>
                <w:color w:val="000000"/>
                <w:sz w:val="24"/>
                <w:szCs w:val="24"/>
              </w:rPr>
              <w:t>Fee</w:t>
            </w:r>
            <w:r w:rsidRPr="002136F3">
              <w:rPr>
                <w:rFonts w:ascii="Times New Roman" w:hAnsi="Times New Roman"/>
                <w:b/>
                <w:color w:val="000000"/>
                <w:sz w:val="24"/>
                <w:szCs w:val="24"/>
                <w:lang w:val="vi-VN"/>
              </w:rPr>
              <w:t xml:space="preserve"> </w:t>
            </w:r>
            <w:r w:rsidRPr="001F2E8F">
              <w:rPr>
                <w:rFonts w:ascii="Times New Roman" w:hAnsi="Times New Roman"/>
                <w:b/>
                <w:i/>
                <w:iCs/>
                <w:color w:val="000000"/>
                <w:sz w:val="24"/>
                <w:szCs w:val="24"/>
                <w:lang w:val="vi-VN"/>
              </w:rPr>
              <w:t>rate</w:t>
            </w:r>
          </w:p>
        </w:tc>
      </w:tr>
      <w:tr w:rsidR="00234F1B" w:rsidRPr="002136F3" w14:paraId="6F79119C" w14:textId="77777777" w:rsidTr="006D5144">
        <w:trPr>
          <w:trHeight w:val="828"/>
          <w:tblHeader/>
        </w:trPr>
        <w:tc>
          <w:tcPr>
            <w:tcW w:w="2454" w:type="dxa"/>
            <w:shd w:val="clear" w:color="auto" w:fill="auto"/>
          </w:tcPr>
          <w:p w14:paraId="714E4AFF" w14:textId="77777777" w:rsidR="00234F1B" w:rsidRPr="002136F3" w:rsidRDefault="00234F1B" w:rsidP="00726CC5">
            <w:pPr>
              <w:spacing w:before="120" w:after="120"/>
              <w:ind w:left="270" w:right="260"/>
              <w:rPr>
                <w:rFonts w:ascii="Times New Roman" w:hAnsi="Times New Roman"/>
                <w:color w:val="000000"/>
                <w:sz w:val="24"/>
                <w:szCs w:val="24"/>
              </w:rPr>
            </w:pPr>
            <w:proofErr w:type="spellStart"/>
            <w:r w:rsidRPr="002136F3">
              <w:rPr>
                <w:rFonts w:ascii="Times New Roman" w:hAnsi="Times New Roman"/>
                <w:color w:val="000000"/>
                <w:sz w:val="24"/>
                <w:szCs w:val="24"/>
              </w:rPr>
              <w:t>Quản</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lý</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và</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vận</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hành</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chỉ</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số</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tham</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chiếu</w:t>
            </w:r>
            <w:proofErr w:type="spellEnd"/>
          </w:p>
          <w:p w14:paraId="7B90AC29" w14:textId="2A6176D3" w:rsidR="002136F3" w:rsidRPr="001F2E8F" w:rsidRDefault="002136F3" w:rsidP="00726CC5">
            <w:pPr>
              <w:spacing w:before="120" w:after="120"/>
              <w:ind w:left="270" w:right="260"/>
              <w:rPr>
                <w:rFonts w:ascii="Times New Roman" w:hAnsi="Times New Roman"/>
                <w:i/>
                <w:iCs/>
                <w:color w:val="000000"/>
                <w:sz w:val="24"/>
                <w:szCs w:val="24"/>
                <w:lang w:val="vi-VN"/>
              </w:rPr>
            </w:pPr>
            <w:r w:rsidRPr="001F2E8F">
              <w:rPr>
                <w:rFonts w:ascii="Times New Roman" w:hAnsi="Times New Roman"/>
                <w:i/>
                <w:iCs/>
                <w:color w:val="000000"/>
                <w:sz w:val="24"/>
                <w:szCs w:val="24"/>
              </w:rPr>
              <w:t>Monitoring</w:t>
            </w:r>
            <w:r w:rsidRPr="001F2E8F">
              <w:rPr>
                <w:rFonts w:ascii="Times New Roman" w:hAnsi="Times New Roman"/>
                <w:i/>
                <w:iCs/>
                <w:color w:val="000000"/>
                <w:sz w:val="24"/>
                <w:szCs w:val="24"/>
                <w:lang w:val="vi-VN"/>
              </w:rPr>
              <w:t xml:space="preserve"> and operation of reference index</w:t>
            </w:r>
          </w:p>
        </w:tc>
        <w:tc>
          <w:tcPr>
            <w:tcW w:w="7290" w:type="dxa"/>
            <w:shd w:val="clear" w:color="auto" w:fill="auto"/>
          </w:tcPr>
          <w:p w14:paraId="7829ACA2" w14:textId="26E538A6" w:rsidR="00234F1B" w:rsidRPr="002136F3" w:rsidRDefault="00C973B2" w:rsidP="001F2E8F">
            <w:pPr>
              <w:numPr>
                <w:ilvl w:val="0"/>
                <w:numId w:val="7"/>
              </w:numPr>
              <w:tabs>
                <w:tab w:val="clear" w:pos="340"/>
                <w:tab w:val="left" w:pos="524"/>
              </w:tabs>
              <w:overflowPunct w:val="0"/>
              <w:autoSpaceDE w:val="0"/>
              <w:autoSpaceDN w:val="0"/>
              <w:adjustRightInd w:val="0"/>
              <w:spacing w:before="120" w:after="120" w:line="240" w:lineRule="auto"/>
              <w:ind w:left="164" w:right="260" w:firstLine="0"/>
              <w:textAlignment w:val="baseline"/>
              <w:rPr>
                <w:rFonts w:ascii="Times New Roman" w:hAnsi="Times New Roman"/>
                <w:color w:val="000000"/>
                <w:sz w:val="24"/>
                <w:szCs w:val="24"/>
              </w:rPr>
            </w:pPr>
            <w:proofErr w:type="spellStart"/>
            <w:r w:rsidRPr="002136F3">
              <w:rPr>
                <w:rFonts w:ascii="Times New Roman" w:hAnsi="Times New Roman"/>
                <w:color w:val="000000"/>
                <w:sz w:val="24"/>
                <w:szCs w:val="24"/>
              </w:rPr>
              <w:t>Là</w:t>
            </w:r>
            <w:proofErr w:type="spellEnd"/>
            <w:r w:rsidR="00961C06" w:rsidRPr="002136F3">
              <w:rPr>
                <w:rFonts w:ascii="Times New Roman" w:hAnsi="Times New Roman"/>
                <w:color w:val="000000"/>
                <w:sz w:val="24"/>
                <w:szCs w:val="24"/>
              </w:rPr>
              <w:t xml:space="preserve"> </w:t>
            </w:r>
            <w:r w:rsidR="000E4BBE" w:rsidRPr="002136F3">
              <w:rPr>
                <w:rFonts w:ascii="Times New Roman" w:hAnsi="Times New Roman"/>
                <w:color w:val="000000"/>
                <w:sz w:val="24"/>
                <w:szCs w:val="24"/>
              </w:rPr>
              <w:t>0</w:t>
            </w:r>
            <w:r w:rsidR="0061655B" w:rsidRPr="002136F3">
              <w:rPr>
                <w:rFonts w:ascii="Times New Roman" w:hAnsi="Times New Roman"/>
                <w:color w:val="000000"/>
                <w:sz w:val="24"/>
                <w:szCs w:val="24"/>
              </w:rPr>
              <w:t>,</w:t>
            </w:r>
            <w:r w:rsidR="00234F1B" w:rsidRPr="002136F3">
              <w:rPr>
                <w:rFonts w:ascii="Times New Roman" w:hAnsi="Times New Roman"/>
                <w:color w:val="000000"/>
                <w:sz w:val="24"/>
                <w:szCs w:val="24"/>
              </w:rPr>
              <w:t>02% NAV</w:t>
            </w:r>
            <w:r w:rsidR="00331DB5" w:rsidRPr="002136F3">
              <w:rPr>
                <w:rFonts w:ascii="Times New Roman" w:hAnsi="Times New Roman"/>
                <w:color w:val="000000"/>
                <w:sz w:val="24"/>
                <w:szCs w:val="24"/>
              </w:rPr>
              <w:t xml:space="preserve"> </w:t>
            </w:r>
            <w:proofErr w:type="spellStart"/>
            <w:r w:rsidR="00331DB5" w:rsidRPr="002136F3">
              <w:rPr>
                <w:rFonts w:ascii="Times New Roman" w:hAnsi="Times New Roman"/>
                <w:color w:val="000000"/>
                <w:sz w:val="24"/>
                <w:szCs w:val="24"/>
              </w:rPr>
              <w:t>bình</w:t>
            </w:r>
            <w:proofErr w:type="spellEnd"/>
            <w:r w:rsidR="00331DB5" w:rsidRPr="002136F3">
              <w:rPr>
                <w:rFonts w:ascii="Times New Roman" w:hAnsi="Times New Roman"/>
                <w:color w:val="000000"/>
                <w:sz w:val="24"/>
                <w:szCs w:val="24"/>
              </w:rPr>
              <w:t xml:space="preserve"> </w:t>
            </w:r>
            <w:proofErr w:type="spellStart"/>
            <w:r w:rsidR="00331DB5" w:rsidRPr="002136F3">
              <w:rPr>
                <w:rFonts w:ascii="Times New Roman" w:hAnsi="Times New Roman"/>
                <w:color w:val="000000"/>
                <w:sz w:val="24"/>
                <w:szCs w:val="24"/>
              </w:rPr>
              <w:t>quân</w:t>
            </w:r>
            <w:proofErr w:type="spellEnd"/>
            <w:r w:rsidR="00331DB5" w:rsidRPr="002136F3">
              <w:rPr>
                <w:rFonts w:ascii="Times New Roman" w:hAnsi="Times New Roman"/>
                <w:color w:val="000000"/>
                <w:sz w:val="24"/>
                <w:szCs w:val="24"/>
              </w:rPr>
              <w:t xml:space="preserve"> </w:t>
            </w:r>
            <w:proofErr w:type="spellStart"/>
            <w:r w:rsidR="00331DB5" w:rsidRPr="002136F3">
              <w:rPr>
                <w:rFonts w:ascii="Times New Roman" w:hAnsi="Times New Roman"/>
                <w:color w:val="000000"/>
                <w:sz w:val="24"/>
                <w:szCs w:val="24"/>
              </w:rPr>
              <w:t>gia</w:t>
            </w:r>
            <w:proofErr w:type="spellEnd"/>
            <w:r w:rsidR="00331DB5" w:rsidRPr="002136F3">
              <w:rPr>
                <w:rFonts w:ascii="Times New Roman" w:hAnsi="Times New Roman"/>
                <w:color w:val="000000"/>
                <w:sz w:val="24"/>
                <w:szCs w:val="24"/>
              </w:rPr>
              <w:t xml:space="preserve"> </w:t>
            </w:r>
            <w:proofErr w:type="spellStart"/>
            <w:r w:rsidR="00331DB5" w:rsidRPr="002136F3">
              <w:rPr>
                <w:rFonts w:ascii="Times New Roman" w:hAnsi="Times New Roman"/>
                <w:color w:val="000000"/>
                <w:sz w:val="24"/>
                <w:szCs w:val="24"/>
              </w:rPr>
              <w:t>quyền</w:t>
            </w:r>
            <w:proofErr w:type="spellEnd"/>
            <w:r w:rsidR="00234F1B" w:rsidRPr="002136F3">
              <w:rPr>
                <w:rFonts w:ascii="Times New Roman" w:hAnsi="Times New Roman"/>
                <w:color w:val="000000"/>
                <w:sz w:val="24"/>
                <w:szCs w:val="24"/>
              </w:rPr>
              <w:t xml:space="preserve"> </w:t>
            </w:r>
            <w:proofErr w:type="spellStart"/>
            <w:r w:rsidR="00234F1B" w:rsidRPr="002136F3">
              <w:rPr>
                <w:rFonts w:ascii="Times New Roman" w:hAnsi="Times New Roman"/>
                <w:color w:val="000000"/>
                <w:sz w:val="24"/>
                <w:szCs w:val="24"/>
              </w:rPr>
              <w:t>mỗi</w:t>
            </w:r>
            <w:proofErr w:type="spellEnd"/>
            <w:r w:rsidR="00234F1B" w:rsidRPr="002136F3">
              <w:rPr>
                <w:rFonts w:ascii="Times New Roman" w:hAnsi="Times New Roman"/>
                <w:color w:val="000000"/>
                <w:sz w:val="24"/>
                <w:szCs w:val="24"/>
              </w:rPr>
              <w:t xml:space="preserve"> </w:t>
            </w:r>
            <w:proofErr w:type="spellStart"/>
            <w:r w:rsidR="00234F1B" w:rsidRPr="002136F3">
              <w:rPr>
                <w:rFonts w:ascii="Times New Roman" w:hAnsi="Times New Roman"/>
                <w:color w:val="000000"/>
                <w:sz w:val="24"/>
                <w:szCs w:val="24"/>
              </w:rPr>
              <w:t>năm</w:t>
            </w:r>
            <w:proofErr w:type="spellEnd"/>
          </w:p>
          <w:p w14:paraId="56176FD6" w14:textId="5D85D604" w:rsidR="002136F3" w:rsidRPr="001F2E8F" w:rsidRDefault="002136F3" w:rsidP="001F2E8F">
            <w:pPr>
              <w:numPr>
                <w:ilvl w:val="0"/>
                <w:numId w:val="7"/>
              </w:numPr>
              <w:tabs>
                <w:tab w:val="clear" w:pos="340"/>
                <w:tab w:val="left" w:pos="524"/>
              </w:tabs>
              <w:overflowPunct w:val="0"/>
              <w:autoSpaceDE w:val="0"/>
              <w:autoSpaceDN w:val="0"/>
              <w:adjustRightInd w:val="0"/>
              <w:spacing w:before="120" w:after="120" w:line="240" w:lineRule="auto"/>
              <w:ind w:left="164" w:right="260" w:firstLine="0"/>
              <w:textAlignment w:val="baseline"/>
              <w:rPr>
                <w:rFonts w:ascii="Times New Roman" w:hAnsi="Times New Roman"/>
                <w:i/>
                <w:iCs/>
                <w:color w:val="000000"/>
                <w:sz w:val="24"/>
                <w:szCs w:val="24"/>
              </w:rPr>
            </w:pPr>
            <w:r w:rsidRPr="001F2E8F">
              <w:rPr>
                <w:rFonts w:ascii="Times New Roman" w:hAnsi="Times New Roman"/>
                <w:i/>
                <w:iCs/>
                <w:color w:val="000000"/>
                <w:sz w:val="24"/>
                <w:szCs w:val="24"/>
              </w:rPr>
              <w:t>0</w:t>
            </w:r>
            <w:r w:rsidRPr="001F2E8F">
              <w:rPr>
                <w:rFonts w:ascii="Times New Roman" w:hAnsi="Times New Roman"/>
                <w:i/>
                <w:iCs/>
                <w:color w:val="000000"/>
                <w:sz w:val="24"/>
                <w:szCs w:val="24"/>
                <w:lang w:val="vi-VN"/>
              </w:rPr>
              <w:t>,02% weighted average NAV per annum</w:t>
            </w:r>
          </w:p>
          <w:p w14:paraId="58759582" w14:textId="77777777" w:rsidR="002975F1" w:rsidRPr="002136F3" w:rsidRDefault="002975F1" w:rsidP="001F2E8F">
            <w:pPr>
              <w:numPr>
                <w:ilvl w:val="0"/>
                <w:numId w:val="7"/>
              </w:numPr>
              <w:tabs>
                <w:tab w:val="clear" w:pos="340"/>
                <w:tab w:val="left" w:pos="524"/>
                <w:tab w:val="decimal" w:pos="995"/>
              </w:tabs>
              <w:overflowPunct w:val="0"/>
              <w:autoSpaceDE w:val="0"/>
              <w:autoSpaceDN w:val="0"/>
              <w:adjustRightInd w:val="0"/>
              <w:spacing w:before="120" w:after="120" w:line="240" w:lineRule="auto"/>
              <w:ind w:left="164" w:right="260" w:firstLine="0"/>
              <w:textAlignment w:val="baseline"/>
              <w:rPr>
                <w:rFonts w:ascii="Times New Roman" w:hAnsi="Times New Roman"/>
                <w:color w:val="000000"/>
                <w:sz w:val="24"/>
                <w:szCs w:val="24"/>
              </w:rPr>
            </w:pPr>
            <w:proofErr w:type="spellStart"/>
            <w:r w:rsidRPr="002136F3">
              <w:rPr>
                <w:rFonts w:ascii="Times New Roman" w:hAnsi="Times New Roman"/>
                <w:color w:val="000000"/>
                <w:sz w:val="24"/>
                <w:szCs w:val="24"/>
              </w:rPr>
              <w:t>Tối</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thiểu</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là</w:t>
            </w:r>
            <w:proofErr w:type="spellEnd"/>
            <w:r w:rsidRPr="002136F3">
              <w:rPr>
                <w:rFonts w:ascii="Times New Roman" w:hAnsi="Times New Roman"/>
                <w:color w:val="000000"/>
                <w:sz w:val="24"/>
                <w:szCs w:val="24"/>
              </w:rPr>
              <w:t xml:space="preserve"> 50 </w:t>
            </w:r>
            <w:proofErr w:type="spellStart"/>
            <w:r w:rsidRPr="002136F3">
              <w:rPr>
                <w:rFonts w:ascii="Times New Roman" w:hAnsi="Times New Roman"/>
                <w:color w:val="000000"/>
                <w:sz w:val="24"/>
                <w:szCs w:val="24"/>
              </w:rPr>
              <w:t>triệu</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đồng</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năm</w:t>
            </w:r>
            <w:proofErr w:type="spellEnd"/>
            <w:r w:rsidR="00331DB5" w:rsidRPr="002136F3">
              <w:rPr>
                <w:rFonts w:ascii="Times New Roman" w:hAnsi="Times New Roman"/>
                <w:color w:val="000000"/>
                <w:sz w:val="24"/>
                <w:szCs w:val="24"/>
              </w:rPr>
              <w:t xml:space="preserve"> </w:t>
            </w:r>
            <w:r w:rsidR="00BB4C02" w:rsidRPr="002136F3">
              <w:rPr>
                <w:rFonts w:ascii="Times New Roman" w:hAnsi="Times New Roman"/>
                <w:color w:val="000000"/>
                <w:sz w:val="24"/>
                <w:szCs w:val="24"/>
              </w:rPr>
              <w:t>(</w:t>
            </w:r>
            <w:proofErr w:type="spellStart"/>
            <w:r w:rsidR="00BB4C02" w:rsidRPr="002136F3">
              <w:rPr>
                <w:rFonts w:ascii="Times New Roman" w:hAnsi="Times New Roman"/>
                <w:color w:val="000000"/>
                <w:sz w:val="24"/>
                <w:szCs w:val="24"/>
              </w:rPr>
              <w:t>chưa</w:t>
            </w:r>
            <w:proofErr w:type="spellEnd"/>
            <w:r w:rsidR="00BB4C02" w:rsidRPr="002136F3">
              <w:rPr>
                <w:rFonts w:ascii="Times New Roman" w:hAnsi="Times New Roman"/>
                <w:color w:val="000000"/>
                <w:sz w:val="24"/>
                <w:szCs w:val="24"/>
              </w:rPr>
              <w:t xml:space="preserve"> bao </w:t>
            </w:r>
            <w:proofErr w:type="spellStart"/>
            <w:r w:rsidR="00BB4C02" w:rsidRPr="002136F3">
              <w:rPr>
                <w:rFonts w:ascii="Times New Roman" w:hAnsi="Times New Roman"/>
                <w:color w:val="000000"/>
                <w:sz w:val="24"/>
                <w:szCs w:val="24"/>
              </w:rPr>
              <w:t>gồm</w:t>
            </w:r>
            <w:proofErr w:type="spellEnd"/>
            <w:r w:rsidR="00BB4C02" w:rsidRPr="002136F3">
              <w:rPr>
                <w:rFonts w:ascii="Times New Roman" w:hAnsi="Times New Roman"/>
                <w:color w:val="000000"/>
                <w:sz w:val="24"/>
                <w:szCs w:val="24"/>
              </w:rPr>
              <w:t xml:space="preserve"> </w:t>
            </w:r>
            <w:proofErr w:type="spellStart"/>
            <w:r w:rsidR="00BB4C02" w:rsidRPr="002136F3">
              <w:rPr>
                <w:rFonts w:ascii="Times New Roman" w:hAnsi="Times New Roman"/>
                <w:color w:val="000000"/>
                <w:sz w:val="24"/>
                <w:szCs w:val="24"/>
              </w:rPr>
              <w:t>thuế</w:t>
            </w:r>
            <w:proofErr w:type="spellEnd"/>
            <w:r w:rsidR="00BB4C02" w:rsidRPr="002136F3">
              <w:rPr>
                <w:rFonts w:ascii="Times New Roman" w:hAnsi="Times New Roman"/>
                <w:color w:val="000000"/>
                <w:sz w:val="24"/>
                <w:szCs w:val="24"/>
              </w:rPr>
              <w:t xml:space="preserve"> GTGT (</w:t>
            </w:r>
            <w:proofErr w:type="spellStart"/>
            <w:r w:rsidR="00BB4C02" w:rsidRPr="002136F3">
              <w:rPr>
                <w:rFonts w:ascii="Times New Roman" w:hAnsi="Times New Roman"/>
                <w:color w:val="000000"/>
                <w:sz w:val="24"/>
                <w:szCs w:val="24"/>
              </w:rPr>
              <w:t>nếu</w:t>
            </w:r>
            <w:proofErr w:type="spellEnd"/>
            <w:r w:rsidR="00BB4C02" w:rsidRPr="002136F3">
              <w:rPr>
                <w:rFonts w:ascii="Times New Roman" w:hAnsi="Times New Roman"/>
                <w:color w:val="000000"/>
                <w:sz w:val="24"/>
                <w:szCs w:val="24"/>
              </w:rPr>
              <w:t xml:space="preserve"> </w:t>
            </w:r>
            <w:proofErr w:type="spellStart"/>
            <w:r w:rsidR="00BB4C02" w:rsidRPr="002136F3">
              <w:rPr>
                <w:rFonts w:ascii="Times New Roman" w:hAnsi="Times New Roman"/>
                <w:color w:val="000000"/>
                <w:sz w:val="24"/>
                <w:szCs w:val="24"/>
              </w:rPr>
              <w:t>có</w:t>
            </w:r>
            <w:proofErr w:type="spellEnd"/>
            <w:r w:rsidR="00BB4C02" w:rsidRPr="002136F3">
              <w:rPr>
                <w:rFonts w:ascii="Times New Roman" w:hAnsi="Times New Roman"/>
                <w:color w:val="000000"/>
                <w:sz w:val="24"/>
                <w:szCs w:val="24"/>
              </w:rPr>
              <w:t>))</w:t>
            </w:r>
          </w:p>
          <w:p w14:paraId="71D0B9E9" w14:textId="73A93EFC" w:rsidR="002136F3" w:rsidRPr="001F2E8F" w:rsidRDefault="002136F3" w:rsidP="001F2E8F">
            <w:pPr>
              <w:numPr>
                <w:ilvl w:val="0"/>
                <w:numId w:val="7"/>
              </w:numPr>
              <w:tabs>
                <w:tab w:val="clear" w:pos="340"/>
                <w:tab w:val="left" w:pos="524"/>
                <w:tab w:val="decimal" w:pos="995"/>
              </w:tabs>
              <w:overflowPunct w:val="0"/>
              <w:autoSpaceDE w:val="0"/>
              <w:autoSpaceDN w:val="0"/>
              <w:adjustRightInd w:val="0"/>
              <w:spacing w:before="120" w:after="120" w:line="240" w:lineRule="auto"/>
              <w:ind w:left="164" w:right="260" w:firstLine="0"/>
              <w:textAlignment w:val="baseline"/>
              <w:rPr>
                <w:rFonts w:ascii="Times New Roman" w:hAnsi="Times New Roman"/>
                <w:i/>
                <w:iCs/>
                <w:color w:val="000000"/>
                <w:sz w:val="24"/>
                <w:szCs w:val="24"/>
              </w:rPr>
            </w:pPr>
            <w:r w:rsidRPr="001F2E8F">
              <w:rPr>
                <w:rFonts w:ascii="Times New Roman" w:hAnsi="Times New Roman"/>
                <w:i/>
                <w:iCs/>
                <w:color w:val="000000"/>
                <w:sz w:val="24"/>
                <w:szCs w:val="24"/>
              </w:rPr>
              <w:t>Minimum</w:t>
            </w:r>
            <w:r w:rsidRPr="001F2E8F">
              <w:rPr>
                <w:rFonts w:ascii="Times New Roman" w:hAnsi="Times New Roman"/>
                <w:i/>
                <w:iCs/>
                <w:color w:val="000000"/>
                <w:sz w:val="24"/>
                <w:szCs w:val="24"/>
                <w:lang w:val="vi-VN"/>
              </w:rPr>
              <w:t xml:space="preserve"> fee is 50 million dong per annum (excluding VAT (if any))</w:t>
            </w:r>
          </w:p>
        </w:tc>
      </w:tr>
      <w:tr w:rsidR="00234F1B" w:rsidRPr="002136F3" w14:paraId="23DA7FD8" w14:textId="77777777" w:rsidTr="006D5144">
        <w:trPr>
          <w:trHeight w:val="810"/>
        </w:trPr>
        <w:tc>
          <w:tcPr>
            <w:tcW w:w="2454" w:type="dxa"/>
            <w:shd w:val="clear" w:color="auto" w:fill="auto"/>
          </w:tcPr>
          <w:p w14:paraId="0800B5D9" w14:textId="77777777" w:rsidR="00234F1B" w:rsidRPr="002136F3" w:rsidRDefault="00234F1B" w:rsidP="00726CC5">
            <w:pPr>
              <w:tabs>
                <w:tab w:val="num" w:pos="340"/>
              </w:tabs>
              <w:spacing w:before="120" w:after="120"/>
              <w:ind w:left="270" w:right="260"/>
              <w:rPr>
                <w:rFonts w:ascii="Times New Roman" w:hAnsi="Times New Roman"/>
                <w:sz w:val="24"/>
                <w:szCs w:val="24"/>
              </w:rPr>
            </w:pPr>
            <w:r w:rsidRPr="002136F3">
              <w:rPr>
                <w:rFonts w:ascii="Times New Roman" w:hAnsi="Times New Roman"/>
                <w:sz w:val="24"/>
                <w:szCs w:val="24"/>
              </w:rPr>
              <w:t xml:space="preserve">Cung </w:t>
            </w:r>
            <w:proofErr w:type="spellStart"/>
            <w:r w:rsidRPr="002136F3">
              <w:rPr>
                <w:rFonts w:ascii="Times New Roman" w:hAnsi="Times New Roman"/>
                <w:sz w:val="24"/>
                <w:szCs w:val="24"/>
              </w:rPr>
              <w:t>cấp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dịch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vụ</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tính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trị</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tài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ròng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tham</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chiếu</w:t>
            </w:r>
            <w:proofErr w:type="spellEnd"/>
          </w:p>
          <w:p w14:paraId="12A57227" w14:textId="78CCB6B2" w:rsidR="002136F3" w:rsidRPr="001F2E8F" w:rsidRDefault="002136F3" w:rsidP="00726CC5">
            <w:pPr>
              <w:tabs>
                <w:tab w:val="num" w:pos="340"/>
              </w:tabs>
              <w:spacing w:before="120" w:after="120"/>
              <w:ind w:left="270" w:right="260"/>
              <w:rPr>
                <w:rFonts w:ascii="Times New Roman" w:hAnsi="Times New Roman"/>
                <w:i/>
                <w:iCs/>
                <w:color w:val="000000"/>
                <w:sz w:val="24"/>
                <w:szCs w:val="24"/>
                <w:lang w:val="vi-VN"/>
              </w:rPr>
            </w:pPr>
            <w:r w:rsidRPr="001F2E8F">
              <w:rPr>
                <w:rFonts w:ascii="Times New Roman" w:hAnsi="Times New Roman"/>
                <w:i/>
                <w:iCs/>
                <w:sz w:val="24"/>
                <w:szCs w:val="24"/>
              </w:rPr>
              <w:t>Calculation</w:t>
            </w:r>
            <w:r w:rsidRPr="001F2E8F">
              <w:rPr>
                <w:rFonts w:ascii="Times New Roman" w:hAnsi="Times New Roman"/>
                <w:i/>
                <w:iCs/>
                <w:sz w:val="24"/>
                <w:szCs w:val="24"/>
                <w:lang w:val="vi-VN"/>
              </w:rPr>
              <w:t xml:space="preserve"> of </w:t>
            </w:r>
            <w:r w:rsidRPr="001F2E8F">
              <w:rPr>
                <w:rFonts w:ascii="Times New Roman" w:hAnsi="Times New Roman"/>
                <w:i/>
                <w:iCs/>
                <w:sz w:val="24"/>
                <w:szCs w:val="24"/>
                <w:lang w:val="vi-VN"/>
              </w:rPr>
              <w:lastRenderedPageBreak/>
              <w:t>Indicative NAV</w:t>
            </w:r>
          </w:p>
        </w:tc>
        <w:tc>
          <w:tcPr>
            <w:tcW w:w="7290" w:type="dxa"/>
            <w:shd w:val="clear" w:color="auto" w:fill="auto"/>
          </w:tcPr>
          <w:p w14:paraId="7546D6FF" w14:textId="77777777" w:rsidR="002136F3" w:rsidRPr="002136F3" w:rsidRDefault="002136F3" w:rsidP="001F2E8F">
            <w:pPr>
              <w:numPr>
                <w:ilvl w:val="0"/>
                <w:numId w:val="7"/>
              </w:numPr>
              <w:tabs>
                <w:tab w:val="clear" w:pos="340"/>
                <w:tab w:val="left" w:pos="524"/>
              </w:tabs>
              <w:overflowPunct w:val="0"/>
              <w:autoSpaceDE w:val="0"/>
              <w:autoSpaceDN w:val="0"/>
              <w:adjustRightInd w:val="0"/>
              <w:spacing w:before="120" w:after="120" w:line="240" w:lineRule="auto"/>
              <w:ind w:left="164" w:right="260" w:firstLine="0"/>
              <w:textAlignment w:val="baseline"/>
              <w:rPr>
                <w:rFonts w:ascii="Times New Roman" w:hAnsi="Times New Roman"/>
                <w:color w:val="000000"/>
                <w:sz w:val="24"/>
                <w:szCs w:val="24"/>
              </w:rPr>
            </w:pPr>
            <w:proofErr w:type="spellStart"/>
            <w:r w:rsidRPr="002136F3">
              <w:rPr>
                <w:rFonts w:ascii="Times New Roman" w:hAnsi="Times New Roman"/>
                <w:color w:val="000000"/>
                <w:sz w:val="24"/>
                <w:szCs w:val="24"/>
              </w:rPr>
              <w:lastRenderedPageBreak/>
              <w:t>Là</w:t>
            </w:r>
            <w:proofErr w:type="spellEnd"/>
            <w:r w:rsidRPr="002136F3">
              <w:rPr>
                <w:rFonts w:ascii="Times New Roman" w:hAnsi="Times New Roman"/>
                <w:color w:val="000000"/>
                <w:sz w:val="24"/>
                <w:szCs w:val="24"/>
              </w:rPr>
              <w:t xml:space="preserve"> 0,02% NAV </w:t>
            </w:r>
            <w:proofErr w:type="spellStart"/>
            <w:r w:rsidRPr="002136F3">
              <w:rPr>
                <w:rFonts w:ascii="Times New Roman" w:hAnsi="Times New Roman"/>
                <w:color w:val="000000"/>
                <w:sz w:val="24"/>
                <w:szCs w:val="24"/>
              </w:rPr>
              <w:t>bình</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quân</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gia</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quyền</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mỗi</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năm</w:t>
            </w:r>
            <w:proofErr w:type="spellEnd"/>
          </w:p>
          <w:p w14:paraId="39B2E03C" w14:textId="77777777" w:rsidR="002136F3" w:rsidRPr="001F2E8F" w:rsidRDefault="002136F3" w:rsidP="001F2E8F">
            <w:pPr>
              <w:numPr>
                <w:ilvl w:val="0"/>
                <w:numId w:val="7"/>
              </w:numPr>
              <w:tabs>
                <w:tab w:val="clear" w:pos="340"/>
                <w:tab w:val="left" w:pos="524"/>
              </w:tabs>
              <w:overflowPunct w:val="0"/>
              <w:autoSpaceDE w:val="0"/>
              <w:autoSpaceDN w:val="0"/>
              <w:adjustRightInd w:val="0"/>
              <w:spacing w:before="120" w:after="120" w:line="240" w:lineRule="auto"/>
              <w:ind w:left="164" w:right="260" w:firstLine="0"/>
              <w:textAlignment w:val="baseline"/>
              <w:rPr>
                <w:rFonts w:ascii="Times New Roman" w:hAnsi="Times New Roman"/>
                <w:i/>
                <w:iCs/>
                <w:color w:val="000000"/>
                <w:sz w:val="24"/>
                <w:szCs w:val="24"/>
              </w:rPr>
            </w:pPr>
            <w:r w:rsidRPr="001F2E8F">
              <w:rPr>
                <w:rFonts w:ascii="Times New Roman" w:hAnsi="Times New Roman"/>
                <w:i/>
                <w:iCs/>
                <w:color w:val="000000"/>
                <w:sz w:val="24"/>
                <w:szCs w:val="24"/>
              </w:rPr>
              <w:t>0</w:t>
            </w:r>
            <w:r w:rsidRPr="001F2E8F">
              <w:rPr>
                <w:rFonts w:ascii="Times New Roman" w:hAnsi="Times New Roman"/>
                <w:i/>
                <w:iCs/>
                <w:color w:val="000000"/>
                <w:sz w:val="24"/>
                <w:szCs w:val="24"/>
                <w:lang w:val="vi-VN"/>
              </w:rPr>
              <w:t>,02% weighted average NAV per annum</w:t>
            </w:r>
          </w:p>
          <w:p w14:paraId="1E513158" w14:textId="77777777" w:rsidR="002136F3" w:rsidRPr="002136F3" w:rsidRDefault="002136F3" w:rsidP="001F2E8F">
            <w:pPr>
              <w:numPr>
                <w:ilvl w:val="0"/>
                <w:numId w:val="7"/>
              </w:numPr>
              <w:tabs>
                <w:tab w:val="clear" w:pos="340"/>
                <w:tab w:val="left" w:pos="524"/>
                <w:tab w:val="decimal" w:pos="995"/>
              </w:tabs>
              <w:overflowPunct w:val="0"/>
              <w:autoSpaceDE w:val="0"/>
              <w:autoSpaceDN w:val="0"/>
              <w:adjustRightInd w:val="0"/>
              <w:spacing w:before="120" w:after="120" w:line="240" w:lineRule="auto"/>
              <w:ind w:left="164" w:right="260" w:firstLine="0"/>
              <w:textAlignment w:val="baseline"/>
              <w:rPr>
                <w:rFonts w:ascii="Times New Roman" w:hAnsi="Times New Roman"/>
                <w:color w:val="000000"/>
                <w:sz w:val="24"/>
                <w:szCs w:val="24"/>
              </w:rPr>
            </w:pPr>
            <w:proofErr w:type="spellStart"/>
            <w:r w:rsidRPr="002136F3">
              <w:rPr>
                <w:rFonts w:ascii="Times New Roman" w:hAnsi="Times New Roman"/>
                <w:color w:val="000000"/>
                <w:sz w:val="24"/>
                <w:szCs w:val="24"/>
              </w:rPr>
              <w:t>Tối</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thiểu</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là</w:t>
            </w:r>
            <w:proofErr w:type="spellEnd"/>
            <w:r w:rsidRPr="002136F3">
              <w:rPr>
                <w:rFonts w:ascii="Times New Roman" w:hAnsi="Times New Roman"/>
                <w:color w:val="000000"/>
                <w:sz w:val="24"/>
                <w:szCs w:val="24"/>
              </w:rPr>
              <w:t xml:space="preserve"> 50 </w:t>
            </w:r>
            <w:proofErr w:type="spellStart"/>
            <w:r w:rsidRPr="002136F3">
              <w:rPr>
                <w:rFonts w:ascii="Times New Roman" w:hAnsi="Times New Roman"/>
                <w:color w:val="000000"/>
                <w:sz w:val="24"/>
                <w:szCs w:val="24"/>
              </w:rPr>
              <w:t>triệu</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đồng</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năm</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chưa</w:t>
            </w:r>
            <w:proofErr w:type="spellEnd"/>
            <w:r w:rsidRPr="002136F3">
              <w:rPr>
                <w:rFonts w:ascii="Times New Roman" w:hAnsi="Times New Roman"/>
                <w:color w:val="000000"/>
                <w:sz w:val="24"/>
                <w:szCs w:val="24"/>
              </w:rPr>
              <w:t xml:space="preserve"> bao </w:t>
            </w:r>
            <w:proofErr w:type="spellStart"/>
            <w:r w:rsidRPr="002136F3">
              <w:rPr>
                <w:rFonts w:ascii="Times New Roman" w:hAnsi="Times New Roman"/>
                <w:color w:val="000000"/>
                <w:sz w:val="24"/>
                <w:szCs w:val="24"/>
              </w:rPr>
              <w:t>gồm</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thuế</w:t>
            </w:r>
            <w:proofErr w:type="spellEnd"/>
            <w:r w:rsidRPr="002136F3">
              <w:rPr>
                <w:rFonts w:ascii="Times New Roman" w:hAnsi="Times New Roman"/>
                <w:color w:val="000000"/>
                <w:sz w:val="24"/>
                <w:szCs w:val="24"/>
              </w:rPr>
              <w:t xml:space="preserve"> GTGT (</w:t>
            </w:r>
            <w:proofErr w:type="spellStart"/>
            <w:r w:rsidRPr="002136F3">
              <w:rPr>
                <w:rFonts w:ascii="Times New Roman" w:hAnsi="Times New Roman"/>
                <w:color w:val="000000"/>
                <w:sz w:val="24"/>
                <w:szCs w:val="24"/>
              </w:rPr>
              <w:t>nếu</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có</w:t>
            </w:r>
            <w:proofErr w:type="spellEnd"/>
            <w:r w:rsidRPr="002136F3">
              <w:rPr>
                <w:rFonts w:ascii="Times New Roman" w:hAnsi="Times New Roman"/>
                <w:color w:val="000000"/>
                <w:sz w:val="24"/>
                <w:szCs w:val="24"/>
              </w:rPr>
              <w:t>))</w:t>
            </w:r>
          </w:p>
          <w:p w14:paraId="0BED2614" w14:textId="2BDEC4C0" w:rsidR="00234F1B" w:rsidRPr="001F2E8F" w:rsidRDefault="002136F3" w:rsidP="001F2E8F">
            <w:pPr>
              <w:numPr>
                <w:ilvl w:val="0"/>
                <w:numId w:val="7"/>
              </w:numPr>
              <w:tabs>
                <w:tab w:val="clear" w:pos="340"/>
                <w:tab w:val="left" w:pos="524"/>
              </w:tabs>
              <w:overflowPunct w:val="0"/>
              <w:autoSpaceDE w:val="0"/>
              <w:autoSpaceDN w:val="0"/>
              <w:adjustRightInd w:val="0"/>
              <w:spacing w:before="120" w:after="120" w:line="240" w:lineRule="auto"/>
              <w:ind w:left="164" w:right="260" w:firstLine="0"/>
              <w:textAlignment w:val="baseline"/>
              <w:rPr>
                <w:rFonts w:ascii="Times New Roman" w:hAnsi="Times New Roman"/>
                <w:i/>
                <w:iCs/>
                <w:color w:val="000000"/>
                <w:sz w:val="24"/>
                <w:szCs w:val="24"/>
              </w:rPr>
            </w:pPr>
            <w:r w:rsidRPr="001F2E8F">
              <w:rPr>
                <w:rFonts w:ascii="Times New Roman" w:hAnsi="Times New Roman"/>
                <w:i/>
                <w:iCs/>
                <w:color w:val="000000"/>
                <w:sz w:val="24"/>
                <w:szCs w:val="24"/>
              </w:rPr>
              <w:lastRenderedPageBreak/>
              <w:t>Minimum</w:t>
            </w:r>
            <w:r w:rsidRPr="001F2E8F">
              <w:rPr>
                <w:rFonts w:ascii="Times New Roman" w:hAnsi="Times New Roman"/>
                <w:i/>
                <w:iCs/>
                <w:color w:val="000000"/>
                <w:sz w:val="24"/>
                <w:szCs w:val="24"/>
                <w:lang w:val="vi-VN"/>
              </w:rPr>
              <w:t xml:space="preserve"> fee is 50 million dong per annum (excluding VAT (if any))</w:t>
            </w:r>
          </w:p>
        </w:tc>
      </w:tr>
    </w:tbl>
    <w:p w14:paraId="10674C40" w14:textId="77777777" w:rsidR="007F1387" w:rsidRPr="002136F3" w:rsidRDefault="000021A9" w:rsidP="001F2E8F">
      <w:pPr>
        <w:spacing w:before="120" w:after="120" w:line="312" w:lineRule="auto"/>
        <w:ind w:left="180" w:right="259"/>
        <w:jc w:val="both"/>
        <w:outlineLvl w:val="0"/>
        <w:rPr>
          <w:rFonts w:ascii="Times New Roman" w:hAnsi="Times New Roman"/>
          <w:color w:val="000000"/>
          <w:sz w:val="24"/>
          <w:szCs w:val="24"/>
        </w:rPr>
      </w:pPr>
      <w:proofErr w:type="spellStart"/>
      <w:r w:rsidRPr="002136F3">
        <w:rPr>
          <w:rFonts w:ascii="Times New Roman" w:hAnsi="Times New Roman"/>
          <w:color w:val="000000"/>
          <w:sz w:val="24"/>
          <w:szCs w:val="24"/>
        </w:rPr>
        <w:lastRenderedPageBreak/>
        <w:t>Các</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giá</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dịch</w:t>
      </w:r>
      <w:proofErr w:type="spellEnd"/>
      <w:r w:rsidRPr="002136F3">
        <w:rPr>
          <w:rFonts w:ascii="Times New Roman" w:hAnsi="Times New Roman"/>
          <w:color w:val="000000"/>
          <w:sz w:val="24"/>
          <w:szCs w:val="24"/>
        </w:rPr>
        <w:t xml:space="preserve"> </w:t>
      </w:r>
      <w:proofErr w:type="spellStart"/>
      <w:r w:rsidRPr="002136F3">
        <w:rPr>
          <w:rFonts w:ascii="Times New Roman" w:hAnsi="Times New Roman"/>
          <w:color w:val="000000"/>
          <w:sz w:val="24"/>
          <w:szCs w:val="24"/>
        </w:rPr>
        <w:t>vụ</w:t>
      </w:r>
      <w:proofErr w:type="spellEnd"/>
      <w:r w:rsidR="00931CE1" w:rsidRPr="002136F3">
        <w:rPr>
          <w:rFonts w:ascii="Times New Roman" w:hAnsi="Times New Roman"/>
          <w:color w:val="000000"/>
          <w:sz w:val="24"/>
          <w:szCs w:val="24"/>
        </w:rPr>
        <w:t xml:space="preserve"> </w:t>
      </w:r>
      <w:proofErr w:type="spellStart"/>
      <w:r w:rsidR="00931CE1" w:rsidRPr="002136F3">
        <w:rPr>
          <w:rFonts w:ascii="Times New Roman" w:hAnsi="Times New Roman"/>
          <w:color w:val="000000"/>
          <w:sz w:val="24"/>
          <w:szCs w:val="24"/>
        </w:rPr>
        <w:t>trên</w:t>
      </w:r>
      <w:proofErr w:type="spellEnd"/>
      <w:r w:rsidR="00931CE1" w:rsidRPr="002136F3">
        <w:rPr>
          <w:rFonts w:ascii="Times New Roman" w:hAnsi="Times New Roman"/>
          <w:color w:val="000000"/>
          <w:sz w:val="24"/>
          <w:szCs w:val="24"/>
        </w:rPr>
        <w:t xml:space="preserve"> </w:t>
      </w:r>
      <w:proofErr w:type="spellStart"/>
      <w:r w:rsidR="00931CE1" w:rsidRPr="002136F3">
        <w:rPr>
          <w:rFonts w:ascii="Times New Roman" w:hAnsi="Times New Roman"/>
          <w:color w:val="000000"/>
          <w:sz w:val="24"/>
          <w:szCs w:val="24"/>
        </w:rPr>
        <w:t>được</w:t>
      </w:r>
      <w:proofErr w:type="spellEnd"/>
      <w:r w:rsidR="00931CE1" w:rsidRPr="002136F3">
        <w:rPr>
          <w:rFonts w:ascii="Times New Roman" w:hAnsi="Times New Roman"/>
          <w:color w:val="000000"/>
          <w:sz w:val="24"/>
          <w:szCs w:val="24"/>
        </w:rPr>
        <w:t xml:space="preserve"> </w:t>
      </w:r>
      <w:proofErr w:type="spellStart"/>
      <w:r w:rsidR="00931CE1" w:rsidRPr="002136F3">
        <w:rPr>
          <w:rFonts w:ascii="Times New Roman" w:hAnsi="Times New Roman"/>
          <w:color w:val="000000"/>
          <w:sz w:val="24"/>
          <w:szCs w:val="24"/>
        </w:rPr>
        <w:t>tính</w:t>
      </w:r>
      <w:proofErr w:type="spellEnd"/>
      <w:r w:rsidR="00931CE1" w:rsidRPr="002136F3">
        <w:rPr>
          <w:rFonts w:ascii="Times New Roman" w:hAnsi="Times New Roman"/>
          <w:color w:val="000000"/>
          <w:sz w:val="24"/>
          <w:szCs w:val="24"/>
        </w:rPr>
        <w:t xml:space="preserve"> </w:t>
      </w:r>
      <w:proofErr w:type="spellStart"/>
      <w:r w:rsidR="00931CE1" w:rsidRPr="002136F3">
        <w:rPr>
          <w:rFonts w:ascii="Times New Roman" w:hAnsi="Times New Roman"/>
          <w:color w:val="000000"/>
          <w:sz w:val="24"/>
          <w:szCs w:val="24"/>
        </w:rPr>
        <w:t>vào</w:t>
      </w:r>
      <w:proofErr w:type="spellEnd"/>
      <w:r w:rsidR="00931CE1" w:rsidRPr="002136F3">
        <w:rPr>
          <w:rFonts w:ascii="Times New Roman" w:hAnsi="Times New Roman"/>
          <w:color w:val="000000"/>
          <w:sz w:val="24"/>
          <w:szCs w:val="24"/>
        </w:rPr>
        <w:t xml:space="preserve"> </w:t>
      </w:r>
      <w:proofErr w:type="spellStart"/>
      <w:r w:rsidR="00931CE1" w:rsidRPr="002136F3">
        <w:rPr>
          <w:rFonts w:ascii="Times New Roman" w:hAnsi="Times New Roman"/>
          <w:color w:val="000000"/>
          <w:sz w:val="24"/>
          <w:szCs w:val="24"/>
        </w:rPr>
        <w:t>mỗi</w:t>
      </w:r>
      <w:proofErr w:type="spellEnd"/>
      <w:r w:rsidR="00931CE1" w:rsidRPr="002136F3">
        <w:rPr>
          <w:rFonts w:ascii="Times New Roman" w:hAnsi="Times New Roman"/>
          <w:color w:val="000000"/>
          <w:sz w:val="24"/>
          <w:szCs w:val="24"/>
        </w:rPr>
        <w:t xml:space="preserve"> </w:t>
      </w:r>
      <w:proofErr w:type="spellStart"/>
      <w:r w:rsidR="00931CE1" w:rsidRPr="002136F3">
        <w:rPr>
          <w:rFonts w:ascii="Times New Roman" w:hAnsi="Times New Roman"/>
          <w:color w:val="000000"/>
          <w:sz w:val="24"/>
          <w:szCs w:val="24"/>
        </w:rPr>
        <w:t>kỳ</w:t>
      </w:r>
      <w:proofErr w:type="spellEnd"/>
      <w:r w:rsidR="00931CE1" w:rsidRPr="002136F3">
        <w:rPr>
          <w:rFonts w:ascii="Times New Roman" w:hAnsi="Times New Roman"/>
          <w:color w:val="000000"/>
          <w:sz w:val="24"/>
          <w:szCs w:val="24"/>
        </w:rPr>
        <w:t xml:space="preserve"> </w:t>
      </w:r>
      <w:proofErr w:type="spellStart"/>
      <w:r w:rsidR="00931CE1" w:rsidRPr="002136F3">
        <w:rPr>
          <w:rFonts w:ascii="Times New Roman" w:hAnsi="Times New Roman"/>
          <w:color w:val="000000"/>
          <w:sz w:val="24"/>
          <w:szCs w:val="24"/>
        </w:rPr>
        <w:t>định</w:t>
      </w:r>
      <w:proofErr w:type="spellEnd"/>
      <w:r w:rsidR="00931CE1" w:rsidRPr="002136F3">
        <w:rPr>
          <w:rFonts w:ascii="Times New Roman" w:hAnsi="Times New Roman"/>
          <w:color w:val="000000"/>
          <w:sz w:val="24"/>
          <w:szCs w:val="24"/>
        </w:rPr>
        <w:t xml:space="preserve"> </w:t>
      </w:r>
      <w:proofErr w:type="spellStart"/>
      <w:r w:rsidR="00931CE1" w:rsidRPr="002136F3">
        <w:rPr>
          <w:rFonts w:ascii="Times New Roman" w:hAnsi="Times New Roman"/>
          <w:color w:val="000000"/>
          <w:sz w:val="24"/>
          <w:szCs w:val="24"/>
        </w:rPr>
        <w:t>giá</w:t>
      </w:r>
      <w:proofErr w:type="spellEnd"/>
      <w:r w:rsidR="00931CE1" w:rsidRPr="002136F3">
        <w:rPr>
          <w:rFonts w:ascii="Times New Roman" w:hAnsi="Times New Roman"/>
          <w:color w:val="000000"/>
          <w:sz w:val="24"/>
          <w:szCs w:val="24"/>
        </w:rPr>
        <w:t xml:space="preserve"> </w:t>
      </w:r>
      <w:proofErr w:type="spellStart"/>
      <w:r w:rsidR="00931CE1" w:rsidRPr="002136F3">
        <w:rPr>
          <w:rFonts w:ascii="Times New Roman" w:hAnsi="Times New Roman"/>
          <w:color w:val="000000"/>
          <w:sz w:val="24"/>
          <w:szCs w:val="24"/>
        </w:rPr>
        <w:t>dựa</w:t>
      </w:r>
      <w:proofErr w:type="spellEnd"/>
      <w:r w:rsidR="00931CE1" w:rsidRPr="002136F3">
        <w:rPr>
          <w:rFonts w:ascii="Times New Roman" w:hAnsi="Times New Roman"/>
          <w:color w:val="000000"/>
          <w:sz w:val="24"/>
          <w:szCs w:val="24"/>
        </w:rPr>
        <w:t xml:space="preserve"> </w:t>
      </w:r>
      <w:proofErr w:type="spellStart"/>
      <w:r w:rsidR="00931CE1" w:rsidRPr="002136F3">
        <w:rPr>
          <w:rFonts w:ascii="Times New Roman" w:hAnsi="Times New Roman"/>
          <w:color w:val="000000"/>
          <w:sz w:val="24"/>
          <w:szCs w:val="24"/>
        </w:rPr>
        <w:t>trên</w:t>
      </w:r>
      <w:proofErr w:type="spellEnd"/>
      <w:r w:rsidR="00931CE1" w:rsidRPr="002136F3">
        <w:rPr>
          <w:rFonts w:ascii="Times New Roman" w:hAnsi="Times New Roman"/>
          <w:color w:val="000000"/>
          <w:sz w:val="24"/>
          <w:szCs w:val="24"/>
        </w:rPr>
        <w:t xml:space="preserve"> NAV </w:t>
      </w:r>
      <w:proofErr w:type="spellStart"/>
      <w:r w:rsidR="00931CE1" w:rsidRPr="002136F3">
        <w:rPr>
          <w:rFonts w:ascii="Times New Roman" w:hAnsi="Times New Roman"/>
          <w:color w:val="000000"/>
          <w:sz w:val="24"/>
          <w:szCs w:val="24"/>
        </w:rPr>
        <w:t>trước</w:t>
      </w:r>
      <w:proofErr w:type="spellEnd"/>
      <w:r w:rsidR="00931CE1" w:rsidRPr="002136F3">
        <w:rPr>
          <w:rFonts w:ascii="Times New Roman" w:hAnsi="Times New Roman"/>
          <w:color w:val="000000"/>
          <w:sz w:val="24"/>
          <w:szCs w:val="24"/>
        </w:rPr>
        <w:t xml:space="preserve"> </w:t>
      </w:r>
      <w:proofErr w:type="spellStart"/>
      <w:r w:rsidR="00931CE1" w:rsidRPr="002136F3">
        <w:rPr>
          <w:rFonts w:ascii="Times New Roman" w:hAnsi="Times New Roman"/>
          <w:color w:val="000000"/>
          <w:sz w:val="24"/>
          <w:szCs w:val="24"/>
        </w:rPr>
        <w:t>phí</w:t>
      </w:r>
      <w:proofErr w:type="spellEnd"/>
      <w:r w:rsidR="00931CE1" w:rsidRPr="002136F3">
        <w:rPr>
          <w:rFonts w:ascii="Times New Roman" w:hAnsi="Times New Roman"/>
          <w:color w:val="000000"/>
          <w:sz w:val="24"/>
          <w:szCs w:val="24"/>
        </w:rPr>
        <w:t xml:space="preserve"> </w:t>
      </w:r>
      <w:proofErr w:type="spellStart"/>
      <w:r w:rsidR="00931CE1" w:rsidRPr="002136F3">
        <w:rPr>
          <w:rFonts w:ascii="Times New Roman" w:hAnsi="Times New Roman"/>
          <w:color w:val="000000"/>
          <w:sz w:val="24"/>
          <w:szCs w:val="24"/>
        </w:rPr>
        <w:t>tại</w:t>
      </w:r>
      <w:proofErr w:type="spellEnd"/>
      <w:r w:rsidR="00931CE1" w:rsidRPr="002136F3">
        <w:rPr>
          <w:rFonts w:ascii="Times New Roman" w:hAnsi="Times New Roman"/>
          <w:color w:val="000000"/>
          <w:sz w:val="24"/>
          <w:szCs w:val="24"/>
        </w:rPr>
        <w:t xml:space="preserve"> </w:t>
      </w:r>
      <w:proofErr w:type="spellStart"/>
      <w:r w:rsidR="00931CE1" w:rsidRPr="002136F3">
        <w:rPr>
          <w:rFonts w:ascii="Times New Roman" w:hAnsi="Times New Roman"/>
          <w:color w:val="000000"/>
          <w:sz w:val="24"/>
          <w:szCs w:val="24"/>
        </w:rPr>
        <w:t>ngày</w:t>
      </w:r>
      <w:proofErr w:type="spellEnd"/>
      <w:r w:rsidR="00931CE1" w:rsidRPr="002136F3">
        <w:rPr>
          <w:rFonts w:ascii="Times New Roman" w:hAnsi="Times New Roman"/>
          <w:color w:val="000000"/>
          <w:sz w:val="24"/>
          <w:szCs w:val="24"/>
        </w:rPr>
        <w:t xml:space="preserve"> </w:t>
      </w:r>
      <w:proofErr w:type="spellStart"/>
      <w:r w:rsidR="00931CE1" w:rsidRPr="002136F3">
        <w:rPr>
          <w:rFonts w:ascii="Times New Roman" w:hAnsi="Times New Roman"/>
          <w:color w:val="000000"/>
          <w:sz w:val="24"/>
          <w:szCs w:val="24"/>
        </w:rPr>
        <w:t>trước</w:t>
      </w:r>
      <w:proofErr w:type="spellEnd"/>
      <w:r w:rsidR="00931CE1" w:rsidRPr="002136F3">
        <w:rPr>
          <w:rFonts w:ascii="Times New Roman" w:hAnsi="Times New Roman"/>
          <w:color w:val="000000"/>
          <w:sz w:val="24"/>
          <w:szCs w:val="24"/>
        </w:rPr>
        <w:t xml:space="preserve"> </w:t>
      </w:r>
      <w:proofErr w:type="spellStart"/>
      <w:r w:rsidR="00931CE1" w:rsidRPr="002136F3">
        <w:rPr>
          <w:rFonts w:ascii="Times New Roman" w:hAnsi="Times New Roman"/>
          <w:color w:val="000000"/>
          <w:sz w:val="24"/>
          <w:szCs w:val="24"/>
        </w:rPr>
        <w:t>ngày</w:t>
      </w:r>
      <w:proofErr w:type="spellEnd"/>
      <w:r w:rsidR="00931CE1" w:rsidRPr="002136F3">
        <w:rPr>
          <w:rFonts w:ascii="Times New Roman" w:hAnsi="Times New Roman"/>
          <w:color w:val="000000"/>
          <w:sz w:val="24"/>
          <w:szCs w:val="24"/>
        </w:rPr>
        <w:t xml:space="preserve"> </w:t>
      </w:r>
      <w:proofErr w:type="spellStart"/>
      <w:r w:rsidR="00931CE1" w:rsidRPr="002136F3">
        <w:rPr>
          <w:rFonts w:ascii="Times New Roman" w:hAnsi="Times New Roman"/>
          <w:color w:val="000000"/>
          <w:sz w:val="24"/>
          <w:szCs w:val="24"/>
        </w:rPr>
        <w:t>định</w:t>
      </w:r>
      <w:proofErr w:type="spellEnd"/>
      <w:r w:rsidR="00931CE1" w:rsidRPr="002136F3">
        <w:rPr>
          <w:rFonts w:ascii="Times New Roman" w:hAnsi="Times New Roman"/>
          <w:color w:val="000000"/>
          <w:sz w:val="24"/>
          <w:szCs w:val="24"/>
        </w:rPr>
        <w:t xml:space="preserve"> </w:t>
      </w:r>
      <w:proofErr w:type="spellStart"/>
      <w:r w:rsidR="00931CE1" w:rsidRPr="002136F3">
        <w:rPr>
          <w:rFonts w:ascii="Times New Roman" w:hAnsi="Times New Roman"/>
          <w:color w:val="000000"/>
          <w:sz w:val="24"/>
          <w:szCs w:val="24"/>
        </w:rPr>
        <w:t>giá</w:t>
      </w:r>
      <w:proofErr w:type="spellEnd"/>
      <w:r w:rsidR="00931CE1" w:rsidRPr="002136F3">
        <w:rPr>
          <w:rFonts w:ascii="Times New Roman" w:hAnsi="Times New Roman"/>
          <w:color w:val="000000"/>
          <w:sz w:val="24"/>
          <w:szCs w:val="24"/>
        </w:rPr>
        <w:t xml:space="preserve"> </w:t>
      </w:r>
      <w:proofErr w:type="spellStart"/>
      <w:r w:rsidR="00931CE1" w:rsidRPr="002136F3">
        <w:rPr>
          <w:rFonts w:ascii="Times New Roman" w:hAnsi="Times New Roman"/>
          <w:color w:val="000000"/>
          <w:sz w:val="24"/>
          <w:szCs w:val="24"/>
        </w:rPr>
        <w:t>và</w:t>
      </w:r>
      <w:proofErr w:type="spellEnd"/>
      <w:r w:rsidR="00931CE1" w:rsidRPr="002136F3">
        <w:rPr>
          <w:rFonts w:ascii="Times New Roman" w:hAnsi="Times New Roman"/>
          <w:color w:val="000000"/>
          <w:sz w:val="24"/>
          <w:szCs w:val="24"/>
        </w:rPr>
        <w:t xml:space="preserve"> </w:t>
      </w:r>
      <w:proofErr w:type="spellStart"/>
      <w:r w:rsidR="00931CE1" w:rsidRPr="002136F3">
        <w:rPr>
          <w:rFonts w:ascii="Times New Roman" w:hAnsi="Times New Roman"/>
          <w:color w:val="000000"/>
          <w:sz w:val="24"/>
          <w:szCs w:val="24"/>
        </w:rPr>
        <w:t>được</w:t>
      </w:r>
      <w:proofErr w:type="spellEnd"/>
      <w:r w:rsidR="00931CE1" w:rsidRPr="002136F3">
        <w:rPr>
          <w:rFonts w:ascii="Times New Roman" w:hAnsi="Times New Roman"/>
          <w:color w:val="000000"/>
          <w:sz w:val="24"/>
          <w:szCs w:val="24"/>
        </w:rPr>
        <w:t xml:space="preserve"> </w:t>
      </w:r>
      <w:proofErr w:type="spellStart"/>
      <w:r w:rsidR="00931CE1" w:rsidRPr="002136F3">
        <w:rPr>
          <w:rFonts w:ascii="Times New Roman" w:hAnsi="Times New Roman"/>
          <w:color w:val="000000"/>
          <w:sz w:val="24"/>
          <w:szCs w:val="24"/>
        </w:rPr>
        <w:t>trả</w:t>
      </w:r>
      <w:proofErr w:type="spellEnd"/>
      <w:r w:rsidR="00931CE1" w:rsidRPr="002136F3">
        <w:rPr>
          <w:rFonts w:ascii="Times New Roman" w:hAnsi="Times New Roman"/>
          <w:color w:val="000000"/>
          <w:sz w:val="24"/>
          <w:szCs w:val="24"/>
        </w:rPr>
        <w:t xml:space="preserve"> </w:t>
      </w:r>
      <w:proofErr w:type="spellStart"/>
      <w:r w:rsidR="00931CE1" w:rsidRPr="002136F3">
        <w:rPr>
          <w:rFonts w:ascii="Times New Roman" w:hAnsi="Times New Roman"/>
          <w:color w:val="000000"/>
          <w:sz w:val="24"/>
          <w:szCs w:val="24"/>
        </w:rPr>
        <w:t>định</w:t>
      </w:r>
      <w:proofErr w:type="spellEnd"/>
      <w:r w:rsidR="00931CE1" w:rsidRPr="002136F3">
        <w:rPr>
          <w:rFonts w:ascii="Times New Roman" w:hAnsi="Times New Roman"/>
          <w:color w:val="000000"/>
          <w:sz w:val="24"/>
          <w:szCs w:val="24"/>
        </w:rPr>
        <w:t xml:space="preserve"> </w:t>
      </w:r>
      <w:proofErr w:type="spellStart"/>
      <w:r w:rsidR="00931CE1" w:rsidRPr="002136F3">
        <w:rPr>
          <w:rFonts w:ascii="Times New Roman" w:hAnsi="Times New Roman"/>
          <w:color w:val="000000"/>
          <w:sz w:val="24"/>
          <w:szCs w:val="24"/>
        </w:rPr>
        <w:t>kỳ</w:t>
      </w:r>
      <w:proofErr w:type="spellEnd"/>
      <w:r w:rsidR="00931CE1" w:rsidRPr="002136F3">
        <w:rPr>
          <w:rFonts w:ascii="Times New Roman" w:hAnsi="Times New Roman"/>
          <w:color w:val="000000"/>
          <w:sz w:val="24"/>
          <w:szCs w:val="24"/>
        </w:rPr>
        <w:t xml:space="preserve"> </w:t>
      </w:r>
      <w:proofErr w:type="spellStart"/>
      <w:r w:rsidR="00931CE1" w:rsidRPr="002136F3">
        <w:rPr>
          <w:rFonts w:ascii="Times New Roman" w:hAnsi="Times New Roman"/>
          <w:color w:val="000000"/>
          <w:sz w:val="24"/>
          <w:szCs w:val="24"/>
        </w:rPr>
        <w:t>hàng</w:t>
      </w:r>
      <w:proofErr w:type="spellEnd"/>
      <w:r w:rsidR="00931CE1" w:rsidRPr="002136F3">
        <w:rPr>
          <w:rFonts w:ascii="Times New Roman" w:hAnsi="Times New Roman"/>
          <w:color w:val="000000"/>
          <w:sz w:val="24"/>
          <w:szCs w:val="24"/>
        </w:rPr>
        <w:t xml:space="preserve"> </w:t>
      </w:r>
      <w:proofErr w:type="spellStart"/>
      <w:r w:rsidR="00931CE1" w:rsidRPr="002136F3">
        <w:rPr>
          <w:rFonts w:ascii="Times New Roman" w:hAnsi="Times New Roman"/>
          <w:color w:val="000000"/>
          <w:sz w:val="24"/>
          <w:szCs w:val="24"/>
        </w:rPr>
        <w:t>năm</w:t>
      </w:r>
      <w:proofErr w:type="spellEnd"/>
      <w:r w:rsidR="00156681" w:rsidRPr="002136F3">
        <w:rPr>
          <w:rFonts w:ascii="Times New Roman" w:hAnsi="Times New Roman"/>
          <w:color w:val="000000"/>
          <w:sz w:val="24"/>
          <w:szCs w:val="24"/>
        </w:rPr>
        <w:t>.</w:t>
      </w:r>
    </w:p>
    <w:p w14:paraId="21F34FEB" w14:textId="789931CD" w:rsidR="002136F3" w:rsidRPr="001F2E8F" w:rsidRDefault="002136F3" w:rsidP="001F2E8F">
      <w:pPr>
        <w:spacing w:before="120" w:after="120" w:line="312" w:lineRule="auto"/>
        <w:ind w:left="180" w:right="259"/>
        <w:jc w:val="both"/>
        <w:outlineLvl w:val="0"/>
        <w:rPr>
          <w:rFonts w:ascii="Times New Roman" w:hAnsi="Times New Roman"/>
          <w:i/>
          <w:iCs/>
          <w:color w:val="000000"/>
          <w:sz w:val="24"/>
          <w:szCs w:val="24"/>
          <w:lang w:val="vi-VN"/>
        </w:rPr>
      </w:pPr>
      <w:r w:rsidRPr="001F2E8F">
        <w:rPr>
          <w:rFonts w:ascii="Times New Roman" w:hAnsi="Times New Roman"/>
          <w:i/>
          <w:iCs/>
          <w:color w:val="000000"/>
          <w:sz w:val="24"/>
          <w:szCs w:val="24"/>
        </w:rPr>
        <w:t>The</w:t>
      </w:r>
      <w:r w:rsidRPr="001F2E8F">
        <w:rPr>
          <w:rFonts w:ascii="Times New Roman" w:hAnsi="Times New Roman"/>
          <w:i/>
          <w:iCs/>
          <w:color w:val="000000"/>
          <w:sz w:val="24"/>
          <w:szCs w:val="24"/>
          <w:lang w:val="vi-VN"/>
        </w:rPr>
        <w:t xml:space="preserve"> above fees are calcuated based Gross Asset Value as at the day before </w:t>
      </w:r>
      <w:proofErr w:type="gramStart"/>
      <w:r w:rsidRPr="001F2E8F">
        <w:rPr>
          <w:rFonts w:ascii="Times New Roman" w:hAnsi="Times New Roman"/>
          <w:i/>
          <w:iCs/>
          <w:color w:val="000000"/>
          <w:sz w:val="24"/>
          <w:szCs w:val="24"/>
          <w:lang w:val="vi-VN"/>
        </w:rPr>
        <w:t>Valuation</w:t>
      </w:r>
      <w:r w:rsidR="00AA17C5">
        <w:rPr>
          <w:rFonts w:ascii="Times New Roman" w:hAnsi="Times New Roman"/>
          <w:i/>
          <w:iCs/>
          <w:color w:val="000000"/>
          <w:sz w:val="24"/>
          <w:szCs w:val="24"/>
          <w:lang w:val="vi-VN"/>
        </w:rPr>
        <w:t xml:space="preserve"> </w:t>
      </w:r>
      <w:r w:rsidRPr="001F2E8F">
        <w:rPr>
          <w:rFonts w:ascii="Times New Roman" w:hAnsi="Times New Roman"/>
          <w:i/>
          <w:iCs/>
          <w:color w:val="000000"/>
          <w:sz w:val="24"/>
          <w:szCs w:val="24"/>
          <w:lang w:val="vi-VN"/>
        </w:rPr>
        <w:t>day</w:t>
      </w:r>
      <w:proofErr w:type="gramEnd"/>
      <w:r w:rsidRPr="001F2E8F">
        <w:rPr>
          <w:rFonts w:ascii="Times New Roman" w:hAnsi="Times New Roman"/>
          <w:i/>
          <w:iCs/>
          <w:color w:val="000000"/>
          <w:sz w:val="24"/>
          <w:szCs w:val="24"/>
          <w:lang w:val="vi-VN"/>
        </w:rPr>
        <w:t xml:space="preserve"> and paided on a yearly basis. </w:t>
      </w:r>
    </w:p>
    <w:p w14:paraId="65E4F15D" w14:textId="17E21110" w:rsidR="002955AE" w:rsidRPr="002136F3" w:rsidRDefault="002955AE" w:rsidP="001F2E8F">
      <w:pPr>
        <w:spacing w:before="120" w:after="120" w:line="312" w:lineRule="auto"/>
        <w:ind w:left="180" w:right="259"/>
        <w:jc w:val="both"/>
        <w:outlineLvl w:val="0"/>
        <w:rPr>
          <w:rFonts w:ascii="Times New Roman" w:hAnsi="Times New Roman"/>
          <w:sz w:val="24"/>
          <w:szCs w:val="24"/>
        </w:rPr>
      </w:pPr>
      <w:proofErr w:type="spellStart"/>
      <w:r w:rsidRPr="002136F3">
        <w:rPr>
          <w:rFonts w:ascii="Times New Roman" w:hAnsi="Times New Roman"/>
          <w:sz w:val="24"/>
          <w:szCs w:val="24"/>
        </w:rPr>
        <w:t>Mức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dịch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vụ</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thời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gian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áp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dụng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phương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pháp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thanh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toán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dịch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vụ</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được</w:t>
      </w:r>
      <w:proofErr w:type="spellEnd"/>
      <w:r w:rsidRPr="002136F3">
        <w:rPr>
          <w:rFonts w:ascii="Times New Roman" w:hAnsi="Times New Roman"/>
          <w:sz w:val="24"/>
          <w:szCs w:val="24"/>
        </w:rPr>
        <w:t xml:space="preserve"> qui </w:t>
      </w:r>
      <w:proofErr w:type="spellStart"/>
      <w:r w:rsidRPr="002136F3">
        <w:rPr>
          <w:rFonts w:ascii="Times New Roman" w:hAnsi="Times New Roman"/>
          <w:sz w:val="24"/>
          <w:szCs w:val="24"/>
        </w:rPr>
        <w:t>định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cụ</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thể</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trong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Hợp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đồng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giữa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Công</w:t>
      </w:r>
      <w:proofErr w:type="spellEnd"/>
      <w:r w:rsidRPr="002136F3">
        <w:rPr>
          <w:rFonts w:ascii="Times New Roman" w:hAnsi="Times New Roman"/>
          <w:sz w:val="24"/>
          <w:szCs w:val="24"/>
        </w:rPr>
        <w:t xml:space="preserve"> ty </w:t>
      </w:r>
      <w:proofErr w:type="spellStart"/>
      <w:r w:rsidRPr="002136F3">
        <w:rPr>
          <w:rFonts w:ascii="Times New Roman" w:hAnsi="Times New Roman"/>
          <w:sz w:val="24"/>
          <w:szCs w:val="24"/>
        </w:rPr>
        <w:t>quản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lý</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Tổ</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lý</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vận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hành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chỉ</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số</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tham</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chiếu</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Hợp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đồng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giữa</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Công</w:t>
      </w:r>
      <w:proofErr w:type="spellEnd"/>
      <w:r w:rsidRPr="002136F3">
        <w:rPr>
          <w:rFonts w:ascii="Times New Roman" w:hAnsi="Times New Roman"/>
          <w:sz w:val="24"/>
          <w:szCs w:val="24"/>
        </w:rPr>
        <w:t xml:space="preserve"> ty </w:t>
      </w:r>
      <w:proofErr w:type="spellStart"/>
      <w:r w:rsidRPr="002136F3">
        <w:rPr>
          <w:rFonts w:ascii="Times New Roman" w:hAnsi="Times New Roman"/>
          <w:sz w:val="24"/>
          <w:szCs w:val="24"/>
        </w:rPr>
        <w:t>quản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lý</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quỹ</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và</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Tổ</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chức</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cung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cấp</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dịch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vụ</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tính</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giá</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trị</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tài</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sản</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ròng</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tham</w:t>
      </w:r>
      <w:proofErr w:type="spellEnd"/>
      <w:r w:rsidRPr="002136F3">
        <w:rPr>
          <w:rFonts w:ascii="Times New Roman" w:hAnsi="Times New Roman"/>
          <w:sz w:val="24"/>
          <w:szCs w:val="24"/>
        </w:rPr>
        <w:t xml:space="preserve"> </w:t>
      </w:r>
      <w:proofErr w:type="spellStart"/>
      <w:r w:rsidRPr="002136F3">
        <w:rPr>
          <w:rFonts w:ascii="Times New Roman" w:hAnsi="Times New Roman"/>
          <w:sz w:val="24"/>
          <w:szCs w:val="24"/>
        </w:rPr>
        <w:t>chiếu</w:t>
      </w:r>
      <w:proofErr w:type="spellEnd"/>
      <w:r w:rsidRPr="002136F3">
        <w:rPr>
          <w:rFonts w:ascii="Times New Roman" w:hAnsi="Times New Roman"/>
          <w:sz w:val="24"/>
          <w:szCs w:val="24"/>
        </w:rPr>
        <w:t>.</w:t>
      </w:r>
    </w:p>
    <w:p w14:paraId="56B547C9" w14:textId="2C03E076" w:rsidR="00D2172E" w:rsidRPr="001F2E8F" w:rsidRDefault="002136F3" w:rsidP="001F2E8F">
      <w:pPr>
        <w:spacing w:before="120" w:after="120" w:line="312" w:lineRule="auto"/>
        <w:ind w:left="180" w:right="259"/>
        <w:jc w:val="both"/>
        <w:outlineLvl w:val="0"/>
        <w:rPr>
          <w:rFonts w:ascii="Times New Roman" w:hAnsi="Times New Roman"/>
          <w:i/>
          <w:iCs/>
          <w:sz w:val="24"/>
          <w:szCs w:val="24"/>
          <w:lang w:val="vi-VN"/>
        </w:rPr>
      </w:pPr>
      <w:r w:rsidRPr="001F2E8F">
        <w:rPr>
          <w:rFonts w:ascii="Times New Roman" w:hAnsi="Times New Roman"/>
          <w:i/>
          <w:iCs/>
          <w:sz w:val="24"/>
          <w:szCs w:val="24"/>
        </w:rPr>
        <w:t>Fee</w:t>
      </w:r>
      <w:r w:rsidRPr="001F2E8F">
        <w:rPr>
          <w:rFonts w:ascii="Times New Roman" w:hAnsi="Times New Roman"/>
          <w:i/>
          <w:iCs/>
          <w:sz w:val="24"/>
          <w:szCs w:val="24"/>
          <w:lang w:val="vi-VN"/>
        </w:rPr>
        <w:t xml:space="preserve"> rate, applicable time and payment methods are regulated in contract between Fund Manager and Service Provider. </w:t>
      </w:r>
    </w:p>
    <w:p w14:paraId="023D6C19" w14:textId="0BBA3BF0" w:rsidR="00EC6525" w:rsidRPr="002136F3" w:rsidRDefault="00EC6525" w:rsidP="001F2E8F">
      <w:pPr>
        <w:pStyle w:val="ListParagraph"/>
        <w:numPr>
          <w:ilvl w:val="0"/>
          <w:numId w:val="6"/>
        </w:numPr>
        <w:spacing w:before="120" w:after="120" w:line="240" w:lineRule="auto"/>
        <w:ind w:left="180" w:right="260" w:firstLine="0"/>
        <w:jc w:val="both"/>
        <w:outlineLvl w:val="0"/>
        <w:rPr>
          <w:rFonts w:ascii="Times New Roman" w:hAnsi="Times New Roman"/>
          <w:b/>
          <w:sz w:val="24"/>
          <w:szCs w:val="24"/>
        </w:rPr>
      </w:pPr>
      <w:proofErr w:type="spellStart"/>
      <w:r w:rsidRPr="002136F3">
        <w:rPr>
          <w:rFonts w:ascii="Times New Roman" w:hAnsi="Times New Roman"/>
          <w:b/>
          <w:sz w:val="24"/>
          <w:szCs w:val="24"/>
        </w:rPr>
        <w:t>Sự</w:t>
      </w:r>
      <w:proofErr w:type="spellEnd"/>
      <w:r w:rsidRPr="002136F3">
        <w:rPr>
          <w:rFonts w:ascii="Times New Roman" w:hAnsi="Times New Roman"/>
          <w:b/>
          <w:sz w:val="24"/>
          <w:szCs w:val="24"/>
        </w:rPr>
        <w:t xml:space="preserve"> </w:t>
      </w:r>
      <w:proofErr w:type="spellStart"/>
      <w:r w:rsidRPr="002136F3">
        <w:rPr>
          <w:rFonts w:ascii="Times New Roman" w:hAnsi="Times New Roman"/>
          <w:b/>
          <w:sz w:val="24"/>
          <w:szCs w:val="24"/>
        </w:rPr>
        <w:t>kiện</w:t>
      </w:r>
      <w:proofErr w:type="spellEnd"/>
      <w:r w:rsidRPr="002136F3">
        <w:rPr>
          <w:rFonts w:ascii="Times New Roman" w:hAnsi="Times New Roman"/>
          <w:b/>
          <w:sz w:val="24"/>
          <w:szCs w:val="24"/>
        </w:rPr>
        <w:t xml:space="preserve"> </w:t>
      </w:r>
      <w:proofErr w:type="spellStart"/>
      <w:r w:rsidRPr="002136F3">
        <w:rPr>
          <w:rFonts w:ascii="Times New Roman" w:hAnsi="Times New Roman"/>
          <w:b/>
          <w:sz w:val="24"/>
          <w:szCs w:val="24"/>
        </w:rPr>
        <w:t>phát</w:t>
      </w:r>
      <w:proofErr w:type="spellEnd"/>
      <w:r w:rsidRPr="002136F3">
        <w:rPr>
          <w:rFonts w:ascii="Times New Roman" w:hAnsi="Times New Roman"/>
          <w:b/>
          <w:sz w:val="24"/>
          <w:szCs w:val="24"/>
        </w:rPr>
        <w:t xml:space="preserve"> </w:t>
      </w:r>
      <w:proofErr w:type="spellStart"/>
      <w:r w:rsidRPr="002136F3">
        <w:rPr>
          <w:rFonts w:ascii="Times New Roman" w:hAnsi="Times New Roman"/>
          <w:b/>
          <w:sz w:val="24"/>
          <w:szCs w:val="24"/>
        </w:rPr>
        <w:t>sinh</w:t>
      </w:r>
      <w:proofErr w:type="spellEnd"/>
      <w:r w:rsidRPr="002136F3">
        <w:rPr>
          <w:rFonts w:ascii="Times New Roman" w:hAnsi="Times New Roman"/>
          <w:b/>
          <w:sz w:val="24"/>
          <w:szCs w:val="24"/>
        </w:rPr>
        <w:t xml:space="preserve"> </w:t>
      </w:r>
      <w:proofErr w:type="spellStart"/>
      <w:r w:rsidRPr="002136F3">
        <w:rPr>
          <w:rFonts w:ascii="Times New Roman" w:hAnsi="Times New Roman"/>
          <w:b/>
          <w:sz w:val="24"/>
          <w:szCs w:val="24"/>
        </w:rPr>
        <w:t>sau</w:t>
      </w:r>
      <w:proofErr w:type="spellEnd"/>
      <w:r w:rsidRPr="002136F3">
        <w:rPr>
          <w:rFonts w:ascii="Times New Roman" w:hAnsi="Times New Roman"/>
          <w:b/>
          <w:sz w:val="24"/>
          <w:szCs w:val="24"/>
        </w:rPr>
        <w:t xml:space="preserve"> </w:t>
      </w:r>
      <w:proofErr w:type="spellStart"/>
      <w:r w:rsidRPr="002136F3">
        <w:rPr>
          <w:rFonts w:ascii="Times New Roman" w:hAnsi="Times New Roman"/>
          <w:b/>
          <w:sz w:val="24"/>
          <w:szCs w:val="24"/>
        </w:rPr>
        <w:t>ngày</w:t>
      </w:r>
      <w:proofErr w:type="spellEnd"/>
      <w:r w:rsidRPr="002136F3">
        <w:rPr>
          <w:rFonts w:ascii="Times New Roman" w:hAnsi="Times New Roman"/>
          <w:b/>
          <w:sz w:val="24"/>
          <w:szCs w:val="24"/>
        </w:rPr>
        <w:t xml:space="preserve"> </w:t>
      </w:r>
      <w:proofErr w:type="spellStart"/>
      <w:r w:rsidRPr="002136F3">
        <w:rPr>
          <w:rFonts w:ascii="Times New Roman" w:hAnsi="Times New Roman"/>
          <w:b/>
          <w:sz w:val="24"/>
          <w:szCs w:val="24"/>
        </w:rPr>
        <w:t>báo</w:t>
      </w:r>
      <w:proofErr w:type="spellEnd"/>
      <w:r w:rsidRPr="002136F3">
        <w:rPr>
          <w:rFonts w:ascii="Times New Roman" w:hAnsi="Times New Roman"/>
          <w:b/>
          <w:sz w:val="24"/>
          <w:szCs w:val="24"/>
        </w:rPr>
        <w:t xml:space="preserve"> </w:t>
      </w:r>
      <w:proofErr w:type="spellStart"/>
      <w:r w:rsidRPr="002136F3">
        <w:rPr>
          <w:rFonts w:ascii="Times New Roman" w:hAnsi="Times New Roman"/>
          <w:b/>
          <w:sz w:val="24"/>
          <w:szCs w:val="24"/>
        </w:rPr>
        <w:t>cáo</w:t>
      </w:r>
      <w:proofErr w:type="spellEnd"/>
      <w:r w:rsidRPr="002136F3">
        <w:rPr>
          <w:rFonts w:ascii="Times New Roman" w:hAnsi="Times New Roman"/>
          <w:b/>
          <w:sz w:val="24"/>
          <w:szCs w:val="24"/>
        </w:rPr>
        <w:t xml:space="preserve"> </w:t>
      </w:r>
      <w:proofErr w:type="spellStart"/>
      <w:r w:rsidRPr="002136F3">
        <w:rPr>
          <w:rFonts w:ascii="Times New Roman" w:hAnsi="Times New Roman"/>
          <w:b/>
          <w:sz w:val="24"/>
          <w:szCs w:val="24"/>
        </w:rPr>
        <w:t>tài</w:t>
      </w:r>
      <w:proofErr w:type="spellEnd"/>
      <w:r w:rsidRPr="002136F3">
        <w:rPr>
          <w:rFonts w:ascii="Times New Roman" w:hAnsi="Times New Roman"/>
          <w:b/>
          <w:sz w:val="24"/>
          <w:szCs w:val="24"/>
        </w:rPr>
        <w:t xml:space="preserve"> </w:t>
      </w:r>
      <w:proofErr w:type="spellStart"/>
      <w:r w:rsidRPr="002136F3">
        <w:rPr>
          <w:rFonts w:ascii="Times New Roman" w:hAnsi="Times New Roman"/>
          <w:b/>
          <w:sz w:val="24"/>
          <w:szCs w:val="24"/>
        </w:rPr>
        <w:t>chính</w:t>
      </w:r>
      <w:proofErr w:type="spellEnd"/>
      <w:r w:rsidR="002136F3" w:rsidRPr="002136F3">
        <w:rPr>
          <w:rFonts w:ascii="Times New Roman" w:hAnsi="Times New Roman"/>
          <w:b/>
          <w:sz w:val="24"/>
          <w:szCs w:val="24"/>
          <w:lang w:val="vi-VN"/>
        </w:rPr>
        <w:t xml:space="preserve"> / Subsequent events after reporting </w:t>
      </w:r>
      <w:proofErr w:type="gramStart"/>
      <w:r w:rsidR="002136F3" w:rsidRPr="002136F3">
        <w:rPr>
          <w:rFonts w:ascii="Times New Roman" w:hAnsi="Times New Roman"/>
          <w:b/>
          <w:sz w:val="24"/>
          <w:szCs w:val="24"/>
          <w:lang w:val="vi-VN"/>
        </w:rPr>
        <w:t>date</w:t>
      </w:r>
      <w:proofErr w:type="gramEnd"/>
    </w:p>
    <w:p w14:paraId="411F4C71" w14:textId="77777777" w:rsidR="001F2E8F" w:rsidRDefault="00EA3E3C" w:rsidP="001F2E8F">
      <w:pPr>
        <w:keepNext/>
        <w:keepLines/>
        <w:spacing w:before="120" w:after="120" w:line="360" w:lineRule="auto"/>
        <w:ind w:left="180" w:right="260"/>
        <w:jc w:val="both"/>
        <w:rPr>
          <w:rFonts w:ascii="Times New Roman" w:eastAsia="Times New Roman" w:hAnsi="Times New Roman"/>
          <w:bCs/>
          <w:sz w:val="24"/>
          <w:szCs w:val="24"/>
        </w:rPr>
      </w:pPr>
      <w:proofErr w:type="spellStart"/>
      <w:r w:rsidRPr="002136F3">
        <w:rPr>
          <w:rFonts w:ascii="Times New Roman" w:eastAsia="Times New Roman" w:hAnsi="Times New Roman"/>
          <w:bCs/>
          <w:sz w:val="24"/>
          <w:szCs w:val="24"/>
        </w:rPr>
        <w:t>Không</w:t>
      </w:r>
      <w:proofErr w:type="spellEnd"/>
      <w:r w:rsidRPr="002136F3">
        <w:rPr>
          <w:rFonts w:ascii="Times New Roman" w:eastAsia="Times New Roman" w:hAnsi="Times New Roman"/>
          <w:bCs/>
          <w:sz w:val="24"/>
          <w:szCs w:val="24"/>
        </w:rPr>
        <w:t xml:space="preserve"> </w:t>
      </w:r>
      <w:proofErr w:type="spellStart"/>
      <w:r w:rsidRPr="002136F3">
        <w:rPr>
          <w:rFonts w:ascii="Times New Roman" w:eastAsia="Times New Roman" w:hAnsi="Times New Roman"/>
          <w:bCs/>
          <w:sz w:val="24"/>
          <w:szCs w:val="24"/>
        </w:rPr>
        <w:t>có</w:t>
      </w:r>
      <w:proofErr w:type="spellEnd"/>
      <w:r w:rsidRPr="002136F3">
        <w:rPr>
          <w:rFonts w:ascii="Times New Roman" w:eastAsia="Times New Roman" w:hAnsi="Times New Roman"/>
          <w:bCs/>
          <w:sz w:val="24"/>
          <w:szCs w:val="24"/>
        </w:rPr>
        <w:t xml:space="preserve"> </w:t>
      </w:r>
      <w:proofErr w:type="spellStart"/>
      <w:r w:rsidRPr="002136F3">
        <w:rPr>
          <w:rFonts w:ascii="Times New Roman" w:eastAsia="Times New Roman" w:hAnsi="Times New Roman"/>
          <w:bCs/>
          <w:sz w:val="24"/>
          <w:szCs w:val="24"/>
        </w:rPr>
        <w:t>sự</w:t>
      </w:r>
      <w:proofErr w:type="spellEnd"/>
      <w:r w:rsidRPr="002136F3">
        <w:rPr>
          <w:rFonts w:ascii="Times New Roman" w:eastAsia="Times New Roman" w:hAnsi="Times New Roman"/>
          <w:bCs/>
          <w:sz w:val="24"/>
          <w:szCs w:val="24"/>
        </w:rPr>
        <w:t xml:space="preserve"> </w:t>
      </w:r>
      <w:proofErr w:type="spellStart"/>
      <w:r w:rsidRPr="002136F3">
        <w:rPr>
          <w:rFonts w:ascii="Times New Roman" w:eastAsia="Times New Roman" w:hAnsi="Times New Roman"/>
          <w:bCs/>
          <w:sz w:val="24"/>
          <w:szCs w:val="24"/>
        </w:rPr>
        <w:t>kiện</w:t>
      </w:r>
      <w:proofErr w:type="spellEnd"/>
      <w:r w:rsidRPr="002136F3">
        <w:rPr>
          <w:rFonts w:ascii="Times New Roman" w:eastAsia="Times New Roman" w:hAnsi="Times New Roman"/>
          <w:bCs/>
          <w:sz w:val="24"/>
          <w:szCs w:val="24"/>
        </w:rPr>
        <w:t xml:space="preserve"> </w:t>
      </w:r>
      <w:proofErr w:type="spellStart"/>
      <w:r w:rsidRPr="002136F3">
        <w:rPr>
          <w:rFonts w:ascii="Times New Roman" w:eastAsia="Times New Roman" w:hAnsi="Times New Roman"/>
          <w:bCs/>
          <w:sz w:val="24"/>
          <w:szCs w:val="24"/>
        </w:rPr>
        <w:t>phát</w:t>
      </w:r>
      <w:proofErr w:type="spellEnd"/>
      <w:r w:rsidRPr="002136F3">
        <w:rPr>
          <w:rFonts w:ascii="Times New Roman" w:eastAsia="Times New Roman" w:hAnsi="Times New Roman"/>
          <w:bCs/>
          <w:sz w:val="24"/>
          <w:szCs w:val="24"/>
        </w:rPr>
        <w:t xml:space="preserve"> </w:t>
      </w:r>
      <w:proofErr w:type="spellStart"/>
      <w:r w:rsidRPr="002136F3">
        <w:rPr>
          <w:rFonts w:ascii="Times New Roman" w:eastAsia="Times New Roman" w:hAnsi="Times New Roman"/>
          <w:bCs/>
          <w:sz w:val="24"/>
          <w:szCs w:val="24"/>
        </w:rPr>
        <w:t>sinh</w:t>
      </w:r>
      <w:proofErr w:type="spellEnd"/>
      <w:r w:rsidRPr="002136F3">
        <w:rPr>
          <w:rFonts w:ascii="Times New Roman" w:eastAsia="Times New Roman" w:hAnsi="Times New Roman"/>
          <w:bCs/>
          <w:sz w:val="24"/>
          <w:szCs w:val="24"/>
        </w:rPr>
        <w:t xml:space="preserve"> </w:t>
      </w:r>
      <w:proofErr w:type="spellStart"/>
      <w:r w:rsidRPr="002136F3">
        <w:rPr>
          <w:rFonts w:ascii="Times New Roman" w:eastAsia="Times New Roman" w:hAnsi="Times New Roman"/>
          <w:bCs/>
          <w:sz w:val="24"/>
          <w:szCs w:val="24"/>
        </w:rPr>
        <w:t>sau</w:t>
      </w:r>
      <w:proofErr w:type="spellEnd"/>
      <w:r w:rsidRPr="002136F3">
        <w:rPr>
          <w:rFonts w:ascii="Times New Roman" w:eastAsia="Times New Roman" w:hAnsi="Times New Roman"/>
          <w:bCs/>
          <w:sz w:val="24"/>
          <w:szCs w:val="24"/>
        </w:rPr>
        <w:t xml:space="preserve"> </w:t>
      </w:r>
      <w:proofErr w:type="spellStart"/>
      <w:r w:rsidRPr="002136F3">
        <w:rPr>
          <w:rFonts w:ascii="Times New Roman" w:eastAsia="Times New Roman" w:hAnsi="Times New Roman"/>
          <w:bCs/>
          <w:sz w:val="24"/>
          <w:szCs w:val="24"/>
        </w:rPr>
        <w:t>ngày</w:t>
      </w:r>
      <w:proofErr w:type="spellEnd"/>
      <w:r w:rsidRPr="002136F3">
        <w:rPr>
          <w:rFonts w:ascii="Times New Roman" w:eastAsia="Times New Roman" w:hAnsi="Times New Roman"/>
          <w:bCs/>
          <w:sz w:val="24"/>
          <w:szCs w:val="24"/>
        </w:rPr>
        <w:t xml:space="preserve"> </w:t>
      </w:r>
      <w:proofErr w:type="spellStart"/>
      <w:r w:rsidRPr="002136F3">
        <w:rPr>
          <w:rFonts w:ascii="Times New Roman" w:eastAsia="Times New Roman" w:hAnsi="Times New Roman"/>
          <w:bCs/>
          <w:sz w:val="24"/>
          <w:szCs w:val="24"/>
        </w:rPr>
        <w:t>lập</w:t>
      </w:r>
      <w:proofErr w:type="spellEnd"/>
      <w:r w:rsidRPr="002136F3">
        <w:rPr>
          <w:rFonts w:ascii="Times New Roman" w:eastAsia="Times New Roman" w:hAnsi="Times New Roman"/>
          <w:bCs/>
          <w:sz w:val="24"/>
          <w:szCs w:val="24"/>
        </w:rPr>
        <w:t xml:space="preserve"> </w:t>
      </w:r>
      <w:proofErr w:type="spellStart"/>
      <w:r w:rsidRPr="002136F3">
        <w:rPr>
          <w:rFonts w:ascii="Times New Roman" w:eastAsia="Times New Roman" w:hAnsi="Times New Roman"/>
          <w:bCs/>
          <w:sz w:val="24"/>
          <w:szCs w:val="24"/>
        </w:rPr>
        <w:t>báo</w:t>
      </w:r>
      <w:proofErr w:type="spellEnd"/>
      <w:r w:rsidRPr="002136F3">
        <w:rPr>
          <w:rFonts w:ascii="Times New Roman" w:eastAsia="Times New Roman" w:hAnsi="Times New Roman"/>
          <w:bCs/>
          <w:sz w:val="24"/>
          <w:szCs w:val="24"/>
        </w:rPr>
        <w:t xml:space="preserve"> </w:t>
      </w:r>
      <w:proofErr w:type="spellStart"/>
      <w:r w:rsidRPr="002136F3">
        <w:rPr>
          <w:rFonts w:ascii="Times New Roman" w:eastAsia="Times New Roman" w:hAnsi="Times New Roman"/>
          <w:bCs/>
          <w:sz w:val="24"/>
          <w:szCs w:val="24"/>
        </w:rPr>
        <w:t>cáo</w:t>
      </w:r>
      <w:proofErr w:type="spellEnd"/>
      <w:r w:rsidRPr="002136F3">
        <w:rPr>
          <w:rFonts w:ascii="Times New Roman" w:eastAsia="Times New Roman" w:hAnsi="Times New Roman"/>
          <w:bCs/>
          <w:sz w:val="24"/>
          <w:szCs w:val="24"/>
        </w:rPr>
        <w:t xml:space="preserve"> </w:t>
      </w:r>
      <w:proofErr w:type="spellStart"/>
      <w:r w:rsidRPr="002136F3">
        <w:rPr>
          <w:rFonts w:ascii="Times New Roman" w:eastAsia="Times New Roman" w:hAnsi="Times New Roman"/>
          <w:bCs/>
          <w:sz w:val="24"/>
          <w:szCs w:val="24"/>
        </w:rPr>
        <w:t>tài</w:t>
      </w:r>
      <w:proofErr w:type="spellEnd"/>
      <w:r w:rsidRPr="002136F3">
        <w:rPr>
          <w:rFonts w:ascii="Times New Roman" w:eastAsia="Times New Roman" w:hAnsi="Times New Roman"/>
          <w:bCs/>
          <w:sz w:val="24"/>
          <w:szCs w:val="24"/>
        </w:rPr>
        <w:t xml:space="preserve"> </w:t>
      </w:r>
      <w:proofErr w:type="spellStart"/>
      <w:r w:rsidRPr="002136F3">
        <w:rPr>
          <w:rFonts w:ascii="Times New Roman" w:eastAsia="Times New Roman" w:hAnsi="Times New Roman"/>
          <w:bCs/>
          <w:sz w:val="24"/>
          <w:szCs w:val="24"/>
        </w:rPr>
        <w:t>chính</w:t>
      </w:r>
      <w:proofErr w:type="spellEnd"/>
      <w:r w:rsidRPr="002136F3">
        <w:rPr>
          <w:rFonts w:ascii="Times New Roman" w:eastAsia="Times New Roman" w:hAnsi="Times New Roman"/>
          <w:bCs/>
          <w:sz w:val="24"/>
          <w:szCs w:val="24"/>
        </w:rPr>
        <w:t xml:space="preserve"> </w:t>
      </w:r>
      <w:proofErr w:type="spellStart"/>
      <w:r w:rsidRPr="002136F3">
        <w:rPr>
          <w:rFonts w:ascii="Times New Roman" w:eastAsia="Times New Roman" w:hAnsi="Times New Roman"/>
          <w:bCs/>
          <w:sz w:val="24"/>
          <w:szCs w:val="24"/>
        </w:rPr>
        <w:t>cần</w:t>
      </w:r>
      <w:proofErr w:type="spellEnd"/>
      <w:r w:rsidRPr="002136F3">
        <w:rPr>
          <w:rFonts w:ascii="Times New Roman" w:eastAsia="Times New Roman" w:hAnsi="Times New Roman"/>
          <w:bCs/>
          <w:sz w:val="24"/>
          <w:szCs w:val="24"/>
        </w:rPr>
        <w:t xml:space="preserve"> </w:t>
      </w:r>
      <w:proofErr w:type="spellStart"/>
      <w:r w:rsidRPr="002136F3">
        <w:rPr>
          <w:rFonts w:ascii="Times New Roman" w:eastAsia="Times New Roman" w:hAnsi="Times New Roman"/>
          <w:bCs/>
          <w:sz w:val="24"/>
          <w:szCs w:val="24"/>
        </w:rPr>
        <w:t>điều</w:t>
      </w:r>
      <w:proofErr w:type="spellEnd"/>
      <w:r w:rsidRPr="002136F3">
        <w:rPr>
          <w:rFonts w:ascii="Times New Roman" w:eastAsia="Times New Roman" w:hAnsi="Times New Roman"/>
          <w:bCs/>
          <w:sz w:val="24"/>
          <w:szCs w:val="24"/>
        </w:rPr>
        <w:t xml:space="preserve"> </w:t>
      </w:r>
      <w:proofErr w:type="spellStart"/>
      <w:r w:rsidRPr="002136F3">
        <w:rPr>
          <w:rFonts w:ascii="Times New Roman" w:eastAsia="Times New Roman" w:hAnsi="Times New Roman"/>
          <w:bCs/>
          <w:sz w:val="24"/>
          <w:szCs w:val="24"/>
        </w:rPr>
        <w:t>chỉnh</w:t>
      </w:r>
      <w:proofErr w:type="spellEnd"/>
      <w:r w:rsidRPr="002136F3">
        <w:rPr>
          <w:rFonts w:ascii="Times New Roman" w:eastAsia="Times New Roman" w:hAnsi="Times New Roman"/>
          <w:bCs/>
          <w:sz w:val="24"/>
          <w:szCs w:val="24"/>
        </w:rPr>
        <w:t xml:space="preserve"> </w:t>
      </w:r>
      <w:proofErr w:type="spellStart"/>
      <w:r w:rsidRPr="002136F3">
        <w:rPr>
          <w:rFonts w:ascii="Times New Roman" w:eastAsia="Times New Roman" w:hAnsi="Times New Roman"/>
          <w:bCs/>
          <w:sz w:val="24"/>
          <w:szCs w:val="24"/>
        </w:rPr>
        <w:t>hoặc</w:t>
      </w:r>
      <w:proofErr w:type="spellEnd"/>
      <w:r w:rsidRPr="002136F3">
        <w:rPr>
          <w:rFonts w:ascii="Times New Roman" w:eastAsia="Times New Roman" w:hAnsi="Times New Roman"/>
          <w:bCs/>
          <w:sz w:val="24"/>
          <w:szCs w:val="24"/>
        </w:rPr>
        <w:t xml:space="preserve"> </w:t>
      </w:r>
      <w:proofErr w:type="spellStart"/>
      <w:r w:rsidRPr="002136F3">
        <w:rPr>
          <w:rFonts w:ascii="Times New Roman" w:eastAsia="Times New Roman" w:hAnsi="Times New Roman"/>
          <w:bCs/>
          <w:sz w:val="24"/>
          <w:szCs w:val="24"/>
        </w:rPr>
        <w:t>trình</w:t>
      </w:r>
      <w:proofErr w:type="spellEnd"/>
      <w:r w:rsidRPr="002136F3">
        <w:rPr>
          <w:rFonts w:ascii="Times New Roman" w:eastAsia="Times New Roman" w:hAnsi="Times New Roman"/>
          <w:bCs/>
          <w:sz w:val="24"/>
          <w:szCs w:val="24"/>
        </w:rPr>
        <w:t xml:space="preserve"> </w:t>
      </w:r>
      <w:proofErr w:type="spellStart"/>
      <w:r w:rsidRPr="002136F3">
        <w:rPr>
          <w:rFonts w:ascii="Times New Roman" w:eastAsia="Times New Roman" w:hAnsi="Times New Roman"/>
          <w:bCs/>
          <w:sz w:val="24"/>
          <w:szCs w:val="24"/>
        </w:rPr>
        <w:t>bày</w:t>
      </w:r>
      <w:proofErr w:type="spellEnd"/>
      <w:r w:rsidRPr="002136F3">
        <w:rPr>
          <w:rFonts w:ascii="Times New Roman" w:eastAsia="Times New Roman" w:hAnsi="Times New Roman"/>
          <w:bCs/>
          <w:sz w:val="24"/>
          <w:szCs w:val="24"/>
        </w:rPr>
        <w:t xml:space="preserve"> </w:t>
      </w:r>
      <w:proofErr w:type="spellStart"/>
      <w:r w:rsidRPr="002136F3">
        <w:rPr>
          <w:rFonts w:ascii="Times New Roman" w:eastAsia="Times New Roman" w:hAnsi="Times New Roman"/>
          <w:bCs/>
          <w:sz w:val="24"/>
          <w:szCs w:val="24"/>
        </w:rPr>
        <w:t>trên</w:t>
      </w:r>
      <w:proofErr w:type="spellEnd"/>
      <w:r w:rsidRPr="002136F3">
        <w:rPr>
          <w:rFonts w:ascii="Times New Roman" w:eastAsia="Times New Roman" w:hAnsi="Times New Roman"/>
          <w:bCs/>
          <w:sz w:val="24"/>
          <w:szCs w:val="24"/>
        </w:rPr>
        <w:t xml:space="preserve"> </w:t>
      </w:r>
      <w:proofErr w:type="spellStart"/>
      <w:r w:rsidRPr="002136F3">
        <w:rPr>
          <w:rFonts w:ascii="Times New Roman" w:eastAsia="Times New Roman" w:hAnsi="Times New Roman"/>
          <w:bCs/>
          <w:sz w:val="24"/>
          <w:szCs w:val="24"/>
        </w:rPr>
        <w:t>báo</w:t>
      </w:r>
      <w:proofErr w:type="spellEnd"/>
      <w:r w:rsidRPr="002136F3">
        <w:rPr>
          <w:rFonts w:ascii="Times New Roman" w:eastAsia="Times New Roman" w:hAnsi="Times New Roman"/>
          <w:bCs/>
          <w:sz w:val="24"/>
          <w:szCs w:val="24"/>
        </w:rPr>
        <w:t xml:space="preserve"> </w:t>
      </w:r>
      <w:proofErr w:type="spellStart"/>
      <w:r w:rsidRPr="002136F3">
        <w:rPr>
          <w:rFonts w:ascii="Times New Roman" w:eastAsia="Times New Roman" w:hAnsi="Times New Roman"/>
          <w:bCs/>
          <w:sz w:val="24"/>
          <w:szCs w:val="24"/>
        </w:rPr>
        <w:t>cáo</w:t>
      </w:r>
      <w:proofErr w:type="spellEnd"/>
      <w:r w:rsidRPr="002136F3">
        <w:rPr>
          <w:rFonts w:ascii="Times New Roman" w:eastAsia="Times New Roman" w:hAnsi="Times New Roman"/>
          <w:bCs/>
          <w:sz w:val="24"/>
          <w:szCs w:val="24"/>
        </w:rPr>
        <w:t xml:space="preserve"> </w:t>
      </w:r>
      <w:proofErr w:type="spellStart"/>
      <w:r w:rsidRPr="002136F3">
        <w:rPr>
          <w:rFonts w:ascii="Times New Roman" w:eastAsia="Times New Roman" w:hAnsi="Times New Roman"/>
          <w:bCs/>
          <w:sz w:val="24"/>
          <w:szCs w:val="24"/>
        </w:rPr>
        <w:t>tài</w:t>
      </w:r>
      <w:proofErr w:type="spellEnd"/>
      <w:r w:rsidRPr="002136F3">
        <w:rPr>
          <w:rFonts w:ascii="Times New Roman" w:eastAsia="Times New Roman" w:hAnsi="Times New Roman"/>
          <w:bCs/>
          <w:sz w:val="24"/>
          <w:szCs w:val="24"/>
        </w:rPr>
        <w:t xml:space="preserve"> </w:t>
      </w:r>
      <w:proofErr w:type="spellStart"/>
      <w:r w:rsidRPr="002136F3">
        <w:rPr>
          <w:rFonts w:ascii="Times New Roman" w:eastAsia="Times New Roman" w:hAnsi="Times New Roman"/>
          <w:bCs/>
          <w:sz w:val="24"/>
          <w:szCs w:val="24"/>
        </w:rPr>
        <w:t>chính</w:t>
      </w:r>
      <w:proofErr w:type="spellEnd"/>
      <w:r w:rsidRPr="002136F3">
        <w:rPr>
          <w:rFonts w:ascii="Times New Roman" w:eastAsia="Times New Roman" w:hAnsi="Times New Roman"/>
          <w:bCs/>
          <w:sz w:val="24"/>
          <w:szCs w:val="24"/>
        </w:rPr>
        <w:t>.</w:t>
      </w:r>
    </w:p>
    <w:p w14:paraId="1BC27278" w14:textId="64AD492B" w:rsidR="00652DE5" w:rsidRPr="007B62CE" w:rsidRDefault="002136F3" w:rsidP="007B62CE">
      <w:pPr>
        <w:keepNext/>
        <w:keepLines/>
        <w:spacing w:before="120" w:after="120" w:line="360" w:lineRule="auto"/>
        <w:ind w:left="180" w:right="260"/>
        <w:jc w:val="both"/>
        <w:rPr>
          <w:rFonts w:ascii="Times New Roman" w:eastAsia="Times New Roman" w:hAnsi="Times New Roman"/>
          <w:bCs/>
          <w:sz w:val="24"/>
          <w:szCs w:val="24"/>
          <w:lang w:val="vi-VN"/>
        </w:rPr>
      </w:pPr>
      <w:r w:rsidRPr="001F2E8F">
        <w:rPr>
          <w:rFonts w:ascii="Times New Roman" w:eastAsia="Times New Roman" w:hAnsi="Times New Roman"/>
          <w:bCs/>
          <w:i/>
          <w:iCs/>
          <w:sz w:val="24"/>
          <w:szCs w:val="24"/>
        </w:rPr>
        <w:t>There</w:t>
      </w:r>
      <w:r w:rsidRPr="001F2E8F">
        <w:rPr>
          <w:rFonts w:ascii="Times New Roman" w:eastAsia="Times New Roman" w:hAnsi="Times New Roman"/>
          <w:bCs/>
          <w:i/>
          <w:iCs/>
          <w:sz w:val="24"/>
          <w:szCs w:val="24"/>
          <w:lang w:val="vi-VN"/>
        </w:rPr>
        <w:t xml:space="preserve"> </w:t>
      </w:r>
      <w:proofErr w:type="gramStart"/>
      <w:r w:rsidRPr="001F2E8F">
        <w:rPr>
          <w:rFonts w:ascii="Times New Roman" w:eastAsia="Times New Roman" w:hAnsi="Times New Roman"/>
          <w:bCs/>
          <w:i/>
          <w:iCs/>
          <w:sz w:val="24"/>
          <w:szCs w:val="24"/>
          <w:lang w:val="vi-VN"/>
        </w:rPr>
        <w:t>is</w:t>
      </w:r>
      <w:proofErr w:type="gramEnd"/>
      <w:r w:rsidR="001F2E8F">
        <w:rPr>
          <w:rFonts w:ascii="Times New Roman" w:eastAsia="Times New Roman" w:hAnsi="Times New Roman"/>
          <w:bCs/>
          <w:i/>
          <w:iCs/>
          <w:sz w:val="24"/>
          <w:szCs w:val="24"/>
          <w:lang w:val="vi-VN"/>
        </w:rPr>
        <w:t xml:space="preserve"> no</w:t>
      </w:r>
      <w:r w:rsidRPr="001F2E8F">
        <w:rPr>
          <w:rFonts w:ascii="Times New Roman" w:eastAsia="Times New Roman" w:hAnsi="Times New Roman"/>
          <w:bCs/>
          <w:i/>
          <w:iCs/>
          <w:sz w:val="24"/>
          <w:szCs w:val="24"/>
          <w:lang w:val="vi-VN"/>
        </w:rPr>
        <w:t xml:space="preserve"> subsequent events after reporting date impacting financial statements. </w:t>
      </w:r>
    </w:p>
    <w:tbl>
      <w:tblPr>
        <w:tblW w:w="5000" w:type="pct"/>
        <w:tblLook w:val="04A0" w:firstRow="1" w:lastRow="0" w:firstColumn="1" w:lastColumn="0" w:noHBand="0" w:noVBand="1"/>
      </w:tblPr>
      <w:tblGrid>
        <w:gridCol w:w="3093"/>
        <w:gridCol w:w="3578"/>
        <w:gridCol w:w="3201"/>
      </w:tblGrid>
      <w:tr w:rsidR="00964495" w:rsidRPr="00E21368" w14:paraId="6FD8AD1A" w14:textId="77777777" w:rsidTr="00FB7ACD">
        <w:tc>
          <w:tcPr>
            <w:tcW w:w="5000" w:type="pct"/>
            <w:gridSpan w:val="3"/>
            <w:vAlign w:val="bottom"/>
          </w:tcPr>
          <w:p w14:paraId="0DAE394B" w14:textId="77777777" w:rsidR="00964495" w:rsidRPr="00E21368" w:rsidRDefault="00964495" w:rsidP="00726CC5">
            <w:pPr>
              <w:tabs>
                <w:tab w:val="center" w:pos="4320"/>
              </w:tabs>
              <w:spacing w:before="120" w:after="120"/>
              <w:ind w:left="270" w:right="260"/>
              <w:rPr>
                <w:rFonts w:ascii="Times New Roman" w:hAnsi="Times New Roman"/>
                <w:b/>
                <w:sz w:val="20"/>
                <w:szCs w:val="20"/>
              </w:rPr>
            </w:pPr>
          </w:p>
        </w:tc>
      </w:tr>
      <w:tr w:rsidR="00964495" w:rsidRPr="00E21368" w14:paraId="0F3D2BFF" w14:textId="77777777" w:rsidTr="006B32AB">
        <w:tc>
          <w:tcPr>
            <w:tcW w:w="1567" w:type="pct"/>
            <w:vAlign w:val="bottom"/>
          </w:tcPr>
          <w:p w14:paraId="7CB5055E" w14:textId="77777777" w:rsidR="00964495" w:rsidRDefault="00964495" w:rsidP="00726CC5">
            <w:pPr>
              <w:tabs>
                <w:tab w:val="center" w:pos="4320"/>
              </w:tabs>
              <w:spacing w:before="120" w:after="120"/>
              <w:ind w:left="270" w:right="260"/>
              <w:jc w:val="center"/>
              <w:rPr>
                <w:rFonts w:ascii="Times New Roman" w:hAnsi="Times New Roman"/>
                <w:b/>
                <w:sz w:val="20"/>
                <w:szCs w:val="20"/>
              </w:rPr>
            </w:pPr>
            <w:proofErr w:type="spellStart"/>
            <w:r w:rsidRPr="00E21368">
              <w:rPr>
                <w:rFonts w:ascii="Times New Roman" w:hAnsi="Times New Roman"/>
                <w:b/>
                <w:sz w:val="20"/>
                <w:szCs w:val="20"/>
              </w:rPr>
              <w:t>Người</w:t>
            </w:r>
            <w:proofErr w:type="spellEnd"/>
            <w:r w:rsidRPr="00E21368">
              <w:rPr>
                <w:rFonts w:ascii="Times New Roman" w:hAnsi="Times New Roman"/>
                <w:b/>
                <w:sz w:val="20"/>
                <w:szCs w:val="20"/>
              </w:rPr>
              <w:t xml:space="preserve"> </w:t>
            </w:r>
            <w:proofErr w:type="spellStart"/>
            <w:r w:rsidRPr="00E21368">
              <w:rPr>
                <w:rFonts w:ascii="Times New Roman" w:hAnsi="Times New Roman"/>
                <w:b/>
                <w:sz w:val="20"/>
                <w:szCs w:val="20"/>
              </w:rPr>
              <w:t>lập</w:t>
            </w:r>
            <w:proofErr w:type="spellEnd"/>
            <w:r w:rsidRPr="00E21368">
              <w:rPr>
                <w:rFonts w:ascii="Times New Roman" w:hAnsi="Times New Roman"/>
                <w:b/>
                <w:sz w:val="20"/>
                <w:szCs w:val="20"/>
              </w:rPr>
              <w:t>:</w:t>
            </w:r>
          </w:p>
          <w:p w14:paraId="66759F23" w14:textId="1945BCB0" w:rsidR="001F2E8F" w:rsidRPr="001F2E8F" w:rsidRDefault="001F2E8F" w:rsidP="00726CC5">
            <w:pPr>
              <w:tabs>
                <w:tab w:val="center" w:pos="4320"/>
              </w:tabs>
              <w:spacing w:before="120" w:after="120"/>
              <w:ind w:left="270" w:right="260"/>
              <w:jc w:val="center"/>
              <w:rPr>
                <w:rFonts w:ascii="Times New Roman" w:hAnsi="Times New Roman"/>
                <w:b/>
                <w:sz w:val="20"/>
                <w:szCs w:val="20"/>
                <w:lang w:val="vi-VN"/>
              </w:rPr>
            </w:pPr>
            <w:r>
              <w:rPr>
                <w:rFonts w:ascii="Times New Roman" w:hAnsi="Times New Roman"/>
                <w:b/>
                <w:sz w:val="20"/>
                <w:szCs w:val="20"/>
              </w:rPr>
              <w:t>Preparer</w:t>
            </w:r>
            <w:r>
              <w:rPr>
                <w:rFonts w:ascii="Times New Roman" w:hAnsi="Times New Roman"/>
                <w:b/>
                <w:sz w:val="20"/>
                <w:szCs w:val="20"/>
                <w:lang w:val="vi-VN"/>
              </w:rPr>
              <w:t>:</w:t>
            </w:r>
          </w:p>
        </w:tc>
        <w:tc>
          <w:tcPr>
            <w:tcW w:w="3433" w:type="pct"/>
            <w:gridSpan w:val="2"/>
          </w:tcPr>
          <w:p w14:paraId="5F9E554B" w14:textId="77777777" w:rsidR="00964495" w:rsidRDefault="00964495" w:rsidP="00726CC5">
            <w:pPr>
              <w:tabs>
                <w:tab w:val="center" w:pos="4320"/>
              </w:tabs>
              <w:spacing w:before="120" w:after="120"/>
              <w:ind w:left="270" w:right="260"/>
              <w:jc w:val="center"/>
              <w:rPr>
                <w:rFonts w:ascii="Times New Roman" w:hAnsi="Times New Roman"/>
                <w:b/>
                <w:sz w:val="20"/>
                <w:szCs w:val="20"/>
              </w:rPr>
            </w:pPr>
            <w:proofErr w:type="spellStart"/>
            <w:r w:rsidRPr="00E21368">
              <w:rPr>
                <w:rFonts w:ascii="Times New Roman" w:hAnsi="Times New Roman"/>
                <w:b/>
                <w:sz w:val="20"/>
                <w:szCs w:val="20"/>
              </w:rPr>
              <w:t>Người</w:t>
            </w:r>
            <w:proofErr w:type="spellEnd"/>
            <w:r w:rsidRPr="00E21368">
              <w:rPr>
                <w:rFonts w:ascii="Times New Roman" w:hAnsi="Times New Roman"/>
                <w:b/>
                <w:sz w:val="20"/>
                <w:szCs w:val="20"/>
              </w:rPr>
              <w:t xml:space="preserve"> </w:t>
            </w:r>
            <w:proofErr w:type="spellStart"/>
            <w:r w:rsidRPr="00E21368">
              <w:rPr>
                <w:rFonts w:ascii="Times New Roman" w:hAnsi="Times New Roman"/>
                <w:b/>
                <w:sz w:val="20"/>
                <w:szCs w:val="20"/>
              </w:rPr>
              <w:t>duyệt</w:t>
            </w:r>
            <w:proofErr w:type="spellEnd"/>
            <w:r w:rsidRPr="00E21368">
              <w:rPr>
                <w:rFonts w:ascii="Times New Roman" w:hAnsi="Times New Roman"/>
                <w:b/>
                <w:sz w:val="20"/>
                <w:szCs w:val="20"/>
              </w:rPr>
              <w:t>:</w:t>
            </w:r>
          </w:p>
          <w:p w14:paraId="4966FE78" w14:textId="10AAA979" w:rsidR="001F2E8F" w:rsidRPr="00E21368" w:rsidRDefault="001F2E8F" w:rsidP="00726CC5">
            <w:pPr>
              <w:tabs>
                <w:tab w:val="center" w:pos="4320"/>
              </w:tabs>
              <w:spacing w:before="120" w:after="120"/>
              <w:ind w:left="270" w:right="260"/>
              <w:jc w:val="center"/>
              <w:rPr>
                <w:rFonts w:ascii="Times New Roman" w:hAnsi="Times New Roman"/>
                <w:b/>
                <w:sz w:val="20"/>
                <w:szCs w:val="20"/>
              </w:rPr>
            </w:pPr>
            <w:r>
              <w:rPr>
                <w:rFonts w:ascii="Times New Roman" w:hAnsi="Times New Roman"/>
                <w:b/>
                <w:sz w:val="20"/>
                <w:szCs w:val="20"/>
              </w:rPr>
              <w:t>Approver</w:t>
            </w:r>
          </w:p>
        </w:tc>
      </w:tr>
      <w:tr w:rsidR="00964495" w:rsidRPr="00E21368" w14:paraId="6D7B49DD" w14:textId="77777777" w:rsidTr="006B32AB">
        <w:tc>
          <w:tcPr>
            <w:tcW w:w="1567" w:type="pct"/>
            <w:vAlign w:val="bottom"/>
          </w:tcPr>
          <w:p w14:paraId="38CD866A" w14:textId="77777777" w:rsidR="00964495" w:rsidRPr="00E21368" w:rsidRDefault="00964495" w:rsidP="00726CC5">
            <w:pPr>
              <w:tabs>
                <w:tab w:val="center" w:pos="4320"/>
              </w:tabs>
              <w:spacing w:before="120" w:after="120"/>
              <w:ind w:left="270" w:right="260"/>
              <w:jc w:val="center"/>
              <w:rPr>
                <w:rFonts w:ascii="Times New Roman" w:hAnsi="Times New Roman"/>
                <w:sz w:val="20"/>
                <w:szCs w:val="20"/>
              </w:rPr>
            </w:pPr>
          </w:p>
        </w:tc>
        <w:tc>
          <w:tcPr>
            <w:tcW w:w="1812" w:type="pct"/>
          </w:tcPr>
          <w:p w14:paraId="3FAA73DD" w14:textId="77777777" w:rsidR="00964495" w:rsidRPr="00E21368" w:rsidRDefault="00964495" w:rsidP="00726CC5">
            <w:pPr>
              <w:tabs>
                <w:tab w:val="center" w:pos="4320"/>
              </w:tabs>
              <w:spacing w:before="120" w:after="120"/>
              <w:ind w:left="270" w:right="260"/>
              <w:jc w:val="center"/>
              <w:rPr>
                <w:rFonts w:ascii="Times New Roman" w:hAnsi="Times New Roman"/>
                <w:sz w:val="20"/>
                <w:szCs w:val="20"/>
              </w:rPr>
            </w:pPr>
          </w:p>
        </w:tc>
        <w:tc>
          <w:tcPr>
            <w:tcW w:w="1621" w:type="pct"/>
          </w:tcPr>
          <w:p w14:paraId="092BB995" w14:textId="77777777" w:rsidR="00964495" w:rsidRPr="00E21368" w:rsidRDefault="00964495" w:rsidP="00726CC5">
            <w:pPr>
              <w:tabs>
                <w:tab w:val="center" w:pos="4320"/>
              </w:tabs>
              <w:spacing w:before="120" w:after="120"/>
              <w:ind w:left="270" w:right="260"/>
              <w:jc w:val="center"/>
              <w:rPr>
                <w:rFonts w:ascii="Times New Roman" w:hAnsi="Times New Roman"/>
                <w:sz w:val="20"/>
                <w:szCs w:val="20"/>
              </w:rPr>
            </w:pPr>
          </w:p>
        </w:tc>
      </w:tr>
      <w:tr w:rsidR="00964495" w:rsidRPr="00E21368" w14:paraId="03AE7873" w14:textId="77777777" w:rsidTr="006B32AB">
        <w:tc>
          <w:tcPr>
            <w:tcW w:w="1567" w:type="pct"/>
            <w:vAlign w:val="bottom"/>
          </w:tcPr>
          <w:p w14:paraId="2DCDA117" w14:textId="77777777" w:rsidR="00964495" w:rsidRPr="00E21368" w:rsidRDefault="00964495" w:rsidP="00726CC5">
            <w:pPr>
              <w:tabs>
                <w:tab w:val="center" w:pos="4320"/>
              </w:tabs>
              <w:spacing w:before="120" w:after="120"/>
              <w:ind w:left="270" w:right="260"/>
              <w:jc w:val="center"/>
              <w:rPr>
                <w:rFonts w:ascii="Times New Roman" w:hAnsi="Times New Roman"/>
                <w:sz w:val="20"/>
                <w:szCs w:val="20"/>
              </w:rPr>
            </w:pPr>
          </w:p>
        </w:tc>
        <w:tc>
          <w:tcPr>
            <w:tcW w:w="1812" w:type="pct"/>
          </w:tcPr>
          <w:p w14:paraId="44A9C84C" w14:textId="77777777" w:rsidR="00964495" w:rsidRPr="00E21368" w:rsidRDefault="00964495" w:rsidP="00726CC5">
            <w:pPr>
              <w:tabs>
                <w:tab w:val="center" w:pos="4320"/>
              </w:tabs>
              <w:spacing w:before="120" w:after="120"/>
              <w:ind w:left="270" w:right="260"/>
              <w:jc w:val="center"/>
              <w:rPr>
                <w:rFonts w:ascii="Times New Roman" w:hAnsi="Times New Roman"/>
                <w:sz w:val="20"/>
                <w:szCs w:val="20"/>
              </w:rPr>
            </w:pPr>
          </w:p>
        </w:tc>
        <w:tc>
          <w:tcPr>
            <w:tcW w:w="1621" w:type="pct"/>
          </w:tcPr>
          <w:p w14:paraId="4075D663" w14:textId="77777777" w:rsidR="00964495" w:rsidRPr="00E21368" w:rsidRDefault="00964495" w:rsidP="00726CC5">
            <w:pPr>
              <w:tabs>
                <w:tab w:val="center" w:pos="4320"/>
              </w:tabs>
              <w:spacing w:before="120" w:after="120"/>
              <w:ind w:left="270" w:right="260"/>
              <w:jc w:val="center"/>
              <w:rPr>
                <w:rFonts w:ascii="Times New Roman" w:hAnsi="Times New Roman"/>
                <w:sz w:val="20"/>
                <w:szCs w:val="20"/>
              </w:rPr>
            </w:pPr>
          </w:p>
        </w:tc>
      </w:tr>
      <w:tr w:rsidR="00964495" w:rsidRPr="00E21368" w14:paraId="6DE14C46" w14:textId="77777777" w:rsidTr="006B32AB">
        <w:tc>
          <w:tcPr>
            <w:tcW w:w="1567" w:type="pct"/>
            <w:vAlign w:val="bottom"/>
          </w:tcPr>
          <w:p w14:paraId="574F7724" w14:textId="77777777" w:rsidR="00964495" w:rsidRPr="00E21368" w:rsidRDefault="00964495" w:rsidP="00726CC5">
            <w:pPr>
              <w:tabs>
                <w:tab w:val="center" w:pos="4320"/>
              </w:tabs>
              <w:spacing w:before="120" w:after="120"/>
              <w:ind w:left="270" w:right="260"/>
              <w:jc w:val="center"/>
              <w:rPr>
                <w:rFonts w:ascii="Times New Roman" w:hAnsi="Times New Roman"/>
                <w:sz w:val="20"/>
                <w:szCs w:val="20"/>
              </w:rPr>
            </w:pPr>
          </w:p>
        </w:tc>
        <w:tc>
          <w:tcPr>
            <w:tcW w:w="1812" w:type="pct"/>
          </w:tcPr>
          <w:p w14:paraId="1E9A9618" w14:textId="77777777" w:rsidR="00964495" w:rsidRPr="00E21368" w:rsidRDefault="00964495" w:rsidP="00726CC5">
            <w:pPr>
              <w:tabs>
                <w:tab w:val="center" w:pos="4320"/>
              </w:tabs>
              <w:spacing w:before="120" w:after="120"/>
              <w:ind w:left="270" w:right="260"/>
              <w:jc w:val="center"/>
              <w:rPr>
                <w:rFonts w:ascii="Times New Roman" w:hAnsi="Times New Roman"/>
                <w:sz w:val="20"/>
                <w:szCs w:val="20"/>
              </w:rPr>
            </w:pPr>
          </w:p>
        </w:tc>
        <w:tc>
          <w:tcPr>
            <w:tcW w:w="1621" w:type="pct"/>
          </w:tcPr>
          <w:p w14:paraId="2B7CCD6B" w14:textId="77777777" w:rsidR="00964495" w:rsidRPr="00E21368" w:rsidRDefault="00964495" w:rsidP="00726CC5">
            <w:pPr>
              <w:tabs>
                <w:tab w:val="center" w:pos="4320"/>
              </w:tabs>
              <w:spacing w:before="120" w:after="120"/>
              <w:ind w:left="270" w:right="260"/>
              <w:jc w:val="center"/>
              <w:rPr>
                <w:rFonts w:ascii="Times New Roman" w:hAnsi="Times New Roman"/>
                <w:sz w:val="20"/>
                <w:szCs w:val="20"/>
              </w:rPr>
            </w:pPr>
          </w:p>
        </w:tc>
      </w:tr>
      <w:tr w:rsidR="00964495" w:rsidRPr="00E21368" w14:paraId="0D8BFA25" w14:textId="77777777" w:rsidTr="006B32AB">
        <w:tc>
          <w:tcPr>
            <w:tcW w:w="1567" w:type="pct"/>
            <w:vAlign w:val="bottom"/>
          </w:tcPr>
          <w:p w14:paraId="7738016D" w14:textId="77777777" w:rsidR="00964495" w:rsidRPr="00E21368" w:rsidRDefault="00964495" w:rsidP="00726CC5">
            <w:pPr>
              <w:tabs>
                <w:tab w:val="center" w:pos="4320"/>
              </w:tabs>
              <w:spacing w:before="120" w:after="120"/>
              <w:ind w:left="270" w:right="260"/>
              <w:jc w:val="center"/>
              <w:rPr>
                <w:rFonts w:ascii="Times New Roman" w:hAnsi="Times New Roman"/>
                <w:sz w:val="20"/>
                <w:szCs w:val="20"/>
              </w:rPr>
            </w:pPr>
          </w:p>
        </w:tc>
        <w:tc>
          <w:tcPr>
            <w:tcW w:w="1812" w:type="pct"/>
          </w:tcPr>
          <w:p w14:paraId="3A9BB74C" w14:textId="77777777" w:rsidR="00964495" w:rsidRPr="00E21368" w:rsidRDefault="00964495" w:rsidP="00726CC5">
            <w:pPr>
              <w:tabs>
                <w:tab w:val="center" w:pos="4320"/>
              </w:tabs>
              <w:spacing w:before="120" w:after="120"/>
              <w:ind w:left="270" w:right="260"/>
              <w:jc w:val="center"/>
              <w:rPr>
                <w:rFonts w:ascii="Times New Roman" w:hAnsi="Times New Roman"/>
                <w:sz w:val="20"/>
                <w:szCs w:val="20"/>
              </w:rPr>
            </w:pPr>
          </w:p>
        </w:tc>
        <w:tc>
          <w:tcPr>
            <w:tcW w:w="1621" w:type="pct"/>
          </w:tcPr>
          <w:p w14:paraId="02D3AC77" w14:textId="77777777" w:rsidR="00964495" w:rsidRPr="00E21368" w:rsidRDefault="00964495" w:rsidP="00726CC5">
            <w:pPr>
              <w:tabs>
                <w:tab w:val="center" w:pos="4320"/>
              </w:tabs>
              <w:spacing w:before="120" w:after="120"/>
              <w:ind w:left="270" w:right="260"/>
              <w:jc w:val="center"/>
              <w:rPr>
                <w:rFonts w:ascii="Times New Roman" w:hAnsi="Times New Roman"/>
                <w:sz w:val="20"/>
                <w:szCs w:val="20"/>
              </w:rPr>
            </w:pPr>
          </w:p>
        </w:tc>
      </w:tr>
      <w:tr w:rsidR="00964495" w:rsidRPr="00E21368" w14:paraId="068356E0" w14:textId="77777777" w:rsidTr="006B32AB">
        <w:tc>
          <w:tcPr>
            <w:tcW w:w="1567" w:type="pct"/>
            <w:shd w:val="clear" w:color="auto" w:fill="auto"/>
          </w:tcPr>
          <w:p w14:paraId="4E0817AA" w14:textId="77777777" w:rsidR="00964495" w:rsidRPr="00BE3500" w:rsidRDefault="00346F2E" w:rsidP="00726CC5">
            <w:pPr>
              <w:pBdr>
                <w:top w:val="single" w:sz="4" w:space="1" w:color="auto"/>
              </w:pBdr>
              <w:tabs>
                <w:tab w:val="left" w:pos="1080"/>
                <w:tab w:val="right" w:pos="8280"/>
                <w:tab w:val="right" w:pos="9720"/>
              </w:tabs>
              <w:spacing w:before="120" w:after="120" w:line="312" w:lineRule="auto"/>
              <w:ind w:left="270" w:right="259"/>
              <w:jc w:val="center"/>
              <w:rPr>
                <w:rFonts w:ascii="Times New Roman" w:hAnsi="Times New Roman"/>
                <w:b/>
                <w:sz w:val="20"/>
                <w:szCs w:val="20"/>
              </w:rPr>
            </w:pPr>
            <w:r>
              <w:rPr>
                <w:rFonts w:ascii="Times New Roman" w:hAnsi="Times New Roman"/>
                <w:b/>
                <w:sz w:val="20"/>
                <w:szCs w:val="20"/>
              </w:rPr>
              <w:t xml:space="preserve">Mai </w:t>
            </w:r>
            <w:proofErr w:type="spellStart"/>
            <w:r>
              <w:rPr>
                <w:rFonts w:ascii="Times New Roman" w:hAnsi="Times New Roman"/>
                <w:b/>
                <w:sz w:val="20"/>
                <w:szCs w:val="20"/>
              </w:rPr>
              <w:t>Thùy</w:t>
            </w:r>
            <w:proofErr w:type="spellEnd"/>
            <w:r>
              <w:rPr>
                <w:rFonts w:ascii="Times New Roman" w:hAnsi="Times New Roman"/>
                <w:b/>
                <w:sz w:val="20"/>
                <w:szCs w:val="20"/>
              </w:rPr>
              <w:t xml:space="preserve"> </w:t>
            </w:r>
            <w:proofErr w:type="spellStart"/>
            <w:r>
              <w:rPr>
                <w:rFonts w:ascii="Times New Roman" w:hAnsi="Times New Roman"/>
                <w:b/>
                <w:sz w:val="20"/>
                <w:szCs w:val="20"/>
              </w:rPr>
              <w:t>Sâm</w:t>
            </w:r>
            <w:proofErr w:type="spellEnd"/>
          </w:p>
        </w:tc>
        <w:tc>
          <w:tcPr>
            <w:tcW w:w="1812" w:type="pct"/>
          </w:tcPr>
          <w:p w14:paraId="2780A469" w14:textId="23089F4F" w:rsidR="00964495" w:rsidRPr="00E21368" w:rsidRDefault="00860BF1" w:rsidP="00726CC5">
            <w:pPr>
              <w:pBdr>
                <w:top w:val="single" w:sz="4" w:space="1" w:color="auto"/>
              </w:pBdr>
              <w:tabs>
                <w:tab w:val="left" w:pos="1080"/>
                <w:tab w:val="right" w:pos="8280"/>
                <w:tab w:val="right" w:pos="9720"/>
              </w:tabs>
              <w:spacing w:before="120" w:after="120" w:line="312" w:lineRule="auto"/>
              <w:ind w:left="270" w:right="259"/>
              <w:jc w:val="center"/>
              <w:rPr>
                <w:rFonts w:ascii="Times New Roman" w:hAnsi="Times New Roman"/>
                <w:b/>
                <w:sz w:val="20"/>
                <w:szCs w:val="20"/>
              </w:rPr>
            </w:pPr>
            <w:r>
              <w:rPr>
                <w:rFonts w:ascii="Times New Roman" w:hAnsi="Times New Roman"/>
                <w:b/>
                <w:sz w:val="20"/>
                <w:szCs w:val="20"/>
              </w:rPr>
              <w:t xml:space="preserve">Ninh Thị </w:t>
            </w:r>
            <w:proofErr w:type="spellStart"/>
            <w:r>
              <w:rPr>
                <w:rFonts w:ascii="Times New Roman" w:hAnsi="Times New Roman"/>
                <w:b/>
                <w:sz w:val="20"/>
                <w:szCs w:val="20"/>
              </w:rPr>
              <w:t>Tuê</w:t>
            </w:r>
            <w:proofErr w:type="spellEnd"/>
            <w:r>
              <w:rPr>
                <w:rFonts w:ascii="Times New Roman" w:hAnsi="Times New Roman"/>
                <w:b/>
                <w:sz w:val="20"/>
                <w:szCs w:val="20"/>
              </w:rPr>
              <w:t>̣ Minh</w:t>
            </w:r>
          </w:p>
        </w:tc>
        <w:tc>
          <w:tcPr>
            <w:tcW w:w="1621" w:type="pct"/>
          </w:tcPr>
          <w:p w14:paraId="0D3006D8" w14:textId="0F83B8A9" w:rsidR="00964495" w:rsidRPr="00E21368" w:rsidRDefault="00860BF1" w:rsidP="00726CC5">
            <w:pPr>
              <w:pBdr>
                <w:top w:val="single" w:sz="4" w:space="1" w:color="auto"/>
              </w:pBdr>
              <w:tabs>
                <w:tab w:val="left" w:pos="1080"/>
                <w:tab w:val="right" w:pos="8280"/>
                <w:tab w:val="right" w:pos="9720"/>
              </w:tabs>
              <w:spacing w:before="120" w:after="120" w:line="312" w:lineRule="auto"/>
              <w:ind w:left="270" w:right="259"/>
              <w:jc w:val="center"/>
              <w:rPr>
                <w:rFonts w:ascii="Times New Roman" w:hAnsi="Times New Roman"/>
                <w:b/>
                <w:sz w:val="20"/>
                <w:szCs w:val="20"/>
              </w:rPr>
            </w:pPr>
            <w:r>
              <w:rPr>
                <w:rFonts w:ascii="Times New Roman" w:hAnsi="Times New Roman"/>
                <w:b/>
                <w:sz w:val="20"/>
                <w:szCs w:val="20"/>
              </w:rPr>
              <w:t xml:space="preserve">Lê </w:t>
            </w:r>
            <w:proofErr w:type="spellStart"/>
            <w:r>
              <w:rPr>
                <w:rFonts w:ascii="Times New Roman" w:hAnsi="Times New Roman"/>
                <w:b/>
                <w:sz w:val="20"/>
                <w:szCs w:val="20"/>
              </w:rPr>
              <w:t>Hoàng</w:t>
            </w:r>
            <w:proofErr w:type="spellEnd"/>
            <w:r>
              <w:rPr>
                <w:rFonts w:ascii="Times New Roman" w:hAnsi="Times New Roman"/>
                <w:b/>
                <w:sz w:val="20"/>
                <w:szCs w:val="20"/>
              </w:rPr>
              <w:t xml:space="preserve"> Anh</w:t>
            </w:r>
          </w:p>
        </w:tc>
      </w:tr>
      <w:tr w:rsidR="00964495" w:rsidRPr="00E21368" w14:paraId="28D24375" w14:textId="77777777" w:rsidTr="006B32AB">
        <w:tc>
          <w:tcPr>
            <w:tcW w:w="1567" w:type="pct"/>
            <w:shd w:val="clear" w:color="auto" w:fill="auto"/>
          </w:tcPr>
          <w:p w14:paraId="33315754" w14:textId="77777777" w:rsidR="00964495" w:rsidRDefault="00964495" w:rsidP="00726CC5">
            <w:pPr>
              <w:tabs>
                <w:tab w:val="left" w:pos="1080"/>
                <w:tab w:val="right" w:pos="8280"/>
                <w:tab w:val="right" w:pos="9720"/>
              </w:tabs>
              <w:spacing w:before="120" w:after="120" w:line="312" w:lineRule="auto"/>
              <w:ind w:left="270" w:right="259"/>
              <w:jc w:val="center"/>
              <w:rPr>
                <w:rFonts w:ascii="Times New Roman" w:hAnsi="Times New Roman"/>
                <w:sz w:val="20"/>
                <w:szCs w:val="20"/>
              </w:rPr>
            </w:pPr>
            <w:proofErr w:type="spellStart"/>
            <w:r w:rsidRPr="00BE3500">
              <w:rPr>
                <w:rFonts w:ascii="Times New Roman" w:hAnsi="Times New Roman"/>
                <w:sz w:val="20"/>
                <w:szCs w:val="20"/>
              </w:rPr>
              <w:lastRenderedPageBreak/>
              <w:t>Kế</w:t>
            </w:r>
            <w:proofErr w:type="spellEnd"/>
            <w:r w:rsidRPr="00BE3500">
              <w:rPr>
                <w:rFonts w:ascii="Times New Roman" w:hAnsi="Times New Roman"/>
                <w:sz w:val="20"/>
                <w:szCs w:val="20"/>
              </w:rPr>
              <w:t xml:space="preserve"> </w:t>
            </w:r>
            <w:proofErr w:type="spellStart"/>
            <w:r w:rsidRPr="00BE3500">
              <w:rPr>
                <w:rFonts w:ascii="Times New Roman" w:hAnsi="Times New Roman"/>
                <w:sz w:val="20"/>
                <w:szCs w:val="20"/>
              </w:rPr>
              <w:t>toán</w:t>
            </w:r>
            <w:proofErr w:type="spellEnd"/>
            <w:r w:rsidRPr="00BE3500">
              <w:rPr>
                <w:rFonts w:ascii="Times New Roman" w:hAnsi="Times New Roman"/>
                <w:sz w:val="20"/>
                <w:szCs w:val="20"/>
              </w:rPr>
              <w:t xml:space="preserve"> </w:t>
            </w:r>
            <w:proofErr w:type="spellStart"/>
            <w:r w:rsidRPr="00BE3500">
              <w:rPr>
                <w:rFonts w:ascii="Times New Roman" w:hAnsi="Times New Roman"/>
                <w:sz w:val="20"/>
                <w:szCs w:val="20"/>
              </w:rPr>
              <w:t>Quỹ</w:t>
            </w:r>
            <w:proofErr w:type="spellEnd"/>
          </w:p>
          <w:p w14:paraId="77A89102" w14:textId="3B7795E0" w:rsidR="001F2E8F" w:rsidRPr="001F2E8F" w:rsidRDefault="001F2E8F" w:rsidP="00726CC5">
            <w:pPr>
              <w:tabs>
                <w:tab w:val="left" w:pos="1080"/>
                <w:tab w:val="right" w:pos="8280"/>
                <w:tab w:val="right" w:pos="9720"/>
              </w:tabs>
              <w:spacing w:before="120" w:after="120" w:line="312" w:lineRule="auto"/>
              <w:ind w:left="270" w:right="259"/>
              <w:jc w:val="center"/>
              <w:rPr>
                <w:rFonts w:ascii="Times New Roman" w:hAnsi="Times New Roman"/>
                <w:sz w:val="20"/>
                <w:szCs w:val="20"/>
                <w:lang w:val="vi-VN"/>
              </w:rPr>
            </w:pPr>
            <w:r>
              <w:rPr>
                <w:rFonts w:ascii="Times New Roman" w:hAnsi="Times New Roman"/>
                <w:sz w:val="20"/>
                <w:szCs w:val="20"/>
              </w:rPr>
              <w:t>Fund</w:t>
            </w:r>
            <w:r>
              <w:rPr>
                <w:rFonts w:ascii="Times New Roman" w:hAnsi="Times New Roman"/>
                <w:sz w:val="20"/>
                <w:szCs w:val="20"/>
                <w:lang w:val="vi-VN"/>
              </w:rPr>
              <w:t xml:space="preserve"> Accountant</w:t>
            </w:r>
          </w:p>
        </w:tc>
        <w:tc>
          <w:tcPr>
            <w:tcW w:w="1812" w:type="pct"/>
          </w:tcPr>
          <w:p w14:paraId="0473C340" w14:textId="77777777" w:rsidR="00964495" w:rsidRDefault="00F32A0D" w:rsidP="00726CC5">
            <w:pPr>
              <w:tabs>
                <w:tab w:val="left" w:pos="1080"/>
                <w:tab w:val="right" w:pos="8280"/>
                <w:tab w:val="right" w:pos="9720"/>
              </w:tabs>
              <w:spacing w:before="120" w:after="120" w:line="312" w:lineRule="auto"/>
              <w:ind w:left="270" w:right="259"/>
              <w:jc w:val="center"/>
              <w:rPr>
                <w:rFonts w:ascii="Times New Roman" w:hAnsi="Times New Roman"/>
                <w:sz w:val="20"/>
                <w:szCs w:val="20"/>
              </w:rPr>
            </w:pPr>
            <w:proofErr w:type="spellStart"/>
            <w:r>
              <w:rPr>
                <w:rFonts w:ascii="Times New Roman" w:hAnsi="Times New Roman"/>
                <w:sz w:val="20"/>
                <w:szCs w:val="20"/>
              </w:rPr>
              <w:t>Trưởng</w:t>
            </w:r>
            <w:proofErr w:type="spellEnd"/>
            <w:r>
              <w:rPr>
                <w:rFonts w:ascii="Times New Roman" w:hAnsi="Times New Roman"/>
                <w:sz w:val="20"/>
                <w:szCs w:val="20"/>
              </w:rPr>
              <w:t xml:space="preserve"> </w:t>
            </w:r>
            <w:proofErr w:type="spellStart"/>
            <w:r>
              <w:rPr>
                <w:rFonts w:ascii="Times New Roman" w:hAnsi="Times New Roman"/>
                <w:sz w:val="20"/>
                <w:szCs w:val="20"/>
              </w:rPr>
              <w:t>phòng</w:t>
            </w:r>
            <w:proofErr w:type="spellEnd"/>
            <w:r>
              <w:rPr>
                <w:rFonts w:ascii="Times New Roman" w:hAnsi="Times New Roman"/>
                <w:sz w:val="20"/>
                <w:szCs w:val="20"/>
              </w:rPr>
              <w:t xml:space="preserve"> </w:t>
            </w:r>
            <w:proofErr w:type="spellStart"/>
            <w:r>
              <w:rPr>
                <w:rFonts w:ascii="Times New Roman" w:hAnsi="Times New Roman"/>
                <w:sz w:val="20"/>
                <w:szCs w:val="20"/>
              </w:rPr>
              <w:t>Kê</w:t>
            </w:r>
            <w:proofErr w:type="spellEnd"/>
            <w:r>
              <w:rPr>
                <w:rFonts w:ascii="Times New Roman" w:hAnsi="Times New Roman"/>
                <w:sz w:val="20"/>
                <w:szCs w:val="20"/>
              </w:rPr>
              <w:t xml:space="preserve">́ </w:t>
            </w:r>
            <w:proofErr w:type="spellStart"/>
            <w:r>
              <w:rPr>
                <w:rFonts w:ascii="Times New Roman" w:hAnsi="Times New Roman"/>
                <w:sz w:val="20"/>
                <w:szCs w:val="20"/>
              </w:rPr>
              <w:t>toán</w:t>
            </w:r>
            <w:proofErr w:type="spellEnd"/>
            <w:r>
              <w:rPr>
                <w:rFonts w:ascii="Times New Roman" w:hAnsi="Times New Roman"/>
                <w:sz w:val="20"/>
                <w:szCs w:val="20"/>
              </w:rPr>
              <w:t xml:space="preserve"> Quỹ</w:t>
            </w:r>
          </w:p>
          <w:p w14:paraId="18CFFE6D" w14:textId="4D17C0FF" w:rsidR="001F2E8F" w:rsidRPr="001F2E8F" w:rsidRDefault="001F2E8F" w:rsidP="00726CC5">
            <w:pPr>
              <w:tabs>
                <w:tab w:val="left" w:pos="1080"/>
                <w:tab w:val="right" w:pos="8280"/>
                <w:tab w:val="right" w:pos="9720"/>
              </w:tabs>
              <w:spacing w:before="120" w:after="120" w:line="312" w:lineRule="auto"/>
              <w:ind w:left="270" w:right="259"/>
              <w:jc w:val="center"/>
              <w:rPr>
                <w:rFonts w:ascii="Times New Roman" w:hAnsi="Times New Roman"/>
                <w:sz w:val="20"/>
                <w:szCs w:val="20"/>
                <w:lang w:val="vi-VN"/>
              </w:rPr>
            </w:pPr>
            <w:r>
              <w:rPr>
                <w:rFonts w:ascii="Times New Roman" w:hAnsi="Times New Roman"/>
                <w:sz w:val="20"/>
                <w:szCs w:val="20"/>
              </w:rPr>
              <w:t>Head</w:t>
            </w:r>
            <w:r>
              <w:rPr>
                <w:rFonts w:ascii="Times New Roman" w:hAnsi="Times New Roman"/>
                <w:sz w:val="20"/>
                <w:szCs w:val="20"/>
                <w:lang w:val="vi-VN"/>
              </w:rPr>
              <w:t xml:space="preserve"> of Fund Acounting</w:t>
            </w:r>
          </w:p>
        </w:tc>
        <w:tc>
          <w:tcPr>
            <w:tcW w:w="1621" w:type="pct"/>
          </w:tcPr>
          <w:p w14:paraId="6476E734" w14:textId="77777777" w:rsidR="00964495" w:rsidRDefault="00860BF1" w:rsidP="00726CC5">
            <w:pPr>
              <w:tabs>
                <w:tab w:val="left" w:pos="1080"/>
                <w:tab w:val="right" w:pos="8280"/>
                <w:tab w:val="right" w:pos="9720"/>
              </w:tabs>
              <w:spacing w:before="120" w:after="120" w:line="312" w:lineRule="auto"/>
              <w:ind w:left="270" w:right="259"/>
              <w:jc w:val="center"/>
              <w:rPr>
                <w:rFonts w:ascii="Times New Roman" w:hAnsi="Times New Roman"/>
                <w:sz w:val="20"/>
                <w:szCs w:val="20"/>
              </w:rPr>
            </w:pPr>
            <w:proofErr w:type="spellStart"/>
            <w:r w:rsidRPr="00860BF1">
              <w:rPr>
                <w:rFonts w:ascii="Times New Roman" w:hAnsi="Times New Roman"/>
                <w:sz w:val="20"/>
                <w:szCs w:val="20"/>
              </w:rPr>
              <w:t>Quyền</w:t>
            </w:r>
            <w:proofErr w:type="spellEnd"/>
            <w:r w:rsidRPr="00860BF1">
              <w:rPr>
                <w:rFonts w:ascii="Times New Roman" w:hAnsi="Times New Roman"/>
                <w:sz w:val="20"/>
                <w:szCs w:val="20"/>
              </w:rPr>
              <w:t xml:space="preserve"> </w:t>
            </w:r>
            <w:proofErr w:type="spellStart"/>
            <w:r w:rsidRPr="00860BF1">
              <w:rPr>
                <w:rFonts w:ascii="Times New Roman" w:hAnsi="Times New Roman"/>
                <w:sz w:val="20"/>
                <w:szCs w:val="20"/>
              </w:rPr>
              <w:t>Giám</w:t>
            </w:r>
            <w:proofErr w:type="spellEnd"/>
            <w:r w:rsidRPr="00860BF1">
              <w:rPr>
                <w:rFonts w:ascii="Times New Roman" w:hAnsi="Times New Roman"/>
                <w:sz w:val="20"/>
                <w:szCs w:val="20"/>
              </w:rPr>
              <w:t xml:space="preserve"> </w:t>
            </w:r>
            <w:proofErr w:type="spellStart"/>
            <w:r w:rsidRPr="00860BF1">
              <w:rPr>
                <w:rFonts w:ascii="Times New Roman" w:hAnsi="Times New Roman"/>
                <w:sz w:val="20"/>
                <w:szCs w:val="20"/>
              </w:rPr>
              <w:t>đốc</w:t>
            </w:r>
            <w:proofErr w:type="spellEnd"/>
            <w:r w:rsidRPr="00860BF1">
              <w:rPr>
                <w:rFonts w:ascii="Times New Roman" w:hAnsi="Times New Roman"/>
                <w:sz w:val="20"/>
                <w:szCs w:val="20"/>
              </w:rPr>
              <w:t xml:space="preserve"> </w:t>
            </w:r>
            <w:proofErr w:type="spellStart"/>
            <w:r w:rsidRPr="00860BF1">
              <w:rPr>
                <w:rFonts w:ascii="Times New Roman" w:hAnsi="Times New Roman"/>
                <w:sz w:val="20"/>
                <w:szCs w:val="20"/>
              </w:rPr>
              <w:t>nghiệp</w:t>
            </w:r>
            <w:proofErr w:type="spellEnd"/>
            <w:r w:rsidRPr="00860BF1">
              <w:rPr>
                <w:rFonts w:ascii="Times New Roman" w:hAnsi="Times New Roman"/>
                <w:sz w:val="20"/>
                <w:szCs w:val="20"/>
              </w:rPr>
              <w:t xml:space="preserve"> </w:t>
            </w:r>
            <w:proofErr w:type="spellStart"/>
            <w:r w:rsidRPr="00860BF1">
              <w:rPr>
                <w:rFonts w:ascii="Times New Roman" w:hAnsi="Times New Roman"/>
                <w:sz w:val="20"/>
                <w:szCs w:val="20"/>
              </w:rPr>
              <w:t>vụ</w:t>
            </w:r>
            <w:proofErr w:type="spellEnd"/>
            <w:r w:rsidRPr="00860BF1">
              <w:rPr>
                <w:rFonts w:ascii="Times New Roman" w:hAnsi="Times New Roman"/>
                <w:sz w:val="20"/>
                <w:szCs w:val="20"/>
              </w:rPr>
              <w:t xml:space="preserve"> </w:t>
            </w:r>
            <w:proofErr w:type="spellStart"/>
            <w:r w:rsidRPr="00860BF1">
              <w:rPr>
                <w:rFonts w:ascii="Times New Roman" w:hAnsi="Times New Roman"/>
                <w:sz w:val="20"/>
                <w:szCs w:val="20"/>
              </w:rPr>
              <w:t>hỗ</w:t>
            </w:r>
            <w:proofErr w:type="spellEnd"/>
            <w:r w:rsidRPr="00860BF1">
              <w:rPr>
                <w:rFonts w:ascii="Times New Roman" w:hAnsi="Times New Roman"/>
                <w:sz w:val="20"/>
                <w:szCs w:val="20"/>
              </w:rPr>
              <w:t xml:space="preserve"> </w:t>
            </w:r>
            <w:proofErr w:type="spellStart"/>
            <w:r w:rsidRPr="00860BF1">
              <w:rPr>
                <w:rFonts w:ascii="Times New Roman" w:hAnsi="Times New Roman"/>
                <w:sz w:val="20"/>
                <w:szCs w:val="20"/>
              </w:rPr>
              <w:t>trợ</w:t>
            </w:r>
            <w:proofErr w:type="spellEnd"/>
            <w:r w:rsidRPr="00860BF1">
              <w:rPr>
                <w:rFonts w:ascii="Times New Roman" w:hAnsi="Times New Roman"/>
                <w:sz w:val="20"/>
                <w:szCs w:val="20"/>
              </w:rPr>
              <w:t xml:space="preserve"> </w:t>
            </w:r>
            <w:proofErr w:type="spellStart"/>
            <w:r w:rsidRPr="00860BF1">
              <w:rPr>
                <w:rFonts w:ascii="Times New Roman" w:hAnsi="Times New Roman"/>
                <w:sz w:val="20"/>
                <w:szCs w:val="20"/>
              </w:rPr>
              <w:t>đầu</w:t>
            </w:r>
            <w:proofErr w:type="spellEnd"/>
            <w:r w:rsidRPr="00860BF1">
              <w:rPr>
                <w:rFonts w:ascii="Times New Roman" w:hAnsi="Times New Roman"/>
                <w:sz w:val="20"/>
                <w:szCs w:val="20"/>
              </w:rPr>
              <w:t xml:space="preserve"> </w:t>
            </w:r>
            <w:proofErr w:type="spellStart"/>
            <w:r w:rsidRPr="00860BF1">
              <w:rPr>
                <w:rFonts w:ascii="Times New Roman" w:hAnsi="Times New Roman"/>
                <w:sz w:val="20"/>
                <w:szCs w:val="20"/>
              </w:rPr>
              <w:t>tư</w:t>
            </w:r>
            <w:proofErr w:type="spellEnd"/>
          </w:p>
          <w:p w14:paraId="5F6DDBC8" w14:textId="0D5C2C7B" w:rsidR="001F2E8F" w:rsidRPr="001F2E8F" w:rsidRDefault="001F2E8F" w:rsidP="00726CC5">
            <w:pPr>
              <w:tabs>
                <w:tab w:val="left" w:pos="1080"/>
                <w:tab w:val="right" w:pos="8280"/>
                <w:tab w:val="right" w:pos="9720"/>
              </w:tabs>
              <w:spacing w:before="120" w:after="120" w:line="312" w:lineRule="auto"/>
              <w:ind w:left="270" w:right="259"/>
              <w:jc w:val="center"/>
              <w:rPr>
                <w:rFonts w:ascii="Times New Roman" w:hAnsi="Times New Roman"/>
                <w:sz w:val="20"/>
                <w:szCs w:val="20"/>
                <w:lang w:val="vi-VN"/>
              </w:rPr>
            </w:pPr>
            <w:r>
              <w:rPr>
                <w:rFonts w:ascii="Times New Roman" w:hAnsi="Times New Roman"/>
                <w:sz w:val="20"/>
                <w:szCs w:val="20"/>
              </w:rPr>
              <w:t>Acting</w:t>
            </w:r>
            <w:r>
              <w:rPr>
                <w:rFonts w:ascii="Times New Roman" w:hAnsi="Times New Roman"/>
                <w:sz w:val="20"/>
                <w:szCs w:val="20"/>
                <w:lang w:val="vi-VN"/>
              </w:rPr>
              <w:t xml:space="preserve"> Director of Investment Operation Supports</w:t>
            </w:r>
          </w:p>
          <w:p w14:paraId="53BA300D" w14:textId="1907A5C5" w:rsidR="001F2E8F" w:rsidRPr="00E21368" w:rsidRDefault="001F2E8F" w:rsidP="00726CC5">
            <w:pPr>
              <w:tabs>
                <w:tab w:val="left" w:pos="1080"/>
                <w:tab w:val="right" w:pos="8280"/>
                <w:tab w:val="right" w:pos="9720"/>
              </w:tabs>
              <w:spacing w:before="120" w:after="120" w:line="312" w:lineRule="auto"/>
              <w:ind w:left="270" w:right="259"/>
              <w:jc w:val="center"/>
              <w:rPr>
                <w:rFonts w:ascii="Times New Roman" w:hAnsi="Times New Roman"/>
                <w:sz w:val="20"/>
                <w:szCs w:val="20"/>
              </w:rPr>
            </w:pPr>
          </w:p>
        </w:tc>
      </w:tr>
    </w:tbl>
    <w:p w14:paraId="2572A617" w14:textId="77777777" w:rsidR="00A224CC" w:rsidRPr="00E21368" w:rsidRDefault="00A224CC" w:rsidP="00726CC5">
      <w:pPr>
        <w:spacing w:before="120" w:after="120"/>
        <w:ind w:left="270" w:right="260"/>
        <w:rPr>
          <w:rStyle w:val="BookTitle"/>
          <w:rFonts w:ascii="Times New Roman" w:hAnsi="Times New Roman"/>
          <w:bCs w:val="0"/>
          <w:color w:val="005C84" w:themeColor="text1"/>
          <w:spacing w:val="0"/>
          <w:sz w:val="20"/>
          <w:szCs w:val="20"/>
        </w:rPr>
      </w:pPr>
    </w:p>
    <w:sectPr w:rsidR="00A224CC" w:rsidRPr="00E21368" w:rsidSect="008E0B85">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153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C3DA9" w14:textId="77777777" w:rsidR="00785F78" w:rsidRDefault="00785F78" w:rsidP="005D3242">
      <w:pPr>
        <w:spacing w:after="0" w:line="240" w:lineRule="auto"/>
      </w:pPr>
      <w:r>
        <w:separator/>
      </w:r>
    </w:p>
  </w:endnote>
  <w:endnote w:type="continuationSeparator" w:id="0">
    <w:p w14:paraId="259EAE2C" w14:textId="77777777" w:rsidR="00785F78" w:rsidRDefault="00785F78" w:rsidP="005D3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F208" w14:textId="77777777" w:rsidR="00B47004" w:rsidRDefault="00B470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C8D9" w14:textId="77777777" w:rsidR="00B47004" w:rsidRDefault="00B470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4F24" w14:textId="77777777" w:rsidR="00B47004" w:rsidRDefault="00B47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AD74C" w14:textId="77777777" w:rsidR="00785F78" w:rsidRDefault="00785F78" w:rsidP="005D3242">
      <w:pPr>
        <w:spacing w:after="0" w:line="240" w:lineRule="auto"/>
      </w:pPr>
      <w:r>
        <w:separator/>
      </w:r>
    </w:p>
  </w:footnote>
  <w:footnote w:type="continuationSeparator" w:id="0">
    <w:p w14:paraId="59B83B5C" w14:textId="77777777" w:rsidR="00785F78" w:rsidRDefault="00785F78" w:rsidP="005D3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DCA9" w14:textId="77777777" w:rsidR="00B47004" w:rsidRDefault="00B470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E3A0" w14:textId="70712FC5" w:rsidR="00A271D4" w:rsidRDefault="00A271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C5B86" w14:textId="5CCE4670" w:rsidR="00A271D4" w:rsidRDefault="00A27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26DB"/>
    <w:multiLevelType w:val="hybridMultilevel"/>
    <w:tmpl w:val="CC72DF0A"/>
    <w:lvl w:ilvl="0" w:tplc="FF3E9030">
      <w:start w:val="8"/>
      <w:numFmt w:val="lowerLetter"/>
      <w:lvlText w:val="%1."/>
      <w:lvlJc w:val="left"/>
      <w:pPr>
        <w:ind w:left="43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23306F"/>
    <w:multiLevelType w:val="hybridMultilevel"/>
    <w:tmpl w:val="39003D18"/>
    <w:lvl w:ilvl="0" w:tplc="0809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C338A9"/>
    <w:multiLevelType w:val="hybridMultilevel"/>
    <w:tmpl w:val="B966130C"/>
    <w:lvl w:ilvl="0" w:tplc="3DA69994">
      <w:start w:val="7"/>
      <w:numFmt w:val="lowerLetter"/>
      <w:lvlText w:val="%1."/>
      <w:lvlJc w:val="left"/>
      <w:pPr>
        <w:ind w:left="43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424822"/>
    <w:multiLevelType w:val="hybridMultilevel"/>
    <w:tmpl w:val="12BE7B7A"/>
    <w:lvl w:ilvl="0" w:tplc="FFFFFFFF">
      <w:start w:val="1"/>
      <w:numFmt w:val="lowerLetter"/>
      <w:lvlText w:val="%1."/>
      <w:lvlJc w:val="left"/>
      <w:pPr>
        <w:ind w:left="1440" w:hanging="360"/>
      </w:pPr>
    </w:lvl>
    <w:lvl w:ilvl="1" w:tplc="FFFFFFFF">
      <w:start w:val="31"/>
      <w:numFmt w:val="decimal"/>
      <w:lvlText w:val="%2."/>
      <w:lvlJc w:val="left"/>
      <w:pPr>
        <w:ind w:left="2160" w:hanging="360"/>
      </w:pPr>
      <w:rPr>
        <w:rFonts w:hint="default"/>
        <w:b/>
      </w:r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0809000D">
      <w:start w:val="1"/>
      <w:numFmt w:val="bullet"/>
      <w:lvlText w:val=""/>
      <w:lvlJc w:val="left"/>
      <w:pPr>
        <w:ind w:left="4320" w:hanging="360"/>
      </w:pPr>
      <w:rPr>
        <w:rFonts w:ascii="Wingdings" w:hAnsi="Wingdings" w:hint="default"/>
      </w:r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CD07EE4"/>
    <w:multiLevelType w:val="hybridMultilevel"/>
    <w:tmpl w:val="1B862E8E"/>
    <w:lvl w:ilvl="0" w:tplc="FCCA71FC">
      <w:start w:val="1"/>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25DE0204"/>
    <w:multiLevelType w:val="singleLevel"/>
    <w:tmpl w:val="2146CE32"/>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32A06381"/>
    <w:multiLevelType w:val="hybridMultilevel"/>
    <w:tmpl w:val="E1948EAE"/>
    <w:lvl w:ilvl="0" w:tplc="0809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33CD7AE5"/>
    <w:multiLevelType w:val="hybridMultilevel"/>
    <w:tmpl w:val="C9D46D6A"/>
    <w:lvl w:ilvl="0" w:tplc="FCCA71FC">
      <w:start w:val="1"/>
      <w:numFmt w:val="bullet"/>
      <w:lvlText w:val="-"/>
      <w:lvlJc w:val="left"/>
      <w:pPr>
        <w:ind w:left="900" w:hanging="360"/>
      </w:pPr>
      <w:rPr>
        <w:rFonts w:ascii="Times New Roman" w:eastAsia="Times New Roman"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8" w15:restartNumberingAfterBreak="0">
    <w:nsid w:val="376438B8"/>
    <w:multiLevelType w:val="hybridMultilevel"/>
    <w:tmpl w:val="BA32A7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AC6970"/>
    <w:multiLevelType w:val="hybridMultilevel"/>
    <w:tmpl w:val="8C1ED4CC"/>
    <w:lvl w:ilvl="0" w:tplc="EDBA8726">
      <w:start w:val="6"/>
      <w:numFmt w:val="lowerLetter"/>
      <w:lvlText w:val="%1."/>
      <w:lvlJc w:val="left"/>
      <w:pPr>
        <w:ind w:left="43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0D08E2"/>
    <w:multiLevelType w:val="hybridMultilevel"/>
    <w:tmpl w:val="F92A7CA0"/>
    <w:lvl w:ilvl="0" w:tplc="72269F7C">
      <w:start w:val="5"/>
      <w:numFmt w:val="lowerLetter"/>
      <w:lvlText w:val="%1."/>
      <w:lvlJc w:val="left"/>
      <w:pPr>
        <w:ind w:left="43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5156D0"/>
    <w:multiLevelType w:val="multilevel"/>
    <w:tmpl w:val="155E0C76"/>
    <w:lvl w:ilvl="0">
      <w:start w:val="5"/>
      <w:numFmt w:val="decimal"/>
      <w:lvlText w:val="%1."/>
      <w:lvlJc w:val="left"/>
      <w:pPr>
        <w:ind w:left="720" w:hanging="360"/>
      </w:pPr>
      <w:rPr>
        <w:rFonts w:hint="default"/>
        <w:b/>
        <w:bCs/>
      </w:rPr>
    </w:lvl>
    <w:lvl w:ilvl="1">
      <w:start w:val="1"/>
      <w:numFmt w:val="decimal"/>
      <w:isLgl/>
      <w:lvlText w:val="%1.%2"/>
      <w:lvlJc w:val="left"/>
      <w:pPr>
        <w:ind w:left="825" w:hanging="59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F6F270D"/>
    <w:multiLevelType w:val="hybridMultilevel"/>
    <w:tmpl w:val="B89A9F50"/>
    <w:lvl w:ilvl="0" w:tplc="08090005">
      <w:start w:val="1"/>
      <w:numFmt w:val="bullet"/>
      <w:lvlText w:val=""/>
      <w:lvlJc w:val="left"/>
      <w:pPr>
        <w:ind w:left="1170" w:hanging="360"/>
      </w:pPr>
      <w:rPr>
        <w:rFonts w:ascii="Wingdings" w:hAnsi="Wingdings"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3" w15:restartNumberingAfterBreak="0">
    <w:nsid w:val="5306665A"/>
    <w:multiLevelType w:val="singleLevel"/>
    <w:tmpl w:val="85EEA072"/>
    <w:lvl w:ilvl="0">
      <w:start w:val="1"/>
      <w:numFmt w:val="bullet"/>
      <w:lvlText w:val=""/>
      <w:lvlJc w:val="left"/>
      <w:pPr>
        <w:tabs>
          <w:tab w:val="num" w:pos="340"/>
        </w:tabs>
        <w:ind w:left="340" w:hanging="340"/>
      </w:pPr>
      <w:rPr>
        <w:rFonts w:ascii="Symbol" w:hAnsi="Symbol" w:hint="default"/>
        <w:color w:val="auto"/>
        <w:sz w:val="22"/>
      </w:rPr>
    </w:lvl>
  </w:abstractNum>
  <w:abstractNum w:abstractNumId="14" w15:restartNumberingAfterBreak="0">
    <w:nsid w:val="53F0578B"/>
    <w:multiLevelType w:val="hybridMultilevel"/>
    <w:tmpl w:val="9960991C"/>
    <w:lvl w:ilvl="0" w:tplc="51BAE3A6">
      <w:start w:val="1"/>
      <w:numFmt w:val="lowerRoman"/>
      <w:lvlText w:val="(%1)"/>
      <w:lvlJc w:val="left"/>
      <w:pPr>
        <w:ind w:left="1288" w:hanging="720"/>
      </w:pPr>
      <w:rPr>
        <w:rFonts w:hint="default"/>
        <w:i/>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5CD366C0"/>
    <w:multiLevelType w:val="hybridMultilevel"/>
    <w:tmpl w:val="F968996A"/>
    <w:lvl w:ilvl="0" w:tplc="0809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5F5802A9"/>
    <w:multiLevelType w:val="hybridMultilevel"/>
    <w:tmpl w:val="91B420EA"/>
    <w:lvl w:ilvl="0" w:tplc="1A3CE2C2">
      <w:start w:val="3"/>
      <w:numFmt w:val="lowerLetter"/>
      <w:lvlText w:val="%1."/>
      <w:lvlJc w:val="left"/>
      <w:pPr>
        <w:ind w:left="43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7904B6"/>
    <w:multiLevelType w:val="hybridMultilevel"/>
    <w:tmpl w:val="D5A22998"/>
    <w:lvl w:ilvl="0" w:tplc="408479EE">
      <w:start w:val="8"/>
      <w:numFmt w:val="lowerLetter"/>
      <w:lvlText w:val="%1."/>
      <w:lvlJc w:val="left"/>
      <w:pPr>
        <w:ind w:left="43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A05A5D"/>
    <w:multiLevelType w:val="hybridMultilevel"/>
    <w:tmpl w:val="E9B68B5E"/>
    <w:lvl w:ilvl="0" w:tplc="FFFFFFFF">
      <w:start w:val="1"/>
      <w:numFmt w:val="lowerLetter"/>
      <w:lvlText w:val="%1."/>
      <w:lvlJc w:val="left"/>
      <w:pPr>
        <w:ind w:left="43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D123C5"/>
    <w:multiLevelType w:val="hybridMultilevel"/>
    <w:tmpl w:val="0DCA42DE"/>
    <w:lvl w:ilvl="0" w:tplc="BB5E8370">
      <w:start w:val="2"/>
      <w:numFmt w:val="lowerLetter"/>
      <w:lvlText w:val="%1."/>
      <w:lvlJc w:val="left"/>
      <w:pPr>
        <w:ind w:left="43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4568CB"/>
    <w:multiLevelType w:val="hybridMultilevel"/>
    <w:tmpl w:val="E402E6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69226E"/>
    <w:multiLevelType w:val="hybridMultilevel"/>
    <w:tmpl w:val="01927D32"/>
    <w:lvl w:ilvl="0" w:tplc="FFFFFFFF">
      <w:start w:val="1"/>
      <w:numFmt w:val="lowerLetter"/>
      <w:lvlText w:val="%1."/>
      <w:lvlJc w:val="left"/>
      <w:pPr>
        <w:ind w:left="1440" w:hanging="360"/>
      </w:pPr>
    </w:lvl>
    <w:lvl w:ilvl="1" w:tplc="66C86F0A">
      <w:start w:val="6"/>
      <w:numFmt w:val="decimal"/>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7FF77216"/>
    <w:multiLevelType w:val="hybridMultilevel"/>
    <w:tmpl w:val="2BE07820"/>
    <w:lvl w:ilvl="0" w:tplc="439E5E1E">
      <w:start w:val="4"/>
      <w:numFmt w:val="lowerLetter"/>
      <w:lvlText w:val="%1."/>
      <w:lvlJc w:val="left"/>
      <w:pPr>
        <w:ind w:left="43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1248929">
    <w:abstractNumId w:val="21"/>
  </w:num>
  <w:num w:numId="2" w16cid:durableId="1180781407">
    <w:abstractNumId w:val="3"/>
  </w:num>
  <w:num w:numId="3" w16cid:durableId="2080588746">
    <w:abstractNumId w:val="8"/>
  </w:num>
  <w:num w:numId="4" w16cid:durableId="936266">
    <w:abstractNumId w:val="20"/>
  </w:num>
  <w:num w:numId="5" w16cid:durableId="5716231">
    <w:abstractNumId w:val="14"/>
  </w:num>
  <w:num w:numId="6" w16cid:durableId="495388490">
    <w:abstractNumId w:val="11"/>
  </w:num>
  <w:num w:numId="7" w16cid:durableId="786965885">
    <w:abstractNumId w:val="13"/>
  </w:num>
  <w:num w:numId="8" w16cid:durableId="1053113465">
    <w:abstractNumId w:val="5"/>
  </w:num>
  <w:num w:numId="9" w16cid:durableId="1633100174">
    <w:abstractNumId w:val="18"/>
  </w:num>
  <w:num w:numId="10" w16cid:durableId="1998922176">
    <w:abstractNumId w:val="19"/>
  </w:num>
  <w:num w:numId="11" w16cid:durableId="1420447290">
    <w:abstractNumId w:val="16"/>
  </w:num>
  <w:num w:numId="12" w16cid:durableId="116606890">
    <w:abstractNumId w:val="22"/>
  </w:num>
  <w:num w:numId="13" w16cid:durableId="487284262">
    <w:abstractNumId w:val="7"/>
  </w:num>
  <w:num w:numId="14" w16cid:durableId="1466046218">
    <w:abstractNumId w:val="4"/>
  </w:num>
  <w:num w:numId="15" w16cid:durableId="1929730595">
    <w:abstractNumId w:val="10"/>
  </w:num>
  <w:num w:numId="16" w16cid:durableId="352222417">
    <w:abstractNumId w:val="9"/>
  </w:num>
  <w:num w:numId="17" w16cid:durableId="99033482">
    <w:abstractNumId w:val="17"/>
  </w:num>
  <w:num w:numId="18" w16cid:durableId="164250515">
    <w:abstractNumId w:val="2"/>
  </w:num>
  <w:num w:numId="19" w16cid:durableId="32535219">
    <w:abstractNumId w:val="0"/>
  </w:num>
  <w:num w:numId="20" w16cid:durableId="1148665313">
    <w:abstractNumId w:val="1"/>
  </w:num>
  <w:num w:numId="21" w16cid:durableId="899561943">
    <w:abstractNumId w:val="6"/>
  </w:num>
  <w:num w:numId="22" w16cid:durableId="401097901">
    <w:abstractNumId w:val="15"/>
  </w:num>
  <w:num w:numId="23" w16cid:durableId="1897619417">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0229"/>
    <w:rsid w:val="000021A9"/>
    <w:rsid w:val="00004334"/>
    <w:rsid w:val="00005002"/>
    <w:rsid w:val="00010817"/>
    <w:rsid w:val="00013EBC"/>
    <w:rsid w:val="00015339"/>
    <w:rsid w:val="00015C4B"/>
    <w:rsid w:val="0002048E"/>
    <w:rsid w:val="00022FAA"/>
    <w:rsid w:val="00024DF8"/>
    <w:rsid w:val="00027D6E"/>
    <w:rsid w:val="00030A2E"/>
    <w:rsid w:val="00033268"/>
    <w:rsid w:val="00035118"/>
    <w:rsid w:val="00036150"/>
    <w:rsid w:val="00040F1C"/>
    <w:rsid w:val="00046A7B"/>
    <w:rsid w:val="00047743"/>
    <w:rsid w:val="00057C6E"/>
    <w:rsid w:val="000603D1"/>
    <w:rsid w:val="00065471"/>
    <w:rsid w:val="000661D0"/>
    <w:rsid w:val="00066324"/>
    <w:rsid w:val="000721D7"/>
    <w:rsid w:val="00082C65"/>
    <w:rsid w:val="00084457"/>
    <w:rsid w:val="000876AD"/>
    <w:rsid w:val="0009091E"/>
    <w:rsid w:val="0009144C"/>
    <w:rsid w:val="00092FF6"/>
    <w:rsid w:val="00097602"/>
    <w:rsid w:val="000B1611"/>
    <w:rsid w:val="000B2614"/>
    <w:rsid w:val="000C1E2F"/>
    <w:rsid w:val="000C22BF"/>
    <w:rsid w:val="000C445B"/>
    <w:rsid w:val="000C558C"/>
    <w:rsid w:val="000E074E"/>
    <w:rsid w:val="000E1E4E"/>
    <w:rsid w:val="000E2779"/>
    <w:rsid w:val="000E4BBE"/>
    <w:rsid w:val="000E4F80"/>
    <w:rsid w:val="000F251A"/>
    <w:rsid w:val="000F3647"/>
    <w:rsid w:val="000F3F3E"/>
    <w:rsid w:val="000F67A6"/>
    <w:rsid w:val="001056D5"/>
    <w:rsid w:val="00116DDD"/>
    <w:rsid w:val="00117388"/>
    <w:rsid w:val="00117D3C"/>
    <w:rsid w:val="001212DB"/>
    <w:rsid w:val="001219D3"/>
    <w:rsid w:val="00126795"/>
    <w:rsid w:val="00130186"/>
    <w:rsid w:val="0013074A"/>
    <w:rsid w:val="001367D0"/>
    <w:rsid w:val="001408DD"/>
    <w:rsid w:val="0014163A"/>
    <w:rsid w:val="00141D4B"/>
    <w:rsid w:val="001470DA"/>
    <w:rsid w:val="0014799C"/>
    <w:rsid w:val="00147E32"/>
    <w:rsid w:val="00147F7D"/>
    <w:rsid w:val="001500FF"/>
    <w:rsid w:val="00150A4C"/>
    <w:rsid w:val="00154A4E"/>
    <w:rsid w:val="00156681"/>
    <w:rsid w:val="00156E56"/>
    <w:rsid w:val="001578BD"/>
    <w:rsid w:val="001620FB"/>
    <w:rsid w:val="00164989"/>
    <w:rsid w:val="00172731"/>
    <w:rsid w:val="0017406C"/>
    <w:rsid w:val="0017681F"/>
    <w:rsid w:val="00177F61"/>
    <w:rsid w:val="00180233"/>
    <w:rsid w:val="001833FD"/>
    <w:rsid w:val="00190819"/>
    <w:rsid w:val="001909B6"/>
    <w:rsid w:val="00193211"/>
    <w:rsid w:val="00197484"/>
    <w:rsid w:val="00197B22"/>
    <w:rsid w:val="001A0E4F"/>
    <w:rsid w:val="001A5136"/>
    <w:rsid w:val="001B1E16"/>
    <w:rsid w:val="001B27C2"/>
    <w:rsid w:val="001B353F"/>
    <w:rsid w:val="001B4867"/>
    <w:rsid w:val="001B5334"/>
    <w:rsid w:val="001B56C5"/>
    <w:rsid w:val="001B5E7B"/>
    <w:rsid w:val="001B68EE"/>
    <w:rsid w:val="001C0B87"/>
    <w:rsid w:val="001C1C47"/>
    <w:rsid w:val="001C4943"/>
    <w:rsid w:val="001C4A99"/>
    <w:rsid w:val="001C5C52"/>
    <w:rsid w:val="001C7A4C"/>
    <w:rsid w:val="001E16C7"/>
    <w:rsid w:val="001E2B45"/>
    <w:rsid w:val="001E388C"/>
    <w:rsid w:val="001E3DA9"/>
    <w:rsid w:val="001E6582"/>
    <w:rsid w:val="001F2E8F"/>
    <w:rsid w:val="001F4DC9"/>
    <w:rsid w:val="00200471"/>
    <w:rsid w:val="00202E88"/>
    <w:rsid w:val="0020409C"/>
    <w:rsid w:val="00205390"/>
    <w:rsid w:val="0020699B"/>
    <w:rsid w:val="002117FA"/>
    <w:rsid w:val="00211A63"/>
    <w:rsid w:val="002136F3"/>
    <w:rsid w:val="002159DF"/>
    <w:rsid w:val="0022154A"/>
    <w:rsid w:val="00222700"/>
    <w:rsid w:val="002249A5"/>
    <w:rsid w:val="00225295"/>
    <w:rsid w:val="00225A4B"/>
    <w:rsid w:val="002261B9"/>
    <w:rsid w:val="00226BCC"/>
    <w:rsid w:val="0022770A"/>
    <w:rsid w:val="0023467D"/>
    <w:rsid w:val="00234F1B"/>
    <w:rsid w:val="00236F1B"/>
    <w:rsid w:val="0024254D"/>
    <w:rsid w:val="00247DD2"/>
    <w:rsid w:val="002512CC"/>
    <w:rsid w:val="0025230D"/>
    <w:rsid w:val="0025763E"/>
    <w:rsid w:val="00262E5F"/>
    <w:rsid w:val="00263D25"/>
    <w:rsid w:val="002651AE"/>
    <w:rsid w:val="002707D5"/>
    <w:rsid w:val="002724E9"/>
    <w:rsid w:val="00272FEA"/>
    <w:rsid w:val="0027409B"/>
    <w:rsid w:val="00283896"/>
    <w:rsid w:val="002847A0"/>
    <w:rsid w:val="002849C3"/>
    <w:rsid w:val="0028507F"/>
    <w:rsid w:val="002940D7"/>
    <w:rsid w:val="00294706"/>
    <w:rsid w:val="002955AE"/>
    <w:rsid w:val="00295762"/>
    <w:rsid w:val="002975F1"/>
    <w:rsid w:val="002977DD"/>
    <w:rsid w:val="002978D2"/>
    <w:rsid w:val="002A33FD"/>
    <w:rsid w:val="002A3540"/>
    <w:rsid w:val="002A3F59"/>
    <w:rsid w:val="002B5DB6"/>
    <w:rsid w:val="002C07EE"/>
    <w:rsid w:val="002C08B3"/>
    <w:rsid w:val="002C15CE"/>
    <w:rsid w:val="002C298C"/>
    <w:rsid w:val="002C5894"/>
    <w:rsid w:val="002C6E80"/>
    <w:rsid w:val="002D06A3"/>
    <w:rsid w:val="002D2EB0"/>
    <w:rsid w:val="002D3A2C"/>
    <w:rsid w:val="002D46BE"/>
    <w:rsid w:val="002D5A1B"/>
    <w:rsid w:val="002E455D"/>
    <w:rsid w:val="002F5B11"/>
    <w:rsid w:val="002F6114"/>
    <w:rsid w:val="002F66F2"/>
    <w:rsid w:val="00300440"/>
    <w:rsid w:val="00300A6B"/>
    <w:rsid w:val="003016B8"/>
    <w:rsid w:val="003047B0"/>
    <w:rsid w:val="0031118F"/>
    <w:rsid w:val="00313D2F"/>
    <w:rsid w:val="003140AD"/>
    <w:rsid w:val="003147CE"/>
    <w:rsid w:val="003151BB"/>
    <w:rsid w:val="00326A31"/>
    <w:rsid w:val="00331DB5"/>
    <w:rsid w:val="00334742"/>
    <w:rsid w:val="00334BA1"/>
    <w:rsid w:val="00335E41"/>
    <w:rsid w:val="003362D4"/>
    <w:rsid w:val="00340160"/>
    <w:rsid w:val="00341EA1"/>
    <w:rsid w:val="00346541"/>
    <w:rsid w:val="00346F2E"/>
    <w:rsid w:val="003476E0"/>
    <w:rsid w:val="00351AD1"/>
    <w:rsid w:val="00351BB3"/>
    <w:rsid w:val="00353AA9"/>
    <w:rsid w:val="003569BE"/>
    <w:rsid w:val="003579E7"/>
    <w:rsid w:val="00363AB7"/>
    <w:rsid w:val="00363B33"/>
    <w:rsid w:val="00370708"/>
    <w:rsid w:val="00372EDF"/>
    <w:rsid w:val="00374833"/>
    <w:rsid w:val="003766B1"/>
    <w:rsid w:val="003767FD"/>
    <w:rsid w:val="00377AAF"/>
    <w:rsid w:val="003871FC"/>
    <w:rsid w:val="003921F0"/>
    <w:rsid w:val="00393FBA"/>
    <w:rsid w:val="00394FD6"/>
    <w:rsid w:val="00396C0D"/>
    <w:rsid w:val="003A2107"/>
    <w:rsid w:val="003A3BD5"/>
    <w:rsid w:val="003A5FAF"/>
    <w:rsid w:val="003B56DD"/>
    <w:rsid w:val="003C1ACD"/>
    <w:rsid w:val="003D1ADA"/>
    <w:rsid w:val="003D6617"/>
    <w:rsid w:val="003D7CB8"/>
    <w:rsid w:val="003E0298"/>
    <w:rsid w:val="003E2791"/>
    <w:rsid w:val="003E372C"/>
    <w:rsid w:val="003F16B5"/>
    <w:rsid w:val="003F4E2E"/>
    <w:rsid w:val="003F693F"/>
    <w:rsid w:val="0040092E"/>
    <w:rsid w:val="0040188C"/>
    <w:rsid w:val="00401939"/>
    <w:rsid w:val="00403222"/>
    <w:rsid w:val="00403B3B"/>
    <w:rsid w:val="0041049C"/>
    <w:rsid w:val="0041124E"/>
    <w:rsid w:val="004122F6"/>
    <w:rsid w:val="00413997"/>
    <w:rsid w:val="00421C50"/>
    <w:rsid w:val="00422315"/>
    <w:rsid w:val="00424A71"/>
    <w:rsid w:val="0042750C"/>
    <w:rsid w:val="00431A39"/>
    <w:rsid w:val="00433527"/>
    <w:rsid w:val="00435D00"/>
    <w:rsid w:val="004379B1"/>
    <w:rsid w:val="00443134"/>
    <w:rsid w:val="0044783A"/>
    <w:rsid w:val="00450124"/>
    <w:rsid w:val="004559FA"/>
    <w:rsid w:val="00460006"/>
    <w:rsid w:val="0046229E"/>
    <w:rsid w:val="0046277D"/>
    <w:rsid w:val="00463581"/>
    <w:rsid w:val="004778BE"/>
    <w:rsid w:val="00482A26"/>
    <w:rsid w:val="004861E1"/>
    <w:rsid w:val="004867F4"/>
    <w:rsid w:val="00487AE9"/>
    <w:rsid w:val="00487C4F"/>
    <w:rsid w:val="004A6922"/>
    <w:rsid w:val="004A6AA7"/>
    <w:rsid w:val="004B05ED"/>
    <w:rsid w:val="004B3A90"/>
    <w:rsid w:val="004B513B"/>
    <w:rsid w:val="004B553C"/>
    <w:rsid w:val="004B7643"/>
    <w:rsid w:val="004C05D9"/>
    <w:rsid w:val="004C202A"/>
    <w:rsid w:val="004C30BC"/>
    <w:rsid w:val="004D0734"/>
    <w:rsid w:val="004E1646"/>
    <w:rsid w:val="004E3131"/>
    <w:rsid w:val="004F33AB"/>
    <w:rsid w:val="004F5283"/>
    <w:rsid w:val="004F6521"/>
    <w:rsid w:val="005066A9"/>
    <w:rsid w:val="00506DCA"/>
    <w:rsid w:val="0051259B"/>
    <w:rsid w:val="00513862"/>
    <w:rsid w:val="00513A93"/>
    <w:rsid w:val="005141A9"/>
    <w:rsid w:val="0051457A"/>
    <w:rsid w:val="005150CD"/>
    <w:rsid w:val="00515A34"/>
    <w:rsid w:val="0051658B"/>
    <w:rsid w:val="005255D5"/>
    <w:rsid w:val="00527E6C"/>
    <w:rsid w:val="005425EE"/>
    <w:rsid w:val="00553B60"/>
    <w:rsid w:val="00563ED5"/>
    <w:rsid w:val="00570CEE"/>
    <w:rsid w:val="00571402"/>
    <w:rsid w:val="00571590"/>
    <w:rsid w:val="005755E0"/>
    <w:rsid w:val="005757B1"/>
    <w:rsid w:val="005830A1"/>
    <w:rsid w:val="00586EB4"/>
    <w:rsid w:val="005870B3"/>
    <w:rsid w:val="00591394"/>
    <w:rsid w:val="00591D59"/>
    <w:rsid w:val="00596BA7"/>
    <w:rsid w:val="005A2DF0"/>
    <w:rsid w:val="005A4A6F"/>
    <w:rsid w:val="005A6483"/>
    <w:rsid w:val="005A65CF"/>
    <w:rsid w:val="005B07C6"/>
    <w:rsid w:val="005B2577"/>
    <w:rsid w:val="005B3F27"/>
    <w:rsid w:val="005B6E32"/>
    <w:rsid w:val="005B7EEE"/>
    <w:rsid w:val="005C0809"/>
    <w:rsid w:val="005C4750"/>
    <w:rsid w:val="005C6334"/>
    <w:rsid w:val="005C7784"/>
    <w:rsid w:val="005D1577"/>
    <w:rsid w:val="005D21BE"/>
    <w:rsid w:val="005D3242"/>
    <w:rsid w:val="005D578C"/>
    <w:rsid w:val="005E0509"/>
    <w:rsid w:val="005E0AA4"/>
    <w:rsid w:val="005E333C"/>
    <w:rsid w:val="005E3EDF"/>
    <w:rsid w:val="005E5A94"/>
    <w:rsid w:val="005F161F"/>
    <w:rsid w:val="005F3050"/>
    <w:rsid w:val="005F3DC9"/>
    <w:rsid w:val="0060216F"/>
    <w:rsid w:val="006064E9"/>
    <w:rsid w:val="0060652E"/>
    <w:rsid w:val="00606570"/>
    <w:rsid w:val="00610DA9"/>
    <w:rsid w:val="00611B5B"/>
    <w:rsid w:val="0061655B"/>
    <w:rsid w:val="006213F7"/>
    <w:rsid w:val="006227F8"/>
    <w:rsid w:val="006245FD"/>
    <w:rsid w:val="00626690"/>
    <w:rsid w:val="00627A77"/>
    <w:rsid w:val="0063311F"/>
    <w:rsid w:val="00633562"/>
    <w:rsid w:val="006346C0"/>
    <w:rsid w:val="0064104A"/>
    <w:rsid w:val="00642860"/>
    <w:rsid w:val="006450ED"/>
    <w:rsid w:val="0064513C"/>
    <w:rsid w:val="006479DE"/>
    <w:rsid w:val="00652DE5"/>
    <w:rsid w:val="00653EFC"/>
    <w:rsid w:val="006551CD"/>
    <w:rsid w:val="00655FD9"/>
    <w:rsid w:val="006570E2"/>
    <w:rsid w:val="006578AB"/>
    <w:rsid w:val="00660304"/>
    <w:rsid w:val="0066215A"/>
    <w:rsid w:val="00664824"/>
    <w:rsid w:val="00672DC8"/>
    <w:rsid w:val="0067769B"/>
    <w:rsid w:val="006804A0"/>
    <w:rsid w:val="006812C4"/>
    <w:rsid w:val="0068206C"/>
    <w:rsid w:val="00684EE7"/>
    <w:rsid w:val="00687DAC"/>
    <w:rsid w:val="006956FC"/>
    <w:rsid w:val="00696BF1"/>
    <w:rsid w:val="00697886"/>
    <w:rsid w:val="00697902"/>
    <w:rsid w:val="00697BD3"/>
    <w:rsid w:val="006A02D4"/>
    <w:rsid w:val="006A0C39"/>
    <w:rsid w:val="006A42B6"/>
    <w:rsid w:val="006A49DD"/>
    <w:rsid w:val="006B1B0E"/>
    <w:rsid w:val="006B2380"/>
    <w:rsid w:val="006B32AB"/>
    <w:rsid w:val="006B36E4"/>
    <w:rsid w:val="006B6153"/>
    <w:rsid w:val="006B6419"/>
    <w:rsid w:val="006B7366"/>
    <w:rsid w:val="006D0177"/>
    <w:rsid w:val="006D5144"/>
    <w:rsid w:val="006D5602"/>
    <w:rsid w:val="006D572C"/>
    <w:rsid w:val="006D5F14"/>
    <w:rsid w:val="006E1451"/>
    <w:rsid w:val="006E18BB"/>
    <w:rsid w:val="006E6F19"/>
    <w:rsid w:val="006F16E1"/>
    <w:rsid w:val="006F2D45"/>
    <w:rsid w:val="00702ECD"/>
    <w:rsid w:val="007047DF"/>
    <w:rsid w:val="007160D7"/>
    <w:rsid w:val="00717DC3"/>
    <w:rsid w:val="00722C55"/>
    <w:rsid w:val="00725060"/>
    <w:rsid w:val="00725814"/>
    <w:rsid w:val="00726CC5"/>
    <w:rsid w:val="00727C75"/>
    <w:rsid w:val="00727FB9"/>
    <w:rsid w:val="00732D40"/>
    <w:rsid w:val="007366E2"/>
    <w:rsid w:val="0073701D"/>
    <w:rsid w:val="00740F05"/>
    <w:rsid w:val="0074498B"/>
    <w:rsid w:val="007530D0"/>
    <w:rsid w:val="007557DA"/>
    <w:rsid w:val="00762AF9"/>
    <w:rsid w:val="00764D30"/>
    <w:rsid w:val="00767F6E"/>
    <w:rsid w:val="007703D8"/>
    <w:rsid w:val="007751ED"/>
    <w:rsid w:val="0077607E"/>
    <w:rsid w:val="007805FB"/>
    <w:rsid w:val="007814D5"/>
    <w:rsid w:val="0078244B"/>
    <w:rsid w:val="00785756"/>
    <w:rsid w:val="00785F78"/>
    <w:rsid w:val="007910DB"/>
    <w:rsid w:val="007913AE"/>
    <w:rsid w:val="0079148A"/>
    <w:rsid w:val="007921AA"/>
    <w:rsid w:val="007A05E7"/>
    <w:rsid w:val="007A3C82"/>
    <w:rsid w:val="007B15B2"/>
    <w:rsid w:val="007B62CE"/>
    <w:rsid w:val="007B75A3"/>
    <w:rsid w:val="007C253A"/>
    <w:rsid w:val="007C5725"/>
    <w:rsid w:val="007D2ADA"/>
    <w:rsid w:val="007D774C"/>
    <w:rsid w:val="007D7799"/>
    <w:rsid w:val="007E2222"/>
    <w:rsid w:val="007E45C6"/>
    <w:rsid w:val="007E724C"/>
    <w:rsid w:val="007F1387"/>
    <w:rsid w:val="007F236E"/>
    <w:rsid w:val="007F38B6"/>
    <w:rsid w:val="007F3CC2"/>
    <w:rsid w:val="007F49C8"/>
    <w:rsid w:val="007F5186"/>
    <w:rsid w:val="007F5AC7"/>
    <w:rsid w:val="00800018"/>
    <w:rsid w:val="00803943"/>
    <w:rsid w:val="0080537C"/>
    <w:rsid w:val="00805D57"/>
    <w:rsid w:val="00806A47"/>
    <w:rsid w:val="008073B0"/>
    <w:rsid w:val="00807D23"/>
    <w:rsid w:val="0081433D"/>
    <w:rsid w:val="008170A2"/>
    <w:rsid w:val="00830666"/>
    <w:rsid w:val="00832110"/>
    <w:rsid w:val="00832D5A"/>
    <w:rsid w:val="008367E2"/>
    <w:rsid w:val="00836919"/>
    <w:rsid w:val="008442AD"/>
    <w:rsid w:val="008444F0"/>
    <w:rsid w:val="00847EDC"/>
    <w:rsid w:val="0085574B"/>
    <w:rsid w:val="00856C59"/>
    <w:rsid w:val="00860BF1"/>
    <w:rsid w:val="00860CEF"/>
    <w:rsid w:val="008647B7"/>
    <w:rsid w:val="00864B07"/>
    <w:rsid w:val="00865616"/>
    <w:rsid w:val="00867723"/>
    <w:rsid w:val="0087166A"/>
    <w:rsid w:val="00871C85"/>
    <w:rsid w:val="00872C6E"/>
    <w:rsid w:val="00882B3C"/>
    <w:rsid w:val="0088410D"/>
    <w:rsid w:val="00886DC3"/>
    <w:rsid w:val="0088755F"/>
    <w:rsid w:val="00891838"/>
    <w:rsid w:val="0089529C"/>
    <w:rsid w:val="00897749"/>
    <w:rsid w:val="008A2CF8"/>
    <w:rsid w:val="008A3596"/>
    <w:rsid w:val="008A64A9"/>
    <w:rsid w:val="008B0D5B"/>
    <w:rsid w:val="008B65F9"/>
    <w:rsid w:val="008B7601"/>
    <w:rsid w:val="008C1ABB"/>
    <w:rsid w:val="008C4008"/>
    <w:rsid w:val="008C795E"/>
    <w:rsid w:val="008D1897"/>
    <w:rsid w:val="008D6255"/>
    <w:rsid w:val="008E0B85"/>
    <w:rsid w:val="008E38FB"/>
    <w:rsid w:val="008E6462"/>
    <w:rsid w:val="008F151D"/>
    <w:rsid w:val="008F2E28"/>
    <w:rsid w:val="008F39DB"/>
    <w:rsid w:val="00900774"/>
    <w:rsid w:val="00900EAB"/>
    <w:rsid w:val="0090436C"/>
    <w:rsid w:val="00906ACC"/>
    <w:rsid w:val="0091072C"/>
    <w:rsid w:val="009124CE"/>
    <w:rsid w:val="00912757"/>
    <w:rsid w:val="00914D7E"/>
    <w:rsid w:val="0091622B"/>
    <w:rsid w:val="009230DF"/>
    <w:rsid w:val="0092342F"/>
    <w:rsid w:val="0092394D"/>
    <w:rsid w:val="00930EA1"/>
    <w:rsid w:val="00931CE1"/>
    <w:rsid w:val="00931F43"/>
    <w:rsid w:val="009352E2"/>
    <w:rsid w:val="00935480"/>
    <w:rsid w:val="00935516"/>
    <w:rsid w:val="009356D9"/>
    <w:rsid w:val="00940702"/>
    <w:rsid w:val="009425B3"/>
    <w:rsid w:val="0095249E"/>
    <w:rsid w:val="0095419D"/>
    <w:rsid w:val="00957278"/>
    <w:rsid w:val="00961833"/>
    <w:rsid w:val="00961959"/>
    <w:rsid w:val="00961C06"/>
    <w:rsid w:val="00961E51"/>
    <w:rsid w:val="00964495"/>
    <w:rsid w:val="009652DD"/>
    <w:rsid w:val="00966C33"/>
    <w:rsid w:val="00970212"/>
    <w:rsid w:val="00971E1A"/>
    <w:rsid w:val="00991223"/>
    <w:rsid w:val="009928A0"/>
    <w:rsid w:val="00992DEB"/>
    <w:rsid w:val="00995EED"/>
    <w:rsid w:val="009A38BD"/>
    <w:rsid w:val="009B07AA"/>
    <w:rsid w:val="009B0D14"/>
    <w:rsid w:val="009B757C"/>
    <w:rsid w:val="009C2323"/>
    <w:rsid w:val="009C2966"/>
    <w:rsid w:val="009D1AFE"/>
    <w:rsid w:val="009D1EC2"/>
    <w:rsid w:val="009D46B2"/>
    <w:rsid w:val="009D4EC7"/>
    <w:rsid w:val="009E325A"/>
    <w:rsid w:val="009E7E00"/>
    <w:rsid w:val="009F0B6F"/>
    <w:rsid w:val="009F1B7F"/>
    <w:rsid w:val="009F3002"/>
    <w:rsid w:val="009F503F"/>
    <w:rsid w:val="009F6897"/>
    <w:rsid w:val="00A022A8"/>
    <w:rsid w:val="00A033E7"/>
    <w:rsid w:val="00A03A79"/>
    <w:rsid w:val="00A11002"/>
    <w:rsid w:val="00A14B63"/>
    <w:rsid w:val="00A16674"/>
    <w:rsid w:val="00A166E0"/>
    <w:rsid w:val="00A17CAC"/>
    <w:rsid w:val="00A224CC"/>
    <w:rsid w:val="00A249C3"/>
    <w:rsid w:val="00A271D4"/>
    <w:rsid w:val="00A27515"/>
    <w:rsid w:val="00A30C18"/>
    <w:rsid w:val="00A3365C"/>
    <w:rsid w:val="00A34A32"/>
    <w:rsid w:val="00A363DD"/>
    <w:rsid w:val="00A44C5C"/>
    <w:rsid w:val="00A511B4"/>
    <w:rsid w:val="00A511D4"/>
    <w:rsid w:val="00A51415"/>
    <w:rsid w:val="00A54427"/>
    <w:rsid w:val="00A56467"/>
    <w:rsid w:val="00A60673"/>
    <w:rsid w:val="00A62CD3"/>
    <w:rsid w:val="00A62F21"/>
    <w:rsid w:val="00A63A62"/>
    <w:rsid w:val="00A64E2F"/>
    <w:rsid w:val="00A670EC"/>
    <w:rsid w:val="00A71E04"/>
    <w:rsid w:val="00A75CEB"/>
    <w:rsid w:val="00A80551"/>
    <w:rsid w:val="00A84561"/>
    <w:rsid w:val="00A91FE0"/>
    <w:rsid w:val="00AA0E54"/>
    <w:rsid w:val="00AA17C5"/>
    <w:rsid w:val="00AA74CA"/>
    <w:rsid w:val="00AB36A0"/>
    <w:rsid w:val="00AB3EE3"/>
    <w:rsid w:val="00AB5C55"/>
    <w:rsid w:val="00AB6739"/>
    <w:rsid w:val="00AC16A3"/>
    <w:rsid w:val="00AC4980"/>
    <w:rsid w:val="00AD07CC"/>
    <w:rsid w:val="00AD5343"/>
    <w:rsid w:val="00AE11ED"/>
    <w:rsid w:val="00AE2D55"/>
    <w:rsid w:val="00AE5545"/>
    <w:rsid w:val="00AE5E65"/>
    <w:rsid w:val="00AE7782"/>
    <w:rsid w:val="00AE7D66"/>
    <w:rsid w:val="00AF25B4"/>
    <w:rsid w:val="00AF2990"/>
    <w:rsid w:val="00AF6239"/>
    <w:rsid w:val="00B04BA5"/>
    <w:rsid w:val="00B13BBD"/>
    <w:rsid w:val="00B1467D"/>
    <w:rsid w:val="00B164AA"/>
    <w:rsid w:val="00B17044"/>
    <w:rsid w:val="00B207BB"/>
    <w:rsid w:val="00B21977"/>
    <w:rsid w:val="00B228AE"/>
    <w:rsid w:val="00B23142"/>
    <w:rsid w:val="00B269E7"/>
    <w:rsid w:val="00B2712D"/>
    <w:rsid w:val="00B3025A"/>
    <w:rsid w:val="00B30536"/>
    <w:rsid w:val="00B31A50"/>
    <w:rsid w:val="00B33F10"/>
    <w:rsid w:val="00B34807"/>
    <w:rsid w:val="00B34AD2"/>
    <w:rsid w:val="00B36055"/>
    <w:rsid w:val="00B43A18"/>
    <w:rsid w:val="00B4653D"/>
    <w:rsid w:val="00B46891"/>
    <w:rsid w:val="00B47004"/>
    <w:rsid w:val="00B502A2"/>
    <w:rsid w:val="00B51CE8"/>
    <w:rsid w:val="00B54B4C"/>
    <w:rsid w:val="00B64180"/>
    <w:rsid w:val="00B662F4"/>
    <w:rsid w:val="00B75EBB"/>
    <w:rsid w:val="00B82D99"/>
    <w:rsid w:val="00B84032"/>
    <w:rsid w:val="00B848A4"/>
    <w:rsid w:val="00B85094"/>
    <w:rsid w:val="00B93892"/>
    <w:rsid w:val="00B9506A"/>
    <w:rsid w:val="00BA09BF"/>
    <w:rsid w:val="00BA77A1"/>
    <w:rsid w:val="00BB1390"/>
    <w:rsid w:val="00BB296A"/>
    <w:rsid w:val="00BB4C02"/>
    <w:rsid w:val="00BB5F1E"/>
    <w:rsid w:val="00BB68A4"/>
    <w:rsid w:val="00BC39D6"/>
    <w:rsid w:val="00BC3C56"/>
    <w:rsid w:val="00BC54DE"/>
    <w:rsid w:val="00BD08ED"/>
    <w:rsid w:val="00BE0AB3"/>
    <w:rsid w:val="00BE3500"/>
    <w:rsid w:val="00BE388A"/>
    <w:rsid w:val="00BF209E"/>
    <w:rsid w:val="00BF275D"/>
    <w:rsid w:val="00BF5447"/>
    <w:rsid w:val="00BF5CBC"/>
    <w:rsid w:val="00C04BB4"/>
    <w:rsid w:val="00C11E28"/>
    <w:rsid w:val="00C12EDB"/>
    <w:rsid w:val="00C154D7"/>
    <w:rsid w:val="00C15BA1"/>
    <w:rsid w:val="00C20A69"/>
    <w:rsid w:val="00C30026"/>
    <w:rsid w:val="00C33731"/>
    <w:rsid w:val="00C37CC8"/>
    <w:rsid w:val="00C435D1"/>
    <w:rsid w:val="00C43DA2"/>
    <w:rsid w:val="00C44C9A"/>
    <w:rsid w:val="00C45610"/>
    <w:rsid w:val="00C45E98"/>
    <w:rsid w:val="00C45EE8"/>
    <w:rsid w:val="00C467CE"/>
    <w:rsid w:val="00C469C6"/>
    <w:rsid w:val="00C47C5D"/>
    <w:rsid w:val="00C54130"/>
    <w:rsid w:val="00C55CF6"/>
    <w:rsid w:val="00C560DB"/>
    <w:rsid w:val="00C61F1C"/>
    <w:rsid w:val="00C646BD"/>
    <w:rsid w:val="00C64799"/>
    <w:rsid w:val="00C67852"/>
    <w:rsid w:val="00C761DB"/>
    <w:rsid w:val="00C767CA"/>
    <w:rsid w:val="00C778E2"/>
    <w:rsid w:val="00C846F4"/>
    <w:rsid w:val="00C85FEC"/>
    <w:rsid w:val="00C87608"/>
    <w:rsid w:val="00C945FC"/>
    <w:rsid w:val="00C95544"/>
    <w:rsid w:val="00C973B2"/>
    <w:rsid w:val="00CA0E39"/>
    <w:rsid w:val="00CB30AB"/>
    <w:rsid w:val="00CB455E"/>
    <w:rsid w:val="00CB59C7"/>
    <w:rsid w:val="00CC36DC"/>
    <w:rsid w:val="00CD250D"/>
    <w:rsid w:val="00CE058C"/>
    <w:rsid w:val="00CE19DC"/>
    <w:rsid w:val="00CE49D7"/>
    <w:rsid w:val="00CE5C32"/>
    <w:rsid w:val="00CF11CB"/>
    <w:rsid w:val="00CF5769"/>
    <w:rsid w:val="00D00717"/>
    <w:rsid w:val="00D00F17"/>
    <w:rsid w:val="00D01C29"/>
    <w:rsid w:val="00D1158B"/>
    <w:rsid w:val="00D16EE9"/>
    <w:rsid w:val="00D203BC"/>
    <w:rsid w:val="00D2172E"/>
    <w:rsid w:val="00D34874"/>
    <w:rsid w:val="00D34F33"/>
    <w:rsid w:val="00D3523E"/>
    <w:rsid w:val="00D43880"/>
    <w:rsid w:val="00D46EB4"/>
    <w:rsid w:val="00D50722"/>
    <w:rsid w:val="00D52D4A"/>
    <w:rsid w:val="00D534EC"/>
    <w:rsid w:val="00D54A5B"/>
    <w:rsid w:val="00D6249E"/>
    <w:rsid w:val="00D66577"/>
    <w:rsid w:val="00D7502E"/>
    <w:rsid w:val="00D7566A"/>
    <w:rsid w:val="00D76021"/>
    <w:rsid w:val="00D8724F"/>
    <w:rsid w:val="00D91B2A"/>
    <w:rsid w:val="00D91ED0"/>
    <w:rsid w:val="00D939C3"/>
    <w:rsid w:val="00DA14F5"/>
    <w:rsid w:val="00DA1786"/>
    <w:rsid w:val="00DA6BDD"/>
    <w:rsid w:val="00DA7541"/>
    <w:rsid w:val="00DB25EF"/>
    <w:rsid w:val="00DB2F99"/>
    <w:rsid w:val="00DB31B1"/>
    <w:rsid w:val="00DB32FF"/>
    <w:rsid w:val="00DB60F7"/>
    <w:rsid w:val="00DB7A39"/>
    <w:rsid w:val="00DC0D10"/>
    <w:rsid w:val="00DC2DBE"/>
    <w:rsid w:val="00DC5162"/>
    <w:rsid w:val="00DC52C8"/>
    <w:rsid w:val="00DC673B"/>
    <w:rsid w:val="00DD3FEC"/>
    <w:rsid w:val="00DD4B37"/>
    <w:rsid w:val="00DE04C7"/>
    <w:rsid w:val="00DE23BE"/>
    <w:rsid w:val="00DE68A5"/>
    <w:rsid w:val="00DE6AEA"/>
    <w:rsid w:val="00DE6CC2"/>
    <w:rsid w:val="00DF2639"/>
    <w:rsid w:val="00E01759"/>
    <w:rsid w:val="00E0214C"/>
    <w:rsid w:val="00E03BF4"/>
    <w:rsid w:val="00E042DE"/>
    <w:rsid w:val="00E043AF"/>
    <w:rsid w:val="00E116DF"/>
    <w:rsid w:val="00E117F6"/>
    <w:rsid w:val="00E137F6"/>
    <w:rsid w:val="00E13C8D"/>
    <w:rsid w:val="00E145EA"/>
    <w:rsid w:val="00E15851"/>
    <w:rsid w:val="00E17F67"/>
    <w:rsid w:val="00E20CA9"/>
    <w:rsid w:val="00E21368"/>
    <w:rsid w:val="00E26E0B"/>
    <w:rsid w:val="00E307F7"/>
    <w:rsid w:val="00E31435"/>
    <w:rsid w:val="00E33AD0"/>
    <w:rsid w:val="00E34271"/>
    <w:rsid w:val="00E3472D"/>
    <w:rsid w:val="00E358B2"/>
    <w:rsid w:val="00E3736F"/>
    <w:rsid w:val="00E37F97"/>
    <w:rsid w:val="00E445A4"/>
    <w:rsid w:val="00E5401D"/>
    <w:rsid w:val="00E62487"/>
    <w:rsid w:val="00E63E35"/>
    <w:rsid w:val="00E65A2C"/>
    <w:rsid w:val="00E667CE"/>
    <w:rsid w:val="00E67DEA"/>
    <w:rsid w:val="00E70229"/>
    <w:rsid w:val="00E7066F"/>
    <w:rsid w:val="00E73401"/>
    <w:rsid w:val="00E73865"/>
    <w:rsid w:val="00E74D24"/>
    <w:rsid w:val="00E768C0"/>
    <w:rsid w:val="00E82016"/>
    <w:rsid w:val="00E8720B"/>
    <w:rsid w:val="00E93072"/>
    <w:rsid w:val="00EA00CB"/>
    <w:rsid w:val="00EA3E3C"/>
    <w:rsid w:val="00EB0EF6"/>
    <w:rsid w:val="00EB5911"/>
    <w:rsid w:val="00EB6B1D"/>
    <w:rsid w:val="00EB72BD"/>
    <w:rsid w:val="00EC51B3"/>
    <w:rsid w:val="00EC6525"/>
    <w:rsid w:val="00EC6B4F"/>
    <w:rsid w:val="00ED02A4"/>
    <w:rsid w:val="00ED2683"/>
    <w:rsid w:val="00EE2190"/>
    <w:rsid w:val="00EE3F34"/>
    <w:rsid w:val="00EE51E8"/>
    <w:rsid w:val="00EF00F2"/>
    <w:rsid w:val="00EF14E7"/>
    <w:rsid w:val="00EF2219"/>
    <w:rsid w:val="00EF2CB8"/>
    <w:rsid w:val="00EF7858"/>
    <w:rsid w:val="00F00449"/>
    <w:rsid w:val="00F01CBE"/>
    <w:rsid w:val="00F13DC6"/>
    <w:rsid w:val="00F13F8C"/>
    <w:rsid w:val="00F2012E"/>
    <w:rsid w:val="00F2192F"/>
    <w:rsid w:val="00F276A5"/>
    <w:rsid w:val="00F3127F"/>
    <w:rsid w:val="00F32A0D"/>
    <w:rsid w:val="00F35D87"/>
    <w:rsid w:val="00F37A7D"/>
    <w:rsid w:val="00F4637C"/>
    <w:rsid w:val="00F46652"/>
    <w:rsid w:val="00F51EAA"/>
    <w:rsid w:val="00F61330"/>
    <w:rsid w:val="00F63940"/>
    <w:rsid w:val="00F642C8"/>
    <w:rsid w:val="00F66010"/>
    <w:rsid w:val="00F7195A"/>
    <w:rsid w:val="00F7605F"/>
    <w:rsid w:val="00F80365"/>
    <w:rsid w:val="00F81D71"/>
    <w:rsid w:val="00F81F3D"/>
    <w:rsid w:val="00F82BAF"/>
    <w:rsid w:val="00F85B6D"/>
    <w:rsid w:val="00F91D5B"/>
    <w:rsid w:val="00F93064"/>
    <w:rsid w:val="00F94B09"/>
    <w:rsid w:val="00FA1D51"/>
    <w:rsid w:val="00FA4560"/>
    <w:rsid w:val="00FA68CE"/>
    <w:rsid w:val="00FA7B99"/>
    <w:rsid w:val="00FB0280"/>
    <w:rsid w:val="00FB23FF"/>
    <w:rsid w:val="00FB3395"/>
    <w:rsid w:val="00FB7ACD"/>
    <w:rsid w:val="00FC1998"/>
    <w:rsid w:val="00FC245B"/>
    <w:rsid w:val="00FC4DE0"/>
    <w:rsid w:val="00FD0696"/>
    <w:rsid w:val="00FD18F7"/>
    <w:rsid w:val="00FD1BCE"/>
    <w:rsid w:val="00FD429F"/>
    <w:rsid w:val="00FE02F1"/>
    <w:rsid w:val="00FE2848"/>
    <w:rsid w:val="00FE2C31"/>
    <w:rsid w:val="00FE4101"/>
    <w:rsid w:val="00FE6552"/>
    <w:rsid w:val="00FF1E94"/>
    <w:rsid w:val="00FF4DD0"/>
    <w:rsid w:val="00FF7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7D4F2B5"/>
  <w15:docId w15:val="{F399745A-0C5B-4279-95A7-9FDE2162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749"/>
    <w:pPr>
      <w:spacing w:after="200" w:line="276" w:lineRule="auto"/>
    </w:pPr>
    <w:rPr>
      <w:rFonts w:ascii="Calibri" w:eastAsia="Calibri" w:hAnsi="Calibri" w:cs="Times New Roman"/>
      <w:lang w:val="en-US"/>
    </w:rPr>
  </w:style>
  <w:style w:type="paragraph" w:styleId="Heading1">
    <w:name w:val="heading 1"/>
    <w:aliases w:val="Heading"/>
    <w:basedOn w:val="Normal"/>
    <w:next w:val="Normal"/>
    <w:link w:val="Heading1Char"/>
    <w:autoRedefine/>
    <w:uiPriority w:val="9"/>
    <w:qFormat/>
    <w:rsid w:val="0025230D"/>
    <w:pPr>
      <w:keepNext/>
      <w:keepLines/>
      <w:spacing w:before="240" w:after="0"/>
      <w:outlineLvl w:val="0"/>
    </w:pPr>
    <w:rPr>
      <w:rFonts w:asciiTheme="majorHAnsi" w:eastAsiaTheme="majorEastAsia" w:hAnsiTheme="majorHAnsi" w:cstheme="majorHAnsi"/>
      <w:color w:val="6D6E71" w:themeColor="accent5"/>
      <w:sz w:val="28"/>
      <w:szCs w:val="32"/>
    </w:rPr>
  </w:style>
  <w:style w:type="paragraph" w:styleId="Heading3">
    <w:name w:val="heading 3"/>
    <w:basedOn w:val="Normal"/>
    <w:next w:val="Normal"/>
    <w:link w:val="Heading3Char"/>
    <w:uiPriority w:val="9"/>
    <w:semiHidden/>
    <w:unhideWhenUsed/>
    <w:qFormat/>
    <w:rsid w:val="00897749"/>
    <w:pPr>
      <w:keepNext/>
      <w:keepLines/>
      <w:spacing w:before="200" w:after="0"/>
      <w:outlineLvl w:val="2"/>
    </w:pPr>
    <w:rPr>
      <w:rFonts w:asciiTheme="majorHAnsi" w:eastAsiaTheme="majorEastAsia" w:hAnsiTheme="majorHAnsi" w:cstheme="majorBidi"/>
      <w:b/>
      <w:bCs/>
      <w:color w:val="0075B0" w:themeColor="accent1"/>
    </w:rPr>
  </w:style>
  <w:style w:type="paragraph" w:styleId="Heading4">
    <w:name w:val="heading 4"/>
    <w:basedOn w:val="Normal"/>
    <w:next w:val="Normal"/>
    <w:link w:val="Heading4Char"/>
    <w:uiPriority w:val="9"/>
    <w:semiHidden/>
    <w:unhideWhenUsed/>
    <w:qFormat/>
    <w:rsid w:val="00897749"/>
    <w:pPr>
      <w:keepNext/>
      <w:keepLines/>
      <w:spacing w:before="200" w:after="0"/>
      <w:outlineLvl w:val="3"/>
    </w:pPr>
    <w:rPr>
      <w:rFonts w:asciiTheme="majorHAnsi" w:eastAsiaTheme="majorEastAsia" w:hAnsiTheme="majorHAnsi" w:cstheme="majorBidi"/>
      <w:b/>
      <w:bCs/>
      <w:i/>
      <w:iCs/>
      <w:color w:val="0075B0" w:themeColor="accent1"/>
    </w:rPr>
  </w:style>
  <w:style w:type="paragraph" w:styleId="Heading5">
    <w:name w:val="heading 5"/>
    <w:basedOn w:val="Normal"/>
    <w:next w:val="Normal"/>
    <w:link w:val="Heading5Char"/>
    <w:unhideWhenUsed/>
    <w:qFormat/>
    <w:rsid w:val="00897749"/>
    <w:pPr>
      <w:keepNext/>
      <w:keepLines/>
      <w:spacing w:before="200" w:after="0"/>
      <w:outlineLvl w:val="4"/>
    </w:pPr>
    <w:rPr>
      <w:rFonts w:asciiTheme="majorHAnsi" w:eastAsiaTheme="majorEastAsia" w:hAnsiTheme="majorHAnsi" w:cstheme="majorBidi"/>
      <w:color w:val="003957"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25230D"/>
    <w:rPr>
      <w:rFonts w:asciiTheme="majorHAnsi" w:eastAsiaTheme="majorEastAsia" w:hAnsiTheme="majorHAnsi" w:cstheme="majorHAnsi"/>
      <w:color w:val="6D6E71" w:themeColor="accent5"/>
      <w:sz w:val="28"/>
      <w:szCs w:val="32"/>
    </w:rPr>
  </w:style>
  <w:style w:type="paragraph" w:styleId="Subtitle">
    <w:name w:val="Subtitle"/>
    <w:aliases w:val="SubHeading Green"/>
    <w:basedOn w:val="Normal"/>
    <w:next w:val="Normal"/>
    <w:link w:val="SubtitleChar"/>
    <w:autoRedefine/>
    <w:uiPriority w:val="11"/>
    <w:qFormat/>
    <w:rsid w:val="003E2791"/>
    <w:pPr>
      <w:numPr>
        <w:ilvl w:val="1"/>
      </w:numPr>
      <w:spacing w:after="40"/>
    </w:pPr>
    <w:rPr>
      <w:b/>
      <w:color w:val="3F9C35" w:themeColor="accent3"/>
    </w:rPr>
  </w:style>
  <w:style w:type="character" w:customStyle="1" w:styleId="SubtitleChar">
    <w:name w:val="Subtitle Char"/>
    <w:aliases w:val="SubHeading Green Char"/>
    <w:basedOn w:val="DefaultParagraphFont"/>
    <w:link w:val="Subtitle"/>
    <w:uiPriority w:val="11"/>
    <w:rsid w:val="003E2791"/>
    <w:rPr>
      <w:rFonts w:eastAsiaTheme="minorEastAsia"/>
      <w:b/>
      <w:color w:val="3F9C35" w:themeColor="accent3"/>
      <w:sz w:val="20"/>
    </w:rPr>
  </w:style>
  <w:style w:type="character" w:styleId="SubtleEmphasis">
    <w:name w:val="Subtle Emphasis"/>
    <w:aliases w:val="SubHeading Blue"/>
    <w:basedOn w:val="Emphasis"/>
    <w:uiPriority w:val="19"/>
    <w:qFormat/>
    <w:rsid w:val="003E2791"/>
    <w:rPr>
      <w:rFonts w:asciiTheme="minorHAnsi" w:hAnsiTheme="minorHAnsi"/>
      <w:b w:val="0"/>
      <w:i w:val="0"/>
      <w:iCs/>
      <w:color w:val="005C84" w:themeColor="text1"/>
      <w:sz w:val="20"/>
      <w:u w:val="none"/>
    </w:rPr>
  </w:style>
  <w:style w:type="character" w:styleId="Emphasis">
    <w:name w:val="Emphasis"/>
    <w:aliases w:val="Body Copy"/>
    <w:basedOn w:val="DefaultParagraphFont"/>
    <w:uiPriority w:val="20"/>
    <w:qFormat/>
    <w:rsid w:val="00FB3395"/>
    <w:rPr>
      <w:rFonts w:asciiTheme="minorHAnsi" w:hAnsiTheme="minorHAnsi"/>
      <w:b w:val="0"/>
      <w:i w:val="0"/>
      <w:iCs/>
      <w:color w:val="005C84" w:themeColor="text1"/>
      <w:sz w:val="18"/>
      <w:u w:val="none"/>
    </w:rPr>
  </w:style>
  <w:style w:type="character" w:styleId="IntenseEmphasis">
    <w:name w:val="Intense Emphasis"/>
    <w:aliases w:val="Body Copy Emphasis"/>
    <w:basedOn w:val="DefaultParagraphFont"/>
    <w:uiPriority w:val="21"/>
    <w:qFormat/>
    <w:rsid w:val="00FB3395"/>
    <w:rPr>
      <w:rFonts w:asciiTheme="minorHAnsi" w:hAnsiTheme="minorHAnsi"/>
      <w:b/>
      <w:i w:val="0"/>
      <w:iCs/>
      <w:color w:val="005C84" w:themeColor="text1"/>
      <w:sz w:val="18"/>
    </w:rPr>
  </w:style>
  <w:style w:type="paragraph" w:styleId="Quote">
    <w:name w:val="Quote"/>
    <w:aliases w:val="Body Copy Italic"/>
    <w:basedOn w:val="Normal"/>
    <w:next w:val="Normal"/>
    <w:link w:val="QuoteChar"/>
    <w:autoRedefine/>
    <w:uiPriority w:val="29"/>
    <w:qFormat/>
    <w:rsid w:val="00FB3395"/>
    <w:pPr>
      <w:spacing w:before="200"/>
      <w:ind w:right="864"/>
    </w:pPr>
    <w:rPr>
      <w:i/>
      <w:iCs/>
      <w:sz w:val="18"/>
    </w:rPr>
  </w:style>
  <w:style w:type="character" w:customStyle="1" w:styleId="QuoteChar">
    <w:name w:val="Quote Char"/>
    <w:aliases w:val="Body Copy Italic Char"/>
    <w:basedOn w:val="DefaultParagraphFont"/>
    <w:link w:val="Quote"/>
    <w:uiPriority w:val="29"/>
    <w:rsid w:val="00FB3395"/>
    <w:rPr>
      <w:i/>
      <w:iCs/>
      <w:color w:val="005C84" w:themeColor="text1"/>
      <w:sz w:val="18"/>
    </w:rPr>
  </w:style>
  <w:style w:type="paragraph" w:styleId="IntenseQuote">
    <w:name w:val="Intense Quote"/>
    <w:aliases w:val="Sections"/>
    <w:basedOn w:val="Normal"/>
    <w:next w:val="Normal"/>
    <w:link w:val="IntenseQuoteChar"/>
    <w:autoRedefine/>
    <w:uiPriority w:val="30"/>
    <w:qFormat/>
    <w:rsid w:val="00FB3395"/>
    <w:pPr>
      <w:pBdr>
        <w:top w:val="single" w:sz="4" w:space="10" w:color="0075B0" w:themeColor="accent1"/>
        <w:bottom w:val="single" w:sz="4" w:space="10" w:color="0075B0" w:themeColor="accent1"/>
      </w:pBdr>
      <w:spacing w:before="360" w:after="360"/>
      <w:ind w:left="864" w:right="864"/>
      <w:jc w:val="center"/>
    </w:pPr>
    <w:rPr>
      <w:iCs/>
      <w:caps/>
    </w:rPr>
  </w:style>
  <w:style w:type="character" w:customStyle="1" w:styleId="IntenseQuoteChar">
    <w:name w:val="Intense Quote Char"/>
    <w:aliases w:val="Sections Char"/>
    <w:basedOn w:val="DefaultParagraphFont"/>
    <w:link w:val="IntenseQuote"/>
    <w:uiPriority w:val="30"/>
    <w:rsid w:val="00FB3395"/>
    <w:rPr>
      <w:iCs/>
      <w:caps/>
      <w:color w:val="005C84" w:themeColor="text1"/>
      <w:sz w:val="20"/>
    </w:rPr>
  </w:style>
  <w:style w:type="character" w:styleId="SubtleReference">
    <w:name w:val="Subtle Reference"/>
    <w:aliases w:val="Quote Emphasis"/>
    <w:basedOn w:val="QuoteChar"/>
    <w:uiPriority w:val="31"/>
    <w:qFormat/>
    <w:rsid w:val="00785756"/>
    <w:rPr>
      <w:rFonts w:asciiTheme="minorHAnsi" w:hAnsiTheme="minorHAnsi"/>
      <w:i w:val="0"/>
      <w:iCs/>
      <w:caps w:val="0"/>
      <w:smallCaps w:val="0"/>
      <w:color w:val="009FDA" w:themeColor="accent2"/>
      <w:spacing w:val="0"/>
      <w:w w:val="100"/>
      <w:sz w:val="24"/>
    </w:rPr>
  </w:style>
  <w:style w:type="paragraph" w:styleId="ListParagraph">
    <w:name w:val="List Paragraph"/>
    <w:basedOn w:val="Normal"/>
    <w:uiPriority w:val="34"/>
    <w:qFormat/>
    <w:rsid w:val="00FB3395"/>
    <w:pPr>
      <w:ind w:left="720"/>
      <w:contextualSpacing/>
    </w:pPr>
    <w:rPr>
      <w:sz w:val="18"/>
    </w:rPr>
  </w:style>
  <w:style w:type="character" w:styleId="BookTitle">
    <w:name w:val="Book Title"/>
    <w:aliases w:val="Footnote"/>
    <w:basedOn w:val="DefaultParagraphFont"/>
    <w:uiPriority w:val="33"/>
    <w:qFormat/>
    <w:rsid w:val="00FB3395"/>
    <w:rPr>
      <w:rFonts w:asciiTheme="minorHAnsi" w:hAnsiTheme="minorHAnsi"/>
      <w:b w:val="0"/>
      <w:bCs/>
      <w:i w:val="0"/>
      <w:iCs/>
      <w:color w:val="6D6E71" w:themeColor="accent5"/>
      <w:spacing w:val="5"/>
      <w:sz w:val="15"/>
    </w:rPr>
  </w:style>
  <w:style w:type="paragraph" w:styleId="NoSpacing">
    <w:name w:val="No Spacing"/>
    <w:basedOn w:val="Normal"/>
    <w:uiPriority w:val="1"/>
    <w:rsid w:val="007F3CC2"/>
  </w:style>
  <w:style w:type="paragraph" w:styleId="Header">
    <w:name w:val="header"/>
    <w:basedOn w:val="Normal"/>
    <w:link w:val="HeaderChar"/>
    <w:uiPriority w:val="99"/>
    <w:unhideWhenUsed/>
    <w:rsid w:val="005D32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242"/>
    <w:rPr>
      <w:color w:val="005C84" w:themeColor="text1"/>
      <w:sz w:val="20"/>
    </w:rPr>
  </w:style>
  <w:style w:type="paragraph" w:styleId="Footer">
    <w:name w:val="footer"/>
    <w:basedOn w:val="Normal"/>
    <w:link w:val="FooterChar"/>
    <w:uiPriority w:val="99"/>
    <w:unhideWhenUsed/>
    <w:rsid w:val="005D32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242"/>
    <w:rPr>
      <w:color w:val="005C84" w:themeColor="text1"/>
      <w:sz w:val="20"/>
    </w:rPr>
  </w:style>
  <w:style w:type="paragraph" w:styleId="BodyText">
    <w:name w:val="Body Text"/>
    <w:basedOn w:val="Normal"/>
    <w:link w:val="BodyTextChar"/>
    <w:rsid w:val="00897749"/>
    <w:pPr>
      <w:keepLines/>
      <w:overflowPunct w:val="0"/>
      <w:autoSpaceDE w:val="0"/>
      <w:autoSpaceDN w:val="0"/>
      <w:adjustRightInd w:val="0"/>
      <w:spacing w:after="260" w:line="240" w:lineRule="auto"/>
      <w:jc w:val="both"/>
      <w:textAlignment w:val="baseline"/>
    </w:pPr>
    <w:rPr>
      <w:rFonts w:ascii="Times New Roman" w:eastAsia="Times New Roman" w:hAnsi="Times New Roman"/>
      <w:szCs w:val="20"/>
      <w:lang w:val="en-GB"/>
    </w:rPr>
  </w:style>
  <w:style w:type="character" w:customStyle="1" w:styleId="BodyTextChar">
    <w:name w:val="Body Text Char"/>
    <w:basedOn w:val="DefaultParagraphFont"/>
    <w:link w:val="BodyText"/>
    <w:rsid w:val="00897749"/>
    <w:rPr>
      <w:rFonts w:ascii="Times New Roman" w:eastAsia="Times New Roman" w:hAnsi="Times New Roman" w:cs="Times New Roman"/>
      <w:szCs w:val="20"/>
    </w:rPr>
  </w:style>
  <w:style w:type="character" w:customStyle="1" w:styleId="Heading3Char">
    <w:name w:val="Heading 3 Char"/>
    <w:basedOn w:val="DefaultParagraphFont"/>
    <w:link w:val="Heading3"/>
    <w:uiPriority w:val="9"/>
    <w:semiHidden/>
    <w:rsid w:val="00897749"/>
    <w:rPr>
      <w:rFonts w:asciiTheme="majorHAnsi" w:eastAsiaTheme="majorEastAsia" w:hAnsiTheme="majorHAnsi" w:cstheme="majorBidi"/>
      <w:b/>
      <w:bCs/>
      <w:color w:val="0075B0" w:themeColor="accent1"/>
      <w:lang w:val="en-US"/>
    </w:rPr>
  </w:style>
  <w:style w:type="character" w:customStyle="1" w:styleId="Heading4Char">
    <w:name w:val="Heading 4 Char"/>
    <w:basedOn w:val="DefaultParagraphFont"/>
    <w:link w:val="Heading4"/>
    <w:uiPriority w:val="9"/>
    <w:semiHidden/>
    <w:rsid w:val="00897749"/>
    <w:rPr>
      <w:rFonts w:asciiTheme="majorHAnsi" w:eastAsiaTheme="majorEastAsia" w:hAnsiTheme="majorHAnsi" w:cstheme="majorBidi"/>
      <w:b/>
      <w:bCs/>
      <w:i/>
      <w:iCs/>
      <w:color w:val="0075B0" w:themeColor="accent1"/>
      <w:lang w:val="en-US"/>
    </w:rPr>
  </w:style>
  <w:style w:type="character" w:customStyle="1" w:styleId="Heading5Char">
    <w:name w:val="Heading 5 Char"/>
    <w:basedOn w:val="DefaultParagraphFont"/>
    <w:link w:val="Heading5"/>
    <w:uiPriority w:val="9"/>
    <w:rsid w:val="00897749"/>
    <w:rPr>
      <w:rFonts w:asciiTheme="majorHAnsi" w:eastAsiaTheme="majorEastAsia" w:hAnsiTheme="majorHAnsi" w:cstheme="majorBidi"/>
      <w:color w:val="003957" w:themeColor="accent1" w:themeShade="7F"/>
      <w:lang w:val="en-US"/>
    </w:rPr>
  </w:style>
  <w:style w:type="table" w:styleId="TableGrid">
    <w:name w:val="Table Grid"/>
    <w:basedOn w:val="TableNormal"/>
    <w:uiPriority w:val="59"/>
    <w:rsid w:val="00E7022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9352E2"/>
    <w:rPr>
      <w:sz w:val="16"/>
      <w:szCs w:val="16"/>
    </w:rPr>
  </w:style>
  <w:style w:type="paragraph" w:styleId="CommentText">
    <w:name w:val="annotation text"/>
    <w:basedOn w:val="Normal"/>
    <w:link w:val="CommentTextChar"/>
    <w:semiHidden/>
    <w:rsid w:val="009352E2"/>
    <w:pPr>
      <w:keepLines/>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val="en-GB"/>
    </w:rPr>
  </w:style>
  <w:style w:type="character" w:customStyle="1" w:styleId="CommentTextChar">
    <w:name w:val="Comment Text Char"/>
    <w:basedOn w:val="DefaultParagraphFont"/>
    <w:link w:val="CommentText"/>
    <w:semiHidden/>
    <w:rsid w:val="009352E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352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2E2"/>
    <w:rPr>
      <w:rFonts w:ascii="Tahoma" w:eastAsia="Calibri" w:hAnsi="Tahoma" w:cs="Tahoma"/>
      <w:sz w:val="16"/>
      <w:szCs w:val="16"/>
      <w:lang w:val="en-US"/>
    </w:rPr>
  </w:style>
  <w:style w:type="paragraph" w:customStyle="1" w:styleId="DefaultParagraphFontParaCharCharCharCharChar">
    <w:name w:val="Default Paragraph Font Para Char Char Char Char Char"/>
    <w:autoRedefine/>
    <w:rsid w:val="00A51415"/>
    <w:pPr>
      <w:tabs>
        <w:tab w:val="left" w:pos="1152"/>
      </w:tabs>
      <w:spacing w:before="120" w:after="120" w:line="312" w:lineRule="auto"/>
    </w:pPr>
    <w:rPr>
      <w:rFonts w:ascii="Arial" w:eastAsia="Times New Roman" w:hAnsi="Arial" w:cs="Arial"/>
      <w:sz w:val="26"/>
      <w:szCs w:val="26"/>
      <w:lang w:val="en-US"/>
    </w:rPr>
  </w:style>
  <w:style w:type="paragraph" w:styleId="CommentSubject">
    <w:name w:val="annotation subject"/>
    <w:basedOn w:val="CommentText"/>
    <w:next w:val="CommentText"/>
    <w:link w:val="CommentSubjectChar"/>
    <w:uiPriority w:val="99"/>
    <w:semiHidden/>
    <w:unhideWhenUsed/>
    <w:rsid w:val="00AD07CC"/>
    <w:pPr>
      <w:keepLines w:val="0"/>
      <w:overflowPunct/>
      <w:autoSpaceDE/>
      <w:autoSpaceDN/>
      <w:adjustRightInd/>
      <w:spacing w:after="200"/>
      <w:jc w:val="left"/>
      <w:textAlignment w:val="auto"/>
    </w:pPr>
    <w:rPr>
      <w:rFonts w:ascii="Calibri" w:eastAsia="Calibri" w:hAnsi="Calibri"/>
      <w:b/>
      <w:bCs/>
      <w:lang w:val="en-US"/>
    </w:rPr>
  </w:style>
  <w:style w:type="character" w:customStyle="1" w:styleId="CommentSubjectChar">
    <w:name w:val="Comment Subject Char"/>
    <w:basedOn w:val="CommentTextChar"/>
    <w:link w:val="CommentSubject"/>
    <w:uiPriority w:val="99"/>
    <w:semiHidden/>
    <w:rsid w:val="00AD07CC"/>
    <w:rPr>
      <w:rFonts w:ascii="Calibri" w:eastAsia="Calibri" w:hAnsi="Calibri" w:cs="Times New Roman"/>
      <w:b/>
      <w:bCs/>
      <w:sz w:val="20"/>
      <w:szCs w:val="20"/>
      <w:lang w:val="en-US"/>
    </w:rPr>
  </w:style>
  <w:style w:type="paragraph" w:customStyle="1" w:styleId="zcompanyname">
    <w:name w:val="zcompany name"/>
    <w:basedOn w:val="Normal"/>
    <w:rsid w:val="00891838"/>
    <w:pPr>
      <w:keepLines/>
      <w:framePr w:w="4536" w:wrap="around" w:vAnchor="page" w:hAnchor="page" w:xAlign="center" w:y="3993"/>
      <w:overflowPunct w:val="0"/>
      <w:autoSpaceDE w:val="0"/>
      <w:autoSpaceDN w:val="0"/>
      <w:adjustRightInd w:val="0"/>
      <w:spacing w:after="400" w:line="240" w:lineRule="auto"/>
      <w:jc w:val="center"/>
      <w:textAlignment w:val="baseline"/>
    </w:pPr>
    <w:rPr>
      <w:rFonts w:ascii="Times New Roman" w:eastAsia="Times New Roman" w:hAnsi="Times New Roman"/>
      <w:b/>
      <w:sz w:val="26"/>
      <w:szCs w:val="20"/>
      <w:lang w:val="en-GB"/>
    </w:rPr>
  </w:style>
  <w:style w:type="paragraph" w:styleId="HTMLPreformatted">
    <w:name w:val="HTML Preformatted"/>
    <w:basedOn w:val="Normal"/>
    <w:link w:val="HTMLPreformattedChar"/>
    <w:uiPriority w:val="99"/>
    <w:semiHidden/>
    <w:unhideWhenUsed/>
    <w:rsid w:val="008A3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8A3596"/>
    <w:rPr>
      <w:rFonts w:ascii="Courier New" w:eastAsia="Times New Roman" w:hAnsi="Courier New" w:cs="Courier New"/>
      <w:sz w:val="20"/>
      <w:szCs w:val="20"/>
      <w:lang w:eastAsia="en-GB"/>
    </w:rPr>
  </w:style>
  <w:style w:type="character" w:customStyle="1" w:styleId="y2iqfc">
    <w:name w:val="y2iqfc"/>
    <w:basedOn w:val="DefaultParagraphFont"/>
    <w:rsid w:val="008A3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494">
      <w:bodyDiv w:val="1"/>
      <w:marLeft w:val="0"/>
      <w:marRight w:val="0"/>
      <w:marTop w:val="0"/>
      <w:marBottom w:val="0"/>
      <w:divBdr>
        <w:top w:val="none" w:sz="0" w:space="0" w:color="auto"/>
        <w:left w:val="none" w:sz="0" w:space="0" w:color="auto"/>
        <w:bottom w:val="none" w:sz="0" w:space="0" w:color="auto"/>
        <w:right w:val="none" w:sz="0" w:space="0" w:color="auto"/>
      </w:divBdr>
    </w:div>
    <w:div w:id="11879316">
      <w:bodyDiv w:val="1"/>
      <w:marLeft w:val="0"/>
      <w:marRight w:val="0"/>
      <w:marTop w:val="0"/>
      <w:marBottom w:val="0"/>
      <w:divBdr>
        <w:top w:val="none" w:sz="0" w:space="0" w:color="auto"/>
        <w:left w:val="none" w:sz="0" w:space="0" w:color="auto"/>
        <w:bottom w:val="none" w:sz="0" w:space="0" w:color="auto"/>
        <w:right w:val="none" w:sz="0" w:space="0" w:color="auto"/>
      </w:divBdr>
    </w:div>
    <w:div w:id="56519921">
      <w:bodyDiv w:val="1"/>
      <w:marLeft w:val="0"/>
      <w:marRight w:val="0"/>
      <w:marTop w:val="0"/>
      <w:marBottom w:val="0"/>
      <w:divBdr>
        <w:top w:val="none" w:sz="0" w:space="0" w:color="auto"/>
        <w:left w:val="none" w:sz="0" w:space="0" w:color="auto"/>
        <w:bottom w:val="none" w:sz="0" w:space="0" w:color="auto"/>
        <w:right w:val="none" w:sz="0" w:space="0" w:color="auto"/>
      </w:divBdr>
    </w:div>
    <w:div w:id="74137159">
      <w:bodyDiv w:val="1"/>
      <w:marLeft w:val="0"/>
      <w:marRight w:val="0"/>
      <w:marTop w:val="0"/>
      <w:marBottom w:val="0"/>
      <w:divBdr>
        <w:top w:val="none" w:sz="0" w:space="0" w:color="auto"/>
        <w:left w:val="none" w:sz="0" w:space="0" w:color="auto"/>
        <w:bottom w:val="none" w:sz="0" w:space="0" w:color="auto"/>
        <w:right w:val="none" w:sz="0" w:space="0" w:color="auto"/>
      </w:divBdr>
    </w:div>
    <w:div w:id="167137696">
      <w:bodyDiv w:val="1"/>
      <w:marLeft w:val="0"/>
      <w:marRight w:val="0"/>
      <w:marTop w:val="0"/>
      <w:marBottom w:val="0"/>
      <w:divBdr>
        <w:top w:val="none" w:sz="0" w:space="0" w:color="auto"/>
        <w:left w:val="none" w:sz="0" w:space="0" w:color="auto"/>
        <w:bottom w:val="none" w:sz="0" w:space="0" w:color="auto"/>
        <w:right w:val="none" w:sz="0" w:space="0" w:color="auto"/>
      </w:divBdr>
    </w:div>
    <w:div w:id="224337933">
      <w:bodyDiv w:val="1"/>
      <w:marLeft w:val="0"/>
      <w:marRight w:val="0"/>
      <w:marTop w:val="0"/>
      <w:marBottom w:val="0"/>
      <w:divBdr>
        <w:top w:val="none" w:sz="0" w:space="0" w:color="auto"/>
        <w:left w:val="none" w:sz="0" w:space="0" w:color="auto"/>
        <w:bottom w:val="none" w:sz="0" w:space="0" w:color="auto"/>
        <w:right w:val="none" w:sz="0" w:space="0" w:color="auto"/>
      </w:divBdr>
    </w:div>
    <w:div w:id="242835279">
      <w:bodyDiv w:val="1"/>
      <w:marLeft w:val="0"/>
      <w:marRight w:val="0"/>
      <w:marTop w:val="0"/>
      <w:marBottom w:val="0"/>
      <w:divBdr>
        <w:top w:val="none" w:sz="0" w:space="0" w:color="auto"/>
        <w:left w:val="none" w:sz="0" w:space="0" w:color="auto"/>
        <w:bottom w:val="none" w:sz="0" w:space="0" w:color="auto"/>
        <w:right w:val="none" w:sz="0" w:space="0" w:color="auto"/>
      </w:divBdr>
    </w:div>
    <w:div w:id="255939810">
      <w:bodyDiv w:val="1"/>
      <w:marLeft w:val="0"/>
      <w:marRight w:val="0"/>
      <w:marTop w:val="0"/>
      <w:marBottom w:val="0"/>
      <w:divBdr>
        <w:top w:val="none" w:sz="0" w:space="0" w:color="auto"/>
        <w:left w:val="none" w:sz="0" w:space="0" w:color="auto"/>
        <w:bottom w:val="none" w:sz="0" w:space="0" w:color="auto"/>
        <w:right w:val="none" w:sz="0" w:space="0" w:color="auto"/>
      </w:divBdr>
    </w:div>
    <w:div w:id="290013272">
      <w:bodyDiv w:val="1"/>
      <w:marLeft w:val="0"/>
      <w:marRight w:val="0"/>
      <w:marTop w:val="0"/>
      <w:marBottom w:val="0"/>
      <w:divBdr>
        <w:top w:val="none" w:sz="0" w:space="0" w:color="auto"/>
        <w:left w:val="none" w:sz="0" w:space="0" w:color="auto"/>
        <w:bottom w:val="none" w:sz="0" w:space="0" w:color="auto"/>
        <w:right w:val="none" w:sz="0" w:space="0" w:color="auto"/>
      </w:divBdr>
    </w:div>
    <w:div w:id="384764253">
      <w:bodyDiv w:val="1"/>
      <w:marLeft w:val="0"/>
      <w:marRight w:val="0"/>
      <w:marTop w:val="0"/>
      <w:marBottom w:val="0"/>
      <w:divBdr>
        <w:top w:val="none" w:sz="0" w:space="0" w:color="auto"/>
        <w:left w:val="none" w:sz="0" w:space="0" w:color="auto"/>
        <w:bottom w:val="none" w:sz="0" w:space="0" w:color="auto"/>
        <w:right w:val="none" w:sz="0" w:space="0" w:color="auto"/>
      </w:divBdr>
    </w:div>
    <w:div w:id="388459321">
      <w:bodyDiv w:val="1"/>
      <w:marLeft w:val="0"/>
      <w:marRight w:val="0"/>
      <w:marTop w:val="0"/>
      <w:marBottom w:val="0"/>
      <w:divBdr>
        <w:top w:val="none" w:sz="0" w:space="0" w:color="auto"/>
        <w:left w:val="none" w:sz="0" w:space="0" w:color="auto"/>
        <w:bottom w:val="none" w:sz="0" w:space="0" w:color="auto"/>
        <w:right w:val="none" w:sz="0" w:space="0" w:color="auto"/>
      </w:divBdr>
    </w:div>
    <w:div w:id="392197374">
      <w:bodyDiv w:val="1"/>
      <w:marLeft w:val="0"/>
      <w:marRight w:val="0"/>
      <w:marTop w:val="0"/>
      <w:marBottom w:val="0"/>
      <w:divBdr>
        <w:top w:val="none" w:sz="0" w:space="0" w:color="auto"/>
        <w:left w:val="none" w:sz="0" w:space="0" w:color="auto"/>
        <w:bottom w:val="none" w:sz="0" w:space="0" w:color="auto"/>
        <w:right w:val="none" w:sz="0" w:space="0" w:color="auto"/>
      </w:divBdr>
    </w:div>
    <w:div w:id="405108349">
      <w:bodyDiv w:val="1"/>
      <w:marLeft w:val="0"/>
      <w:marRight w:val="0"/>
      <w:marTop w:val="0"/>
      <w:marBottom w:val="0"/>
      <w:divBdr>
        <w:top w:val="none" w:sz="0" w:space="0" w:color="auto"/>
        <w:left w:val="none" w:sz="0" w:space="0" w:color="auto"/>
        <w:bottom w:val="none" w:sz="0" w:space="0" w:color="auto"/>
        <w:right w:val="none" w:sz="0" w:space="0" w:color="auto"/>
      </w:divBdr>
    </w:div>
    <w:div w:id="424810873">
      <w:bodyDiv w:val="1"/>
      <w:marLeft w:val="0"/>
      <w:marRight w:val="0"/>
      <w:marTop w:val="0"/>
      <w:marBottom w:val="0"/>
      <w:divBdr>
        <w:top w:val="none" w:sz="0" w:space="0" w:color="auto"/>
        <w:left w:val="none" w:sz="0" w:space="0" w:color="auto"/>
        <w:bottom w:val="none" w:sz="0" w:space="0" w:color="auto"/>
        <w:right w:val="none" w:sz="0" w:space="0" w:color="auto"/>
      </w:divBdr>
    </w:div>
    <w:div w:id="467936713">
      <w:bodyDiv w:val="1"/>
      <w:marLeft w:val="0"/>
      <w:marRight w:val="0"/>
      <w:marTop w:val="0"/>
      <w:marBottom w:val="0"/>
      <w:divBdr>
        <w:top w:val="none" w:sz="0" w:space="0" w:color="auto"/>
        <w:left w:val="none" w:sz="0" w:space="0" w:color="auto"/>
        <w:bottom w:val="none" w:sz="0" w:space="0" w:color="auto"/>
        <w:right w:val="none" w:sz="0" w:space="0" w:color="auto"/>
      </w:divBdr>
    </w:div>
    <w:div w:id="535506314">
      <w:bodyDiv w:val="1"/>
      <w:marLeft w:val="0"/>
      <w:marRight w:val="0"/>
      <w:marTop w:val="0"/>
      <w:marBottom w:val="0"/>
      <w:divBdr>
        <w:top w:val="none" w:sz="0" w:space="0" w:color="auto"/>
        <w:left w:val="none" w:sz="0" w:space="0" w:color="auto"/>
        <w:bottom w:val="none" w:sz="0" w:space="0" w:color="auto"/>
        <w:right w:val="none" w:sz="0" w:space="0" w:color="auto"/>
      </w:divBdr>
    </w:div>
    <w:div w:id="544758696">
      <w:bodyDiv w:val="1"/>
      <w:marLeft w:val="0"/>
      <w:marRight w:val="0"/>
      <w:marTop w:val="0"/>
      <w:marBottom w:val="0"/>
      <w:divBdr>
        <w:top w:val="none" w:sz="0" w:space="0" w:color="auto"/>
        <w:left w:val="none" w:sz="0" w:space="0" w:color="auto"/>
        <w:bottom w:val="none" w:sz="0" w:space="0" w:color="auto"/>
        <w:right w:val="none" w:sz="0" w:space="0" w:color="auto"/>
      </w:divBdr>
    </w:div>
    <w:div w:id="554465904">
      <w:bodyDiv w:val="1"/>
      <w:marLeft w:val="0"/>
      <w:marRight w:val="0"/>
      <w:marTop w:val="0"/>
      <w:marBottom w:val="0"/>
      <w:divBdr>
        <w:top w:val="none" w:sz="0" w:space="0" w:color="auto"/>
        <w:left w:val="none" w:sz="0" w:space="0" w:color="auto"/>
        <w:bottom w:val="none" w:sz="0" w:space="0" w:color="auto"/>
        <w:right w:val="none" w:sz="0" w:space="0" w:color="auto"/>
      </w:divBdr>
    </w:div>
    <w:div w:id="577980103">
      <w:bodyDiv w:val="1"/>
      <w:marLeft w:val="0"/>
      <w:marRight w:val="0"/>
      <w:marTop w:val="0"/>
      <w:marBottom w:val="0"/>
      <w:divBdr>
        <w:top w:val="none" w:sz="0" w:space="0" w:color="auto"/>
        <w:left w:val="none" w:sz="0" w:space="0" w:color="auto"/>
        <w:bottom w:val="none" w:sz="0" w:space="0" w:color="auto"/>
        <w:right w:val="none" w:sz="0" w:space="0" w:color="auto"/>
      </w:divBdr>
    </w:div>
    <w:div w:id="594630574">
      <w:bodyDiv w:val="1"/>
      <w:marLeft w:val="0"/>
      <w:marRight w:val="0"/>
      <w:marTop w:val="0"/>
      <w:marBottom w:val="0"/>
      <w:divBdr>
        <w:top w:val="none" w:sz="0" w:space="0" w:color="auto"/>
        <w:left w:val="none" w:sz="0" w:space="0" w:color="auto"/>
        <w:bottom w:val="none" w:sz="0" w:space="0" w:color="auto"/>
        <w:right w:val="none" w:sz="0" w:space="0" w:color="auto"/>
      </w:divBdr>
    </w:div>
    <w:div w:id="673536466">
      <w:bodyDiv w:val="1"/>
      <w:marLeft w:val="0"/>
      <w:marRight w:val="0"/>
      <w:marTop w:val="0"/>
      <w:marBottom w:val="0"/>
      <w:divBdr>
        <w:top w:val="none" w:sz="0" w:space="0" w:color="auto"/>
        <w:left w:val="none" w:sz="0" w:space="0" w:color="auto"/>
        <w:bottom w:val="none" w:sz="0" w:space="0" w:color="auto"/>
        <w:right w:val="none" w:sz="0" w:space="0" w:color="auto"/>
      </w:divBdr>
    </w:div>
    <w:div w:id="696856753">
      <w:bodyDiv w:val="1"/>
      <w:marLeft w:val="0"/>
      <w:marRight w:val="0"/>
      <w:marTop w:val="0"/>
      <w:marBottom w:val="0"/>
      <w:divBdr>
        <w:top w:val="none" w:sz="0" w:space="0" w:color="auto"/>
        <w:left w:val="none" w:sz="0" w:space="0" w:color="auto"/>
        <w:bottom w:val="none" w:sz="0" w:space="0" w:color="auto"/>
        <w:right w:val="none" w:sz="0" w:space="0" w:color="auto"/>
      </w:divBdr>
    </w:div>
    <w:div w:id="704643652">
      <w:bodyDiv w:val="1"/>
      <w:marLeft w:val="0"/>
      <w:marRight w:val="0"/>
      <w:marTop w:val="0"/>
      <w:marBottom w:val="0"/>
      <w:divBdr>
        <w:top w:val="none" w:sz="0" w:space="0" w:color="auto"/>
        <w:left w:val="none" w:sz="0" w:space="0" w:color="auto"/>
        <w:bottom w:val="none" w:sz="0" w:space="0" w:color="auto"/>
        <w:right w:val="none" w:sz="0" w:space="0" w:color="auto"/>
      </w:divBdr>
    </w:div>
    <w:div w:id="722562795">
      <w:bodyDiv w:val="1"/>
      <w:marLeft w:val="0"/>
      <w:marRight w:val="0"/>
      <w:marTop w:val="0"/>
      <w:marBottom w:val="0"/>
      <w:divBdr>
        <w:top w:val="none" w:sz="0" w:space="0" w:color="auto"/>
        <w:left w:val="none" w:sz="0" w:space="0" w:color="auto"/>
        <w:bottom w:val="none" w:sz="0" w:space="0" w:color="auto"/>
        <w:right w:val="none" w:sz="0" w:space="0" w:color="auto"/>
      </w:divBdr>
    </w:div>
    <w:div w:id="742528723">
      <w:bodyDiv w:val="1"/>
      <w:marLeft w:val="0"/>
      <w:marRight w:val="0"/>
      <w:marTop w:val="0"/>
      <w:marBottom w:val="0"/>
      <w:divBdr>
        <w:top w:val="none" w:sz="0" w:space="0" w:color="auto"/>
        <w:left w:val="none" w:sz="0" w:space="0" w:color="auto"/>
        <w:bottom w:val="none" w:sz="0" w:space="0" w:color="auto"/>
        <w:right w:val="none" w:sz="0" w:space="0" w:color="auto"/>
      </w:divBdr>
    </w:div>
    <w:div w:id="752123305">
      <w:bodyDiv w:val="1"/>
      <w:marLeft w:val="0"/>
      <w:marRight w:val="0"/>
      <w:marTop w:val="0"/>
      <w:marBottom w:val="0"/>
      <w:divBdr>
        <w:top w:val="none" w:sz="0" w:space="0" w:color="auto"/>
        <w:left w:val="none" w:sz="0" w:space="0" w:color="auto"/>
        <w:bottom w:val="none" w:sz="0" w:space="0" w:color="auto"/>
        <w:right w:val="none" w:sz="0" w:space="0" w:color="auto"/>
      </w:divBdr>
    </w:div>
    <w:div w:id="815151003">
      <w:bodyDiv w:val="1"/>
      <w:marLeft w:val="0"/>
      <w:marRight w:val="0"/>
      <w:marTop w:val="0"/>
      <w:marBottom w:val="0"/>
      <w:divBdr>
        <w:top w:val="none" w:sz="0" w:space="0" w:color="auto"/>
        <w:left w:val="none" w:sz="0" w:space="0" w:color="auto"/>
        <w:bottom w:val="none" w:sz="0" w:space="0" w:color="auto"/>
        <w:right w:val="none" w:sz="0" w:space="0" w:color="auto"/>
      </w:divBdr>
    </w:div>
    <w:div w:id="822820671">
      <w:bodyDiv w:val="1"/>
      <w:marLeft w:val="0"/>
      <w:marRight w:val="0"/>
      <w:marTop w:val="0"/>
      <w:marBottom w:val="0"/>
      <w:divBdr>
        <w:top w:val="none" w:sz="0" w:space="0" w:color="auto"/>
        <w:left w:val="none" w:sz="0" w:space="0" w:color="auto"/>
        <w:bottom w:val="none" w:sz="0" w:space="0" w:color="auto"/>
        <w:right w:val="none" w:sz="0" w:space="0" w:color="auto"/>
      </w:divBdr>
    </w:div>
    <w:div w:id="835000765">
      <w:bodyDiv w:val="1"/>
      <w:marLeft w:val="0"/>
      <w:marRight w:val="0"/>
      <w:marTop w:val="0"/>
      <w:marBottom w:val="0"/>
      <w:divBdr>
        <w:top w:val="none" w:sz="0" w:space="0" w:color="auto"/>
        <w:left w:val="none" w:sz="0" w:space="0" w:color="auto"/>
        <w:bottom w:val="none" w:sz="0" w:space="0" w:color="auto"/>
        <w:right w:val="none" w:sz="0" w:space="0" w:color="auto"/>
      </w:divBdr>
    </w:div>
    <w:div w:id="853232595">
      <w:bodyDiv w:val="1"/>
      <w:marLeft w:val="0"/>
      <w:marRight w:val="0"/>
      <w:marTop w:val="0"/>
      <w:marBottom w:val="0"/>
      <w:divBdr>
        <w:top w:val="none" w:sz="0" w:space="0" w:color="auto"/>
        <w:left w:val="none" w:sz="0" w:space="0" w:color="auto"/>
        <w:bottom w:val="none" w:sz="0" w:space="0" w:color="auto"/>
        <w:right w:val="none" w:sz="0" w:space="0" w:color="auto"/>
      </w:divBdr>
    </w:div>
    <w:div w:id="853761817">
      <w:bodyDiv w:val="1"/>
      <w:marLeft w:val="0"/>
      <w:marRight w:val="0"/>
      <w:marTop w:val="0"/>
      <w:marBottom w:val="0"/>
      <w:divBdr>
        <w:top w:val="none" w:sz="0" w:space="0" w:color="auto"/>
        <w:left w:val="none" w:sz="0" w:space="0" w:color="auto"/>
        <w:bottom w:val="none" w:sz="0" w:space="0" w:color="auto"/>
        <w:right w:val="none" w:sz="0" w:space="0" w:color="auto"/>
      </w:divBdr>
    </w:div>
    <w:div w:id="857230158">
      <w:bodyDiv w:val="1"/>
      <w:marLeft w:val="0"/>
      <w:marRight w:val="0"/>
      <w:marTop w:val="0"/>
      <w:marBottom w:val="0"/>
      <w:divBdr>
        <w:top w:val="none" w:sz="0" w:space="0" w:color="auto"/>
        <w:left w:val="none" w:sz="0" w:space="0" w:color="auto"/>
        <w:bottom w:val="none" w:sz="0" w:space="0" w:color="auto"/>
        <w:right w:val="none" w:sz="0" w:space="0" w:color="auto"/>
      </w:divBdr>
    </w:div>
    <w:div w:id="904098111">
      <w:bodyDiv w:val="1"/>
      <w:marLeft w:val="0"/>
      <w:marRight w:val="0"/>
      <w:marTop w:val="0"/>
      <w:marBottom w:val="0"/>
      <w:divBdr>
        <w:top w:val="none" w:sz="0" w:space="0" w:color="auto"/>
        <w:left w:val="none" w:sz="0" w:space="0" w:color="auto"/>
        <w:bottom w:val="none" w:sz="0" w:space="0" w:color="auto"/>
        <w:right w:val="none" w:sz="0" w:space="0" w:color="auto"/>
      </w:divBdr>
    </w:div>
    <w:div w:id="989288064">
      <w:bodyDiv w:val="1"/>
      <w:marLeft w:val="0"/>
      <w:marRight w:val="0"/>
      <w:marTop w:val="0"/>
      <w:marBottom w:val="0"/>
      <w:divBdr>
        <w:top w:val="none" w:sz="0" w:space="0" w:color="auto"/>
        <w:left w:val="none" w:sz="0" w:space="0" w:color="auto"/>
        <w:bottom w:val="none" w:sz="0" w:space="0" w:color="auto"/>
        <w:right w:val="none" w:sz="0" w:space="0" w:color="auto"/>
      </w:divBdr>
    </w:div>
    <w:div w:id="1014962814">
      <w:bodyDiv w:val="1"/>
      <w:marLeft w:val="0"/>
      <w:marRight w:val="0"/>
      <w:marTop w:val="0"/>
      <w:marBottom w:val="0"/>
      <w:divBdr>
        <w:top w:val="none" w:sz="0" w:space="0" w:color="auto"/>
        <w:left w:val="none" w:sz="0" w:space="0" w:color="auto"/>
        <w:bottom w:val="none" w:sz="0" w:space="0" w:color="auto"/>
        <w:right w:val="none" w:sz="0" w:space="0" w:color="auto"/>
      </w:divBdr>
    </w:div>
    <w:div w:id="1024406612">
      <w:bodyDiv w:val="1"/>
      <w:marLeft w:val="0"/>
      <w:marRight w:val="0"/>
      <w:marTop w:val="0"/>
      <w:marBottom w:val="0"/>
      <w:divBdr>
        <w:top w:val="none" w:sz="0" w:space="0" w:color="auto"/>
        <w:left w:val="none" w:sz="0" w:space="0" w:color="auto"/>
        <w:bottom w:val="none" w:sz="0" w:space="0" w:color="auto"/>
        <w:right w:val="none" w:sz="0" w:space="0" w:color="auto"/>
      </w:divBdr>
    </w:div>
    <w:div w:id="1037438563">
      <w:bodyDiv w:val="1"/>
      <w:marLeft w:val="0"/>
      <w:marRight w:val="0"/>
      <w:marTop w:val="0"/>
      <w:marBottom w:val="0"/>
      <w:divBdr>
        <w:top w:val="none" w:sz="0" w:space="0" w:color="auto"/>
        <w:left w:val="none" w:sz="0" w:space="0" w:color="auto"/>
        <w:bottom w:val="none" w:sz="0" w:space="0" w:color="auto"/>
        <w:right w:val="none" w:sz="0" w:space="0" w:color="auto"/>
      </w:divBdr>
    </w:div>
    <w:div w:id="1060977756">
      <w:bodyDiv w:val="1"/>
      <w:marLeft w:val="0"/>
      <w:marRight w:val="0"/>
      <w:marTop w:val="0"/>
      <w:marBottom w:val="0"/>
      <w:divBdr>
        <w:top w:val="none" w:sz="0" w:space="0" w:color="auto"/>
        <w:left w:val="none" w:sz="0" w:space="0" w:color="auto"/>
        <w:bottom w:val="none" w:sz="0" w:space="0" w:color="auto"/>
        <w:right w:val="none" w:sz="0" w:space="0" w:color="auto"/>
      </w:divBdr>
    </w:div>
    <w:div w:id="1066802159">
      <w:bodyDiv w:val="1"/>
      <w:marLeft w:val="0"/>
      <w:marRight w:val="0"/>
      <w:marTop w:val="0"/>
      <w:marBottom w:val="0"/>
      <w:divBdr>
        <w:top w:val="none" w:sz="0" w:space="0" w:color="auto"/>
        <w:left w:val="none" w:sz="0" w:space="0" w:color="auto"/>
        <w:bottom w:val="none" w:sz="0" w:space="0" w:color="auto"/>
        <w:right w:val="none" w:sz="0" w:space="0" w:color="auto"/>
      </w:divBdr>
    </w:div>
    <w:div w:id="1072509950">
      <w:bodyDiv w:val="1"/>
      <w:marLeft w:val="0"/>
      <w:marRight w:val="0"/>
      <w:marTop w:val="0"/>
      <w:marBottom w:val="0"/>
      <w:divBdr>
        <w:top w:val="none" w:sz="0" w:space="0" w:color="auto"/>
        <w:left w:val="none" w:sz="0" w:space="0" w:color="auto"/>
        <w:bottom w:val="none" w:sz="0" w:space="0" w:color="auto"/>
        <w:right w:val="none" w:sz="0" w:space="0" w:color="auto"/>
      </w:divBdr>
    </w:div>
    <w:div w:id="1079985365">
      <w:bodyDiv w:val="1"/>
      <w:marLeft w:val="0"/>
      <w:marRight w:val="0"/>
      <w:marTop w:val="0"/>
      <w:marBottom w:val="0"/>
      <w:divBdr>
        <w:top w:val="none" w:sz="0" w:space="0" w:color="auto"/>
        <w:left w:val="none" w:sz="0" w:space="0" w:color="auto"/>
        <w:bottom w:val="none" w:sz="0" w:space="0" w:color="auto"/>
        <w:right w:val="none" w:sz="0" w:space="0" w:color="auto"/>
      </w:divBdr>
    </w:div>
    <w:div w:id="1095708679">
      <w:bodyDiv w:val="1"/>
      <w:marLeft w:val="0"/>
      <w:marRight w:val="0"/>
      <w:marTop w:val="0"/>
      <w:marBottom w:val="0"/>
      <w:divBdr>
        <w:top w:val="none" w:sz="0" w:space="0" w:color="auto"/>
        <w:left w:val="none" w:sz="0" w:space="0" w:color="auto"/>
        <w:bottom w:val="none" w:sz="0" w:space="0" w:color="auto"/>
        <w:right w:val="none" w:sz="0" w:space="0" w:color="auto"/>
      </w:divBdr>
    </w:div>
    <w:div w:id="1281186451">
      <w:bodyDiv w:val="1"/>
      <w:marLeft w:val="0"/>
      <w:marRight w:val="0"/>
      <w:marTop w:val="0"/>
      <w:marBottom w:val="0"/>
      <w:divBdr>
        <w:top w:val="none" w:sz="0" w:space="0" w:color="auto"/>
        <w:left w:val="none" w:sz="0" w:space="0" w:color="auto"/>
        <w:bottom w:val="none" w:sz="0" w:space="0" w:color="auto"/>
        <w:right w:val="none" w:sz="0" w:space="0" w:color="auto"/>
      </w:divBdr>
    </w:div>
    <w:div w:id="1283999493">
      <w:bodyDiv w:val="1"/>
      <w:marLeft w:val="0"/>
      <w:marRight w:val="0"/>
      <w:marTop w:val="0"/>
      <w:marBottom w:val="0"/>
      <w:divBdr>
        <w:top w:val="none" w:sz="0" w:space="0" w:color="auto"/>
        <w:left w:val="none" w:sz="0" w:space="0" w:color="auto"/>
        <w:bottom w:val="none" w:sz="0" w:space="0" w:color="auto"/>
        <w:right w:val="none" w:sz="0" w:space="0" w:color="auto"/>
      </w:divBdr>
    </w:div>
    <w:div w:id="1303657167">
      <w:bodyDiv w:val="1"/>
      <w:marLeft w:val="0"/>
      <w:marRight w:val="0"/>
      <w:marTop w:val="0"/>
      <w:marBottom w:val="0"/>
      <w:divBdr>
        <w:top w:val="none" w:sz="0" w:space="0" w:color="auto"/>
        <w:left w:val="none" w:sz="0" w:space="0" w:color="auto"/>
        <w:bottom w:val="none" w:sz="0" w:space="0" w:color="auto"/>
        <w:right w:val="none" w:sz="0" w:space="0" w:color="auto"/>
      </w:divBdr>
    </w:div>
    <w:div w:id="1331905676">
      <w:bodyDiv w:val="1"/>
      <w:marLeft w:val="0"/>
      <w:marRight w:val="0"/>
      <w:marTop w:val="0"/>
      <w:marBottom w:val="0"/>
      <w:divBdr>
        <w:top w:val="none" w:sz="0" w:space="0" w:color="auto"/>
        <w:left w:val="none" w:sz="0" w:space="0" w:color="auto"/>
        <w:bottom w:val="none" w:sz="0" w:space="0" w:color="auto"/>
        <w:right w:val="none" w:sz="0" w:space="0" w:color="auto"/>
      </w:divBdr>
    </w:div>
    <w:div w:id="1356272269">
      <w:bodyDiv w:val="1"/>
      <w:marLeft w:val="0"/>
      <w:marRight w:val="0"/>
      <w:marTop w:val="0"/>
      <w:marBottom w:val="0"/>
      <w:divBdr>
        <w:top w:val="none" w:sz="0" w:space="0" w:color="auto"/>
        <w:left w:val="none" w:sz="0" w:space="0" w:color="auto"/>
        <w:bottom w:val="none" w:sz="0" w:space="0" w:color="auto"/>
        <w:right w:val="none" w:sz="0" w:space="0" w:color="auto"/>
      </w:divBdr>
    </w:div>
    <w:div w:id="1362130873">
      <w:bodyDiv w:val="1"/>
      <w:marLeft w:val="0"/>
      <w:marRight w:val="0"/>
      <w:marTop w:val="0"/>
      <w:marBottom w:val="0"/>
      <w:divBdr>
        <w:top w:val="none" w:sz="0" w:space="0" w:color="auto"/>
        <w:left w:val="none" w:sz="0" w:space="0" w:color="auto"/>
        <w:bottom w:val="none" w:sz="0" w:space="0" w:color="auto"/>
        <w:right w:val="none" w:sz="0" w:space="0" w:color="auto"/>
      </w:divBdr>
    </w:div>
    <w:div w:id="1402483149">
      <w:bodyDiv w:val="1"/>
      <w:marLeft w:val="0"/>
      <w:marRight w:val="0"/>
      <w:marTop w:val="0"/>
      <w:marBottom w:val="0"/>
      <w:divBdr>
        <w:top w:val="none" w:sz="0" w:space="0" w:color="auto"/>
        <w:left w:val="none" w:sz="0" w:space="0" w:color="auto"/>
        <w:bottom w:val="none" w:sz="0" w:space="0" w:color="auto"/>
        <w:right w:val="none" w:sz="0" w:space="0" w:color="auto"/>
      </w:divBdr>
    </w:div>
    <w:div w:id="1418987419">
      <w:bodyDiv w:val="1"/>
      <w:marLeft w:val="0"/>
      <w:marRight w:val="0"/>
      <w:marTop w:val="0"/>
      <w:marBottom w:val="0"/>
      <w:divBdr>
        <w:top w:val="none" w:sz="0" w:space="0" w:color="auto"/>
        <w:left w:val="none" w:sz="0" w:space="0" w:color="auto"/>
        <w:bottom w:val="none" w:sz="0" w:space="0" w:color="auto"/>
        <w:right w:val="none" w:sz="0" w:space="0" w:color="auto"/>
      </w:divBdr>
    </w:div>
    <w:div w:id="1423916405">
      <w:bodyDiv w:val="1"/>
      <w:marLeft w:val="0"/>
      <w:marRight w:val="0"/>
      <w:marTop w:val="0"/>
      <w:marBottom w:val="0"/>
      <w:divBdr>
        <w:top w:val="none" w:sz="0" w:space="0" w:color="auto"/>
        <w:left w:val="none" w:sz="0" w:space="0" w:color="auto"/>
        <w:bottom w:val="none" w:sz="0" w:space="0" w:color="auto"/>
        <w:right w:val="none" w:sz="0" w:space="0" w:color="auto"/>
      </w:divBdr>
    </w:div>
    <w:div w:id="1457717900">
      <w:bodyDiv w:val="1"/>
      <w:marLeft w:val="0"/>
      <w:marRight w:val="0"/>
      <w:marTop w:val="0"/>
      <w:marBottom w:val="0"/>
      <w:divBdr>
        <w:top w:val="none" w:sz="0" w:space="0" w:color="auto"/>
        <w:left w:val="none" w:sz="0" w:space="0" w:color="auto"/>
        <w:bottom w:val="none" w:sz="0" w:space="0" w:color="auto"/>
        <w:right w:val="none" w:sz="0" w:space="0" w:color="auto"/>
      </w:divBdr>
    </w:div>
    <w:div w:id="1536233274">
      <w:bodyDiv w:val="1"/>
      <w:marLeft w:val="0"/>
      <w:marRight w:val="0"/>
      <w:marTop w:val="0"/>
      <w:marBottom w:val="0"/>
      <w:divBdr>
        <w:top w:val="none" w:sz="0" w:space="0" w:color="auto"/>
        <w:left w:val="none" w:sz="0" w:space="0" w:color="auto"/>
        <w:bottom w:val="none" w:sz="0" w:space="0" w:color="auto"/>
        <w:right w:val="none" w:sz="0" w:space="0" w:color="auto"/>
      </w:divBdr>
    </w:div>
    <w:div w:id="1610510226">
      <w:bodyDiv w:val="1"/>
      <w:marLeft w:val="0"/>
      <w:marRight w:val="0"/>
      <w:marTop w:val="0"/>
      <w:marBottom w:val="0"/>
      <w:divBdr>
        <w:top w:val="none" w:sz="0" w:space="0" w:color="auto"/>
        <w:left w:val="none" w:sz="0" w:space="0" w:color="auto"/>
        <w:bottom w:val="none" w:sz="0" w:space="0" w:color="auto"/>
        <w:right w:val="none" w:sz="0" w:space="0" w:color="auto"/>
      </w:divBdr>
    </w:div>
    <w:div w:id="1650211035">
      <w:bodyDiv w:val="1"/>
      <w:marLeft w:val="0"/>
      <w:marRight w:val="0"/>
      <w:marTop w:val="0"/>
      <w:marBottom w:val="0"/>
      <w:divBdr>
        <w:top w:val="none" w:sz="0" w:space="0" w:color="auto"/>
        <w:left w:val="none" w:sz="0" w:space="0" w:color="auto"/>
        <w:bottom w:val="none" w:sz="0" w:space="0" w:color="auto"/>
        <w:right w:val="none" w:sz="0" w:space="0" w:color="auto"/>
      </w:divBdr>
    </w:div>
    <w:div w:id="1674797173">
      <w:bodyDiv w:val="1"/>
      <w:marLeft w:val="0"/>
      <w:marRight w:val="0"/>
      <w:marTop w:val="0"/>
      <w:marBottom w:val="0"/>
      <w:divBdr>
        <w:top w:val="none" w:sz="0" w:space="0" w:color="auto"/>
        <w:left w:val="none" w:sz="0" w:space="0" w:color="auto"/>
        <w:bottom w:val="none" w:sz="0" w:space="0" w:color="auto"/>
        <w:right w:val="none" w:sz="0" w:space="0" w:color="auto"/>
      </w:divBdr>
    </w:div>
    <w:div w:id="1716268719">
      <w:bodyDiv w:val="1"/>
      <w:marLeft w:val="0"/>
      <w:marRight w:val="0"/>
      <w:marTop w:val="0"/>
      <w:marBottom w:val="0"/>
      <w:divBdr>
        <w:top w:val="none" w:sz="0" w:space="0" w:color="auto"/>
        <w:left w:val="none" w:sz="0" w:space="0" w:color="auto"/>
        <w:bottom w:val="none" w:sz="0" w:space="0" w:color="auto"/>
        <w:right w:val="none" w:sz="0" w:space="0" w:color="auto"/>
      </w:divBdr>
    </w:div>
    <w:div w:id="1731884363">
      <w:bodyDiv w:val="1"/>
      <w:marLeft w:val="0"/>
      <w:marRight w:val="0"/>
      <w:marTop w:val="0"/>
      <w:marBottom w:val="0"/>
      <w:divBdr>
        <w:top w:val="none" w:sz="0" w:space="0" w:color="auto"/>
        <w:left w:val="none" w:sz="0" w:space="0" w:color="auto"/>
        <w:bottom w:val="none" w:sz="0" w:space="0" w:color="auto"/>
        <w:right w:val="none" w:sz="0" w:space="0" w:color="auto"/>
      </w:divBdr>
    </w:div>
    <w:div w:id="1761564918">
      <w:bodyDiv w:val="1"/>
      <w:marLeft w:val="0"/>
      <w:marRight w:val="0"/>
      <w:marTop w:val="0"/>
      <w:marBottom w:val="0"/>
      <w:divBdr>
        <w:top w:val="none" w:sz="0" w:space="0" w:color="auto"/>
        <w:left w:val="none" w:sz="0" w:space="0" w:color="auto"/>
        <w:bottom w:val="none" w:sz="0" w:space="0" w:color="auto"/>
        <w:right w:val="none" w:sz="0" w:space="0" w:color="auto"/>
      </w:divBdr>
    </w:div>
    <w:div w:id="1797065449">
      <w:bodyDiv w:val="1"/>
      <w:marLeft w:val="0"/>
      <w:marRight w:val="0"/>
      <w:marTop w:val="0"/>
      <w:marBottom w:val="0"/>
      <w:divBdr>
        <w:top w:val="none" w:sz="0" w:space="0" w:color="auto"/>
        <w:left w:val="none" w:sz="0" w:space="0" w:color="auto"/>
        <w:bottom w:val="none" w:sz="0" w:space="0" w:color="auto"/>
        <w:right w:val="none" w:sz="0" w:space="0" w:color="auto"/>
      </w:divBdr>
    </w:div>
    <w:div w:id="1829205683">
      <w:bodyDiv w:val="1"/>
      <w:marLeft w:val="0"/>
      <w:marRight w:val="0"/>
      <w:marTop w:val="0"/>
      <w:marBottom w:val="0"/>
      <w:divBdr>
        <w:top w:val="none" w:sz="0" w:space="0" w:color="auto"/>
        <w:left w:val="none" w:sz="0" w:space="0" w:color="auto"/>
        <w:bottom w:val="none" w:sz="0" w:space="0" w:color="auto"/>
        <w:right w:val="none" w:sz="0" w:space="0" w:color="auto"/>
      </w:divBdr>
    </w:div>
    <w:div w:id="1848252665">
      <w:bodyDiv w:val="1"/>
      <w:marLeft w:val="0"/>
      <w:marRight w:val="0"/>
      <w:marTop w:val="0"/>
      <w:marBottom w:val="0"/>
      <w:divBdr>
        <w:top w:val="none" w:sz="0" w:space="0" w:color="auto"/>
        <w:left w:val="none" w:sz="0" w:space="0" w:color="auto"/>
        <w:bottom w:val="none" w:sz="0" w:space="0" w:color="auto"/>
        <w:right w:val="none" w:sz="0" w:space="0" w:color="auto"/>
      </w:divBdr>
    </w:div>
    <w:div w:id="1873572424">
      <w:bodyDiv w:val="1"/>
      <w:marLeft w:val="0"/>
      <w:marRight w:val="0"/>
      <w:marTop w:val="0"/>
      <w:marBottom w:val="0"/>
      <w:divBdr>
        <w:top w:val="none" w:sz="0" w:space="0" w:color="auto"/>
        <w:left w:val="none" w:sz="0" w:space="0" w:color="auto"/>
        <w:bottom w:val="none" w:sz="0" w:space="0" w:color="auto"/>
        <w:right w:val="none" w:sz="0" w:space="0" w:color="auto"/>
      </w:divBdr>
    </w:div>
    <w:div w:id="1881354547">
      <w:bodyDiv w:val="1"/>
      <w:marLeft w:val="0"/>
      <w:marRight w:val="0"/>
      <w:marTop w:val="0"/>
      <w:marBottom w:val="0"/>
      <w:divBdr>
        <w:top w:val="none" w:sz="0" w:space="0" w:color="auto"/>
        <w:left w:val="none" w:sz="0" w:space="0" w:color="auto"/>
        <w:bottom w:val="none" w:sz="0" w:space="0" w:color="auto"/>
        <w:right w:val="none" w:sz="0" w:space="0" w:color="auto"/>
      </w:divBdr>
    </w:div>
    <w:div w:id="1886408736">
      <w:bodyDiv w:val="1"/>
      <w:marLeft w:val="0"/>
      <w:marRight w:val="0"/>
      <w:marTop w:val="0"/>
      <w:marBottom w:val="0"/>
      <w:divBdr>
        <w:top w:val="none" w:sz="0" w:space="0" w:color="auto"/>
        <w:left w:val="none" w:sz="0" w:space="0" w:color="auto"/>
        <w:bottom w:val="none" w:sz="0" w:space="0" w:color="auto"/>
        <w:right w:val="none" w:sz="0" w:space="0" w:color="auto"/>
      </w:divBdr>
    </w:div>
    <w:div w:id="1895771246">
      <w:bodyDiv w:val="1"/>
      <w:marLeft w:val="0"/>
      <w:marRight w:val="0"/>
      <w:marTop w:val="0"/>
      <w:marBottom w:val="0"/>
      <w:divBdr>
        <w:top w:val="none" w:sz="0" w:space="0" w:color="auto"/>
        <w:left w:val="none" w:sz="0" w:space="0" w:color="auto"/>
        <w:bottom w:val="none" w:sz="0" w:space="0" w:color="auto"/>
        <w:right w:val="none" w:sz="0" w:space="0" w:color="auto"/>
      </w:divBdr>
    </w:div>
    <w:div w:id="1917086542">
      <w:bodyDiv w:val="1"/>
      <w:marLeft w:val="0"/>
      <w:marRight w:val="0"/>
      <w:marTop w:val="0"/>
      <w:marBottom w:val="0"/>
      <w:divBdr>
        <w:top w:val="none" w:sz="0" w:space="0" w:color="auto"/>
        <w:left w:val="none" w:sz="0" w:space="0" w:color="auto"/>
        <w:bottom w:val="none" w:sz="0" w:space="0" w:color="auto"/>
        <w:right w:val="none" w:sz="0" w:space="0" w:color="auto"/>
      </w:divBdr>
    </w:div>
    <w:div w:id="1927807008">
      <w:bodyDiv w:val="1"/>
      <w:marLeft w:val="0"/>
      <w:marRight w:val="0"/>
      <w:marTop w:val="0"/>
      <w:marBottom w:val="0"/>
      <w:divBdr>
        <w:top w:val="none" w:sz="0" w:space="0" w:color="auto"/>
        <w:left w:val="none" w:sz="0" w:space="0" w:color="auto"/>
        <w:bottom w:val="none" w:sz="0" w:space="0" w:color="auto"/>
        <w:right w:val="none" w:sz="0" w:space="0" w:color="auto"/>
      </w:divBdr>
    </w:div>
    <w:div w:id="1940212033">
      <w:bodyDiv w:val="1"/>
      <w:marLeft w:val="0"/>
      <w:marRight w:val="0"/>
      <w:marTop w:val="0"/>
      <w:marBottom w:val="0"/>
      <w:divBdr>
        <w:top w:val="none" w:sz="0" w:space="0" w:color="auto"/>
        <w:left w:val="none" w:sz="0" w:space="0" w:color="auto"/>
        <w:bottom w:val="none" w:sz="0" w:space="0" w:color="auto"/>
        <w:right w:val="none" w:sz="0" w:space="0" w:color="auto"/>
      </w:divBdr>
    </w:div>
    <w:div w:id="1982076083">
      <w:bodyDiv w:val="1"/>
      <w:marLeft w:val="0"/>
      <w:marRight w:val="0"/>
      <w:marTop w:val="0"/>
      <w:marBottom w:val="0"/>
      <w:divBdr>
        <w:top w:val="none" w:sz="0" w:space="0" w:color="auto"/>
        <w:left w:val="none" w:sz="0" w:space="0" w:color="auto"/>
        <w:bottom w:val="none" w:sz="0" w:space="0" w:color="auto"/>
        <w:right w:val="none" w:sz="0" w:space="0" w:color="auto"/>
      </w:divBdr>
    </w:div>
    <w:div w:id="1994410398">
      <w:bodyDiv w:val="1"/>
      <w:marLeft w:val="0"/>
      <w:marRight w:val="0"/>
      <w:marTop w:val="0"/>
      <w:marBottom w:val="0"/>
      <w:divBdr>
        <w:top w:val="none" w:sz="0" w:space="0" w:color="auto"/>
        <w:left w:val="none" w:sz="0" w:space="0" w:color="auto"/>
        <w:bottom w:val="none" w:sz="0" w:space="0" w:color="auto"/>
        <w:right w:val="none" w:sz="0" w:space="0" w:color="auto"/>
      </w:divBdr>
    </w:div>
    <w:div w:id="2039038460">
      <w:bodyDiv w:val="1"/>
      <w:marLeft w:val="0"/>
      <w:marRight w:val="0"/>
      <w:marTop w:val="0"/>
      <w:marBottom w:val="0"/>
      <w:divBdr>
        <w:top w:val="none" w:sz="0" w:space="0" w:color="auto"/>
        <w:left w:val="none" w:sz="0" w:space="0" w:color="auto"/>
        <w:bottom w:val="none" w:sz="0" w:space="0" w:color="auto"/>
        <w:right w:val="none" w:sz="0" w:space="0" w:color="auto"/>
      </w:divBdr>
    </w:div>
    <w:div w:id="2082020799">
      <w:bodyDiv w:val="1"/>
      <w:marLeft w:val="0"/>
      <w:marRight w:val="0"/>
      <w:marTop w:val="0"/>
      <w:marBottom w:val="0"/>
      <w:divBdr>
        <w:top w:val="none" w:sz="0" w:space="0" w:color="auto"/>
        <w:left w:val="none" w:sz="0" w:space="0" w:color="auto"/>
        <w:bottom w:val="none" w:sz="0" w:space="0" w:color="auto"/>
        <w:right w:val="none" w:sz="0" w:space="0" w:color="auto"/>
      </w:divBdr>
    </w:div>
    <w:div w:id="2096240937">
      <w:bodyDiv w:val="1"/>
      <w:marLeft w:val="0"/>
      <w:marRight w:val="0"/>
      <w:marTop w:val="0"/>
      <w:marBottom w:val="0"/>
      <w:divBdr>
        <w:top w:val="none" w:sz="0" w:space="0" w:color="auto"/>
        <w:left w:val="none" w:sz="0" w:space="0" w:color="auto"/>
        <w:bottom w:val="none" w:sz="0" w:space="0" w:color="auto"/>
        <w:right w:val="none" w:sz="0" w:space="0" w:color="auto"/>
      </w:divBdr>
    </w:div>
    <w:div w:id="2101829486">
      <w:bodyDiv w:val="1"/>
      <w:marLeft w:val="0"/>
      <w:marRight w:val="0"/>
      <w:marTop w:val="0"/>
      <w:marBottom w:val="0"/>
      <w:divBdr>
        <w:top w:val="none" w:sz="0" w:space="0" w:color="auto"/>
        <w:left w:val="none" w:sz="0" w:space="0" w:color="auto"/>
        <w:bottom w:val="none" w:sz="0" w:space="0" w:color="auto"/>
        <w:right w:val="none" w:sz="0" w:space="0" w:color="auto"/>
      </w:divBdr>
    </w:div>
    <w:div w:id="212699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3.xml"/></Relationships>
</file>

<file path=word/theme/theme1.xml><?xml version="1.0" encoding="utf-8"?>
<a:theme xmlns:a="http://schemas.openxmlformats.org/drawingml/2006/main" name="Theme1">
  <a:themeElements>
    <a:clrScheme name="Standard Chartered Template">
      <a:dk1>
        <a:srgbClr val="005C84"/>
      </a:dk1>
      <a:lt1>
        <a:sysClr val="window" lastClr="FFFFFF"/>
      </a:lt1>
      <a:dk2>
        <a:srgbClr val="000F46"/>
      </a:dk2>
      <a:lt2>
        <a:srgbClr val="E6E7E8"/>
      </a:lt2>
      <a:accent1>
        <a:srgbClr val="0075B0"/>
      </a:accent1>
      <a:accent2>
        <a:srgbClr val="009FDA"/>
      </a:accent2>
      <a:accent3>
        <a:srgbClr val="3F9C35"/>
      </a:accent3>
      <a:accent4>
        <a:srgbClr val="69BE28"/>
      </a:accent4>
      <a:accent5>
        <a:srgbClr val="6D6E71"/>
      </a:accent5>
      <a:accent6>
        <a:srgbClr val="939598"/>
      </a:accent6>
      <a:hlink>
        <a:srgbClr val="6D6E71"/>
      </a:hlink>
      <a:folHlink>
        <a:srgbClr val="2890C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ndardChartered_GlobalTemplate" id="{8AA814C4-A578-42A8-85A9-298523698715}" vid="{F837474E-8CD5-4CDA-B6A2-5B081F46A0D7}"/>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pUqjUzZzO0RYRFlRHro1LqGTSYjgQSf5aXSFw8/DSVs=</DigestValue>
    </Reference>
    <Reference Type="http://www.w3.org/2000/09/xmldsig#Object" URI="#idOfficeObject">
      <DigestMethod Algorithm="http://www.w3.org/2001/04/xmlenc#sha256"/>
      <DigestValue>vUhSmLhkk5FOQrFgeII5jeaIgypnQtvZmrEJgCf0/+4=</DigestValue>
    </Reference>
    <Reference Type="http://uri.etsi.org/01903#SignedProperties" URI="#idSignedProperties">
      <Transforms>
        <Transform Algorithm="http://www.w3.org/TR/2001/REC-xml-c14n-20010315"/>
      </Transforms>
      <DigestMethod Algorithm="http://www.w3.org/2001/04/xmlenc#sha256"/>
      <DigestValue>YKlmFiaehcUkRbdQMAIhMFikQ/34a9bd6TQ3tJM+eT0=</DigestValue>
    </Reference>
  </SignedInfo>
  <SignatureValue>EdutICbUid5gddnMnBPbdaGuBUNrfuN7q/1dk8J4l8uUu7NcYtT70lADnKsewRehbzFFg3YXKcBP
3WKHcIGKcKbqJAo299PeHq270d0LxMDLkVK8dk+YKs8szaBfuanoUeFLtC6g/FOXQ7SDVifiNwjJ
ka0zs3iA8fnqvn5bg9adP0pyqBc7OpUFuNyWwnJB/S68ul8WjdmI747pbCBsjHuEJEyfUXF1VfO6
2RckrhJi8yA3OwnyAJy2HTNG4K8yMk+Mtopv5m8MvQcvkD4Wz+ohms80P2+cMm913PBc6Y1xLaYx
bE4rgyVLNfu1VIz3icnXVBGB4RRMhWxQZVs9HQ==</SignatureValue>
  <KeyInfo>
    <X509Data>
      <X509Certificate>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5"/>
          </Transform>
          <Transform Algorithm="http://www.w3.org/TR/2001/REC-xml-c14n-20010315"/>
        </Transforms>
        <DigestMethod Algorithm="http://www.w3.org/2001/04/xmlenc#sha256"/>
        <DigestValue>lru39PpkyNPoRSHdbSHEncr1VlAA8AHSJ7cSEGeZHT4=</DigestValue>
      </Reference>
      <Reference URI="/docMetadata/LabelInfo.xml?ContentType=application/vnd.ms-office.classificationlabels+xml">
        <DigestMethod Algorithm="http://www.w3.org/2001/04/xmlenc#sha256"/>
        <DigestValue>SKyPqQFunk9PNlYZJe2/wLsialC1VqMzTVqblB5exZY=</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c5j7cUGbhQ+Oveon8XWbfU9q6UZ/Im3Mwr8q1cu/sp0=</DigestValue>
      </Reference>
      <Reference URI="/word/document.xml?ContentType=application/vnd.openxmlformats-officedocument.wordprocessingml.document.main+xml">
        <DigestMethod Algorithm="http://www.w3.org/2001/04/xmlenc#sha256"/>
        <DigestValue>Z153cnV19LvCoERJdoRKtYz0796KvCpW/bHeijZ7jy0=</DigestValue>
      </Reference>
      <Reference URI="/word/embeddings/Microsoft_Excel_Worksheet.xlsx?ContentType=application/vnd.openxmlformats-officedocument.spreadsheetml.sheet">
        <DigestMethod Algorithm="http://www.w3.org/2001/04/xmlenc#sha256"/>
        <DigestValue>FJ6IkMuQ+3XYnkr3vXJlg+R5WaxlxDdPMj/bEoOhNb8=</DigestValue>
      </Reference>
      <Reference URI="/word/endnotes.xml?ContentType=application/vnd.openxmlformats-officedocument.wordprocessingml.endnotes+xml">
        <DigestMethod Algorithm="http://www.w3.org/2001/04/xmlenc#sha256"/>
        <DigestValue>aCFyOI83X1R/RZzuP2YkxcTLoG9Y2Hei/q9qY9/ojD4=</DigestValue>
      </Reference>
      <Reference URI="/word/fontTable.xml?ContentType=application/vnd.openxmlformats-officedocument.wordprocessingml.fontTable+xml">
        <DigestMethod Algorithm="http://www.w3.org/2001/04/xmlenc#sha256"/>
        <DigestValue>9TnS2bqCbCskM3aMqkzCll184RPxstK432ayQFA9EbU=</DigestValue>
      </Reference>
      <Reference URI="/word/footer1.xml?ContentType=application/vnd.openxmlformats-officedocument.wordprocessingml.footer+xml">
        <DigestMethod Algorithm="http://www.w3.org/2001/04/xmlenc#sha256"/>
        <DigestValue>ftJ8DC6qHnR8pOblVlJiISOKJxqOVjo0j2fG5UJM1V0=</DigestValue>
      </Reference>
      <Reference URI="/word/footer2.xml?ContentType=application/vnd.openxmlformats-officedocument.wordprocessingml.footer+xml">
        <DigestMethod Algorithm="http://www.w3.org/2001/04/xmlenc#sha256"/>
        <DigestValue>MIAYwGX1m6TiO3e0sF3gDA6V8aIV7gtbNExjs0hDeKY=</DigestValue>
      </Reference>
      <Reference URI="/word/footer3.xml?ContentType=application/vnd.openxmlformats-officedocument.wordprocessingml.footer+xml">
        <DigestMethod Algorithm="http://www.w3.org/2001/04/xmlenc#sha256"/>
        <DigestValue>RfYBLyq5uqfDXyo7D6R5BXuatNOq25uYTw4fzkVDgAY=</DigestValue>
      </Reference>
      <Reference URI="/word/footnotes.xml?ContentType=application/vnd.openxmlformats-officedocument.wordprocessingml.footnotes+xml">
        <DigestMethod Algorithm="http://www.w3.org/2001/04/xmlenc#sha256"/>
        <DigestValue>lnVWBc6gceqyDRlrXMltl0T+dUBVQn6SJI4dytoYNKs=</DigestValue>
      </Reference>
      <Reference URI="/word/header1.xml?ContentType=application/vnd.openxmlformats-officedocument.wordprocessingml.header+xml">
        <DigestMethod Algorithm="http://www.w3.org/2001/04/xmlenc#sha256"/>
        <DigestValue>KnMgkU93Bvpr533qDhGihFmQnZpKmHAoPXCIAdJ0c40=</DigestValue>
      </Reference>
      <Reference URI="/word/header2.xml?ContentType=application/vnd.openxmlformats-officedocument.wordprocessingml.header+xml">
        <DigestMethod Algorithm="http://www.w3.org/2001/04/xmlenc#sha256"/>
        <DigestValue>kgQ5cMj2lIrS1lMWICUR9KcSURrWfNSHWL4VbSmEB50=</DigestValue>
      </Reference>
      <Reference URI="/word/header3.xml?ContentType=application/vnd.openxmlformats-officedocument.wordprocessingml.header+xml">
        <DigestMethod Algorithm="http://www.w3.org/2001/04/xmlenc#sha256"/>
        <DigestValue>nRnPc44bl0+mnlh6vGul5f0Gcq6hCzRTQFnhJX8mF4A=</DigestValue>
      </Reference>
      <Reference URI="/word/media/image1.emf?ContentType=image/x-emf">
        <DigestMethod Algorithm="http://www.w3.org/2001/04/xmlenc#sha256"/>
        <DigestValue>bX4kRxnYiTHhR+76lmmtXWNf8HtIZVpK98LelgC60TQ=</DigestValue>
      </Reference>
      <Reference URI="/word/numbering.xml?ContentType=application/vnd.openxmlformats-officedocument.wordprocessingml.numbering+xml">
        <DigestMethod Algorithm="http://www.w3.org/2001/04/xmlenc#sha256"/>
        <DigestValue>S48U0fnevQ3n90Y/weEOaW5RX15kANYvjKPGaoub4BU=</DigestValue>
      </Reference>
      <Reference URI="/word/settings.xml?ContentType=application/vnd.openxmlformats-officedocument.wordprocessingml.settings+xml">
        <DigestMethod Algorithm="http://www.w3.org/2001/04/xmlenc#sha256"/>
        <DigestValue>7EbyPRhy7TpSYLYozTJTyLT0sdhNaMLK64ZihMkIom8=</DigestValue>
      </Reference>
      <Reference URI="/word/styles.xml?ContentType=application/vnd.openxmlformats-officedocument.wordprocessingml.styles+xml">
        <DigestMethod Algorithm="http://www.w3.org/2001/04/xmlenc#sha256"/>
        <DigestValue>NJ5Xo69PLrEfeFT3MPIDn6U2kd/EVs+2NclzyiW3hVA=</DigestValue>
      </Reference>
      <Reference URI="/word/theme/theme1.xml?ContentType=application/vnd.openxmlformats-officedocument.theme+xml">
        <DigestMethod Algorithm="http://www.w3.org/2001/04/xmlenc#sha256"/>
        <DigestValue>ouCrriDkDpWZdUt0hSojp8Jl5eLrHfxYZVoHwZpst7s=</DigestValue>
      </Reference>
      <Reference URI="/word/webSettings.xml?ContentType=application/vnd.openxmlformats-officedocument.wordprocessingml.webSettings+xml">
        <DigestMethod Algorithm="http://www.w3.org/2001/04/xmlenc#sha256"/>
        <DigestValue>jVo4QObuU3khf+ZyWrpqgwrA1H4vxcMrOi5QTsTvGSY=</DigestValue>
      </Reference>
    </Manifest>
    <SignatureProperties>
      <SignatureProperty Id="idSignatureTime" Target="#idPackageSignature">
        <mdssi:SignatureTime xmlns:mdssi="http://schemas.openxmlformats.org/package/2006/digital-signature">
          <mdssi:Format>YYYY-MM-DDThh:mm:ssTZD</mdssi:Format>
          <mdssi:Value>2025-04-17T10:50:20Z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16.0.17328/26</OfficeVersion>
          <ApplicationVersion>16.0.17328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2025-04-17T10:50:20Z</xd:SigningTime>
          <xd:SigningCertificate>
            <xd:Cert>
              <xd:CertDigest>
                <DigestMethod Algorithm="http://www.w3.org/2001/04/xmlenc#sha256"/>
                <DigestValue>Qx8IKgcDbWeF/vgq3ACV3Lr6t5K9wAHyaoUd5xValLc=</DigestValue>
              </xd:CertDigest>
              <xd:IssuerSerial>
                <X509IssuerName>CN=VNPT-CA SHA-256, O=VIETNAM POSTS AND TELECOMMUNICATIONS GROUP, C=VN</X509IssuerName>
                <X509SerialNumber>111660364329920776801842471959869492248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0E572-66C2-471D-98D3-B130AA9CFA32}">
  <ds:schemaRefs>
    <ds:schemaRef ds:uri="http://schemas.openxmlformats.org/officeDocument/2006/bibliography"/>
  </ds:schemaRefs>
</ds:datastoreItem>
</file>

<file path=docMetadata/LabelInfo.xml><?xml version="1.0" encoding="utf-8"?>
<clbl:labelList xmlns:clbl="http://schemas.microsoft.com/office/2020/mipLabelMetadata">
  <clbl:label id="{76274c26-8161-4bde-aa07-b2b522e14278}" enabled="1" method="Privileged" siteId="{b44900f1-2def-4c3b-9ec6-9020d604e19e}" contentBits="1" removed="0"/>
</clbl:labelList>
</file>

<file path=docProps/app.xml><?xml version="1.0" encoding="utf-8"?>
<Properties xmlns="http://schemas.openxmlformats.org/officeDocument/2006/extended-properties" xmlns:vt="http://schemas.openxmlformats.org/officeDocument/2006/docPropsVTypes">
  <Template>Normal.dotm</Template>
  <TotalTime>1459</TotalTime>
  <Pages>20</Pages>
  <Words>7164</Words>
  <Characters>40840</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47909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Trinh Hoai, Nam</dc:creator>
  <cp:lastModifiedBy>Tran Thi Thu, Trang</cp:lastModifiedBy>
  <cp:revision>158</cp:revision>
  <cp:lastPrinted>2023-07-12T08:33:00Z</cp:lastPrinted>
  <dcterms:created xsi:type="dcterms:W3CDTF">2021-04-13T03:41:00Z</dcterms:created>
  <dcterms:modified xsi:type="dcterms:W3CDTF">2025-04-17T09:18:00Z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bfc019-7f88-4fb6-96d6-94ffadd4b772_Enabled">
    <vt:lpwstr>true</vt:lpwstr>
  </property>
  <property fmtid="{D5CDD505-2E9C-101B-9397-08002B2CF9AE}" pid="3" name="MSIP_Label_ebbfc019-7f88-4fb6-96d6-94ffadd4b772_SetDate">
    <vt:lpwstr>2024-04-17T05:06:25Z</vt:lpwstr>
  </property>
  <property fmtid="{D5CDD505-2E9C-101B-9397-08002B2CF9AE}" pid="4" name="MSIP_Label_ebbfc019-7f88-4fb6-96d6-94ffadd4b772_Method">
    <vt:lpwstr>Privileged</vt:lpwstr>
  </property>
  <property fmtid="{D5CDD505-2E9C-101B-9397-08002B2CF9AE}" pid="5" name="MSIP_Label_ebbfc019-7f88-4fb6-96d6-94ffadd4b772_Name">
    <vt:lpwstr>ebbfc019-7f88-4fb6-96d6-94ffadd4b772</vt:lpwstr>
  </property>
  <property fmtid="{D5CDD505-2E9C-101B-9397-08002B2CF9AE}" pid="6" name="MSIP_Label_ebbfc019-7f88-4fb6-96d6-94ffadd4b772_SiteId">
    <vt:lpwstr>b44900f1-2def-4c3b-9ec6-9020d604e19e</vt:lpwstr>
  </property>
  <property fmtid="{D5CDD505-2E9C-101B-9397-08002B2CF9AE}" pid="7" name="MSIP_Label_ebbfc019-7f88-4fb6-96d6-94ffadd4b772_ActionId">
    <vt:lpwstr>8bac8a27-a901-49d9-a371-3cbf9e98dff1</vt:lpwstr>
  </property>
  <property fmtid="{D5CDD505-2E9C-101B-9397-08002B2CF9AE}" pid="8" name="MSIP_Label_ebbfc019-7f88-4fb6-96d6-94ffadd4b772_ContentBits">
    <vt:lpwstr>1</vt:lpwstr>
  </property>
</Properties>
</file>