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100A6F" w14:textId="2F2192E1" w:rsidR="003D3446" w:rsidRPr="00381192" w:rsidRDefault="00EF4210" w:rsidP="00381192">
      <w:pPr>
        <w:jc w:val="center"/>
        <w:rPr>
          <w:b/>
          <w:sz w:val="28"/>
          <w:szCs w:val="28"/>
          <w:lang w:val="nl-NL"/>
        </w:rPr>
      </w:pPr>
      <w:r w:rsidRPr="00381192">
        <w:rPr>
          <w:b/>
          <w:sz w:val="28"/>
          <w:szCs w:val="28"/>
          <w:lang w:val="nl-NL"/>
        </w:rPr>
        <w:t>BÁO CÁO CỦA CÔNG TY QUẢN LÝ QUỸ</w:t>
      </w:r>
      <w:r w:rsidR="00381192">
        <w:rPr>
          <w:b/>
          <w:sz w:val="28"/>
          <w:szCs w:val="28"/>
          <w:lang w:val="nl-NL"/>
        </w:rPr>
        <w:t xml:space="preserve"> </w:t>
      </w:r>
      <w:r w:rsidR="00381192" w:rsidRPr="00381192">
        <w:rPr>
          <w:b/>
          <w:sz w:val="28"/>
          <w:szCs w:val="28"/>
          <w:lang w:val="nl-NL"/>
        </w:rPr>
        <w:t xml:space="preserve">QUÝ </w:t>
      </w:r>
      <w:r w:rsidR="00610ABE">
        <w:rPr>
          <w:b/>
          <w:sz w:val="28"/>
          <w:szCs w:val="28"/>
          <w:lang w:val="nl-NL"/>
        </w:rPr>
        <w:t>I</w:t>
      </w:r>
      <w:r w:rsidR="009F64D9">
        <w:rPr>
          <w:b/>
          <w:sz w:val="28"/>
          <w:szCs w:val="28"/>
          <w:lang w:val="nl-NL"/>
        </w:rPr>
        <w:t>I</w:t>
      </w:r>
      <w:r w:rsidR="005A47FE">
        <w:rPr>
          <w:b/>
          <w:sz w:val="28"/>
          <w:szCs w:val="28"/>
          <w:lang w:val="nl-NL"/>
        </w:rPr>
        <w:t>/</w:t>
      </w:r>
      <w:r w:rsidR="00381192" w:rsidRPr="00381192">
        <w:rPr>
          <w:b/>
          <w:sz w:val="28"/>
          <w:szCs w:val="28"/>
          <w:lang w:val="nl-NL"/>
        </w:rPr>
        <w:t>202</w:t>
      </w:r>
      <w:r w:rsidR="00155EAA">
        <w:rPr>
          <w:b/>
          <w:sz w:val="28"/>
          <w:szCs w:val="28"/>
          <w:lang w:val="nl-NL"/>
        </w:rPr>
        <w:t>4</w:t>
      </w:r>
    </w:p>
    <w:p w14:paraId="4426C3CF" w14:textId="41D9B94E" w:rsidR="00801AD0" w:rsidRDefault="00381192" w:rsidP="00381192">
      <w:pPr>
        <w:jc w:val="center"/>
        <w:rPr>
          <w:b/>
          <w:bCs/>
          <w:iCs/>
          <w:sz w:val="28"/>
          <w:szCs w:val="28"/>
          <w:lang w:val="nl-NL"/>
        </w:rPr>
      </w:pPr>
      <w:r w:rsidRPr="00381192">
        <w:rPr>
          <w:b/>
          <w:bCs/>
          <w:iCs/>
          <w:sz w:val="28"/>
          <w:szCs w:val="28"/>
          <w:lang w:val="nl-NL"/>
        </w:rPr>
        <w:t>QUỸ ĐẦU TƯ CỔ PHIẾU VIỆT NAM CHỌN LỌC</w:t>
      </w:r>
    </w:p>
    <w:p w14:paraId="58A6BCED" w14:textId="77777777" w:rsidR="00381192" w:rsidRPr="00381192" w:rsidRDefault="00381192" w:rsidP="00381192">
      <w:pPr>
        <w:jc w:val="center"/>
        <w:rPr>
          <w:b/>
          <w:bCs/>
          <w:iCs/>
          <w:lang w:val="nl-NL"/>
        </w:rPr>
      </w:pPr>
    </w:p>
    <w:p w14:paraId="766CF314" w14:textId="258E727A" w:rsidR="007922E7" w:rsidRPr="00381192" w:rsidRDefault="00BF0151" w:rsidP="00000563">
      <w:pPr>
        <w:pStyle w:val="ListParagraph"/>
        <w:numPr>
          <w:ilvl w:val="0"/>
          <w:numId w:val="1"/>
        </w:numPr>
        <w:spacing w:after="0"/>
        <w:ind w:left="426"/>
        <w:rPr>
          <w:rFonts w:ascii="Times New Roman" w:hAnsi="Times New Roman"/>
          <w:b/>
          <w:sz w:val="24"/>
          <w:szCs w:val="24"/>
          <w:lang w:val="en-GB"/>
        </w:rPr>
      </w:pPr>
      <w:r w:rsidRPr="00381192">
        <w:rPr>
          <w:rFonts w:ascii="Times New Roman" w:hAnsi="Times New Roman"/>
          <w:b/>
          <w:sz w:val="24"/>
          <w:szCs w:val="24"/>
          <w:lang w:val="nl-NL"/>
        </w:rPr>
        <w:t>THÔNG TIN CHUNG VỀ QUỸ</w:t>
      </w:r>
    </w:p>
    <w:p w14:paraId="03F466CC" w14:textId="269601C8" w:rsidR="007922E7" w:rsidRPr="00381192" w:rsidRDefault="00381192" w:rsidP="00000563">
      <w:pPr>
        <w:pStyle w:val="ListParagraph"/>
        <w:numPr>
          <w:ilvl w:val="1"/>
          <w:numId w:val="1"/>
        </w:numPr>
        <w:shd w:val="clear" w:color="auto" w:fill="FFFFFF"/>
        <w:tabs>
          <w:tab w:val="left" w:pos="540"/>
        </w:tabs>
        <w:spacing w:after="0"/>
        <w:rPr>
          <w:rFonts w:ascii="Times New Roman" w:hAnsi="Times New Roman"/>
          <w:b/>
          <w:sz w:val="24"/>
          <w:szCs w:val="24"/>
          <w:lang w:val="nl-NL"/>
        </w:rPr>
      </w:pPr>
      <w:r>
        <w:rPr>
          <w:rFonts w:ascii="Times New Roman" w:hAnsi="Times New Roman"/>
          <w:b/>
          <w:sz w:val="24"/>
          <w:szCs w:val="24"/>
          <w:lang w:val="nl-NL"/>
        </w:rPr>
        <w:t xml:space="preserve"> </w:t>
      </w:r>
      <w:r w:rsidR="007922E7" w:rsidRPr="00381192">
        <w:rPr>
          <w:rFonts w:ascii="Times New Roman" w:hAnsi="Times New Roman"/>
          <w:b/>
          <w:sz w:val="24"/>
          <w:szCs w:val="24"/>
          <w:lang w:val="nl-NL"/>
        </w:rPr>
        <w:t>Mục tiêu của Quỹ</w:t>
      </w:r>
    </w:p>
    <w:p w14:paraId="4A043E1B" w14:textId="0AFB977B" w:rsidR="00E571F6" w:rsidRPr="00381192" w:rsidRDefault="00E571F6" w:rsidP="00000563">
      <w:pPr>
        <w:spacing w:before="120"/>
        <w:ind w:firstLine="357"/>
        <w:jc w:val="both"/>
        <w:rPr>
          <w:lang w:val="vi-VN"/>
        </w:rPr>
      </w:pPr>
      <w:r w:rsidRPr="00381192">
        <w:rPr>
          <w:bCs/>
          <w:lang w:val="vi-VN" w:eastAsia="en-GB"/>
        </w:rPr>
        <w:t>Quỹ đầu tư Cổ phiếu Việt Nam</w:t>
      </w:r>
      <w:r w:rsidR="00273D26">
        <w:rPr>
          <w:bCs/>
          <w:lang w:eastAsia="en-GB"/>
        </w:rPr>
        <w:t xml:space="preserve"> </w:t>
      </w:r>
      <w:r w:rsidRPr="00381192">
        <w:rPr>
          <w:lang w:val="vi-VN"/>
        </w:rPr>
        <w:t xml:space="preserve">(“Quỹ”) nhận giấy chứng nhận đăng ký chào bán chứng chỉ quỹ đầu tư chứng khoán ra công chúng số 91/GCN-UBCK ngày 29 tháng 12 năm 2017. Thời gian phát hành chứng chỉ Quỹ </w:t>
      </w:r>
      <w:proofErr w:type="spellStart"/>
      <w:r w:rsidRPr="00381192">
        <w:t>lần</w:t>
      </w:r>
      <w:proofErr w:type="spellEnd"/>
      <w:r w:rsidRPr="00381192">
        <w:t xml:space="preserve"> </w:t>
      </w:r>
      <w:proofErr w:type="spellStart"/>
      <w:r w:rsidRPr="00381192">
        <w:t>đầu</w:t>
      </w:r>
      <w:proofErr w:type="spellEnd"/>
      <w:r w:rsidRPr="00381192">
        <w:t xml:space="preserve"> </w:t>
      </w:r>
      <w:r w:rsidRPr="00381192">
        <w:rPr>
          <w:lang w:val="vi-VN"/>
        </w:rPr>
        <w:t xml:space="preserve">ra công chúng từ </w:t>
      </w:r>
      <w:r w:rsidRPr="00381192">
        <w:t>1</w:t>
      </w:r>
      <w:r w:rsidRPr="00381192">
        <w:rPr>
          <w:lang w:val="vi-VN"/>
        </w:rPr>
        <w:t>8/01/2018 và kết thúc vào ngày 08/02/2018.</w:t>
      </w:r>
    </w:p>
    <w:p w14:paraId="1FCF6E33" w14:textId="70EEEE9F" w:rsidR="00E571F6" w:rsidRPr="00381192" w:rsidRDefault="00273D26" w:rsidP="00000563">
      <w:pPr>
        <w:ind w:firstLine="360"/>
        <w:jc w:val="both"/>
        <w:rPr>
          <w:lang w:val="vi-VN"/>
        </w:rPr>
      </w:pPr>
      <w:r w:rsidRPr="00381192">
        <w:rPr>
          <w:bCs/>
          <w:lang w:val="vi-VN" w:eastAsia="en-GB"/>
        </w:rPr>
        <w:t>Quỹ đầu tư Cổ phiếu Việt Nam</w:t>
      </w:r>
      <w:r>
        <w:rPr>
          <w:bCs/>
          <w:lang w:eastAsia="en-GB"/>
        </w:rPr>
        <w:t xml:space="preserve"> </w:t>
      </w:r>
      <w:r w:rsidR="00E571F6" w:rsidRPr="00381192">
        <w:rPr>
          <w:lang w:val="vi-VN"/>
        </w:rPr>
        <w:t>được cấp giấy chứng nhận đăng ký lập quỹ đại chúng số 31/GCN-UBCK ngày 02 tháng 03 năm 2018.</w:t>
      </w:r>
    </w:p>
    <w:p w14:paraId="73C34C94" w14:textId="359931EF" w:rsidR="00E571F6" w:rsidRPr="00381192" w:rsidRDefault="00273D26" w:rsidP="00000563">
      <w:pPr>
        <w:ind w:firstLine="360"/>
        <w:jc w:val="both"/>
      </w:pPr>
      <w:r w:rsidRPr="00381192">
        <w:rPr>
          <w:bCs/>
          <w:lang w:val="vi-VN" w:eastAsia="en-GB"/>
        </w:rPr>
        <w:t>Quỹ đầu tư Cổ phiếu Việt Nam</w:t>
      </w:r>
      <w:r>
        <w:rPr>
          <w:bCs/>
          <w:lang w:eastAsia="en-GB"/>
        </w:rPr>
        <w:t xml:space="preserve"> </w:t>
      </w:r>
      <w:proofErr w:type="spellStart"/>
      <w:r>
        <w:rPr>
          <w:bCs/>
          <w:lang w:eastAsia="en-GB"/>
        </w:rPr>
        <w:t>Chọn</w:t>
      </w:r>
      <w:proofErr w:type="spellEnd"/>
      <w:r>
        <w:rPr>
          <w:bCs/>
          <w:lang w:eastAsia="en-GB"/>
        </w:rPr>
        <w:t xml:space="preserve"> </w:t>
      </w:r>
      <w:proofErr w:type="spellStart"/>
      <w:r>
        <w:rPr>
          <w:bCs/>
          <w:lang w:eastAsia="en-GB"/>
        </w:rPr>
        <w:t>Lọc</w:t>
      </w:r>
      <w:proofErr w:type="spellEnd"/>
      <w:r w:rsidR="00E571F6" w:rsidRPr="00381192">
        <w:t xml:space="preserve"> </w:t>
      </w:r>
      <w:proofErr w:type="spellStart"/>
      <w:r w:rsidR="00E571F6" w:rsidRPr="00381192">
        <w:t>được</w:t>
      </w:r>
      <w:proofErr w:type="spellEnd"/>
      <w:r w:rsidR="00E571F6" w:rsidRPr="00381192">
        <w:t xml:space="preserve"> </w:t>
      </w:r>
      <w:proofErr w:type="spellStart"/>
      <w:r w:rsidR="00E571F6" w:rsidRPr="00381192">
        <w:t>cấp</w:t>
      </w:r>
      <w:proofErr w:type="spellEnd"/>
      <w:r w:rsidR="00E571F6" w:rsidRPr="00381192">
        <w:t xml:space="preserve"> </w:t>
      </w:r>
      <w:proofErr w:type="spellStart"/>
      <w:r w:rsidR="00E571F6" w:rsidRPr="00381192">
        <w:t>giấy</w:t>
      </w:r>
      <w:proofErr w:type="spellEnd"/>
      <w:r w:rsidR="00E571F6" w:rsidRPr="00381192">
        <w:t xml:space="preserve"> </w:t>
      </w:r>
      <w:proofErr w:type="spellStart"/>
      <w:r w:rsidR="00E571F6" w:rsidRPr="00381192">
        <w:t>chứng</w:t>
      </w:r>
      <w:proofErr w:type="spellEnd"/>
      <w:r w:rsidR="00E571F6" w:rsidRPr="00381192">
        <w:t xml:space="preserve"> </w:t>
      </w:r>
      <w:proofErr w:type="spellStart"/>
      <w:r w:rsidR="00E571F6" w:rsidRPr="00381192">
        <w:t>nhận</w:t>
      </w:r>
      <w:proofErr w:type="spellEnd"/>
      <w:r w:rsidR="00E571F6" w:rsidRPr="00381192">
        <w:t xml:space="preserve"> </w:t>
      </w:r>
      <w:proofErr w:type="spellStart"/>
      <w:r w:rsidR="00E571F6" w:rsidRPr="00381192">
        <w:t>đổi</w:t>
      </w:r>
      <w:proofErr w:type="spellEnd"/>
      <w:r w:rsidR="00E571F6" w:rsidRPr="00381192">
        <w:t xml:space="preserve"> </w:t>
      </w:r>
      <w:proofErr w:type="spellStart"/>
      <w:r w:rsidR="00E571F6" w:rsidRPr="00381192">
        <w:t>tên</w:t>
      </w:r>
      <w:proofErr w:type="spellEnd"/>
      <w:r w:rsidR="00E571F6" w:rsidRPr="00381192">
        <w:t xml:space="preserve"> </w:t>
      </w:r>
      <w:proofErr w:type="spellStart"/>
      <w:r w:rsidR="00E571F6" w:rsidRPr="00381192">
        <w:t>thành</w:t>
      </w:r>
      <w:proofErr w:type="spellEnd"/>
      <w:r w:rsidR="00E571F6" w:rsidRPr="00381192">
        <w:t xml:space="preserve"> </w:t>
      </w:r>
      <w:proofErr w:type="spellStart"/>
      <w:r w:rsidR="00E571F6" w:rsidRPr="00381192">
        <w:t>Quỹ</w:t>
      </w:r>
      <w:proofErr w:type="spellEnd"/>
      <w:r w:rsidR="00E571F6" w:rsidRPr="00381192">
        <w:t xml:space="preserve"> </w:t>
      </w:r>
      <w:proofErr w:type="spellStart"/>
      <w:r w:rsidR="00E571F6" w:rsidRPr="00381192">
        <w:t>đầu</w:t>
      </w:r>
      <w:proofErr w:type="spellEnd"/>
      <w:r w:rsidR="00E571F6" w:rsidRPr="00381192">
        <w:t xml:space="preserve"> </w:t>
      </w:r>
      <w:proofErr w:type="spellStart"/>
      <w:r w:rsidR="00E571F6" w:rsidRPr="00381192">
        <w:t>tư</w:t>
      </w:r>
      <w:proofErr w:type="spellEnd"/>
      <w:r w:rsidR="00E571F6" w:rsidRPr="00381192">
        <w:t xml:space="preserve"> </w:t>
      </w:r>
      <w:proofErr w:type="spellStart"/>
      <w:r w:rsidR="00E571F6" w:rsidRPr="00381192">
        <w:t>Cổ</w:t>
      </w:r>
      <w:proofErr w:type="spellEnd"/>
      <w:r w:rsidR="00E571F6" w:rsidRPr="00381192">
        <w:t xml:space="preserve"> </w:t>
      </w:r>
      <w:proofErr w:type="spellStart"/>
      <w:r w:rsidR="00E571F6" w:rsidRPr="00381192">
        <w:t>phiếu</w:t>
      </w:r>
      <w:proofErr w:type="spellEnd"/>
      <w:r w:rsidR="00E571F6" w:rsidRPr="00381192">
        <w:t xml:space="preserve"> Việt Nam </w:t>
      </w:r>
      <w:proofErr w:type="spellStart"/>
      <w:r w:rsidR="00E571F6" w:rsidRPr="00381192">
        <w:t>Chọn</w:t>
      </w:r>
      <w:proofErr w:type="spellEnd"/>
      <w:r w:rsidR="00E571F6" w:rsidRPr="00381192">
        <w:t xml:space="preserve"> </w:t>
      </w:r>
      <w:proofErr w:type="spellStart"/>
      <w:r w:rsidR="00E571F6" w:rsidRPr="00381192">
        <w:t>Lọc</w:t>
      </w:r>
      <w:proofErr w:type="spellEnd"/>
      <w:r w:rsidR="00E571F6" w:rsidRPr="00381192">
        <w:t xml:space="preserve"> </w:t>
      </w:r>
      <w:proofErr w:type="spellStart"/>
      <w:r w:rsidR="00E571F6" w:rsidRPr="00381192">
        <w:t>số</w:t>
      </w:r>
      <w:proofErr w:type="spellEnd"/>
      <w:r w:rsidR="00E571F6" w:rsidRPr="00381192">
        <w:t xml:space="preserve"> 05/GCN-UBCK </w:t>
      </w:r>
      <w:proofErr w:type="spellStart"/>
      <w:r w:rsidR="00E571F6" w:rsidRPr="00381192">
        <w:t>ngày</w:t>
      </w:r>
      <w:proofErr w:type="spellEnd"/>
      <w:r w:rsidR="00E571F6" w:rsidRPr="00381192">
        <w:t xml:space="preserve"> 02 </w:t>
      </w:r>
      <w:proofErr w:type="spellStart"/>
      <w:r w:rsidR="00E571F6" w:rsidRPr="00381192">
        <w:t>tháng</w:t>
      </w:r>
      <w:proofErr w:type="spellEnd"/>
      <w:r w:rsidR="00E571F6" w:rsidRPr="00381192">
        <w:t xml:space="preserve"> 12 </w:t>
      </w:r>
      <w:proofErr w:type="spellStart"/>
      <w:r w:rsidR="00E571F6" w:rsidRPr="00381192">
        <w:t>năm</w:t>
      </w:r>
      <w:proofErr w:type="spellEnd"/>
      <w:r w:rsidR="00E571F6" w:rsidRPr="00381192">
        <w:t xml:space="preserve"> 2019.</w:t>
      </w:r>
    </w:p>
    <w:p w14:paraId="1B36D865" w14:textId="77777777" w:rsidR="00000563" w:rsidRDefault="00000563" w:rsidP="00000563">
      <w:pPr>
        <w:pStyle w:val="ListParagraph"/>
        <w:shd w:val="clear" w:color="auto" w:fill="FFFFFF"/>
        <w:tabs>
          <w:tab w:val="left" w:pos="540"/>
        </w:tabs>
        <w:spacing w:after="0"/>
        <w:ind w:left="0"/>
        <w:rPr>
          <w:rFonts w:ascii="Times New Roman" w:hAnsi="Times New Roman"/>
          <w:b/>
          <w:sz w:val="24"/>
          <w:szCs w:val="24"/>
          <w:lang w:val="nl-NL"/>
        </w:rPr>
      </w:pPr>
    </w:p>
    <w:p w14:paraId="32AFC2E3" w14:textId="585D1B57" w:rsidR="007922E7" w:rsidRPr="00381192" w:rsidRDefault="00000563" w:rsidP="00000563">
      <w:pPr>
        <w:pStyle w:val="ListParagraph"/>
        <w:numPr>
          <w:ilvl w:val="1"/>
          <w:numId w:val="1"/>
        </w:numPr>
        <w:shd w:val="clear" w:color="auto" w:fill="FFFFFF"/>
        <w:tabs>
          <w:tab w:val="left" w:pos="540"/>
        </w:tabs>
        <w:spacing w:after="0"/>
        <w:rPr>
          <w:rFonts w:ascii="Times New Roman" w:hAnsi="Times New Roman"/>
          <w:b/>
          <w:sz w:val="24"/>
          <w:szCs w:val="24"/>
          <w:lang w:val="nl-NL"/>
        </w:rPr>
      </w:pPr>
      <w:r>
        <w:rPr>
          <w:rFonts w:ascii="Times New Roman" w:hAnsi="Times New Roman"/>
          <w:b/>
          <w:sz w:val="24"/>
          <w:szCs w:val="24"/>
          <w:lang w:val="nl-NL"/>
        </w:rPr>
        <w:t xml:space="preserve"> </w:t>
      </w:r>
      <w:r w:rsidR="007922E7" w:rsidRPr="00381192">
        <w:rPr>
          <w:rFonts w:ascii="Times New Roman" w:hAnsi="Times New Roman"/>
          <w:b/>
          <w:sz w:val="24"/>
          <w:szCs w:val="24"/>
          <w:lang w:val="nl-NL"/>
        </w:rPr>
        <w:t>Hiệu quả hoạt động của Quỹ</w:t>
      </w:r>
    </w:p>
    <w:p w14:paraId="2C45A77E" w14:textId="1D8A4ABD" w:rsidR="00000563" w:rsidRDefault="00000563" w:rsidP="00375C22">
      <w:pPr>
        <w:shd w:val="clear" w:color="auto" w:fill="FFFFFF"/>
        <w:tabs>
          <w:tab w:val="left" w:pos="540"/>
        </w:tabs>
        <w:spacing w:before="120"/>
        <w:jc w:val="both"/>
        <w:rPr>
          <w:lang w:val="nl-NL"/>
        </w:rPr>
      </w:pPr>
      <w:r w:rsidRPr="00000563">
        <w:rPr>
          <w:lang w:val="nl-NL"/>
        </w:rPr>
        <w:tab/>
      </w:r>
      <w:r w:rsidR="00344C2B" w:rsidRPr="00344C2B">
        <w:rPr>
          <w:lang w:val="nl-NL"/>
        </w:rPr>
        <w:t>Kết thúc ngày 30 tháng 6 năm 2024, thay đổi giá trị tài sản ròng (NAV) của Quỹ là +54.28% so với giá trị tài sản ròng của quỹ đầu kỳ báo cáo tại ngày 30 tháng 6 năm 2023. Thay đổi NAV/ccq cùng kỳ là +31.81%.</w:t>
      </w:r>
    </w:p>
    <w:p w14:paraId="17D4A871" w14:textId="77777777" w:rsidR="00375C22" w:rsidRPr="00000563" w:rsidRDefault="00375C22" w:rsidP="00375C22">
      <w:pPr>
        <w:shd w:val="clear" w:color="auto" w:fill="FFFFFF"/>
        <w:tabs>
          <w:tab w:val="left" w:pos="540"/>
        </w:tabs>
        <w:jc w:val="both"/>
        <w:rPr>
          <w:lang w:val="nl-NL"/>
        </w:rPr>
      </w:pPr>
    </w:p>
    <w:p w14:paraId="4F24C73E" w14:textId="498DBBA9" w:rsidR="007922E7" w:rsidRPr="00381192" w:rsidRDefault="00000563" w:rsidP="00000563">
      <w:pPr>
        <w:pStyle w:val="ListParagraph"/>
        <w:numPr>
          <w:ilvl w:val="1"/>
          <w:numId w:val="1"/>
        </w:numPr>
        <w:shd w:val="clear" w:color="auto" w:fill="FFFFFF"/>
        <w:tabs>
          <w:tab w:val="left" w:pos="540"/>
        </w:tabs>
        <w:spacing w:after="0"/>
        <w:rPr>
          <w:rFonts w:ascii="Times New Roman" w:hAnsi="Times New Roman"/>
          <w:b/>
          <w:sz w:val="24"/>
          <w:szCs w:val="24"/>
          <w:lang w:val="nl-NL"/>
        </w:rPr>
      </w:pPr>
      <w:r>
        <w:rPr>
          <w:rFonts w:ascii="Times New Roman" w:hAnsi="Times New Roman"/>
          <w:b/>
          <w:sz w:val="24"/>
          <w:szCs w:val="24"/>
          <w:lang w:val="nl-NL"/>
        </w:rPr>
        <w:t xml:space="preserve"> </w:t>
      </w:r>
      <w:r w:rsidR="007922E7" w:rsidRPr="00381192">
        <w:rPr>
          <w:rFonts w:ascii="Times New Roman" w:hAnsi="Times New Roman"/>
          <w:b/>
          <w:sz w:val="24"/>
          <w:szCs w:val="24"/>
          <w:lang w:val="nl-NL"/>
        </w:rPr>
        <w:t>Chính sách và chiến lược đầu tư của Quỹ</w:t>
      </w:r>
    </w:p>
    <w:p w14:paraId="4BBFDD96" w14:textId="77777777" w:rsidR="005A47FE" w:rsidRPr="00381192" w:rsidRDefault="00000563" w:rsidP="005A47FE">
      <w:pPr>
        <w:shd w:val="clear" w:color="auto" w:fill="FFFFFF"/>
        <w:tabs>
          <w:tab w:val="left" w:pos="540"/>
        </w:tabs>
        <w:jc w:val="both"/>
      </w:pPr>
      <w:r>
        <w:tab/>
      </w:r>
      <w:proofErr w:type="spellStart"/>
      <w:r w:rsidR="005A47FE" w:rsidRPr="00381192">
        <w:t>Chiến</w:t>
      </w:r>
      <w:proofErr w:type="spellEnd"/>
      <w:r w:rsidR="005A47FE" w:rsidRPr="00381192">
        <w:t xml:space="preserve"> </w:t>
      </w:r>
      <w:proofErr w:type="spellStart"/>
      <w:r w:rsidR="005A47FE" w:rsidRPr="00381192">
        <w:t>lược</w:t>
      </w:r>
      <w:proofErr w:type="spellEnd"/>
      <w:r w:rsidR="005A47FE" w:rsidRPr="00381192">
        <w:t xml:space="preserve"> </w:t>
      </w:r>
      <w:proofErr w:type="spellStart"/>
      <w:r w:rsidR="005A47FE" w:rsidRPr="00381192">
        <w:t>đầu</w:t>
      </w:r>
      <w:proofErr w:type="spellEnd"/>
      <w:r w:rsidR="005A47FE" w:rsidRPr="00381192">
        <w:t xml:space="preserve"> </w:t>
      </w:r>
      <w:proofErr w:type="spellStart"/>
      <w:r w:rsidR="005A47FE" w:rsidRPr="00381192">
        <w:t>tư</w:t>
      </w:r>
      <w:proofErr w:type="spellEnd"/>
      <w:r w:rsidR="005A47FE" w:rsidRPr="00381192">
        <w:t xml:space="preserve"> </w:t>
      </w:r>
      <w:proofErr w:type="spellStart"/>
      <w:r w:rsidR="005A47FE" w:rsidRPr="00381192">
        <w:t>của</w:t>
      </w:r>
      <w:proofErr w:type="spellEnd"/>
      <w:r w:rsidR="005A47FE" w:rsidRPr="00381192">
        <w:t xml:space="preserve"> </w:t>
      </w:r>
      <w:proofErr w:type="spellStart"/>
      <w:r w:rsidR="005A47FE" w:rsidRPr="00381192">
        <w:t>Quỹ</w:t>
      </w:r>
      <w:proofErr w:type="spellEnd"/>
      <w:r w:rsidR="005A47FE" w:rsidRPr="00381192">
        <w:t xml:space="preserve"> </w:t>
      </w:r>
      <w:proofErr w:type="spellStart"/>
      <w:r w:rsidR="005A47FE" w:rsidRPr="00381192">
        <w:t>kết</w:t>
      </w:r>
      <w:proofErr w:type="spellEnd"/>
      <w:r w:rsidR="005A47FE" w:rsidRPr="00381192">
        <w:t xml:space="preserve"> </w:t>
      </w:r>
      <w:proofErr w:type="spellStart"/>
      <w:r w:rsidR="005A47FE" w:rsidRPr="00381192">
        <w:t>hợp</w:t>
      </w:r>
      <w:proofErr w:type="spellEnd"/>
      <w:r w:rsidR="005A47FE" w:rsidRPr="00381192">
        <w:t xml:space="preserve"> </w:t>
      </w:r>
      <w:proofErr w:type="spellStart"/>
      <w:r w:rsidR="005A47FE" w:rsidRPr="00381192">
        <w:t>linh</w:t>
      </w:r>
      <w:proofErr w:type="spellEnd"/>
      <w:r w:rsidR="005A47FE" w:rsidRPr="00381192">
        <w:t xml:space="preserve"> </w:t>
      </w:r>
      <w:proofErr w:type="spellStart"/>
      <w:r w:rsidR="005A47FE" w:rsidRPr="00381192">
        <w:t>hoạt</w:t>
      </w:r>
      <w:proofErr w:type="spellEnd"/>
      <w:r w:rsidR="005A47FE" w:rsidRPr="00381192">
        <w:t xml:space="preserve"> </w:t>
      </w:r>
      <w:proofErr w:type="spellStart"/>
      <w:r w:rsidR="005A47FE" w:rsidRPr="00381192">
        <w:t>chiến</w:t>
      </w:r>
      <w:proofErr w:type="spellEnd"/>
      <w:r w:rsidR="005A47FE" w:rsidRPr="00381192">
        <w:t xml:space="preserve"> </w:t>
      </w:r>
      <w:proofErr w:type="spellStart"/>
      <w:r w:rsidR="005A47FE" w:rsidRPr="00381192">
        <w:t>lược</w:t>
      </w:r>
      <w:proofErr w:type="spellEnd"/>
      <w:r w:rsidR="005A47FE" w:rsidRPr="00381192">
        <w:t xml:space="preserve"> </w:t>
      </w:r>
      <w:proofErr w:type="spellStart"/>
      <w:r w:rsidR="005A47FE" w:rsidRPr="00381192">
        <w:t>đầu</w:t>
      </w:r>
      <w:proofErr w:type="spellEnd"/>
      <w:r w:rsidR="005A47FE" w:rsidRPr="00381192">
        <w:t xml:space="preserve"> </w:t>
      </w:r>
      <w:proofErr w:type="spellStart"/>
      <w:r w:rsidR="005A47FE" w:rsidRPr="00381192">
        <w:t>tư</w:t>
      </w:r>
      <w:proofErr w:type="spellEnd"/>
      <w:r w:rsidR="005A47FE" w:rsidRPr="00381192">
        <w:t xml:space="preserve"> </w:t>
      </w:r>
      <w:proofErr w:type="spellStart"/>
      <w:r w:rsidR="005A47FE" w:rsidRPr="00381192">
        <w:t>giá</w:t>
      </w:r>
      <w:proofErr w:type="spellEnd"/>
      <w:r w:rsidR="005A47FE" w:rsidRPr="00381192">
        <w:t xml:space="preserve"> </w:t>
      </w:r>
      <w:proofErr w:type="spellStart"/>
      <w:r w:rsidR="005A47FE" w:rsidRPr="00381192">
        <w:t>trị</w:t>
      </w:r>
      <w:proofErr w:type="spellEnd"/>
      <w:r w:rsidR="005A47FE" w:rsidRPr="00381192">
        <w:t xml:space="preserve"> </w:t>
      </w:r>
      <w:proofErr w:type="spellStart"/>
      <w:r w:rsidR="005A47FE" w:rsidRPr="00381192">
        <w:t>với</w:t>
      </w:r>
      <w:proofErr w:type="spellEnd"/>
      <w:r w:rsidR="005A47FE" w:rsidRPr="00381192">
        <w:t xml:space="preserve"> </w:t>
      </w:r>
      <w:proofErr w:type="spellStart"/>
      <w:r w:rsidR="005A47FE" w:rsidRPr="00381192">
        <w:t>đầu</w:t>
      </w:r>
      <w:proofErr w:type="spellEnd"/>
      <w:r w:rsidR="005A47FE" w:rsidRPr="00381192">
        <w:t xml:space="preserve"> </w:t>
      </w:r>
      <w:proofErr w:type="spellStart"/>
      <w:r w:rsidR="005A47FE" w:rsidRPr="00381192">
        <w:t>tư</w:t>
      </w:r>
      <w:proofErr w:type="spellEnd"/>
      <w:r w:rsidR="005A47FE" w:rsidRPr="00381192">
        <w:t xml:space="preserve"> </w:t>
      </w:r>
      <w:proofErr w:type="spellStart"/>
      <w:r w:rsidR="005A47FE" w:rsidRPr="00381192">
        <w:t>tăng</w:t>
      </w:r>
      <w:proofErr w:type="spellEnd"/>
      <w:r w:rsidR="005A47FE" w:rsidRPr="00381192">
        <w:t xml:space="preserve"> </w:t>
      </w:r>
      <w:proofErr w:type="spellStart"/>
      <w:r w:rsidR="005A47FE" w:rsidRPr="00381192">
        <w:t>trưởng</w:t>
      </w:r>
      <w:proofErr w:type="spellEnd"/>
      <w:r w:rsidR="005A47FE" w:rsidRPr="00381192">
        <w:t xml:space="preserve">. </w:t>
      </w:r>
      <w:proofErr w:type="spellStart"/>
      <w:r w:rsidR="005A47FE" w:rsidRPr="00381192">
        <w:t>Quỹ</w:t>
      </w:r>
      <w:proofErr w:type="spellEnd"/>
      <w:r w:rsidR="005A47FE" w:rsidRPr="00381192">
        <w:t xml:space="preserve"> </w:t>
      </w:r>
      <w:proofErr w:type="spellStart"/>
      <w:r w:rsidR="005A47FE" w:rsidRPr="00381192">
        <w:t>sẽ</w:t>
      </w:r>
      <w:proofErr w:type="spellEnd"/>
      <w:r w:rsidR="005A47FE" w:rsidRPr="00381192">
        <w:t xml:space="preserve"> </w:t>
      </w:r>
      <w:proofErr w:type="spellStart"/>
      <w:r w:rsidR="005A47FE" w:rsidRPr="00381192">
        <w:t>theo</w:t>
      </w:r>
      <w:proofErr w:type="spellEnd"/>
      <w:r w:rsidR="005A47FE" w:rsidRPr="00381192">
        <w:t xml:space="preserve"> </w:t>
      </w:r>
      <w:proofErr w:type="spellStart"/>
      <w:r w:rsidR="005A47FE" w:rsidRPr="00381192">
        <w:t>đuổi</w:t>
      </w:r>
      <w:proofErr w:type="spellEnd"/>
      <w:r w:rsidR="005A47FE" w:rsidRPr="00381192">
        <w:t xml:space="preserve"> </w:t>
      </w:r>
      <w:proofErr w:type="spellStart"/>
      <w:r w:rsidR="005A47FE" w:rsidRPr="00381192">
        <w:t>chiến</w:t>
      </w:r>
      <w:proofErr w:type="spellEnd"/>
      <w:r w:rsidR="005A47FE" w:rsidRPr="00381192">
        <w:t xml:space="preserve"> </w:t>
      </w:r>
      <w:proofErr w:type="spellStart"/>
      <w:r w:rsidR="005A47FE" w:rsidRPr="00381192">
        <w:t>lược</w:t>
      </w:r>
      <w:proofErr w:type="spellEnd"/>
      <w:r w:rsidR="005A47FE" w:rsidRPr="00381192">
        <w:t xml:space="preserve"> </w:t>
      </w:r>
      <w:proofErr w:type="spellStart"/>
      <w:r w:rsidR="005A47FE" w:rsidRPr="00381192">
        <w:t>đầu</w:t>
      </w:r>
      <w:proofErr w:type="spellEnd"/>
      <w:r w:rsidR="005A47FE" w:rsidRPr="00381192">
        <w:t xml:space="preserve"> </w:t>
      </w:r>
      <w:proofErr w:type="spellStart"/>
      <w:r w:rsidR="005A47FE" w:rsidRPr="00381192">
        <w:t>tư</w:t>
      </w:r>
      <w:proofErr w:type="spellEnd"/>
      <w:r w:rsidR="005A47FE" w:rsidRPr="00381192">
        <w:t xml:space="preserve"> </w:t>
      </w:r>
      <w:proofErr w:type="spellStart"/>
      <w:r w:rsidR="005A47FE" w:rsidRPr="00381192">
        <w:t>dài</w:t>
      </w:r>
      <w:proofErr w:type="spellEnd"/>
      <w:r w:rsidR="005A47FE" w:rsidRPr="00381192">
        <w:t xml:space="preserve"> </w:t>
      </w:r>
      <w:proofErr w:type="spellStart"/>
      <w:r w:rsidR="005A47FE" w:rsidRPr="00381192">
        <w:t>hạn</w:t>
      </w:r>
      <w:proofErr w:type="spellEnd"/>
      <w:r w:rsidR="005A47FE" w:rsidRPr="00381192">
        <w:t xml:space="preserve">, </w:t>
      </w:r>
      <w:proofErr w:type="spellStart"/>
      <w:r w:rsidR="005A47FE" w:rsidRPr="00381192">
        <w:t>tập</w:t>
      </w:r>
      <w:proofErr w:type="spellEnd"/>
      <w:r w:rsidR="005A47FE" w:rsidRPr="00381192">
        <w:t xml:space="preserve"> </w:t>
      </w:r>
      <w:proofErr w:type="spellStart"/>
      <w:r w:rsidR="005A47FE" w:rsidRPr="00381192">
        <w:t>trung</w:t>
      </w:r>
      <w:proofErr w:type="spellEnd"/>
      <w:r w:rsidR="005A47FE" w:rsidRPr="00381192">
        <w:t xml:space="preserve"> </w:t>
      </w:r>
      <w:proofErr w:type="spellStart"/>
      <w:r w:rsidR="005A47FE" w:rsidRPr="00381192">
        <w:t>phân</w:t>
      </w:r>
      <w:proofErr w:type="spellEnd"/>
      <w:r w:rsidR="005A47FE" w:rsidRPr="00381192">
        <w:t xml:space="preserve"> </w:t>
      </w:r>
      <w:proofErr w:type="spellStart"/>
      <w:r w:rsidR="005A47FE" w:rsidRPr="00381192">
        <w:t>tích</w:t>
      </w:r>
      <w:proofErr w:type="spellEnd"/>
      <w:r w:rsidR="005A47FE" w:rsidRPr="00381192">
        <w:t xml:space="preserve"> </w:t>
      </w:r>
      <w:proofErr w:type="spellStart"/>
      <w:r w:rsidR="005A47FE" w:rsidRPr="00381192">
        <w:t>các</w:t>
      </w:r>
      <w:proofErr w:type="spellEnd"/>
      <w:r w:rsidR="005A47FE" w:rsidRPr="00381192">
        <w:t xml:space="preserve"> </w:t>
      </w:r>
      <w:proofErr w:type="spellStart"/>
      <w:r w:rsidR="005A47FE" w:rsidRPr="00381192">
        <w:t>yếu</w:t>
      </w:r>
      <w:proofErr w:type="spellEnd"/>
      <w:r w:rsidR="005A47FE" w:rsidRPr="00381192">
        <w:t xml:space="preserve"> </w:t>
      </w:r>
      <w:proofErr w:type="spellStart"/>
      <w:r w:rsidR="005A47FE" w:rsidRPr="00381192">
        <w:t>tố</w:t>
      </w:r>
      <w:proofErr w:type="spellEnd"/>
      <w:r w:rsidR="005A47FE" w:rsidRPr="00381192">
        <w:t xml:space="preserve"> </w:t>
      </w:r>
      <w:proofErr w:type="spellStart"/>
      <w:r w:rsidR="005A47FE" w:rsidRPr="00381192">
        <w:t>cơ</w:t>
      </w:r>
      <w:proofErr w:type="spellEnd"/>
      <w:r w:rsidR="005A47FE" w:rsidRPr="00381192">
        <w:t xml:space="preserve"> </w:t>
      </w:r>
      <w:proofErr w:type="spellStart"/>
      <w:r w:rsidR="005A47FE" w:rsidRPr="00381192">
        <w:t>bản</w:t>
      </w:r>
      <w:proofErr w:type="spellEnd"/>
      <w:r w:rsidR="005A47FE" w:rsidRPr="00381192">
        <w:t xml:space="preserve"> </w:t>
      </w:r>
      <w:proofErr w:type="spellStart"/>
      <w:r w:rsidR="005A47FE" w:rsidRPr="00381192">
        <w:t>và</w:t>
      </w:r>
      <w:proofErr w:type="spellEnd"/>
      <w:r w:rsidR="005A47FE" w:rsidRPr="00381192">
        <w:t xml:space="preserve"> </w:t>
      </w:r>
      <w:proofErr w:type="spellStart"/>
      <w:r w:rsidR="005A47FE" w:rsidRPr="00381192">
        <w:t>giá</w:t>
      </w:r>
      <w:proofErr w:type="spellEnd"/>
      <w:r w:rsidR="005A47FE" w:rsidRPr="00381192">
        <w:t xml:space="preserve"> </w:t>
      </w:r>
      <w:proofErr w:type="spellStart"/>
      <w:r w:rsidR="005A47FE" w:rsidRPr="00381192">
        <w:t>trị</w:t>
      </w:r>
      <w:proofErr w:type="spellEnd"/>
      <w:r w:rsidR="005A47FE" w:rsidRPr="00381192">
        <w:t xml:space="preserve"> </w:t>
      </w:r>
      <w:proofErr w:type="spellStart"/>
      <w:r w:rsidR="005A47FE" w:rsidRPr="00381192">
        <w:t>doanh</w:t>
      </w:r>
      <w:proofErr w:type="spellEnd"/>
      <w:r w:rsidR="005A47FE" w:rsidRPr="00381192">
        <w:t xml:space="preserve"> </w:t>
      </w:r>
      <w:proofErr w:type="spellStart"/>
      <w:r w:rsidR="005A47FE" w:rsidRPr="00381192">
        <w:t>nghiệp</w:t>
      </w:r>
      <w:proofErr w:type="spellEnd"/>
      <w:r w:rsidR="005A47FE" w:rsidRPr="00381192">
        <w:t xml:space="preserve">. </w:t>
      </w:r>
    </w:p>
    <w:p w14:paraId="1AA49132" w14:textId="77777777" w:rsidR="005A47FE" w:rsidRPr="00381192" w:rsidRDefault="005A47FE" w:rsidP="005A47FE">
      <w:pPr>
        <w:shd w:val="clear" w:color="auto" w:fill="FFFFFF"/>
        <w:tabs>
          <w:tab w:val="left" w:pos="540"/>
        </w:tabs>
        <w:jc w:val="both"/>
      </w:pPr>
      <w:r>
        <w:tab/>
      </w:r>
      <w:proofErr w:type="spellStart"/>
      <w:r w:rsidRPr="00381192">
        <w:t>Quỹ</w:t>
      </w:r>
      <w:proofErr w:type="spellEnd"/>
      <w:r w:rsidRPr="00381192">
        <w:t xml:space="preserve"> </w:t>
      </w:r>
      <w:proofErr w:type="spellStart"/>
      <w:r w:rsidRPr="00381192">
        <w:t>sẽ</w:t>
      </w:r>
      <w:proofErr w:type="spellEnd"/>
      <w:r w:rsidRPr="00381192">
        <w:t xml:space="preserve"> </w:t>
      </w:r>
      <w:proofErr w:type="spellStart"/>
      <w:r w:rsidRPr="00381192">
        <w:t>đầu</w:t>
      </w:r>
      <w:proofErr w:type="spellEnd"/>
      <w:r w:rsidRPr="00381192">
        <w:t xml:space="preserve"> </w:t>
      </w:r>
      <w:proofErr w:type="spellStart"/>
      <w:r w:rsidRPr="00381192">
        <w:t>tư</w:t>
      </w:r>
      <w:proofErr w:type="spellEnd"/>
      <w:r w:rsidRPr="00381192">
        <w:t xml:space="preserve"> </w:t>
      </w:r>
      <w:proofErr w:type="spellStart"/>
      <w:r w:rsidRPr="00381192">
        <w:t>chủ</w:t>
      </w:r>
      <w:proofErr w:type="spellEnd"/>
      <w:r w:rsidRPr="00381192">
        <w:t xml:space="preserve"> </w:t>
      </w:r>
      <w:proofErr w:type="spellStart"/>
      <w:r w:rsidRPr="00381192">
        <w:t>yếu</w:t>
      </w:r>
      <w:proofErr w:type="spellEnd"/>
      <w:r w:rsidRPr="00381192">
        <w:t xml:space="preserve"> </w:t>
      </w:r>
      <w:proofErr w:type="spellStart"/>
      <w:r w:rsidRPr="00381192">
        <w:t>vào</w:t>
      </w:r>
      <w:proofErr w:type="spellEnd"/>
      <w:r w:rsidRPr="00381192">
        <w:t xml:space="preserve"> </w:t>
      </w:r>
      <w:proofErr w:type="spellStart"/>
      <w:r w:rsidRPr="00381192">
        <w:t>cổ</w:t>
      </w:r>
      <w:proofErr w:type="spellEnd"/>
      <w:r w:rsidRPr="00381192">
        <w:t xml:space="preserve"> </w:t>
      </w:r>
      <w:proofErr w:type="spellStart"/>
      <w:r w:rsidRPr="00381192">
        <w:t>phiếu</w:t>
      </w:r>
      <w:proofErr w:type="spellEnd"/>
      <w:r w:rsidRPr="00381192">
        <w:t xml:space="preserve"> </w:t>
      </w:r>
      <w:proofErr w:type="spellStart"/>
      <w:r w:rsidRPr="00381192">
        <w:t>của</w:t>
      </w:r>
      <w:proofErr w:type="spellEnd"/>
      <w:r w:rsidRPr="00381192">
        <w:t xml:space="preserve"> </w:t>
      </w:r>
      <w:proofErr w:type="spellStart"/>
      <w:r w:rsidRPr="00381192">
        <w:t>các</w:t>
      </w:r>
      <w:proofErr w:type="spellEnd"/>
      <w:r w:rsidRPr="00381192">
        <w:t xml:space="preserve"> </w:t>
      </w:r>
      <w:proofErr w:type="spellStart"/>
      <w:r w:rsidRPr="00381192">
        <w:t>công</w:t>
      </w:r>
      <w:proofErr w:type="spellEnd"/>
      <w:r w:rsidRPr="00381192">
        <w:t xml:space="preserve"> ty </w:t>
      </w:r>
      <w:proofErr w:type="spellStart"/>
      <w:r w:rsidRPr="00381192">
        <w:t>hiện</w:t>
      </w:r>
      <w:proofErr w:type="spellEnd"/>
      <w:r w:rsidRPr="00381192">
        <w:t xml:space="preserve"> </w:t>
      </w:r>
      <w:proofErr w:type="spellStart"/>
      <w:r w:rsidRPr="00381192">
        <w:t>đang</w:t>
      </w:r>
      <w:proofErr w:type="spellEnd"/>
      <w:r w:rsidRPr="00381192">
        <w:t xml:space="preserve"> </w:t>
      </w:r>
      <w:proofErr w:type="spellStart"/>
      <w:r w:rsidRPr="00381192">
        <w:t>niêm</w:t>
      </w:r>
      <w:proofErr w:type="spellEnd"/>
      <w:r w:rsidRPr="00381192">
        <w:t xml:space="preserve"> </w:t>
      </w:r>
      <w:proofErr w:type="spellStart"/>
      <w:r w:rsidRPr="00381192">
        <w:t>yết</w:t>
      </w:r>
      <w:proofErr w:type="spellEnd"/>
      <w:r w:rsidRPr="00381192">
        <w:t xml:space="preserve"> </w:t>
      </w:r>
      <w:proofErr w:type="spellStart"/>
      <w:r w:rsidRPr="00381192">
        <w:t>và</w:t>
      </w:r>
      <w:proofErr w:type="spellEnd"/>
      <w:r w:rsidRPr="00381192">
        <w:t xml:space="preserve"> </w:t>
      </w:r>
      <w:proofErr w:type="spellStart"/>
      <w:r w:rsidRPr="00381192">
        <w:t>đăng</w:t>
      </w:r>
      <w:proofErr w:type="spellEnd"/>
      <w:r w:rsidRPr="00381192">
        <w:t xml:space="preserve"> </w:t>
      </w:r>
      <w:proofErr w:type="spellStart"/>
      <w:r w:rsidRPr="00381192">
        <w:t>ký</w:t>
      </w:r>
      <w:proofErr w:type="spellEnd"/>
      <w:r w:rsidRPr="00381192">
        <w:t xml:space="preserve"> </w:t>
      </w:r>
      <w:proofErr w:type="spellStart"/>
      <w:r w:rsidRPr="00381192">
        <w:t>giao</w:t>
      </w:r>
      <w:proofErr w:type="spellEnd"/>
      <w:r w:rsidRPr="00381192">
        <w:t xml:space="preserve"> </w:t>
      </w:r>
      <w:proofErr w:type="spellStart"/>
      <w:r w:rsidRPr="00381192">
        <w:t>dịch</w:t>
      </w:r>
      <w:proofErr w:type="spellEnd"/>
      <w:r w:rsidRPr="00381192">
        <w:t xml:space="preserve"> </w:t>
      </w:r>
      <w:proofErr w:type="spellStart"/>
      <w:r w:rsidRPr="00381192">
        <w:t>trên</w:t>
      </w:r>
      <w:proofErr w:type="spellEnd"/>
      <w:r w:rsidRPr="00381192">
        <w:t xml:space="preserve"> </w:t>
      </w:r>
      <w:proofErr w:type="spellStart"/>
      <w:r w:rsidRPr="00381192">
        <w:t>thị</w:t>
      </w:r>
      <w:proofErr w:type="spellEnd"/>
      <w:r w:rsidRPr="00381192">
        <w:t xml:space="preserve"> </w:t>
      </w:r>
      <w:proofErr w:type="spellStart"/>
      <w:r w:rsidRPr="00381192">
        <w:t>trường</w:t>
      </w:r>
      <w:proofErr w:type="spellEnd"/>
      <w:r w:rsidRPr="00381192">
        <w:t xml:space="preserve"> </w:t>
      </w:r>
      <w:proofErr w:type="spellStart"/>
      <w:r w:rsidRPr="00381192">
        <w:t>chứng</w:t>
      </w:r>
      <w:proofErr w:type="spellEnd"/>
      <w:r w:rsidRPr="00381192">
        <w:t xml:space="preserve"> </w:t>
      </w:r>
      <w:proofErr w:type="spellStart"/>
      <w:r w:rsidRPr="00381192">
        <w:t>khoán</w:t>
      </w:r>
      <w:proofErr w:type="spellEnd"/>
      <w:r w:rsidRPr="00381192">
        <w:t xml:space="preserve"> Việt Nam </w:t>
      </w:r>
      <w:proofErr w:type="spellStart"/>
      <w:r w:rsidRPr="00381192">
        <w:t>có</w:t>
      </w:r>
      <w:proofErr w:type="spellEnd"/>
      <w:r w:rsidRPr="00381192">
        <w:t xml:space="preserve"> </w:t>
      </w:r>
      <w:proofErr w:type="spellStart"/>
      <w:r w:rsidRPr="00381192">
        <w:t>vốn</w:t>
      </w:r>
      <w:proofErr w:type="spellEnd"/>
      <w:r w:rsidRPr="00381192">
        <w:t xml:space="preserve"> </w:t>
      </w:r>
      <w:proofErr w:type="spellStart"/>
      <w:r w:rsidRPr="00381192">
        <w:t>hóa</w:t>
      </w:r>
      <w:proofErr w:type="spellEnd"/>
      <w:r w:rsidRPr="00381192">
        <w:t xml:space="preserve"> </w:t>
      </w:r>
      <w:proofErr w:type="spellStart"/>
      <w:r w:rsidRPr="00381192">
        <w:t>trung</w:t>
      </w:r>
      <w:proofErr w:type="spellEnd"/>
      <w:r w:rsidRPr="00381192">
        <w:t xml:space="preserve"> </w:t>
      </w:r>
      <w:proofErr w:type="spellStart"/>
      <w:r w:rsidRPr="00381192">
        <w:t>bình</w:t>
      </w:r>
      <w:proofErr w:type="spellEnd"/>
      <w:r w:rsidRPr="00381192">
        <w:t xml:space="preserve"> </w:t>
      </w:r>
      <w:proofErr w:type="spellStart"/>
      <w:r w:rsidRPr="00381192">
        <w:t>và</w:t>
      </w:r>
      <w:proofErr w:type="spellEnd"/>
      <w:r w:rsidRPr="00381192">
        <w:t xml:space="preserve"> </w:t>
      </w:r>
      <w:proofErr w:type="spellStart"/>
      <w:r w:rsidRPr="00381192">
        <w:t>lớn</w:t>
      </w:r>
      <w:proofErr w:type="spellEnd"/>
      <w:r w:rsidRPr="00381192">
        <w:t xml:space="preserve"> ở </w:t>
      </w:r>
      <w:proofErr w:type="spellStart"/>
      <w:r w:rsidRPr="00381192">
        <w:t>tất</w:t>
      </w:r>
      <w:proofErr w:type="spellEnd"/>
      <w:r w:rsidRPr="00381192">
        <w:t xml:space="preserve"> </w:t>
      </w:r>
      <w:proofErr w:type="spellStart"/>
      <w:r w:rsidRPr="00381192">
        <w:t>cả</w:t>
      </w:r>
      <w:proofErr w:type="spellEnd"/>
      <w:r w:rsidRPr="00381192">
        <w:t xml:space="preserve"> </w:t>
      </w:r>
      <w:proofErr w:type="spellStart"/>
      <w:r w:rsidRPr="00381192">
        <w:t>ngành</w:t>
      </w:r>
      <w:proofErr w:type="spellEnd"/>
      <w:r w:rsidRPr="00381192">
        <w:t xml:space="preserve"> </w:t>
      </w:r>
      <w:proofErr w:type="spellStart"/>
      <w:r w:rsidRPr="00381192">
        <w:t>nghề</w:t>
      </w:r>
      <w:proofErr w:type="spellEnd"/>
      <w:r w:rsidRPr="00381192">
        <w:t xml:space="preserve">. </w:t>
      </w:r>
      <w:proofErr w:type="spellStart"/>
      <w:r w:rsidRPr="00381192">
        <w:t>Quỹ</w:t>
      </w:r>
      <w:proofErr w:type="spellEnd"/>
      <w:r w:rsidRPr="00381192">
        <w:t xml:space="preserve"> </w:t>
      </w:r>
      <w:proofErr w:type="spellStart"/>
      <w:r w:rsidRPr="00381192">
        <w:t>sẽ</w:t>
      </w:r>
      <w:proofErr w:type="spellEnd"/>
      <w:r w:rsidRPr="00381192">
        <w:t xml:space="preserve"> </w:t>
      </w:r>
      <w:proofErr w:type="spellStart"/>
      <w:r w:rsidRPr="00381192">
        <w:t>tận</w:t>
      </w:r>
      <w:proofErr w:type="spellEnd"/>
      <w:r w:rsidRPr="00381192">
        <w:t xml:space="preserve"> </w:t>
      </w:r>
      <w:proofErr w:type="spellStart"/>
      <w:r w:rsidRPr="00381192">
        <w:t>dụng</w:t>
      </w:r>
      <w:proofErr w:type="spellEnd"/>
      <w:r w:rsidRPr="00381192">
        <w:t xml:space="preserve"> </w:t>
      </w:r>
      <w:proofErr w:type="spellStart"/>
      <w:r w:rsidRPr="00381192">
        <w:t>các</w:t>
      </w:r>
      <w:proofErr w:type="spellEnd"/>
      <w:r w:rsidRPr="00381192">
        <w:t xml:space="preserve"> </w:t>
      </w:r>
      <w:proofErr w:type="spellStart"/>
      <w:r w:rsidRPr="00381192">
        <w:t>cơ</w:t>
      </w:r>
      <w:proofErr w:type="spellEnd"/>
      <w:r w:rsidRPr="00381192">
        <w:t xml:space="preserve"> </w:t>
      </w:r>
      <w:proofErr w:type="spellStart"/>
      <w:r w:rsidRPr="00381192">
        <w:t>hội</w:t>
      </w:r>
      <w:proofErr w:type="spellEnd"/>
      <w:r w:rsidRPr="00381192">
        <w:t xml:space="preserve"> </w:t>
      </w:r>
      <w:proofErr w:type="spellStart"/>
      <w:r w:rsidRPr="00381192">
        <w:t>đầu</w:t>
      </w:r>
      <w:proofErr w:type="spellEnd"/>
      <w:r w:rsidRPr="00381192">
        <w:t xml:space="preserve"> </w:t>
      </w:r>
      <w:proofErr w:type="spellStart"/>
      <w:r w:rsidRPr="00381192">
        <w:t>tư</w:t>
      </w:r>
      <w:proofErr w:type="spellEnd"/>
      <w:r w:rsidRPr="00381192">
        <w:t xml:space="preserve"> </w:t>
      </w:r>
      <w:proofErr w:type="spellStart"/>
      <w:r w:rsidRPr="00381192">
        <w:t>đến</w:t>
      </w:r>
      <w:proofErr w:type="spellEnd"/>
      <w:r w:rsidRPr="00381192">
        <w:t xml:space="preserve"> </w:t>
      </w:r>
      <w:proofErr w:type="spellStart"/>
      <w:r w:rsidRPr="00381192">
        <w:t>từ</w:t>
      </w:r>
      <w:proofErr w:type="spellEnd"/>
      <w:r w:rsidRPr="00381192">
        <w:t xml:space="preserve"> xu </w:t>
      </w:r>
      <w:proofErr w:type="spellStart"/>
      <w:r w:rsidRPr="00381192">
        <w:t>hướng</w:t>
      </w:r>
      <w:proofErr w:type="spellEnd"/>
      <w:r w:rsidRPr="00381192">
        <w:t xml:space="preserve"> </w:t>
      </w:r>
      <w:proofErr w:type="spellStart"/>
      <w:r w:rsidRPr="00381192">
        <w:t>tăng</w:t>
      </w:r>
      <w:proofErr w:type="spellEnd"/>
      <w:r w:rsidRPr="00381192">
        <w:t xml:space="preserve"> </w:t>
      </w:r>
      <w:proofErr w:type="spellStart"/>
      <w:r w:rsidRPr="00381192">
        <w:t>trưởng</w:t>
      </w:r>
      <w:proofErr w:type="spellEnd"/>
      <w:r w:rsidRPr="00381192">
        <w:t xml:space="preserve"> </w:t>
      </w:r>
      <w:proofErr w:type="spellStart"/>
      <w:r w:rsidRPr="00381192">
        <w:t>dài</w:t>
      </w:r>
      <w:proofErr w:type="spellEnd"/>
      <w:r w:rsidRPr="00381192">
        <w:t xml:space="preserve"> </w:t>
      </w:r>
      <w:proofErr w:type="spellStart"/>
      <w:r w:rsidRPr="00381192">
        <w:t>hạn</w:t>
      </w:r>
      <w:proofErr w:type="spellEnd"/>
      <w:r w:rsidRPr="00381192">
        <w:t xml:space="preserve"> </w:t>
      </w:r>
      <w:proofErr w:type="spellStart"/>
      <w:r w:rsidRPr="00381192">
        <w:t>của</w:t>
      </w:r>
      <w:proofErr w:type="spellEnd"/>
      <w:r w:rsidRPr="00381192">
        <w:t xml:space="preserve"> </w:t>
      </w:r>
      <w:proofErr w:type="spellStart"/>
      <w:r w:rsidRPr="00381192">
        <w:t>cơ</w:t>
      </w:r>
      <w:proofErr w:type="spellEnd"/>
      <w:r w:rsidRPr="00381192">
        <w:t xml:space="preserve"> </w:t>
      </w:r>
      <w:proofErr w:type="spellStart"/>
      <w:r w:rsidRPr="00381192">
        <w:t>cấu</w:t>
      </w:r>
      <w:proofErr w:type="spellEnd"/>
      <w:r w:rsidRPr="00381192">
        <w:t xml:space="preserve"> </w:t>
      </w:r>
      <w:proofErr w:type="spellStart"/>
      <w:r w:rsidRPr="00381192">
        <w:t>dân</w:t>
      </w:r>
      <w:proofErr w:type="spellEnd"/>
      <w:r w:rsidRPr="00381192">
        <w:t xml:space="preserve"> </w:t>
      </w:r>
      <w:proofErr w:type="spellStart"/>
      <w:r w:rsidRPr="00381192">
        <w:t>số</w:t>
      </w:r>
      <w:proofErr w:type="spellEnd"/>
      <w:r w:rsidRPr="00381192">
        <w:t xml:space="preserve">, </w:t>
      </w:r>
      <w:proofErr w:type="spellStart"/>
      <w:r w:rsidRPr="00381192">
        <w:t>quá</w:t>
      </w:r>
      <w:proofErr w:type="spellEnd"/>
      <w:r w:rsidRPr="00381192">
        <w:t xml:space="preserve"> </w:t>
      </w:r>
      <w:proofErr w:type="spellStart"/>
      <w:r w:rsidRPr="00381192">
        <w:t>trình</w:t>
      </w:r>
      <w:proofErr w:type="spellEnd"/>
      <w:r w:rsidRPr="00381192">
        <w:t xml:space="preserve"> </w:t>
      </w:r>
      <w:proofErr w:type="spellStart"/>
      <w:r w:rsidRPr="00381192">
        <w:t>chuyển</w:t>
      </w:r>
      <w:proofErr w:type="spellEnd"/>
      <w:r w:rsidRPr="00381192">
        <w:t xml:space="preserve"> </w:t>
      </w:r>
      <w:proofErr w:type="spellStart"/>
      <w:r w:rsidRPr="00381192">
        <w:t>đổi</w:t>
      </w:r>
      <w:proofErr w:type="spellEnd"/>
      <w:r w:rsidRPr="00381192">
        <w:t xml:space="preserve"> </w:t>
      </w:r>
      <w:proofErr w:type="spellStart"/>
      <w:r w:rsidRPr="00381192">
        <w:t>mô</w:t>
      </w:r>
      <w:proofErr w:type="spellEnd"/>
      <w:r w:rsidRPr="00381192">
        <w:t xml:space="preserve"> </w:t>
      </w:r>
      <w:proofErr w:type="spellStart"/>
      <w:r w:rsidRPr="00381192">
        <w:t>hình</w:t>
      </w:r>
      <w:proofErr w:type="spellEnd"/>
      <w:r w:rsidRPr="00381192">
        <w:t xml:space="preserve"> </w:t>
      </w:r>
      <w:proofErr w:type="spellStart"/>
      <w:r w:rsidRPr="00381192">
        <w:t>kinh</w:t>
      </w:r>
      <w:proofErr w:type="spellEnd"/>
      <w:r w:rsidRPr="00381192">
        <w:t xml:space="preserve"> </w:t>
      </w:r>
      <w:proofErr w:type="spellStart"/>
      <w:r w:rsidRPr="00381192">
        <w:t>tế</w:t>
      </w:r>
      <w:proofErr w:type="spellEnd"/>
      <w:r w:rsidRPr="00381192">
        <w:t xml:space="preserve"> sang </w:t>
      </w:r>
      <w:proofErr w:type="spellStart"/>
      <w:r w:rsidRPr="00381192">
        <w:t>tư</w:t>
      </w:r>
      <w:proofErr w:type="spellEnd"/>
      <w:r w:rsidRPr="00381192">
        <w:t xml:space="preserve"> </w:t>
      </w:r>
      <w:proofErr w:type="spellStart"/>
      <w:r w:rsidRPr="00381192">
        <w:t>nhân</w:t>
      </w:r>
      <w:proofErr w:type="spellEnd"/>
      <w:r w:rsidRPr="00381192">
        <w:t xml:space="preserve"> </w:t>
      </w:r>
      <w:proofErr w:type="spellStart"/>
      <w:r w:rsidRPr="00381192">
        <w:t>và</w:t>
      </w:r>
      <w:proofErr w:type="spellEnd"/>
      <w:r w:rsidRPr="00381192">
        <w:t xml:space="preserve"> </w:t>
      </w:r>
      <w:proofErr w:type="spellStart"/>
      <w:r w:rsidRPr="00381192">
        <w:t>cổ</w:t>
      </w:r>
      <w:proofErr w:type="spellEnd"/>
      <w:r w:rsidRPr="00381192">
        <w:t xml:space="preserve"> </w:t>
      </w:r>
      <w:proofErr w:type="spellStart"/>
      <w:r w:rsidRPr="00381192">
        <w:t>phần</w:t>
      </w:r>
      <w:proofErr w:type="spellEnd"/>
      <w:r w:rsidRPr="00381192">
        <w:t xml:space="preserve"> </w:t>
      </w:r>
      <w:proofErr w:type="spellStart"/>
      <w:r w:rsidRPr="00381192">
        <w:t>hóa</w:t>
      </w:r>
      <w:proofErr w:type="spellEnd"/>
      <w:r w:rsidRPr="00381192">
        <w:t xml:space="preserve">, </w:t>
      </w:r>
      <w:proofErr w:type="spellStart"/>
      <w:r w:rsidRPr="00381192">
        <w:t>và</w:t>
      </w:r>
      <w:proofErr w:type="spellEnd"/>
      <w:r w:rsidRPr="00381192">
        <w:t xml:space="preserve"> </w:t>
      </w:r>
      <w:proofErr w:type="spellStart"/>
      <w:r w:rsidRPr="00381192">
        <w:t>sự</w:t>
      </w:r>
      <w:proofErr w:type="spellEnd"/>
      <w:r w:rsidRPr="00381192">
        <w:t xml:space="preserve"> </w:t>
      </w:r>
      <w:proofErr w:type="spellStart"/>
      <w:r w:rsidRPr="00381192">
        <w:t>cải</w:t>
      </w:r>
      <w:proofErr w:type="spellEnd"/>
      <w:r w:rsidRPr="00381192">
        <w:t xml:space="preserve"> </w:t>
      </w:r>
      <w:proofErr w:type="spellStart"/>
      <w:r w:rsidRPr="00381192">
        <w:t>thiện</w:t>
      </w:r>
      <w:proofErr w:type="spellEnd"/>
      <w:r w:rsidRPr="00381192">
        <w:t xml:space="preserve"> </w:t>
      </w:r>
      <w:proofErr w:type="spellStart"/>
      <w:r w:rsidRPr="00381192">
        <w:t>về</w:t>
      </w:r>
      <w:proofErr w:type="spellEnd"/>
      <w:r w:rsidRPr="00381192">
        <w:t xml:space="preserve"> </w:t>
      </w:r>
      <w:proofErr w:type="spellStart"/>
      <w:r w:rsidRPr="00381192">
        <w:t>quản</w:t>
      </w:r>
      <w:proofErr w:type="spellEnd"/>
      <w:r w:rsidRPr="00381192">
        <w:t xml:space="preserve"> </w:t>
      </w:r>
      <w:proofErr w:type="spellStart"/>
      <w:r w:rsidRPr="00381192">
        <w:t>trị</w:t>
      </w:r>
      <w:proofErr w:type="spellEnd"/>
      <w:r w:rsidRPr="00381192">
        <w:t xml:space="preserve"> </w:t>
      </w:r>
      <w:proofErr w:type="spellStart"/>
      <w:r w:rsidRPr="00381192">
        <w:t>doanh</w:t>
      </w:r>
      <w:proofErr w:type="spellEnd"/>
      <w:r w:rsidRPr="00381192">
        <w:t xml:space="preserve"> </w:t>
      </w:r>
      <w:proofErr w:type="spellStart"/>
      <w:r w:rsidRPr="00381192">
        <w:t>nghiệp</w:t>
      </w:r>
      <w:proofErr w:type="spellEnd"/>
      <w:r w:rsidRPr="00381192">
        <w:t xml:space="preserve"> </w:t>
      </w:r>
      <w:proofErr w:type="spellStart"/>
      <w:r w:rsidRPr="00381192">
        <w:t>và</w:t>
      </w:r>
      <w:proofErr w:type="spellEnd"/>
      <w:r w:rsidRPr="00381192">
        <w:t xml:space="preserve"> </w:t>
      </w:r>
      <w:proofErr w:type="spellStart"/>
      <w:r w:rsidRPr="00381192">
        <w:t>quy</w:t>
      </w:r>
      <w:proofErr w:type="spellEnd"/>
      <w:r w:rsidRPr="00381192">
        <w:t xml:space="preserve"> </w:t>
      </w:r>
      <w:proofErr w:type="spellStart"/>
      <w:r w:rsidRPr="00381192">
        <w:t>định</w:t>
      </w:r>
      <w:proofErr w:type="spellEnd"/>
      <w:r w:rsidRPr="00381192">
        <w:t xml:space="preserve"> </w:t>
      </w:r>
      <w:proofErr w:type="spellStart"/>
      <w:r w:rsidRPr="00381192">
        <w:t>pháp</w:t>
      </w:r>
      <w:proofErr w:type="spellEnd"/>
      <w:r w:rsidRPr="00381192">
        <w:t xml:space="preserve"> </w:t>
      </w:r>
      <w:proofErr w:type="spellStart"/>
      <w:r w:rsidRPr="00381192">
        <w:t>lý</w:t>
      </w:r>
      <w:proofErr w:type="spellEnd"/>
      <w:r w:rsidRPr="00381192">
        <w:t xml:space="preserve"> </w:t>
      </w:r>
      <w:proofErr w:type="spellStart"/>
      <w:r w:rsidRPr="00381192">
        <w:t>minh</w:t>
      </w:r>
      <w:proofErr w:type="spellEnd"/>
      <w:r w:rsidRPr="00381192">
        <w:t xml:space="preserve"> </w:t>
      </w:r>
      <w:proofErr w:type="spellStart"/>
      <w:r w:rsidRPr="00381192">
        <w:t>bạch</w:t>
      </w:r>
      <w:proofErr w:type="spellEnd"/>
      <w:r w:rsidRPr="00381192">
        <w:t xml:space="preserve"> </w:t>
      </w:r>
      <w:proofErr w:type="spellStart"/>
      <w:r w:rsidRPr="00381192">
        <w:t>theo</w:t>
      </w:r>
      <w:proofErr w:type="spellEnd"/>
      <w:r w:rsidRPr="00381192">
        <w:t xml:space="preserve"> </w:t>
      </w:r>
      <w:proofErr w:type="spellStart"/>
      <w:r w:rsidRPr="00381192">
        <w:t>chuẩn</w:t>
      </w:r>
      <w:proofErr w:type="spellEnd"/>
      <w:r w:rsidRPr="00381192">
        <w:t xml:space="preserve"> </w:t>
      </w:r>
      <w:proofErr w:type="spellStart"/>
      <w:r w:rsidRPr="00381192">
        <w:t>mực</w:t>
      </w:r>
      <w:proofErr w:type="spellEnd"/>
      <w:r w:rsidRPr="00381192">
        <w:t xml:space="preserve"> </w:t>
      </w:r>
      <w:proofErr w:type="spellStart"/>
      <w:r w:rsidRPr="00381192">
        <w:t>quốc</w:t>
      </w:r>
      <w:proofErr w:type="spellEnd"/>
      <w:r w:rsidRPr="00381192">
        <w:t xml:space="preserve"> </w:t>
      </w:r>
      <w:proofErr w:type="spellStart"/>
      <w:r w:rsidRPr="00381192">
        <w:t>tế</w:t>
      </w:r>
      <w:proofErr w:type="spellEnd"/>
      <w:r w:rsidRPr="00381192">
        <w:t xml:space="preserve">. Danh </w:t>
      </w:r>
      <w:proofErr w:type="spellStart"/>
      <w:r w:rsidRPr="00381192">
        <w:t>mục</w:t>
      </w:r>
      <w:proofErr w:type="spellEnd"/>
      <w:r w:rsidRPr="00381192">
        <w:t xml:space="preserve"> </w:t>
      </w:r>
      <w:proofErr w:type="spellStart"/>
      <w:r w:rsidRPr="00381192">
        <w:t>chứng</w:t>
      </w:r>
      <w:proofErr w:type="spellEnd"/>
      <w:r w:rsidRPr="00381192">
        <w:t xml:space="preserve"> </w:t>
      </w:r>
      <w:proofErr w:type="spellStart"/>
      <w:r w:rsidRPr="00381192">
        <w:t>khoán</w:t>
      </w:r>
      <w:proofErr w:type="spellEnd"/>
      <w:r w:rsidRPr="00381192">
        <w:t xml:space="preserve"> </w:t>
      </w:r>
      <w:proofErr w:type="spellStart"/>
      <w:r w:rsidRPr="00381192">
        <w:t>của</w:t>
      </w:r>
      <w:proofErr w:type="spellEnd"/>
      <w:r w:rsidRPr="00381192">
        <w:t xml:space="preserve"> </w:t>
      </w:r>
      <w:proofErr w:type="spellStart"/>
      <w:r w:rsidRPr="00381192">
        <w:t>quỹ</w:t>
      </w:r>
      <w:proofErr w:type="spellEnd"/>
      <w:r w:rsidRPr="00381192">
        <w:t xml:space="preserve"> </w:t>
      </w:r>
      <w:proofErr w:type="spellStart"/>
      <w:r w:rsidRPr="00381192">
        <w:t>có</w:t>
      </w:r>
      <w:proofErr w:type="spellEnd"/>
      <w:r w:rsidRPr="00381192">
        <w:t xml:space="preserve"> </w:t>
      </w:r>
      <w:proofErr w:type="spellStart"/>
      <w:r w:rsidRPr="00381192">
        <w:t>thể</w:t>
      </w:r>
      <w:proofErr w:type="spellEnd"/>
      <w:r w:rsidRPr="00381192">
        <w:t xml:space="preserve"> </w:t>
      </w:r>
      <w:proofErr w:type="spellStart"/>
      <w:r w:rsidRPr="00381192">
        <w:t>nắm</w:t>
      </w:r>
      <w:proofErr w:type="spellEnd"/>
      <w:r w:rsidRPr="00381192">
        <w:t xml:space="preserve"> </w:t>
      </w:r>
      <w:proofErr w:type="spellStart"/>
      <w:r w:rsidRPr="00381192">
        <w:t>tỷ</w:t>
      </w:r>
      <w:proofErr w:type="spellEnd"/>
      <w:r w:rsidRPr="00381192">
        <w:t xml:space="preserve"> </w:t>
      </w:r>
      <w:proofErr w:type="spellStart"/>
      <w:r w:rsidRPr="00381192">
        <w:t>lệ</w:t>
      </w:r>
      <w:proofErr w:type="spellEnd"/>
      <w:r w:rsidRPr="00381192">
        <w:t xml:space="preserve"> </w:t>
      </w:r>
      <w:proofErr w:type="spellStart"/>
      <w:r w:rsidRPr="00381192">
        <w:t>tập</w:t>
      </w:r>
      <w:proofErr w:type="spellEnd"/>
      <w:r w:rsidRPr="00381192">
        <w:t xml:space="preserve"> </w:t>
      </w:r>
      <w:proofErr w:type="spellStart"/>
      <w:r w:rsidRPr="00381192">
        <w:t>trung</w:t>
      </w:r>
      <w:proofErr w:type="spellEnd"/>
      <w:r w:rsidRPr="00381192">
        <w:t xml:space="preserve"> </w:t>
      </w:r>
      <w:proofErr w:type="spellStart"/>
      <w:r w:rsidRPr="00381192">
        <w:t>tại</w:t>
      </w:r>
      <w:proofErr w:type="spellEnd"/>
      <w:r w:rsidRPr="00381192">
        <w:t xml:space="preserve"> </w:t>
      </w:r>
      <w:proofErr w:type="spellStart"/>
      <w:r w:rsidRPr="00381192">
        <w:t>một</w:t>
      </w:r>
      <w:proofErr w:type="spellEnd"/>
      <w:r w:rsidRPr="00381192">
        <w:t xml:space="preserve"> </w:t>
      </w:r>
      <w:proofErr w:type="spellStart"/>
      <w:r w:rsidRPr="00381192">
        <w:t>số</w:t>
      </w:r>
      <w:proofErr w:type="spellEnd"/>
      <w:r w:rsidRPr="00381192">
        <w:t xml:space="preserve"> </w:t>
      </w:r>
      <w:proofErr w:type="spellStart"/>
      <w:r w:rsidRPr="00381192">
        <w:t>công</w:t>
      </w:r>
      <w:proofErr w:type="spellEnd"/>
      <w:r w:rsidRPr="00381192">
        <w:t xml:space="preserve"> ty ở </w:t>
      </w:r>
      <w:proofErr w:type="spellStart"/>
      <w:r w:rsidRPr="00381192">
        <w:t>một</w:t>
      </w:r>
      <w:proofErr w:type="spellEnd"/>
      <w:r w:rsidRPr="00381192">
        <w:t xml:space="preserve"> </w:t>
      </w:r>
      <w:proofErr w:type="spellStart"/>
      <w:r w:rsidRPr="00381192">
        <w:t>vài</w:t>
      </w:r>
      <w:proofErr w:type="spellEnd"/>
      <w:r w:rsidRPr="00381192">
        <w:t xml:space="preserve"> </w:t>
      </w:r>
      <w:proofErr w:type="spellStart"/>
      <w:r w:rsidRPr="00381192">
        <w:t>ngành</w:t>
      </w:r>
      <w:proofErr w:type="spellEnd"/>
      <w:r w:rsidRPr="00381192">
        <w:t xml:space="preserve"> </w:t>
      </w:r>
      <w:proofErr w:type="spellStart"/>
      <w:r w:rsidRPr="00381192">
        <w:t>nghề</w:t>
      </w:r>
      <w:proofErr w:type="spellEnd"/>
      <w:r w:rsidRPr="00381192">
        <w:t xml:space="preserve"> </w:t>
      </w:r>
      <w:proofErr w:type="spellStart"/>
      <w:r w:rsidRPr="00381192">
        <w:t>cụ</w:t>
      </w:r>
      <w:proofErr w:type="spellEnd"/>
      <w:r w:rsidRPr="00381192">
        <w:t xml:space="preserve"> </w:t>
      </w:r>
      <w:proofErr w:type="spellStart"/>
      <w:r w:rsidRPr="00381192">
        <w:t>thể</w:t>
      </w:r>
      <w:proofErr w:type="spellEnd"/>
      <w:r w:rsidRPr="00381192">
        <w:t>.</w:t>
      </w:r>
    </w:p>
    <w:p w14:paraId="271EA4EF" w14:textId="3662EC81" w:rsidR="00631B56" w:rsidRDefault="005A47FE" w:rsidP="005A47FE">
      <w:pPr>
        <w:shd w:val="clear" w:color="auto" w:fill="FFFFFF"/>
        <w:tabs>
          <w:tab w:val="left" w:pos="540"/>
        </w:tabs>
        <w:jc w:val="both"/>
      </w:pPr>
      <w:r>
        <w:tab/>
      </w:r>
      <w:proofErr w:type="spellStart"/>
      <w:r w:rsidRPr="00381192">
        <w:t>Quỹ</w:t>
      </w:r>
      <w:proofErr w:type="spellEnd"/>
      <w:r w:rsidRPr="00381192">
        <w:t xml:space="preserve"> VFMVSF </w:t>
      </w:r>
      <w:proofErr w:type="spellStart"/>
      <w:r w:rsidRPr="00381192">
        <w:t>được</w:t>
      </w:r>
      <w:proofErr w:type="spellEnd"/>
      <w:r w:rsidRPr="00381192">
        <w:t xml:space="preserve"> </w:t>
      </w:r>
      <w:proofErr w:type="spellStart"/>
      <w:r w:rsidRPr="00381192">
        <w:t>phép</w:t>
      </w:r>
      <w:proofErr w:type="spellEnd"/>
      <w:r w:rsidRPr="00381192">
        <w:t xml:space="preserve"> </w:t>
      </w:r>
      <w:proofErr w:type="spellStart"/>
      <w:r w:rsidRPr="00381192">
        <w:t>đầu</w:t>
      </w:r>
      <w:proofErr w:type="spellEnd"/>
      <w:r w:rsidRPr="00381192">
        <w:t xml:space="preserve"> </w:t>
      </w:r>
      <w:proofErr w:type="spellStart"/>
      <w:r w:rsidRPr="00381192">
        <w:t>tư</w:t>
      </w:r>
      <w:proofErr w:type="spellEnd"/>
      <w:r w:rsidRPr="00381192">
        <w:t xml:space="preserve"> </w:t>
      </w:r>
      <w:proofErr w:type="spellStart"/>
      <w:r w:rsidRPr="00381192">
        <w:t>vào</w:t>
      </w:r>
      <w:proofErr w:type="spellEnd"/>
      <w:r w:rsidRPr="00381192">
        <w:t xml:space="preserve"> </w:t>
      </w:r>
      <w:proofErr w:type="spellStart"/>
      <w:r w:rsidRPr="00381192">
        <w:t>các</w:t>
      </w:r>
      <w:proofErr w:type="spellEnd"/>
      <w:r w:rsidRPr="00381192">
        <w:t xml:space="preserve"> </w:t>
      </w:r>
      <w:proofErr w:type="spellStart"/>
      <w:r w:rsidRPr="00381192">
        <w:t>loại</w:t>
      </w:r>
      <w:proofErr w:type="spellEnd"/>
      <w:r w:rsidRPr="00381192">
        <w:t xml:space="preserve"> </w:t>
      </w:r>
      <w:proofErr w:type="spellStart"/>
      <w:r w:rsidRPr="00381192">
        <w:t>tài</w:t>
      </w:r>
      <w:proofErr w:type="spellEnd"/>
      <w:r w:rsidRPr="00381192">
        <w:t xml:space="preserve"> </w:t>
      </w:r>
      <w:proofErr w:type="spellStart"/>
      <w:r w:rsidRPr="00381192">
        <w:t>sản</w:t>
      </w:r>
      <w:proofErr w:type="spellEnd"/>
      <w:r w:rsidRPr="00381192">
        <w:t xml:space="preserve"> </w:t>
      </w:r>
      <w:proofErr w:type="spellStart"/>
      <w:r w:rsidRPr="00381192">
        <w:t>như</w:t>
      </w:r>
      <w:proofErr w:type="spellEnd"/>
      <w:r w:rsidRPr="00381192">
        <w:t xml:space="preserve"> </w:t>
      </w:r>
      <w:proofErr w:type="spellStart"/>
      <w:r w:rsidRPr="00381192">
        <w:t>sau</w:t>
      </w:r>
      <w:proofErr w:type="spellEnd"/>
      <w:r w:rsidRPr="00381192">
        <w:t xml:space="preserve">: </w:t>
      </w:r>
      <w:proofErr w:type="spellStart"/>
      <w:r w:rsidRPr="00381192">
        <w:t>Tiền</w:t>
      </w:r>
      <w:proofErr w:type="spellEnd"/>
      <w:r w:rsidRPr="00381192">
        <w:t xml:space="preserve"> </w:t>
      </w:r>
      <w:proofErr w:type="spellStart"/>
      <w:r w:rsidRPr="00381192">
        <w:t>gửi</w:t>
      </w:r>
      <w:proofErr w:type="spellEnd"/>
      <w:r w:rsidRPr="00381192">
        <w:t xml:space="preserve"> </w:t>
      </w:r>
      <w:proofErr w:type="spellStart"/>
      <w:r w:rsidRPr="00381192">
        <w:t>tại</w:t>
      </w:r>
      <w:proofErr w:type="spellEnd"/>
      <w:r w:rsidRPr="00381192">
        <w:t xml:space="preserve"> </w:t>
      </w:r>
      <w:proofErr w:type="spellStart"/>
      <w:r w:rsidRPr="00381192">
        <w:t>ngân</w:t>
      </w:r>
      <w:proofErr w:type="spellEnd"/>
      <w:r w:rsidRPr="00381192">
        <w:t xml:space="preserve"> </w:t>
      </w:r>
      <w:proofErr w:type="spellStart"/>
      <w:r w:rsidRPr="00381192">
        <w:t>hàng</w:t>
      </w:r>
      <w:proofErr w:type="spellEnd"/>
      <w:r w:rsidRPr="00381192">
        <w:t xml:space="preserve"> </w:t>
      </w:r>
      <w:proofErr w:type="spellStart"/>
      <w:r w:rsidRPr="00381192">
        <w:t>thương</w:t>
      </w:r>
      <w:proofErr w:type="spellEnd"/>
      <w:r w:rsidRPr="00381192">
        <w:t xml:space="preserve"> </w:t>
      </w:r>
      <w:proofErr w:type="spellStart"/>
      <w:r w:rsidRPr="00381192">
        <w:t>mại</w:t>
      </w:r>
      <w:proofErr w:type="spellEnd"/>
      <w:r w:rsidRPr="00381192">
        <w:t xml:space="preserve">, </w:t>
      </w:r>
      <w:proofErr w:type="spellStart"/>
      <w:r w:rsidRPr="00381192">
        <w:t>ngoại</w:t>
      </w:r>
      <w:proofErr w:type="spellEnd"/>
      <w:r w:rsidRPr="00381192">
        <w:t xml:space="preserve"> </w:t>
      </w:r>
      <w:proofErr w:type="spellStart"/>
      <w:r w:rsidRPr="00381192">
        <w:t>tệ</w:t>
      </w:r>
      <w:proofErr w:type="spellEnd"/>
      <w:r w:rsidRPr="00381192">
        <w:t xml:space="preserve">, </w:t>
      </w:r>
      <w:proofErr w:type="spellStart"/>
      <w:r w:rsidRPr="00381192">
        <w:t>công</w:t>
      </w:r>
      <w:proofErr w:type="spellEnd"/>
      <w:r w:rsidRPr="00381192">
        <w:t xml:space="preserve"> </w:t>
      </w:r>
      <w:proofErr w:type="spellStart"/>
      <w:r w:rsidRPr="00381192">
        <w:t>cụ</w:t>
      </w:r>
      <w:proofErr w:type="spellEnd"/>
      <w:r w:rsidRPr="00381192">
        <w:t xml:space="preserve"> </w:t>
      </w:r>
      <w:proofErr w:type="spellStart"/>
      <w:r w:rsidRPr="00381192">
        <w:t>thị</w:t>
      </w:r>
      <w:proofErr w:type="spellEnd"/>
      <w:r w:rsidRPr="00381192">
        <w:t xml:space="preserve"> </w:t>
      </w:r>
      <w:proofErr w:type="spellStart"/>
      <w:r w:rsidRPr="00381192">
        <w:t>trường</w:t>
      </w:r>
      <w:proofErr w:type="spellEnd"/>
      <w:r w:rsidRPr="00381192">
        <w:t xml:space="preserve"> </w:t>
      </w:r>
      <w:proofErr w:type="spellStart"/>
      <w:r w:rsidRPr="00381192">
        <w:t>tiền</w:t>
      </w:r>
      <w:proofErr w:type="spellEnd"/>
      <w:r w:rsidRPr="00381192">
        <w:t xml:space="preserve"> </w:t>
      </w:r>
      <w:proofErr w:type="spellStart"/>
      <w:r w:rsidRPr="00381192">
        <w:t>tệ</w:t>
      </w:r>
      <w:proofErr w:type="spellEnd"/>
      <w:r w:rsidRPr="00381192">
        <w:t xml:space="preserve">, </w:t>
      </w:r>
      <w:proofErr w:type="spellStart"/>
      <w:r w:rsidRPr="00381192">
        <w:t>trái</w:t>
      </w:r>
      <w:proofErr w:type="spellEnd"/>
      <w:r w:rsidRPr="00381192">
        <w:t xml:space="preserve"> </w:t>
      </w:r>
      <w:proofErr w:type="spellStart"/>
      <w:r w:rsidRPr="00381192">
        <w:t>phiếu</w:t>
      </w:r>
      <w:proofErr w:type="spellEnd"/>
      <w:r w:rsidRPr="00381192">
        <w:t xml:space="preserve"> </w:t>
      </w:r>
      <w:proofErr w:type="spellStart"/>
      <w:r w:rsidRPr="00381192">
        <w:t>chính</w:t>
      </w:r>
      <w:proofErr w:type="spellEnd"/>
      <w:r w:rsidRPr="00381192">
        <w:t xml:space="preserve"> </w:t>
      </w:r>
      <w:proofErr w:type="spellStart"/>
      <w:r w:rsidRPr="00381192">
        <w:t>phủ</w:t>
      </w:r>
      <w:proofErr w:type="spellEnd"/>
      <w:r w:rsidRPr="00381192">
        <w:t xml:space="preserve">, </w:t>
      </w:r>
      <w:proofErr w:type="spellStart"/>
      <w:r w:rsidRPr="00381192">
        <w:t>cổ</w:t>
      </w:r>
      <w:proofErr w:type="spellEnd"/>
      <w:r w:rsidRPr="00381192">
        <w:t xml:space="preserve"> </w:t>
      </w:r>
      <w:proofErr w:type="spellStart"/>
      <w:r w:rsidRPr="00381192">
        <w:t>phiếu</w:t>
      </w:r>
      <w:proofErr w:type="spellEnd"/>
      <w:r w:rsidRPr="00381192">
        <w:t xml:space="preserve"> </w:t>
      </w:r>
      <w:proofErr w:type="spellStart"/>
      <w:r w:rsidRPr="00381192">
        <w:t>niêm</w:t>
      </w:r>
      <w:proofErr w:type="spellEnd"/>
      <w:r w:rsidRPr="00381192">
        <w:t xml:space="preserve"> </w:t>
      </w:r>
      <w:proofErr w:type="spellStart"/>
      <w:r w:rsidRPr="00381192">
        <w:t>yết</w:t>
      </w:r>
      <w:proofErr w:type="spellEnd"/>
      <w:r w:rsidRPr="00381192">
        <w:t xml:space="preserve">, </w:t>
      </w:r>
      <w:proofErr w:type="spellStart"/>
      <w:r w:rsidRPr="00381192">
        <w:t>trái</w:t>
      </w:r>
      <w:proofErr w:type="spellEnd"/>
      <w:r w:rsidRPr="00381192">
        <w:t xml:space="preserve"> </w:t>
      </w:r>
      <w:proofErr w:type="spellStart"/>
      <w:r w:rsidRPr="00381192">
        <w:t>phiếu</w:t>
      </w:r>
      <w:proofErr w:type="spellEnd"/>
      <w:r w:rsidRPr="00381192">
        <w:t xml:space="preserve"> </w:t>
      </w:r>
      <w:proofErr w:type="spellStart"/>
      <w:r w:rsidRPr="00381192">
        <w:t>niêm</w:t>
      </w:r>
      <w:proofErr w:type="spellEnd"/>
      <w:r w:rsidRPr="00381192">
        <w:t xml:space="preserve"> </w:t>
      </w:r>
      <w:proofErr w:type="spellStart"/>
      <w:r w:rsidRPr="00381192">
        <w:t>yết</w:t>
      </w:r>
      <w:proofErr w:type="spellEnd"/>
      <w:r w:rsidRPr="00381192">
        <w:t xml:space="preserve"> </w:t>
      </w:r>
      <w:proofErr w:type="spellStart"/>
      <w:r w:rsidRPr="00381192">
        <w:t>của</w:t>
      </w:r>
      <w:proofErr w:type="spellEnd"/>
      <w:r w:rsidRPr="00381192">
        <w:t xml:space="preserve"> </w:t>
      </w:r>
      <w:proofErr w:type="spellStart"/>
      <w:r w:rsidRPr="00381192">
        <w:t>các</w:t>
      </w:r>
      <w:proofErr w:type="spellEnd"/>
      <w:r w:rsidRPr="00381192">
        <w:t xml:space="preserve"> </w:t>
      </w:r>
      <w:proofErr w:type="spellStart"/>
      <w:r w:rsidRPr="00381192">
        <w:t>doanh</w:t>
      </w:r>
      <w:proofErr w:type="spellEnd"/>
      <w:r w:rsidRPr="00381192">
        <w:t xml:space="preserve"> </w:t>
      </w:r>
      <w:proofErr w:type="spellStart"/>
      <w:r w:rsidRPr="00381192">
        <w:t>nghiệp</w:t>
      </w:r>
      <w:proofErr w:type="spellEnd"/>
      <w:r w:rsidRPr="00381192">
        <w:t xml:space="preserve">, </w:t>
      </w:r>
      <w:proofErr w:type="spellStart"/>
      <w:r w:rsidRPr="00381192">
        <w:t>chứng</w:t>
      </w:r>
      <w:proofErr w:type="spellEnd"/>
      <w:r w:rsidRPr="00381192">
        <w:t xml:space="preserve"> </w:t>
      </w:r>
      <w:proofErr w:type="spellStart"/>
      <w:r w:rsidRPr="00381192">
        <w:t>khoán</w:t>
      </w:r>
      <w:proofErr w:type="spellEnd"/>
      <w:r w:rsidRPr="00381192">
        <w:t xml:space="preserve"> </w:t>
      </w:r>
      <w:proofErr w:type="spellStart"/>
      <w:r w:rsidRPr="00381192">
        <w:t>phái</w:t>
      </w:r>
      <w:proofErr w:type="spellEnd"/>
      <w:r w:rsidRPr="00381192">
        <w:t xml:space="preserve"> </w:t>
      </w:r>
      <w:proofErr w:type="spellStart"/>
      <w:r w:rsidRPr="00381192">
        <w:t>sinh</w:t>
      </w:r>
      <w:proofErr w:type="spellEnd"/>
      <w:r w:rsidRPr="00381192">
        <w:t xml:space="preserve"> </w:t>
      </w:r>
      <w:proofErr w:type="spellStart"/>
      <w:r w:rsidRPr="00381192">
        <w:t>niêm</w:t>
      </w:r>
      <w:proofErr w:type="spellEnd"/>
      <w:r w:rsidRPr="00381192">
        <w:t xml:space="preserve"> </w:t>
      </w:r>
      <w:proofErr w:type="spellStart"/>
      <w:r w:rsidRPr="00381192">
        <w:t>yết</w:t>
      </w:r>
      <w:proofErr w:type="spellEnd"/>
      <w:r w:rsidRPr="00381192">
        <w:t xml:space="preserve"> </w:t>
      </w:r>
      <w:proofErr w:type="spellStart"/>
      <w:r w:rsidRPr="00381192">
        <w:t>và</w:t>
      </w:r>
      <w:proofErr w:type="spellEnd"/>
      <w:r w:rsidRPr="00381192">
        <w:t xml:space="preserve"> </w:t>
      </w:r>
      <w:proofErr w:type="spellStart"/>
      <w:r w:rsidRPr="00381192">
        <w:t>các</w:t>
      </w:r>
      <w:proofErr w:type="spellEnd"/>
      <w:r w:rsidRPr="00381192">
        <w:t xml:space="preserve"> </w:t>
      </w:r>
      <w:proofErr w:type="spellStart"/>
      <w:r w:rsidRPr="00381192">
        <w:t>loại</w:t>
      </w:r>
      <w:proofErr w:type="spellEnd"/>
      <w:r w:rsidRPr="00381192">
        <w:t xml:space="preserve"> </w:t>
      </w:r>
      <w:proofErr w:type="spellStart"/>
      <w:r w:rsidRPr="00381192">
        <w:t>tài</w:t>
      </w:r>
      <w:proofErr w:type="spellEnd"/>
      <w:r w:rsidRPr="00381192">
        <w:t xml:space="preserve"> </w:t>
      </w:r>
      <w:proofErr w:type="spellStart"/>
      <w:r w:rsidRPr="00381192">
        <w:t>sản</w:t>
      </w:r>
      <w:proofErr w:type="spellEnd"/>
      <w:r w:rsidRPr="00381192">
        <w:t xml:space="preserve"> </w:t>
      </w:r>
      <w:proofErr w:type="spellStart"/>
      <w:r w:rsidRPr="00381192">
        <w:t>tài</w:t>
      </w:r>
      <w:proofErr w:type="spellEnd"/>
      <w:r w:rsidRPr="00381192">
        <w:t xml:space="preserve"> </w:t>
      </w:r>
      <w:proofErr w:type="spellStart"/>
      <w:r w:rsidRPr="00381192">
        <w:t>chính</w:t>
      </w:r>
      <w:proofErr w:type="spellEnd"/>
      <w:r w:rsidRPr="00381192">
        <w:t xml:space="preserve"> </w:t>
      </w:r>
      <w:proofErr w:type="spellStart"/>
      <w:r w:rsidRPr="00381192">
        <w:t>khác</w:t>
      </w:r>
      <w:proofErr w:type="spellEnd"/>
      <w:r w:rsidRPr="00381192">
        <w:t xml:space="preserve"> </w:t>
      </w:r>
      <w:proofErr w:type="spellStart"/>
      <w:r w:rsidRPr="00381192">
        <w:t>theo</w:t>
      </w:r>
      <w:proofErr w:type="spellEnd"/>
      <w:r w:rsidRPr="00381192">
        <w:t xml:space="preserve"> </w:t>
      </w:r>
      <w:proofErr w:type="spellStart"/>
      <w:r w:rsidRPr="00381192">
        <w:t>quy</w:t>
      </w:r>
      <w:proofErr w:type="spellEnd"/>
      <w:r w:rsidRPr="00381192">
        <w:t xml:space="preserve"> </w:t>
      </w:r>
      <w:proofErr w:type="spellStart"/>
      <w:r w:rsidRPr="00381192">
        <w:t>định</w:t>
      </w:r>
      <w:proofErr w:type="spellEnd"/>
      <w:r w:rsidRPr="00381192">
        <w:t xml:space="preserve"> </w:t>
      </w:r>
      <w:proofErr w:type="spellStart"/>
      <w:r w:rsidRPr="00381192">
        <w:t>của</w:t>
      </w:r>
      <w:proofErr w:type="spellEnd"/>
      <w:r w:rsidRPr="00381192">
        <w:t xml:space="preserve"> </w:t>
      </w:r>
      <w:proofErr w:type="spellStart"/>
      <w:r w:rsidRPr="00381192">
        <w:t>pháp</w:t>
      </w:r>
      <w:proofErr w:type="spellEnd"/>
      <w:r w:rsidRPr="00381192">
        <w:t xml:space="preserve"> </w:t>
      </w:r>
      <w:proofErr w:type="spellStart"/>
      <w:r w:rsidRPr="00381192">
        <w:t>luật</w:t>
      </w:r>
      <w:proofErr w:type="spellEnd"/>
      <w:r w:rsidRPr="00381192">
        <w:t>.</w:t>
      </w:r>
    </w:p>
    <w:p w14:paraId="5D45124C" w14:textId="77777777" w:rsidR="00000563" w:rsidRPr="00381192" w:rsidRDefault="00000563" w:rsidP="00000563">
      <w:pPr>
        <w:shd w:val="clear" w:color="auto" w:fill="FFFFFF"/>
        <w:tabs>
          <w:tab w:val="left" w:pos="540"/>
        </w:tabs>
        <w:jc w:val="both"/>
      </w:pPr>
    </w:p>
    <w:p w14:paraId="628CC6F8" w14:textId="070627DD" w:rsidR="007922E7" w:rsidRPr="00381192" w:rsidRDefault="00000563" w:rsidP="00000563">
      <w:pPr>
        <w:pStyle w:val="ListParagraph"/>
        <w:numPr>
          <w:ilvl w:val="1"/>
          <w:numId w:val="1"/>
        </w:numPr>
        <w:shd w:val="clear" w:color="auto" w:fill="FFFFFF"/>
        <w:tabs>
          <w:tab w:val="left" w:pos="540"/>
        </w:tabs>
        <w:spacing w:after="0"/>
        <w:rPr>
          <w:rFonts w:ascii="Times New Roman" w:hAnsi="Times New Roman"/>
          <w:b/>
          <w:sz w:val="24"/>
          <w:szCs w:val="24"/>
          <w:lang w:val="nl-NL"/>
        </w:rPr>
      </w:pPr>
      <w:r>
        <w:rPr>
          <w:rFonts w:ascii="Times New Roman" w:hAnsi="Times New Roman"/>
          <w:b/>
          <w:sz w:val="24"/>
          <w:szCs w:val="24"/>
          <w:lang w:val="nl-NL"/>
        </w:rPr>
        <w:t xml:space="preserve"> </w:t>
      </w:r>
      <w:r w:rsidR="007922E7" w:rsidRPr="00381192">
        <w:rPr>
          <w:rFonts w:ascii="Times New Roman" w:hAnsi="Times New Roman"/>
          <w:b/>
          <w:sz w:val="24"/>
          <w:szCs w:val="24"/>
          <w:lang w:val="nl-NL"/>
        </w:rPr>
        <w:t xml:space="preserve">Phân loại Quỹ </w:t>
      </w:r>
    </w:p>
    <w:p w14:paraId="4DBA039E" w14:textId="1ADFF06B" w:rsidR="007922E7" w:rsidRDefault="00000563" w:rsidP="00000563">
      <w:pPr>
        <w:shd w:val="clear" w:color="auto" w:fill="FFFFFF"/>
        <w:tabs>
          <w:tab w:val="left" w:pos="540"/>
        </w:tabs>
        <w:spacing w:before="120"/>
        <w:rPr>
          <w:lang w:val="nl-NL"/>
        </w:rPr>
      </w:pPr>
      <w:r>
        <w:rPr>
          <w:lang w:val="nl-NL"/>
        </w:rPr>
        <w:tab/>
      </w:r>
      <w:r w:rsidR="003B7FF2" w:rsidRPr="00381192">
        <w:rPr>
          <w:lang w:val="nl-NL"/>
        </w:rPr>
        <w:t>Quỹ công chúng dạng mở</w:t>
      </w:r>
      <w:r w:rsidR="00CF1886" w:rsidRPr="00381192">
        <w:rPr>
          <w:lang w:val="nl-NL"/>
        </w:rPr>
        <w:t>.</w:t>
      </w:r>
    </w:p>
    <w:p w14:paraId="1C16F019" w14:textId="77777777" w:rsidR="00000563" w:rsidRPr="00381192" w:rsidRDefault="00000563" w:rsidP="00000563">
      <w:pPr>
        <w:shd w:val="clear" w:color="auto" w:fill="FFFFFF"/>
        <w:tabs>
          <w:tab w:val="left" w:pos="540"/>
        </w:tabs>
        <w:spacing w:before="120"/>
        <w:rPr>
          <w:lang w:val="nl-NL"/>
        </w:rPr>
      </w:pPr>
    </w:p>
    <w:p w14:paraId="79AB92B8" w14:textId="2B45FC1A" w:rsidR="007922E7" w:rsidRPr="00381192" w:rsidRDefault="00000563" w:rsidP="00000563">
      <w:pPr>
        <w:pStyle w:val="ListParagraph"/>
        <w:numPr>
          <w:ilvl w:val="1"/>
          <w:numId w:val="1"/>
        </w:numPr>
        <w:shd w:val="clear" w:color="auto" w:fill="FFFFFF"/>
        <w:tabs>
          <w:tab w:val="left" w:pos="540"/>
        </w:tabs>
        <w:spacing w:after="0"/>
        <w:rPr>
          <w:rFonts w:ascii="Times New Roman" w:hAnsi="Times New Roman"/>
          <w:b/>
          <w:sz w:val="24"/>
          <w:szCs w:val="24"/>
          <w:lang w:val="nl-NL"/>
        </w:rPr>
      </w:pPr>
      <w:r>
        <w:rPr>
          <w:rFonts w:ascii="Times New Roman" w:hAnsi="Times New Roman"/>
          <w:b/>
          <w:sz w:val="24"/>
          <w:szCs w:val="24"/>
          <w:lang w:val="nl-NL"/>
        </w:rPr>
        <w:t xml:space="preserve"> </w:t>
      </w:r>
      <w:r w:rsidR="007922E7" w:rsidRPr="00381192">
        <w:rPr>
          <w:rFonts w:ascii="Times New Roman" w:hAnsi="Times New Roman"/>
          <w:b/>
          <w:sz w:val="24"/>
          <w:szCs w:val="24"/>
          <w:lang w:val="nl-NL"/>
        </w:rPr>
        <w:t xml:space="preserve">Thời gian khuyến cáo đầu tư của Quỹ </w:t>
      </w:r>
    </w:p>
    <w:p w14:paraId="46289D32" w14:textId="7DFB1FBE" w:rsidR="007922E7" w:rsidRDefault="00000563" w:rsidP="00000563">
      <w:pPr>
        <w:shd w:val="clear" w:color="auto" w:fill="FFFFFF"/>
        <w:tabs>
          <w:tab w:val="left" w:pos="540"/>
        </w:tabs>
        <w:spacing w:before="120"/>
        <w:rPr>
          <w:lang w:val="nl-NL"/>
        </w:rPr>
      </w:pPr>
      <w:r>
        <w:rPr>
          <w:lang w:val="nl-NL"/>
        </w:rPr>
        <w:tab/>
      </w:r>
      <w:r w:rsidR="00CF1886" w:rsidRPr="00381192">
        <w:rPr>
          <w:lang w:val="nl-NL"/>
        </w:rPr>
        <w:t>Quỹ không bị giới hạn về thời hạn hoạt động.</w:t>
      </w:r>
    </w:p>
    <w:p w14:paraId="25FDC3CC" w14:textId="77777777" w:rsidR="00000563" w:rsidRPr="00381192" w:rsidRDefault="00000563" w:rsidP="00000563">
      <w:pPr>
        <w:shd w:val="clear" w:color="auto" w:fill="FFFFFF"/>
        <w:tabs>
          <w:tab w:val="left" w:pos="540"/>
        </w:tabs>
        <w:spacing w:before="120"/>
        <w:rPr>
          <w:lang w:val="nl-NL"/>
        </w:rPr>
      </w:pPr>
    </w:p>
    <w:p w14:paraId="2C2D6AF3" w14:textId="08C1E8DE" w:rsidR="007922E7" w:rsidRPr="00381192" w:rsidRDefault="00000563" w:rsidP="00000563">
      <w:pPr>
        <w:pStyle w:val="ListParagraph"/>
        <w:numPr>
          <w:ilvl w:val="1"/>
          <w:numId w:val="1"/>
        </w:numPr>
        <w:shd w:val="clear" w:color="auto" w:fill="FFFFFF"/>
        <w:tabs>
          <w:tab w:val="left" w:pos="540"/>
        </w:tabs>
        <w:spacing w:after="0"/>
        <w:rPr>
          <w:rFonts w:ascii="Times New Roman" w:hAnsi="Times New Roman"/>
          <w:b/>
          <w:sz w:val="24"/>
          <w:szCs w:val="24"/>
          <w:lang w:val="nl-NL"/>
        </w:rPr>
      </w:pPr>
      <w:r>
        <w:rPr>
          <w:rFonts w:ascii="Times New Roman" w:hAnsi="Times New Roman"/>
          <w:b/>
          <w:sz w:val="24"/>
          <w:szCs w:val="24"/>
          <w:lang w:val="nl-NL"/>
        </w:rPr>
        <w:t xml:space="preserve"> </w:t>
      </w:r>
      <w:r w:rsidR="007922E7" w:rsidRPr="00381192">
        <w:rPr>
          <w:rFonts w:ascii="Times New Roman" w:hAnsi="Times New Roman"/>
          <w:b/>
          <w:sz w:val="24"/>
          <w:szCs w:val="24"/>
          <w:lang w:val="nl-NL"/>
        </w:rPr>
        <w:t xml:space="preserve">Mức độ rủi ro ngắn hạn </w:t>
      </w:r>
    </w:p>
    <w:p w14:paraId="656CB721" w14:textId="4155427B" w:rsidR="007922E7" w:rsidRDefault="00000563" w:rsidP="00000563">
      <w:pPr>
        <w:shd w:val="clear" w:color="auto" w:fill="FFFFFF"/>
        <w:tabs>
          <w:tab w:val="left" w:pos="540"/>
        </w:tabs>
        <w:spacing w:before="120"/>
        <w:rPr>
          <w:lang w:val="nl-NL"/>
        </w:rPr>
      </w:pPr>
      <w:r>
        <w:rPr>
          <w:lang w:val="nl-NL"/>
        </w:rPr>
        <w:tab/>
      </w:r>
      <w:r w:rsidR="003B7FF2" w:rsidRPr="00381192">
        <w:rPr>
          <w:lang w:val="nl-NL"/>
        </w:rPr>
        <w:t>Cao</w:t>
      </w:r>
    </w:p>
    <w:p w14:paraId="7EE44238" w14:textId="77777777" w:rsidR="00000563" w:rsidRPr="00381192" w:rsidRDefault="00000563" w:rsidP="00000563">
      <w:pPr>
        <w:shd w:val="clear" w:color="auto" w:fill="FFFFFF"/>
        <w:tabs>
          <w:tab w:val="left" w:pos="540"/>
        </w:tabs>
        <w:spacing w:before="120"/>
        <w:rPr>
          <w:lang w:val="nl-NL"/>
        </w:rPr>
      </w:pPr>
    </w:p>
    <w:p w14:paraId="26EFDD65" w14:textId="264E2708" w:rsidR="007922E7" w:rsidRPr="00381192" w:rsidRDefault="00000563" w:rsidP="00000563">
      <w:pPr>
        <w:pStyle w:val="ListParagraph"/>
        <w:numPr>
          <w:ilvl w:val="1"/>
          <w:numId w:val="1"/>
        </w:numPr>
        <w:shd w:val="clear" w:color="auto" w:fill="FFFFFF"/>
        <w:tabs>
          <w:tab w:val="left" w:pos="540"/>
        </w:tabs>
        <w:spacing w:after="0"/>
        <w:rPr>
          <w:rFonts w:ascii="Times New Roman" w:hAnsi="Times New Roman"/>
          <w:b/>
          <w:sz w:val="24"/>
          <w:szCs w:val="24"/>
          <w:lang w:val="nl-NL"/>
        </w:rPr>
      </w:pPr>
      <w:r>
        <w:rPr>
          <w:rFonts w:ascii="Times New Roman" w:hAnsi="Times New Roman"/>
          <w:b/>
          <w:sz w:val="24"/>
          <w:szCs w:val="24"/>
          <w:lang w:val="nl-NL"/>
        </w:rPr>
        <w:t xml:space="preserve"> </w:t>
      </w:r>
      <w:r w:rsidR="007922E7" w:rsidRPr="00381192">
        <w:rPr>
          <w:rFonts w:ascii="Times New Roman" w:hAnsi="Times New Roman"/>
          <w:b/>
          <w:sz w:val="24"/>
          <w:szCs w:val="24"/>
          <w:lang w:val="nl-NL"/>
        </w:rPr>
        <w:t>Thời điểm bắt đầu hoạt động của Quỹ</w:t>
      </w:r>
    </w:p>
    <w:p w14:paraId="5B0D2190" w14:textId="68C7C073" w:rsidR="007922E7" w:rsidRDefault="00000563" w:rsidP="00000563">
      <w:pPr>
        <w:shd w:val="clear" w:color="auto" w:fill="FFFFFF"/>
        <w:tabs>
          <w:tab w:val="left" w:pos="540"/>
        </w:tabs>
        <w:spacing w:before="120"/>
        <w:rPr>
          <w:lang w:val="nl-NL"/>
        </w:rPr>
      </w:pPr>
      <w:r>
        <w:rPr>
          <w:lang w:val="nl-NL"/>
        </w:rPr>
        <w:tab/>
      </w:r>
      <w:r w:rsidR="007922E7" w:rsidRPr="00381192">
        <w:rPr>
          <w:lang w:val="nl-NL"/>
        </w:rPr>
        <w:t xml:space="preserve">Quỹ bắt đầu hoạt động từ ngày </w:t>
      </w:r>
      <w:r w:rsidR="003B7FF2" w:rsidRPr="00381192">
        <w:rPr>
          <w:lang w:val="nl-NL"/>
        </w:rPr>
        <w:t>2</w:t>
      </w:r>
      <w:r w:rsidR="007922E7" w:rsidRPr="00381192">
        <w:rPr>
          <w:lang w:val="nl-NL"/>
        </w:rPr>
        <w:t xml:space="preserve"> tháng </w:t>
      </w:r>
      <w:r w:rsidR="003B7FF2" w:rsidRPr="00381192">
        <w:rPr>
          <w:lang w:val="nl-NL"/>
        </w:rPr>
        <w:t>3</w:t>
      </w:r>
      <w:r w:rsidR="007922E7" w:rsidRPr="00381192">
        <w:rPr>
          <w:lang w:val="nl-NL"/>
        </w:rPr>
        <w:t xml:space="preserve"> năm 201</w:t>
      </w:r>
      <w:r w:rsidR="003B7FF2" w:rsidRPr="00381192">
        <w:rPr>
          <w:lang w:val="nl-NL"/>
        </w:rPr>
        <w:t>8</w:t>
      </w:r>
      <w:r w:rsidR="007922E7" w:rsidRPr="00381192">
        <w:rPr>
          <w:lang w:val="nl-NL"/>
        </w:rPr>
        <w:t>.</w:t>
      </w:r>
    </w:p>
    <w:p w14:paraId="522EFBFB" w14:textId="77777777" w:rsidR="00000563" w:rsidRPr="00381192" w:rsidRDefault="00000563" w:rsidP="00000563">
      <w:pPr>
        <w:shd w:val="clear" w:color="auto" w:fill="FFFFFF"/>
        <w:tabs>
          <w:tab w:val="left" w:pos="540"/>
        </w:tabs>
        <w:spacing w:before="120"/>
        <w:rPr>
          <w:lang w:val="nl-NL"/>
        </w:rPr>
      </w:pPr>
    </w:p>
    <w:p w14:paraId="64070123" w14:textId="45D332B8" w:rsidR="007922E7" w:rsidRPr="00381192" w:rsidRDefault="00000563" w:rsidP="00000563">
      <w:pPr>
        <w:pStyle w:val="ListParagraph"/>
        <w:numPr>
          <w:ilvl w:val="1"/>
          <w:numId w:val="1"/>
        </w:numPr>
        <w:shd w:val="clear" w:color="auto" w:fill="FFFFFF"/>
        <w:tabs>
          <w:tab w:val="left" w:pos="540"/>
        </w:tabs>
        <w:spacing w:after="0"/>
        <w:rPr>
          <w:rFonts w:ascii="Times New Roman" w:hAnsi="Times New Roman"/>
          <w:sz w:val="24"/>
          <w:szCs w:val="24"/>
          <w:lang w:val="nl-NL"/>
        </w:rPr>
      </w:pPr>
      <w:r>
        <w:rPr>
          <w:rFonts w:ascii="Times New Roman" w:hAnsi="Times New Roman"/>
          <w:b/>
          <w:sz w:val="24"/>
          <w:szCs w:val="24"/>
          <w:lang w:val="nl-NL"/>
        </w:rPr>
        <w:t xml:space="preserve"> </w:t>
      </w:r>
      <w:r w:rsidR="007922E7" w:rsidRPr="00381192">
        <w:rPr>
          <w:rFonts w:ascii="Times New Roman" w:hAnsi="Times New Roman"/>
          <w:b/>
          <w:sz w:val="24"/>
          <w:szCs w:val="24"/>
          <w:lang w:val="nl-NL"/>
        </w:rPr>
        <w:t>Quy mô Quỹ tại thời điểm báo cáo</w:t>
      </w:r>
      <w:r w:rsidR="007922E7" w:rsidRPr="00381192">
        <w:rPr>
          <w:rFonts w:ascii="Times New Roman" w:hAnsi="Times New Roman"/>
          <w:sz w:val="24"/>
          <w:szCs w:val="24"/>
          <w:lang w:val="nl-NL"/>
        </w:rPr>
        <w:t xml:space="preserve"> </w:t>
      </w:r>
    </w:p>
    <w:p w14:paraId="7BC375ED" w14:textId="5254BAF7" w:rsidR="007922E7" w:rsidRPr="00375C22" w:rsidRDefault="007922E7" w:rsidP="00DB0A2F">
      <w:pPr>
        <w:spacing w:before="120"/>
        <w:ind w:firstLine="567"/>
        <w:jc w:val="both"/>
        <w:rPr>
          <w:lang w:val="nl-NL"/>
        </w:rPr>
      </w:pPr>
      <w:r w:rsidRPr="00375C22">
        <w:rPr>
          <w:lang w:val="nl-NL"/>
        </w:rPr>
        <w:t xml:space="preserve">Tại ngày </w:t>
      </w:r>
      <w:r w:rsidR="009765BC" w:rsidRPr="00375C22">
        <w:rPr>
          <w:lang w:val="nl-NL"/>
        </w:rPr>
        <w:t>3</w:t>
      </w:r>
      <w:r w:rsidR="000057B5">
        <w:rPr>
          <w:lang w:val="nl-NL"/>
        </w:rPr>
        <w:t>0</w:t>
      </w:r>
      <w:r w:rsidRPr="00375C22">
        <w:rPr>
          <w:lang w:val="nl-NL"/>
        </w:rPr>
        <w:t xml:space="preserve"> tháng </w:t>
      </w:r>
      <w:r w:rsidR="006468CA">
        <w:rPr>
          <w:lang w:val="nl-NL"/>
        </w:rPr>
        <w:t>0</w:t>
      </w:r>
      <w:r w:rsidR="000057B5">
        <w:rPr>
          <w:lang w:val="nl-NL"/>
        </w:rPr>
        <w:t>6</w:t>
      </w:r>
      <w:r w:rsidR="00F73FE7" w:rsidRPr="00375C22">
        <w:rPr>
          <w:lang w:val="nl-NL"/>
        </w:rPr>
        <w:t xml:space="preserve"> năm 20</w:t>
      </w:r>
      <w:r w:rsidR="00923204" w:rsidRPr="00375C22">
        <w:rPr>
          <w:lang w:val="nl-NL"/>
        </w:rPr>
        <w:t>2</w:t>
      </w:r>
      <w:r w:rsidR="006468CA">
        <w:rPr>
          <w:lang w:val="nl-NL"/>
        </w:rPr>
        <w:t>4</w:t>
      </w:r>
      <w:r w:rsidRPr="00375C22">
        <w:rPr>
          <w:lang w:val="nl-NL"/>
        </w:rPr>
        <w:t>, số lượng chứng chỉ quỹ đang lưu hành là</w:t>
      </w:r>
      <w:r w:rsidR="00711565" w:rsidRPr="00375C22">
        <w:t xml:space="preserve"> </w:t>
      </w:r>
      <w:r w:rsidR="003703EF" w:rsidRPr="00375C22">
        <w:rPr>
          <w:lang w:val="nl-NL"/>
        </w:rPr>
        <w:t xml:space="preserve"> </w:t>
      </w:r>
      <w:r w:rsidR="00FB4E6B" w:rsidRPr="00FB4E6B">
        <w:rPr>
          <w:lang w:val="nl-NL"/>
        </w:rPr>
        <w:t xml:space="preserve"> 366,419,612.48 </w:t>
      </w:r>
      <w:r w:rsidRPr="00375C22">
        <w:rPr>
          <w:lang w:val="nl-NL"/>
        </w:rPr>
        <w:t>và giá trị tài sản ròng của một đơn vị chứng chỉ quỹ là</w:t>
      </w:r>
      <w:r w:rsidR="00923204" w:rsidRPr="00375C22">
        <w:rPr>
          <w:lang w:val="nl-NL"/>
        </w:rPr>
        <w:t xml:space="preserve"> </w:t>
      </w:r>
      <w:r w:rsidR="00103CA1" w:rsidRPr="00103CA1">
        <w:rPr>
          <w:lang w:val="nl-NL"/>
        </w:rPr>
        <w:t>15,999.65</w:t>
      </w:r>
      <w:r w:rsidR="006954EB" w:rsidRPr="006954EB">
        <w:rPr>
          <w:lang w:val="nl-NL"/>
        </w:rPr>
        <w:t xml:space="preserve"> </w:t>
      </w:r>
      <w:r w:rsidRPr="00375C22">
        <w:rPr>
          <w:lang w:val="nl-NL"/>
        </w:rPr>
        <w:t>Đồng Việt Nam</w:t>
      </w:r>
      <w:r w:rsidR="000D692A" w:rsidRPr="00375C22">
        <w:rPr>
          <w:lang w:val="nl-NL"/>
        </w:rPr>
        <w:t>, giá trị tài sản ròng của quỹ là</w:t>
      </w:r>
      <w:r w:rsidR="0004527D" w:rsidRPr="00375C22">
        <w:rPr>
          <w:lang w:val="nl-NL"/>
        </w:rPr>
        <w:t xml:space="preserve"> </w:t>
      </w:r>
      <w:r w:rsidR="00103CA1" w:rsidRPr="00103CA1">
        <w:rPr>
          <w:lang w:val="nl-NL"/>
        </w:rPr>
        <w:t>5,862,587,783,596</w:t>
      </w:r>
      <w:r w:rsidR="004E057F" w:rsidRPr="004E057F">
        <w:rPr>
          <w:lang w:val="nl-NL"/>
        </w:rPr>
        <w:t xml:space="preserve"> </w:t>
      </w:r>
      <w:r w:rsidR="000D692A" w:rsidRPr="00375C22">
        <w:rPr>
          <w:lang w:val="nl-NL"/>
        </w:rPr>
        <w:t>Đồng Việt Nam</w:t>
      </w:r>
      <w:r w:rsidR="002D4030" w:rsidRPr="00375C22">
        <w:rPr>
          <w:lang w:val="nl-NL"/>
        </w:rPr>
        <w:t>.</w:t>
      </w:r>
    </w:p>
    <w:p w14:paraId="40CBE729" w14:textId="77777777" w:rsidR="00000563" w:rsidRPr="00381192" w:rsidRDefault="00000563" w:rsidP="00000563">
      <w:pPr>
        <w:spacing w:before="120"/>
        <w:ind w:firstLine="567"/>
      </w:pPr>
    </w:p>
    <w:p w14:paraId="7267C0E4" w14:textId="480348B4" w:rsidR="007922E7" w:rsidRPr="00381192" w:rsidRDefault="00000563" w:rsidP="00000563">
      <w:pPr>
        <w:pStyle w:val="ListParagraph"/>
        <w:numPr>
          <w:ilvl w:val="1"/>
          <w:numId w:val="1"/>
        </w:numPr>
        <w:shd w:val="clear" w:color="auto" w:fill="FFFFFF"/>
        <w:tabs>
          <w:tab w:val="left" w:pos="540"/>
        </w:tabs>
        <w:spacing w:after="0"/>
        <w:rPr>
          <w:rFonts w:ascii="Times New Roman" w:hAnsi="Times New Roman"/>
          <w:b/>
          <w:sz w:val="24"/>
          <w:szCs w:val="24"/>
          <w:lang w:val="nl-NL"/>
        </w:rPr>
      </w:pPr>
      <w:r>
        <w:rPr>
          <w:rFonts w:ascii="Times New Roman" w:hAnsi="Times New Roman"/>
          <w:b/>
          <w:sz w:val="24"/>
          <w:szCs w:val="24"/>
          <w:lang w:val="nl-NL"/>
        </w:rPr>
        <w:t xml:space="preserve"> </w:t>
      </w:r>
      <w:r w:rsidR="007922E7" w:rsidRPr="00381192">
        <w:rPr>
          <w:rFonts w:ascii="Times New Roman" w:hAnsi="Times New Roman"/>
          <w:b/>
          <w:sz w:val="24"/>
          <w:szCs w:val="24"/>
          <w:lang w:val="nl-NL"/>
        </w:rPr>
        <w:t xml:space="preserve">Chỉ số tham chiếu của Quỹ </w:t>
      </w:r>
    </w:p>
    <w:p w14:paraId="115FE843" w14:textId="6F5EB6C1" w:rsidR="007922E7" w:rsidRDefault="00000563" w:rsidP="00000563">
      <w:pPr>
        <w:shd w:val="clear" w:color="auto" w:fill="FFFFFF"/>
        <w:tabs>
          <w:tab w:val="left" w:pos="540"/>
        </w:tabs>
        <w:spacing w:before="120"/>
        <w:rPr>
          <w:lang w:val="nl-NL"/>
        </w:rPr>
      </w:pPr>
      <w:r>
        <w:rPr>
          <w:lang w:val="nl-NL"/>
        </w:rPr>
        <w:tab/>
      </w:r>
      <w:r w:rsidR="00CF1886" w:rsidRPr="00381192">
        <w:rPr>
          <w:lang w:val="nl-NL"/>
        </w:rPr>
        <w:t>Quỹ k</w:t>
      </w:r>
      <w:r w:rsidR="003B7FF2" w:rsidRPr="00381192">
        <w:rPr>
          <w:lang w:val="nl-NL"/>
        </w:rPr>
        <w:t>hông có chỉ số tham chiếu</w:t>
      </w:r>
      <w:r w:rsidR="00A5374F" w:rsidRPr="00381192">
        <w:rPr>
          <w:lang w:val="nl-NL"/>
        </w:rPr>
        <w:t>.</w:t>
      </w:r>
    </w:p>
    <w:p w14:paraId="1F960EBD" w14:textId="77777777" w:rsidR="00000563" w:rsidRPr="00381192" w:rsidRDefault="00000563" w:rsidP="00000563">
      <w:pPr>
        <w:shd w:val="clear" w:color="auto" w:fill="FFFFFF"/>
        <w:tabs>
          <w:tab w:val="left" w:pos="540"/>
        </w:tabs>
        <w:spacing w:before="120"/>
        <w:rPr>
          <w:lang w:val="nl-NL"/>
        </w:rPr>
      </w:pPr>
    </w:p>
    <w:p w14:paraId="5D796FF1" w14:textId="07E031C4" w:rsidR="007922E7" w:rsidRPr="00000563" w:rsidRDefault="007922E7" w:rsidP="00000563">
      <w:pPr>
        <w:pStyle w:val="ListParagraph"/>
        <w:numPr>
          <w:ilvl w:val="1"/>
          <w:numId w:val="1"/>
        </w:numPr>
        <w:shd w:val="clear" w:color="auto" w:fill="FFFFFF"/>
        <w:tabs>
          <w:tab w:val="left" w:pos="567"/>
        </w:tabs>
        <w:spacing w:after="0"/>
        <w:ind w:left="857" w:hanging="505"/>
        <w:rPr>
          <w:rFonts w:ascii="Times New Roman" w:hAnsi="Times New Roman"/>
          <w:b/>
          <w:lang w:val="nl-NL"/>
        </w:rPr>
      </w:pPr>
      <w:r w:rsidRPr="00000563">
        <w:rPr>
          <w:rFonts w:ascii="Times New Roman" w:hAnsi="Times New Roman"/>
          <w:b/>
          <w:lang w:val="nl-NL"/>
        </w:rPr>
        <w:t>Chính sách phân phối lợi nhuận của Quỹ</w:t>
      </w:r>
    </w:p>
    <w:p w14:paraId="16C84F0A" w14:textId="5D664B75" w:rsidR="007922E7" w:rsidRDefault="00EB3F6B" w:rsidP="00000563">
      <w:pPr>
        <w:spacing w:before="120"/>
        <w:ind w:firstLine="352"/>
        <w:rPr>
          <w:lang w:val="nl-NL"/>
        </w:rPr>
      </w:pPr>
      <w:r w:rsidRPr="00381192">
        <w:rPr>
          <w:lang w:val="nl-NL"/>
        </w:rPr>
        <w:t>Quỹ phân phối lợi nhuận cho nhà đầu tư dựa trên Nghị quyết của Đại hội Nhà đầu tư, phù hợp với Điều lệ của Quỹ và quy định của pháp luật chứng khoán hiện hành.</w:t>
      </w:r>
    </w:p>
    <w:p w14:paraId="3869B460" w14:textId="77777777" w:rsidR="00000563" w:rsidRPr="00381192" w:rsidRDefault="00000563" w:rsidP="00000563">
      <w:pPr>
        <w:spacing w:before="120"/>
        <w:ind w:firstLine="352"/>
      </w:pPr>
    </w:p>
    <w:p w14:paraId="1D8CE7FC" w14:textId="3251D36E" w:rsidR="007922E7" w:rsidRPr="00381192" w:rsidRDefault="007922E7" w:rsidP="00BF0151">
      <w:pPr>
        <w:pStyle w:val="ListParagraph"/>
        <w:numPr>
          <w:ilvl w:val="1"/>
          <w:numId w:val="1"/>
        </w:numPr>
        <w:shd w:val="clear" w:color="auto" w:fill="FFFFFF"/>
        <w:tabs>
          <w:tab w:val="left" w:pos="540"/>
        </w:tabs>
        <w:spacing w:after="0"/>
        <w:ind w:left="993" w:hanging="578"/>
        <w:rPr>
          <w:rFonts w:ascii="Times New Roman" w:hAnsi="Times New Roman"/>
          <w:sz w:val="24"/>
          <w:szCs w:val="24"/>
          <w:lang w:val="nl-NL"/>
        </w:rPr>
      </w:pPr>
      <w:r w:rsidRPr="00381192">
        <w:rPr>
          <w:rFonts w:ascii="Times New Roman" w:hAnsi="Times New Roman"/>
          <w:b/>
          <w:sz w:val="24"/>
          <w:szCs w:val="24"/>
          <w:lang w:val="nl-NL"/>
        </w:rPr>
        <w:t>Lợi nhuận thuần thực tế phân phối trên một đơn vị Chứng chỉ quỹ Quỹ</w:t>
      </w:r>
      <w:r w:rsidRPr="00381192">
        <w:rPr>
          <w:rFonts w:ascii="Times New Roman" w:hAnsi="Times New Roman"/>
          <w:sz w:val="24"/>
          <w:szCs w:val="24"/>
          <w:lang w:val="nl-NL"/>
        </w:rPr>
        <w:t xml:space="preserve"> </w:t>
      </w:r>
    </w:p>
    <w:p w14:paraId="41AC6E9C" w14:textId="3219EE2C" w:rsidR="007922E7" w:rsidRPr="00375C22" w:rsidRDefault="00EB3F6B" w:rsidP="00DB0A2F">
      <w:pPr>
        <w:spacing w:before="120"/>
        <w:ind w:firstLine="414"/>
        <w:jc w:val="both"/>
      </w:pPr>
      <w:proofErr w:type="spellStart"/>
      <w:r w:rsidRPr="00375C22">
        <w:t>Quỹ</w:t>
      </w:r>
      <w:proofErr w:type="spellEnd"/>
      <w:r w:rsidRPr="00375C22">
        <w:t xml:space="preserve"> </w:t>
      </w:r>
      <w:proofErr w:type="spellStart"/>
      <w:r w:rsidRPr="00375C22">
        <w:t>không</w:t>
      </w:r>
      <w:proofErr w:type="spellEnd"/>
      <w:r w:rsidRPr="00375C22">
        <w:t xml:space="preserve"> </w:t>
      </w:r>
      <w:proofErr w:type="spellStart"/>
      <w:r w:rsidRPr="00375C22">
        <w:t>có</w:t>
      </w:r>
      <w:proofErr w:type="spellEnd"/>
      <w:r w:rsidRPr="00375C22">
        <w:t xml:space="preserve"> </w:t>
      </w:r>
      <w:proofErr w:type="spellStart"/>
      <w:r w:rsidRPr="00375C22">
        <w:t>phân</w:t>
      </w:r>
      <w:proofErr w:type="spellEnd"/>
      <w:r w:rsidRPr="00375C22">
        <w:t xml:space="preserve"> </w:t>
      </w:r>
      <w:proofErr w:type="spellStart"/>
      <w:r w:rsidRPr="00375C22">
        <w:t>phối</w:t>
      </w:r>
      <w:proofErr w:type="spellEnd"/>
      <w:r w:rsidRPr="00375C22">
        <w:t xml:space="preserve"> </w:t>
      </w:r>
      <w:proofErr w:type="spellStart"/>
      <w:r w:rsidRPr="00375C22">
        <w:t>lợi</w:t>
      </w:r>
      <w:proofErr w:type="spellEnd"/>
      <w:r w:rsidRPr="00375C22">
        <w:t xml:space="preserve"> </w:t>
      </w:r>
      <w:proofErr w:type="spellStart"/>
      <w:r w:rsidRPr="00375C22">
        <w:t>nhuận</w:t>
      </w:r>
      <w:proofErr w:type="spellEnd"/>
      <w:r w:rsidRPr="00375C22">
        <w:t xml:space="preserve"> </w:t>
      </w:r>
      <w:proofErr w:type="spellStart"/>
      <w:r w:rsidRPr="00375C22">
        <w:t>cho</w:t>
      </w:r>
      <w:proofErr w:type="spellEnd"/>
      <w:r w:rsidRPr="00375C22">
        <w:t xml:space="preserve"> </w:t>
      </w:r>
      <w:proofErr w:type="spellStart"/>
      <w:r w:rsidRPr="00375C22">
        <w:t>nhà</w:t>
      </w:r>
      <w:proofErr w:type="spellEnd"/>
      <w:r w:rsidRPr="00375C22">
        <w:t xml:space="preserve"> </w:t>
      </w:r>
      <w:proofErr w:type="spellStart"/>
      <w:r w:rsidRPr="00375C22">
        <w:t>đầu</w:t>
      </w:r>
      <w:proofErr w:type="spellEnd"/>
      <w:r w:rsidRPr="00375C22">
        <w:t xml:space="preserve"> </w:t>
      </w:r>
      <w:proofErr w:type="spellStart"/>
      <w:r w:rsidRPr="00375C22">
        <w:t>tư</w:t>
      </w:r>
      <w:proofErr w:type="spellEnd"/>
      <w:r w:rsidRPr="00375C22">
        <w:t xml:space="preserve"> </w:t>
      </w:r>
      <w:proofErr w:type="spellStart"/>
      <w:r w:rsidRPr="00375C22">
        <w:t>từ</w:t>
      </w:r>
      <w:proofErr w:type="spellEnd"/>
      <w:r w:rsidRPr="00375C22">
        <w:t xml:space="preserve"> </w:t>
      </w:r>
      <w:proofErr w:type="spellStart"/>
      <w:r w:rsidRPr="00375C22">
        <w:t>khi</w:t>
      </w:r>
      <w:proofErr w:type="spellEnd"/>
      <w:r w:rsidRPr="00375C22">
        <w:t xml:space="preserve"> </w:t>
      </w:r>
      <w:proofErr w:type="spellStart"/>
      <w:r w:rsidRPr="00375C22">
        <w:t>thành</w:t>
      </w:r>
      <w:proofErr w:type="spellEnd"/>
      <w:r w:rsidRPr="00375C22">
        <w:t xml:space="preserve"> </w:t>
      </w:r>
      <w:proofErr w:type="spellStart"/>
      <w:r w:rsidRPr="00375C22">
        <w:t>lập</w:t>
      </w:r>
      <w:proofErr w:type="spellEnd"/>
      <w:r w:rsidRPr="00375C22">
        <w:t xml:space="preserve"> </w:t>
      </w:r>
      <w:proofErr w:type="spellStart"/>
      <w:r w:rsidRPr="00375C22">
        <w:t>cho</w:t>
      </w:r>
      <w:proofErr w:type="spellEnd"/>
      <w:r w:rsidRPr="00375C22">
        <w:t xml:space="preserve"> </w:t>
      </w:r>
      <w:proofErr w:type="spellStart"/>
      <w:r w:rsidRPr="00375C22">
        <w:t>đến</w:t>
      </w:r>
      <w:proofErr w:type="spellEnd"/>
      <w:r w:rsidRPr="00375C22">
        <w:t xml:space="preserve"> </w:t>
      </w:r>
      <w:proofErr w:type="spellStart"/>
      <w:r w:rsidRPr="00375C22">
        <w:t>ngày</w:t>
      </w:r>
      <w:proofErr w:type="spellEnd"/>
      <w:r w:rsidRPr="00375C22">
        <w:t xml:space="preserve"> 3</w:t>
      </w:r>
      <w:r w:rsidR="00FB4E6B">
        <w:t>0</w:t>
      </w:r>
      <w:r w:rsidRPr="00375C22">
        <w:t xml:space="preserve"> </w:t>
      </w:r>
      <w:proofErr w:type="spellStart"/>
      <w:r w:rsidRPr="00375C22">
        <w:t>tháng</w:t>
      </w:r>
      <w:proofErr w:type="spellEnd"/>
      <w:r w:rsidRPr="00375C22">
        <w:t xml:space="preserve"> </w:t>
      </w:r>
      <w:r w:rsidR="00DB0A2F">
        <w:t>0</w:t>
      </w:r>
      <w:r w:rsidR="00FB4E6B">
        <w:t>6</w:t>
      </w:r>
      <w:r w:rsidRPr="00375C22">
        <w:t xml:space="preserve"> </w:t>
      </w:r>
      <w:proofErr w:type="spellStart"/>
      <w:r w:rsidRPr="00375C22">
        <w:t>năm</w:t>
      </w:r>
      <w:proofErr w:type="spellEnd"/>
      <w:r w:rsidRPr="00375C22">
        <w:t xml:space="preserve"> 202</w:t>
      </w:r>
      <w:r w:rsidR="00DB0A2F">
        <w:t>4</w:t>
      </w:r>
      <w:r w:rsidRPr="00375C22">
        <w:t>.</w:t>
      </w:r>
    </w:p>
    <w:p w14:paraId="21270C0C" w14:textId="77777777" w:rsidR="00BF0151" w:rsidRPr="00375C22" w:rsidRDefault="00BF0151" w:rsidP="00BF0151">
      <w:pPr>
        <w:spacing w:before="120"/>
        <w:ind w:firstLine="414"/>
      </w:pPr>
    </w:p>
    <w:p w14:paraId="493B6F37" w14:textId="5DD47FCE" w:rsidR="007922E7" w:rsidRPr="00381192" w:rsidRDefault="00BF0151" w:rsidP="00BF0151">
      <w:pPr>
        <w:pStyle w:val="ListParagraph"/>
        <w:numPr>
          <w:ilvl w:val="0"/>
          <w:numId w:val="1"/>
        </w:numPr>
        <w:spacing w:after="0"/>
        <w:ind w:left="284"/>
        <w:rPr>
          <w:rFonts w:ascii="Times New Roman" w:hAnsi="Times New Roman"/>
          <w:b/>
          <w:sz w:val="24"/>
          <w:szCs w:val="24"/>
          <w:lang w:val="nl-NL"/>
        </w:rPr>
      </w:pPr>
      <w:r w:rsidRPr="00381192">
        <w:rPr>
          <w:rFonts w:ascii="Times New Roman" w:hAnsi="Times New Roman"/>
          <w:b/>
          <w:sz w:val="24"/>
          <w:szCs w:val="24"/>
          <w:lang w:val="nl-NL"/>
        </w:rPr>
        <w:t>SỐ LIỆU HOẠT ĐỘNG</w:t>
      </w:r>
    </w:p>
    <w:p w14:paraId="43D797AF" w14:textId="77777777" w:rsidR="00BF0151" w:rsidRDefault="00BF0151" w:rsidP="00BF0151">
      <w:pPr>
        <w:pStyle w:val="ListParagraph"/>
        <w:numPr>
          <w:ilvl w:val="1"/>
          <w:numId w:val="1"/>
        </w:numPr>
        <w:spacing w:after="0"/>
        <w:rPr>
          <w:rFonts w:ascii="Times New Roman" w:hAnsi="Times New Roman"/>
          <w:b/>
          <w:sz w:val="24"/>
          <w:szCs w:val="24"/>
          <w:lang w:val="nl-NL"/>
        </w:rPr>
      </w:pPr>
      <w:r>
        <w:rPr>
          <w:rFonts w:ascii="Times New Roman" w:hAnsi="Times New Roman"/>
          <w:b/>
          <w:sz w:val="24"/>
          <w:szCs w:val="24"/>
          <w:lang w:val="nl-NL"/>
        </w:rPr>
        <w:t xml:space="preserve"> </w:t>
      </w:r>
      <w:r w:rsidR="007922E7" w:rsidRPr="00381192">
        <w:rPr>
          <w:rFonts w:ascii="Times New Roman" w:hAnsi="Times New Roman"/>
          <w:b/>
          <w:sz w:val="24"/>
          <w:szCs w:val="24"/>
          <w:lang w:val="nl-NL"/>
        </w:rPr>
        <w:t>Cơ cấu tài sản quỹ</w:t>
      </w:r>
    </w:p>
    <w:p w14:paraId="46CE1596" w14:textId="2DB2EA69" w:rsidR="007922E7" w:rsidRPr="00BF0151" w:rsidRDefault="007922E7" w:rsidP="00BF0151">
      <w:pPr>
        <w:ind w:left="360"/>
        <w:rPr>
          <w:b/>
          <w:lang w:val="nl-NL"/>
        </w:rPr>
      </w:pPr>
      <w:r w:rsidRPr="00BF0151">
        <w:rPr>
          <w:b/>
          <w:lang w:val="nl-NL"/>
        </w:rPr>
        <w:t xml:space="preserve"> </w:t>
      </w:r>
    </w:p>
    <w:tbl>
      <w:tblPr>
        <w:tblW w:w="9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2270"/>
        <w:gridCol w:w="2290"/>
        <w:gridCol w:w="2220"/>
      </w:tblGrid>
      <w:tr w:rsidR="00DD2067" w:rsidRPr="00741A23" w14:paraId="4F4503A4" w14:textId="77777777" w:rsidTr="007E5087">
        <w:trPr>
          <w:trHeight w:val="300"/>
        </w:trPr>
        <w:tc>
          <w:tcPr>
            <w:tcW w:w="2700" w:type="dxa"/>
            <w:shd w:val="clear" w:color="auto" w:fill="auto"/>
            <w:vAlign w:val="center"/>
            <w:hideMark/>
          </w:tcPr>
          <w:p w14:paraId="0D3E32BE" w14:textId="77777777" w:rsidR="00DD2067" w:rsidRPr="00741A23" w:rsidRDefault="00DD2067" w:rsidP="00DD2067">
            <w:pPr>
              <w:jc w:val="center"/>
              <w:rPr>
                <w:b/>
                <w:bCs/>
              </w:rPr>
            </w:pPr>
            <w:proofErr w:type="spellStart"/>
            <w:r w:rsidRPr="00741A23">
              <w:rPr>
                <w:b/>
                <w:bCs/>
              </w:rPr>
              <w:t>Cơ</w:t>
            </w:r>
            <w:proofErr w:type="spellEnd"/>
            <w:r w:rsidRPr="00741A23">
              <w:rPr>
                <w:b/>
                <w:bCs/>
              </w:rPr>
              <w:t xml:space="preserve"> </w:t>
            </w:r>
            <w:proofErr w:type="spellStart"/>
            <w:r w:rsidRPr="00741A23">
              <w:rPr>
                <w:b/>
                <w:bCs/>
              </w:rPr>
              <w:t>cấu</w:t>
            </w:r>
            <w:proofErr w:type="spellEnd"/>
            <w:r w:rsidRPr="00741A23">
              <w:rPr>
                <w:b/>
                <w:bCs/>
              </w:rPr>
              <w:t xml:space="preserve"> </w:t>
            </w:r>
            <w:proofErr w:type="spellStart"/>
            <w:r w:rsidRPr="00741A23">
              <w:rPr>
                <w:b/>
                <w:bCs/>
              </w:rPr>
              <w:t>tài</w:t>
            </w:r>
            <w:proofErr w:type="spellEnd"/>
            <w:r w:rsidRPr="00741A23">
              <w:rPr>
                <w:b/>
                <w:bCs/>
              </w:rPr>
              <w:t xml:space="preserve"> </w:t>
            </w:r>
            <w:proofErr w:type="spellStart"/>
            <w:r w:rsidRPr="00741A23">
              <w:rPr>
                <w:b/>
                <w:bCs/>
              </w:rPr>
              <w:t>sản</w:t>
            </w:r>
            <w:proofErr w:type="spellEnd"/>
            <w:r w:rsidRPr="00741A23">
              <w:rPr>
                <w:b/>
                <w:bCs/>
              </w:rPr>
              <w:t xml:space="preserve"> </w:t>
            </w:r>
            <w:proofErr w:type="spellStart"/>
            <w:r w:rsidRPr="00741A23">
              <w:rPr>
                <w:b/>
                <w:bCs/>
              </w:rPr>
              <w:t>quỹ</w:t>
            </w:r>
            <w:proofErr w:type="spellEnd"/>
          </w:p>
        </w:tc>
        <w:tc>
          <w:tcPr>
            <w:tcW w:w="2270" w:type="dxa"/>
            <w:shd w:val="clear" w:color="auto" w:fill="auto"/>
            <w:vAlign w:val="center"/>
            <w:hideMark/>
          </w:tcPr>
          <w:p w14:paraId="262D651D" w14:textId="4D8C0264" w:rsidR="00DD2067" w:rsidRPr="00DD2067" w:rsidRDefault="004E057F" w:rsidP="00DD2067">
            <w:pPr>
              <w:jc w:val="center"/>
              <w:rPr>
                <w:b/>
                <w:bCs/>
              </w:rPr>
            </w:pPr>
            <w:r>
              <w:rPr>
                <w:b/>
                <w:bCs/>
                <w:color w:val="000000"/>
              </w:rPr>
              <w:t>3</w:t>
            </w:r>
            <w:r w:rsidR="00FB4E6B">
              <w:rPr>
                <w:b/>
                <w:bCs/>
                <w:color w:val="000000"/>
              </w:rPr>
              <w:t>0</w:t>
            </w:r>
            <w:r>
              <w:rPr>
                <w:b/>
                <w:bCs/>
                <w:color w:val="000000"/>
              </w:rPr>
              <w:t>/</w:t>
            </w:r>
            <w:r w:rsidR="00DB0A2F">
              <w:rPr>
                <w:b/>
                <w:bCs/>
                <w:color w:val="000000"/>
              </w:rPr>
              <w:t>0</w:t>
            </w:r>
            <w:r w:rsidR="00FB4E6B">
              <w:rPr>
                <w:b/>
                <w:bCs/>
                <w:color w:val="000000"/>
              </w:rPr>
              <w:t>6</w:t>
            </w:r>
            <w:r>
              <w:rPr>
                <w:b/>
                <w:bCs/>
                <w:color w:val="000000"/>
              </w:rPr>
              <w:t>/202</w:t>
            </w:r>
            <w:r w:rsidR="00DB0A2F">
              <w:rPr>
                <w:b/>
                <w:bCs/>
                <w:color w:val="000000"/>
              </w:rPr>
              <w:t>4</w:t>
            </w:r>
          </w:p>
        </w:tc>
        <w:tc>
          <w:tcPr>
            <w:tcW w:w="2290" w:type="dxa"/>
            <w:shd w:val="clear" w:color="auto" w:fill="auto"/>
            <w:vAlign w:val="center"/>
            <w:hideMark/>
          </w:tcPr>
          <w:p w14:paraId="368CC4F4" w14:textId="38EE3FF1" w:rsidR="00DD2067" w:rsidRPr="00DD2067" w:rsidRDefault="004E057F" w:rsidP="00DD2067">
            <w:pPr>
              <w:jc w:val="center"/>
              <w:rPr>
                <w:b/>
                <w:bCs/>
              </w:rPr>
            </w:pPr>
            <w:r>
              <w:rPr>
                <w:b/>
                <w:bCs/>
                <w:color w:val="000000"/>
              </w:rPr>
              <w:t>3</w:t>
            </w:r>
            <w:r w:rsidR="00FB4E6B">
              <w:rPr>
                <w:b/>
                <w:bCs/>
                <w:color w:val="000000"/>
              </w:rPr>
              <w:t>0</w:t>
            </w:r>
            <w:r>
              <w:rPr>
                <w:b/>
                <w:bCs/>
                <w:color w:val="000000"/>
              </w:rPr>
              <w:t>/</w:t>
            </w:r>
            <w:r w:rsidR="00DB0A2F">
              <w:rPr>
                <w:b/>
                <w:bCs/>
                <w:color w:val="000000"/>
              </w:rPr>
              <w:t>0</w:t>
            </w:r>
            <w:r w:rsidR="00FB4E6B">
              <w:rPr>
                <w:b/>
                <w:bCs/>
                <w:color w:val="000000"/>
              </w:rPr>
              <w:t>6</w:t>
            </w:r>
            <w:r w:rsidR="00DD2067" w:rsidRPr="00DD2067">
              <w:rPr>
                <w:b/>
                <w:bCs/>
                <w:color w:val="000000"/>
              </w:rPr>
              <w:t>/202</w:t>
            </w:r>
            <w:r w:rsidR="00DB0A2F">
              <w:rPr>
                <w:b/>
                <w:bCs/>
                <w:color w:val="000000"/>
              </w:rPr>
              <w:t>3</w:t>
            </w:r>
          </w:p>
        </w:tc>
        <w:tc>
          <w:tcPr>
            <w:tcW w:w="2220" w:type="dxa"/>
            <w:shd w:val="clear" w:color="auto" w:fill="auto"/>
            <w:vAlign w:val="center"/>
            <w:hideMark/>
          </w:tcPr>
          <w:p w14:paraId="516CA00D" w14:textId="7487AFC6" w:rsidR="00DD2067" w:rsidRPr="00DD2067" w:rsidRDefault="004E057F" w:rsidP="00DD2067">
            <w:pPr>
              <w:jc w:val="center"/>
              <w:rPr>
                <w:b/>
                <w:bCs/>
              </w:rPr>
            </w:pPr>
            <w:r>
              <w:rPr>
                <w:b/>
                <w:bCs/>
                <w:color w:val="000000"/>
              </w:rPr>
              <w:t>3</w:t>
            </w:r>
            <w:r w:rsidR="00FB4E6B">
              <w:rPr>
                <w:b/>
                <w:bCs/>
                <w:color w:val="000000"/>
              </w:rPr>
              <w:t>0</w:t>
            </w:r>
            <w:r>
              <w:rPr>
                <w:b/>
                <w:bCs/>
                <w:color w:val="000000"/>
              </w:rPr>
              <w:t>/</w:t>
            </w:r>
            <w:r w:rsidR="00DB0A2F">
              <w:rPr>
                <w:b/>
                <w:bCs/>
                <w:color w:val="000000"/>
              </w:rPr>
              <w:t>0</w:t>
            </w:r>
            <w:r w:rsidR="00FB4E6B">
              <w:rPr>
                <w:b/>
                <w:bCs/>
                <w:color w:val="000000"/>
              </w:rPr>
              <w:t>6</w:t>
            </w:r>
            <w:r w:rsidR="00DD2067" w:rsidRPr="00DD2067">
              <w:rPr>
                <w:b/>
                <w:bCs/>
                <w:color w:val="000000"/>
              </w:rPr>
              <w:t>/202</w:t>
            </w:r>
            <w:r w:rsidR="00DB0A2F">
              <w:rPr>
                <w:b/>
                <w:bCs/>
                <w:color w:val="000000"/>
              </w:rPr>
              <w:t>2</w:t>
            </w:r>
          </w:p>
        </w:tc>
      </w:tr>
      <w:tr w:rsidR="00F573D0" w:rsidRPr="00741A23" w14:paraId="24225AC6" w14:textId="77777777" w:rsidTr="00DD4F42">
        <w:trPr>
          <w:trHeight w:val="405"/>
        </w:trPr>
        <w:tc>
          <w:tcPr>
            <w:tcW w:w="2700" w:type="dxa"/>
            <w:shd w:val="clear" w:color="auto" w:fill="auto"/>
            <w:vAlign w:val="center"/>
            <w:hideMark/>
          </w:tcPr>
          <w:p w14:paraId="258D31C1" w14:textId="77777777" w:rsidR="00F573D0" w:rsidRPr="00741A23" w:rsidRDefault="00F573D0" w:rsidP="00F573D0">
            <w:r w:rsidRPr="00741A23">
              <w:t xml:space="preserve">Danh </w:t>
            </w:r>
            <w:proofErr w:type="spellStart"/>
            <w:r w:rsidRPr="00741A23">
              <w:t>mục</w:t>
            </w:r>
            <w:proofErr w:type="spellEnd"/>
            <w:r w:rsidRPr="00741A23">
              <w:t xml:space="preserve"> </w:t>
            </w:r>
            <w:proofErr w:type="spellStart"/>
            <w:r w:rsidRPr="00741A23">
              <w:t>chứng</w:t>
            </w:r>
            <w:proofErr w:type="spellEnd"/>
            <w:r w:rsidRPr="00741A23">
              <w:t xml:space="preserve"> </w:t>
            </w:r>
            <w:proofErr w:type="spellStart"/>
            <w:r w:rsidRPr="00741A23">
              <w:t>khoán</w:t>
            </w:r>
            <w:proofErr w:type="spellEnd"/>
          </w:p>
        </w:tc>
        <w:tc>
          <w:tcPr>
            <w:tcW w:w="2270" w:type="dxa"/>
            <w:shd w:val="clear" w:color="auto" w:fill="auto"/>
            <w:vAlign w:val="center"/>
          </w:tcPr>
          <w:p w14:paraId="34BA7B6D" w14:textId="716F9E6C" w:rsidR="00F573D0" w:rsidRPr="00F573D0" w:rsidRDefault="00F573D0" w:rsidP="00F573D0">
            <w:pPr>
              <w:jc w:val="right"/>
              <w:rPr>
                <w:rFonts w:eastAsiaTheme="minorHAnsi"/>
              </w:rPr>
            </w:pPr>
            <w:r w:rsidRPr="00F573D0">
              <w:t>95.04%</w:t>
            </w:r>
          </w:p>
        </w:tc>
        <w:tc>
          <w:tcPr>
            <w:tcW w:w="2290" w:type="dxa"/>
            <w:shd w:val="clear" w:color="auto" w:fill="auto"/>
            <w:vAlign w:val="center"/>
          </w:tcPr>
          <w:p w14:paraId="711DD4EB" w14:textId="24FD6FCC" w:rsidR="00F573D0" w:rsidRPr="00F573D0" w:rsidRDefault="00F573D0" w:rsidP="00F573D0">
            <w:pPr>
              <w:jc w:val="right"/>
              <w:rPr>
                <w:rFonts w:eastAsiaTheme="minorHAnsi"/>
              </w:rPr>
            </w:pPr>
            <w:r w:rsidRPr="00F573D0">
              <w:t>95.64%</w:t>
            </w:r>
          </w:p>
        </w:tc>
        <w:tc>
          <w:tcPr>
            <w:tcW w:w="2220" w:type="dxa"/>
            <w:shd w:val="clear" w:color="auto" w:fill="auto"/>
            <w:vAlign w:val="center"/>
          </w:tcPr>
          <w:p w14:paraId="207E30C9" w14:textId="5FEB42ED" w:rsidR="00F573D0" w:rsidRPr="00F573D0" w:rsidRDefault="00F573D0" w:rsidP="00F573D0">
            <w:pPr>
              <w:jc w:val="right"/>
            </w:pPr>
            <w:r w:rsidRPr="00F573D0">
              <w:t>88.24%</w:t>
            </w:r>
          </w:p>
        </w:tc>
      </w:tr>
      <w:tr w:rsidR="00F573D0" w:rsidRPr="00741A23" w14:paraId="0CA77645" w14:textId="77777777" w:rsidTr="000A6D39">
        <w:trPr>
          <w:trHeight w:val="397"/>
        </w:trPr>
        <w:tc>
          <w:tcPr>
            <w:tcW w:w="2700" w:type="dxa"/>
            <w:shd w:val="clear" w:color="auto" w:fill="auto"/>
            <w:vAlign w:val="center"/>
            <w:hideMark/>
          </w:tcPr>
          <w:p w14:paraId="550129E8" w14:textId="77777777" w:rsidR="00F573D0" w:rsidRPr="00741A23" w:rsidRDefault="00F573D0" w:rsidP="00F573D0">
            <w:r w:rsidRPr="00741A23">
              <w:t xml:space="preserve">Tài </w:t>
            </w:r>
            <w:proofErr w:type="spellStart"/>
            <w:r w:rsidRPr="00741A23">
              <w:t>sản</w:t>
            </w:r>
            <w:proofErr w:type="spellEnd"/>
            <w:r w:rsidRPr="00741A23">
              <w:t xml:space="preserve"> </w:t>
            </w:r>
            <w:proofErr w:type="spellStart"/>
            <w:r w:rsidRPr="00741A23">
              <w:t>khác</w:t>
            </w:r>
            <w:proofErr w:type="spellEnd"/>
          </w:p>
        </w:tc>
        <w:tc>
          <w:tcPr>
            <w:tcW w:w="2270" w:type="dxa"/>
            <w:shd w:val="clear" w:color="auto" w:fill="auto"/>
            <w:vAlign w:val="center"/>
          </w:tcPr>
          <w:p w14:paraId="28B18A2A" w14:textId="6931EAA3" w:rsidR="00F573D0" w:rsidRPr="00F573D0" w:rsidRDefault="00F573D0" w:rsidP="00F573D0">
            <w:pPr>
              <w:jc w:val="right"/>
              <w:rPr>
                <w:rFonts w:eastAsiaTheme="minorHAnsi"/>
              </w:rPr>
            </w:pPr>
            <w:r w:rsidRPr="00F573D0">
              <w:t>4.96%</w:t>
            </w:r>
          </w:p>
        </w:tc>
        <w:tc>
          <w:tcPr>
            <w:tcW w:w="2290" w:type="dxa"/>
            <w:shd w:val="clear" w:color="auto" w:fill="auto"/>
            <w:vAlign w:val="center"/>
          </w:tcPr>
          <w:p w14:paraId="3E0E41C7" w14:textId="0E128AD5" w:rsidR="00F573D0" w:rsidRPr="00F573D0" w:rsidRDefault="00F573D0" w:rsidP="00F573D0">
            <w:pPr>
              <w:jc w:val="right"/>
              <w:rPr>
                <w:rFonts w:eastAsiaTheme="minorHAnsi"/>
              </w:rPr>
            </w:pPr>
            <w:r w:rsidRPr="00F573D0">
              <w:t>4.36%</w:t>
            </w:r>
          </w:p>
        </w:tc>
        <w:tc>
          <w:tcPr>
            <w:tcW w:w="2220" w:type="dxa"/>
            <w:shd w:val="clear" w:color="auto" w:fill="auto"/>
            <w:vAlign w:val="center"/>
          </w:tcPr>
          <w:p w14:paraId="43FE44F0" w14:textId="4ABD94F3" w:rsidR="00F573D0" w:rsidRPr="00F573D0" w:rsidRDefault="00F573D0" w:rsidP="00F573D0">
            <w:pPr>
              <w:jc w:val="right"/>
            </w:pPr>
            <w:r w:rsidRPr="00F573D0">
              <w:t>11.76%</w:t>
            </w:r>
          </w:p>
        </w:tc>
      </w:tr>
      <w:tr w:rsidR="003B1338" w:rsidRPr="00741A23" w14:paraId="5E5AA185" w14:textId="77777777" w:rsidTr="000A6D39">
        <w:trPr>
          <w:trHeight w:val="397"/>
        </w:trPr>
        <w:tc>
          <w:tcPr>
            <w:tcW w:w="2700" w:type="dxa"/>
            <w:shd w:val="clear" w:color="auto" w:fill="auto"/>
            <w:vAlign w:val="center"/>
            <w:hideMark/>
          </w:tcPr>
          <w:p w14:paraId="6C364164" w14:textId="77777777" w:rsidR="003B1338" w:rsidRPr="00741A23" w:rsidRDefault="003B1338" w:rsidP="00381192">
            <w:pPr>
              <w:rPr>
                <w:b/>
                <w:bCs/>
              </w:rPr>
            </w:pPr>
            <w:proofErr w:type="spellStart"/>
            <w:r w:rsidRPr="00741A23">
              <w:rPr>
                <w:b/>
                <w:bCs/>
              </w:rPr>
              <w:t>Cộng</w:t>
            </w:r>
            <w:proofErr w:type="spellEnd"/>
          </w:p>
        </w:tc>
        <w:tc>
          <w:tcPr>
            <w:tcW w:w="2270" w:type="dxa"/>
            <w:shd w:val="clear" w:color="auto" w:fill="auto"/>
            <w:vAlign w:val="center"/>
          </w:tcPr>
          <w:p w14:paraId="78777E54" w14:textId="306F7A19" w:rsidR="003B1338" w:rsidRPr="00741A23" w:rsidRDefault="003B1338" w:rsidP="00381192">
            <w:pPr>
              <w:jc w:val="right"/>
              <w:rPr>
                <w:b/>
                <w:bCs/>
              </w:rPr>
            </w:pPr>
            <w:r w:rsidRPr="00741A23">
              <w:rPr>
                <w:b/>
                <w:bCs/>
              </w:rPr>
              <w:t>100.00%</w:t>
            </w:r>
          </w:p>
        </w:tc>
        <w:tc>
          <w:tcPr>
            <w:tcW w:w="2290" w:type="dxa"/>
            <w:shd w:val="clear" w:color="auto" w:fill="auto"/>
            <w:vAlign w:val="center"/>
            <w:hideMark/>
          </w:tcPr>
          <w:p w14:paraId="1B365707" w14:textId="3F01ACB2" w:rsidR="003B1338" w:rsidRPr="00741A23" w:rsidRDefault="003B1338" w:rsidP="00381192">
            <w:pPr>
              <w:jc w:val="right"/>
              <w:rPr>
                <w:b/>
                <w:bCs/>
              </w:rPr>
            </w:pPr>
            <w:r w:rsidRPr="00741A23">
              <w:rPr>
                <w:b/>
                <w:bCs/>
              </w:rPr>
              <w:t>100.00%</w:t>
            </w:r>
          </w:p>
        </w:tc>
        <w:tc>
          <w:tcPr>
            <w:tcW w:w="2220" w:type="dxa"/>
            <w:shd w:val="clear" w:color="auto" w:fill="auto"/>
            <w:vAlign w:val="center"/>
            <w:hideMark/>
          </w:tcPr>
          <w:p w14:paraId="0EB55A6C" w14:textId="5CAF176D" w:rsidR="003B1338" w:rsidRPr="00741A23" w:rsidRDefault="003B1338" w:rsidP="00381192">
            <w:pPr>
              <w:jc w:val="right"/>
              <w:rPr>
                <w:b/>
                <w:bCs/>
              </w:rPr>
            </w:pPr>
            <w:r w:rsidRPr="00741A23">
              <w:rPr>
                <w:b/>
                <w:bCs/>
              </w:rPr>
              <w:t>100.00%</w:t>
            </w:r>
          </w:p>
        </w:tc>
      </w:tr>
    </w:tbl>
    <w:p w14:paraId="08F26767" w14:textId="4FF36E44" w:rsidR="00FD049D" w:rsidRPr="00741A23" w:rsidRDefault="00FD049D" w:rsidP="00381192">
      <w:pPr>
        <w:pStyle w:val="ListParagraph"/>
        <w:spacing w:after="0"/>
        <w:ind w:left="0"/>
        <w:rPr>
          <w:rFonts w:ascii="Times New Roman" w:hAnsi="Times New Roman"/>
          <w:b/>
          <w:sz w:val="24"/>
          <w:szCs w:val="24"/>
          <w:lang w:val="nl-NL"/>
        </w:rPr>
      </w:pPr>
    </w:p>
    <w:p w14:paraId="4D05DF12" w14:textId="5B0BDDBB" w:rsidR="007922E7" w:rsidRPr="00741A23" w:rsidRDefault="00F960DD" w:rsidP="00096D86">
      <w:pPr>
        <w:pStyle w:val="ListParagraph"/>
        <w:numPr>
          <w:ilvl w:val="1"/>
          <w:numId w:val="1"/>
        </w:numPr>
        <w:spacing w:line="259" w:lineRule="auto"/>
        <w:rPr>
          <w:rFonts w:ascii="Times New Roman" w:hAnsi="Times New Roman"/>
          <w:b/>
          <w:sz w:val="24"/>
          <w:szCs w:val="24"/>
          <w:lang w:val="nl-NL"/>
        </w:rPr>
      </w:pPr>
      <w:r w:rsidRPr="00741A23">
        <w:rPr>
          <w:rFonts w:ascii="Times New Roman" w:hAnsi="Times New Roman"/>
          <w:b/>
          <w:sz w:val="24"/>
          <w:szCs w:val="24"/>
          <w:lang w:val="nl-NL"/>
        </w:rPr>
        <w:t xml:space="preserve"> </w:t>
      </w:r>
      <w:r w:rsidR="007922E7" w:rsidRPr="00741A23">
        <w:rPr>
          <w:rFonts w:ascii="Times New Roman" w:hAnsi="Times New Roman"/>
          <w:b/>
          <w:sz w:val="24"/>
          <w:szCs w:val="24"/>
          <w:lang w:val="nl-NL"/>
        </w:rPr>
        <w:t xml:space="preserve">Chi tiết chỉ tiêu hoạt động </w:t>
      </w:r>
    </w:p>
    <w:tbl>
      <w:tblPr>
        <w:tblW w:w="10065"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3693"/>
        <w:gridCol w:w="2124"/>
        <w:gridCol w:w="2124"/>
        <w:gridCol w:w="2124"/>
      </w:tblGrid>
      <w:tr w:rsidR="00DB35EC" w:rsidRPr="00741A23" w14:paraId="4058CFEF" w14:textId="77777777" w:rsidTr="00DD4F42">
        <w:trPr>
          <w:trHeight w:val="535"/>
        </w:trPr>
        <w:tc>
          <w:tcPr>
            <w:tcW w:w="1835" w:type="pct"/>
            <w:shd w:val="clear" w:color="auto" w:fill="auto"/>
            <w:vAlign w:val="center"/>
          </w:tcPr>
          <w:p w14:paraId="757FC71D" w14:textId="77777777" w:rsidR="00DB35EC" w:rsidRPr="00741A23" w:rsidRDefault="00DB35EC" w:rsidP="00DB35EC">
            <w:pPr>
              <w:tabs>
                <w:tab w:val="left" w:pos="540"/>
              </w:tabs>
              <w:jc w:val="center"/>
              <w:rPr>
                <w:b/>
                <w:bCs/>
                <w:lang w:val="nl-NL"/>
              </w:rPr>
            </w:pPr>
            <w:r w:rsidRPr="00741A23">
              <w:rPr>
                <w:b/>
                <w:bCs/>
                <w:lang w:val="nl-NL"/>
              </w:rPr>
              <w:t>Chỉ tiêu</w:t>
            </w:r>
          </w:p>
        </w:tc>
        <w:tc>
          <w:tcPr>
            <w:tcW w:w="1055" w:type="pct"/>
            <w:shd w:val="clear" w:color="auto" w:fill="auto"/>
            <w:vAlign w:val="center"/>
          </w:tcPr>
          <w:p w14:paraId="14BB904A" w14:textId="1735AF01" w:rsidR="00DB35EC" w:rsidRPr="00DD4F42" w:rsidRDefault="00DB35EC" w:rsidP="00DB35EC">
            <w:pPr>
              <w:tabs>
                <w:tab w:val="left" w:pos="540"/>
              </w:tabs>
              <w:jc w:val="center"/>
              <w:rPr>
                <w:b/>
                <w:bCs/>
                <w:lang w:val="nl-NL"/>
              </w:rPr>
            </w:pPr>
            <w:r>
              <w:rPr>
                <w:b/>
                <w:bCs/>
                <w:color w:val="000000"/>
              </w:rPr>
              <w:t>30/06/2024</w:t>
            </w:r>
          </w:p>
        </w:tc>
        <w:tc>
          <w:tcPr>
            <w:tcW w:w="1055" w:type="pct"/>
            <w:shd w:val="clear" w:color="auto" w:fill="auto"/>
            <w:vAlign w:val="center"/>
          </w:tcPr>
          <w:p w14:paraId="2AEA719F" w14:textId="4247D2B6" w:rsidR="00DB35EC" w:rsidRPr="00DD4F42" w:rsidRDefault="00DB35EC" w:rsidP="00DB35EC">
            <w:pPr>
              <w:tabs>
                <w:tab w:val="left" w:pos="540"/>
              </w:tabs>
              <w:jc w:val="center"/>
              <w:rPr>
                <w:b/>
                <w:bCs/>
                <w:lang w:val="nl-NL"/>
              </w:rPr>
            </w:pPr>
            <w:r>
              <w:rPr>
                <w:b/>
                <w:bCs/>
                <w:color w:val="000000"/>
              </w:rPr>
              <w:t>30/06</w:t>
            </w:r>
            <w:r w:rsidRPr="00DD2067">
              <w:rPr>
                <w:b/>
                <w:bCs/>
                <w:color w:val="000000"/>
              </w:rPr>
              <w:t>/202</w:t>
            </w:r>
            <w:r>
              <w:rPr>
                <w:b/>
                <w:bCs/>
                <w:color w:val="000000"/>
              </w:rPr>
              <w:t>3</w:t>
            </w:r>
          </w:p>
        </w:tc>
        <w:tc>
          <w:tcPr>
            <w:tcW w:w="1055" w:type="pct"/>
            <w:shd w:val="clear" w:color="auto" w:fill="auto"/>
            <w:vAlign w:val="center"/>
          </w:tcPr>
          <w:p w14:paraId="7E34882B" w14:textId="2A400AFD" w:rsidR="00DB35EC" w:rsidRPr="00DD4F42" w:rsidRDefault="00DB35EC" w:rsidP="00DB35EC">
            <w:pPr>
              <w:tabs>
                <w:tab w:val="left" w:pos="540"/>
              </w:tabs>
              <w:jc w:val="center"/>
              <w:rPr>
                <w:b/>
                <w:bCs/>
                <w:lang w:val="nl-NL"/>
              </w:rPr>
            </w:pPr>
            <w:r>
              <w:rPr>
                <w:b/>
                <w:bCs/>
                <w:color w:val="000000"/>
              </w:rPr>
              <w:t>30/06</w:t>
            </w:r>
            <w:r w:rsidRPr="00DD2067">
              <w:rPr>
                <w:b/>
                <w:bCs/>
                <w:color w:val="000000"/>
              </w:rPr>
              <w:t>/202</w:t>
            </w:r>
            <w:r>
              <w:rPr>
                <w:b/>
                <w:bCs/>
                <w:color w:val="000000"/>
              </w:rPr>
              <w:t>2</w:t>
            </w:r>
          </w:p>
        </w:tc>
      </w:tr>
      <w:tr w:rsidR="008229CF" w:rsidRPr="00381192" w14:paraId="01E4E911" w14:textId="77777777" w:rsidTr="00375C22">
        <w:trPr>
          <w:trHeight w:val="514"/>
        </w:trPr>
        <w:tc>
          <w:tcPr>
            <w:tcW w:w="1835" w:type="pct"/>
            <w:shd w:val="clear" w:color="auto" w:fill="auto"/>
            <w:vAlign w:val="center"/>
          </w:tcPr>
          <w:p w14:paraId="2A2DD679" w14:textId="77777777" w:rsidR="008229CF" w:rsidRPr="00381192" w:rsidRDefault="008229CF" w:rsidP="008229CF">
            <w:pPr>
              <w:tabs>
                <w:tab w:val="left" w:pos="540"/>
              </w:tabs>
              <w:ind w:left="142" w:right="184"/>
              <w:rPr>
                <w:lang w:val="nl-NL"/>
              </w:rPr>
            </w:pPr>
            <w:r w:rsidRPr="00381192">
              <w:rPr>
                <w:lang w:val="nl-NL"/>
              </w:rPr>
              <w:t>2.1.Giá trị tài sản ròng của Quỹ</w:t>
            </w:r>
          </w:p>
        </w:tc>
        <w:tc>
          <w:tcPr>
            <w:tcW w:w="1055" w:type="pct"/>
            <w:shd w:val="clear" w:color="auto" w:fill="auto"/>
            <w:vAlign w:val="center"/>
          </w:tcPr>
          <w:p w14:paraId="3B89A0D8" w14:textId="5A473835" w:rsidR="008229CF" w:rsidRPr="00381192" w:rsidRDefault="008229CF" w:rsidP="008229CF">
            <w:pPr>
              <w:ind w:left="141" w:right="178"/>
              <w:jc w:val="right"/>
              <w:rPr>
                <w:color w:val="FF0000"/>
              </w:rPr>
            </w:pPr>
            <w:r>
              <w:t>5,862,587,783,596</w:t>
            </w:r>
          </w:p>
        </w:tc>
        <w:tc>
          <w:tcPr>
            <w:tcW w:w="1055" w:type="pct"/>
            <w:shd w:val="clear" w:color="auto" w:fill="auto"/>
            <w:vAlign w:val="center"/>
          </w:tcPr>
          <w:p w14:paraId="29EC63D9" w14:textId="4A24F1CC" w:rsidR="008229CF" w:rsidRPr="00381192" w:rsidRDefault="008229CF" w:rsidP="008229CF">
            <w:pPr>
              <w:ind w:left="141" w:right="178"/>
              <w:jc w:val="right"/>
              <w:rPr>
                <w:b/>
                <w:bCs/>
                <w:color w:val="FF0000"/>
              </w:rPr>
            </w:pPr>
            <w:r>
              <w:t>3,800,004,775,163</w:t>
            </w:r>
          </w:p>
        </w:tc>
        <w:tc>
          <w:tcPr>
            <w:tcW w:w="1055" w:type="pct"/>
            <w:shd w:val="clear" w:color="auto" w:fill="auto"/>
            <w:vAlign w:val="center"/>
          </w:tcPr>
          <w:p w14:paraId="6CBF4C74" w14:textId="3A6DB56E" w:rsidR="008229CF" w:rsidRPr="00381192" w:rsidRDefault="008229CF" w:rsidP="008229CF">
            <w:pPr>
              <w:ind w:left="141" w:right="178"/>
              <w:jc w:val="right"/>
              <w:rPr>
                <w:color w:val="FF0000"/>
              </w:rPr>
            </w:pPr>
            <w:r>
              <w:t>4,448,760,548,022</w:t>
            </w:r>
          </w:p>
        </w:tc>
      </w:tr>
      <w:tr w:rsidR="008229CF" w:rsidRPr="00381192" w14:paraId="7493A6D8" w14:textId="77777777" w:rsidTr="00375C22">
        <w:trPr>
          <w:trHeight w:val="775"/>
        </w:trPr>
        <w:tc>
          <w:tcPr>
            <w:tcW w:w="1835" w:type="pct"/>
            <w:shd w:val="clear" w:color="auto" w:fill="auto"/>
            <w:vAlign w:val="center"/>
          </w:tcPr>
          <w:p w14:paraId="45CDEC72" w14:textId="77777777" w:rsidR="008229CF" w:rsidRPr="00381192" w:rsidRDefault="008229CF" w:rsidP="008229CF">
            <w:pPr>
              <w:tabs>
                <w:tab w:val="left" w:pos="540"/>
              </w:tabs>
              <w:ind w:left="142" w:right="184"/>
              <w:rPr>
                <w:lang w:val="nl-NL"/>
              </w:rPr>
            </w:pPr>
            <w:r w:rsidRPr="00381192">
              <w:rPr>
                <w:lang w:val="nl-NL"/>
              </w:rPr>
              <w:t>2.2.Tổng số chứng chỉ quỹ đang lưu hành</w:t>
            </w:r>
          </w:p>
        </w:tc>
        <w:tc>
          <w:tcPr>
            <w:tcW w:w="1055" w:type="pct"/>
            <w:shd w:val="clear" w:color="auto" w:fill="auto"/>
            <w:vAlign w:val="center"/>
          </w:tcPr>
          <w:p w14:paraId="07F49EE5" w14:textId="49E43F7E" w:rsidR="008229CF" w:rsidRPr="00381192" w:rsidRDefault="003C127F" w:rsidP="008229CF">
            <w:pPr>
              <w:ind w:left="141" w:right="178"/>
              <w:jc w:val="right"/>
              <w:rPr>
                <w:color w:val="FF0000"/>
                <w:lang w:val="nl-NL"/>
              </w:rPr>
            </w:pPr>
            <w:r>
              <w:rPr>
                <w:color w:val="000000"/>
              </w:rPr>
              <w:t>3</w:t>
            </w:r>
            <w:r w:rsidR="008229CF">
              <w:rPr>
                <w:color w:val="000000"/>
              </w:rPr>
              <w:t xml:space="preserve">66,419,612.48 </w:t>
            </w:r>
          </w:p>
        </w:tc>
        <w:tc>
          <w:tcPr>
            <w:tcW w:w="1055" w:type="pct"/>
            <w:shd w:val="clear" w:color="auto" w:fill="auto"/>
            <w:vAlign w:val="center"/>
          </w:tcPr>
          <w:p w14:paraId="4E807AA0" w14:textId="566CEBF9" w:rsidR="008229CF" w:rsidRPr="00381192" w:rsidRDefault="008229CF" w:rsidP="008229CF">
            <w:pPr>
              <w:ind w:left="141" w:right="178"/>
              <w:jc w:val="right"/>
              <w:rPr>
                <w:color w:val="FF0000"/>
              </w:rPr>
            </w:pPr>
            <w:r>
              <w:rPr>
                <w:color w:val="000000"/>
              </w:rPr>
              <w:t xml:space="preserve">313,055,921.03 </w:t>
            </w:r>
          </w:p>
        </w:tc>
        <w:tc>
          <w:tcPr>
            <w:tcW w:w="1055" w:type="pct"/>
            <w:shd w:val="clear" w:color="auto" w:fill="auto"/>
            <w:vAlign w:val="center"/>
          </w:tcPr>
          <w:p w14:paraId="31ED383F" w14:textId="2BA5A1E0" w:rsidR="008229CF" w:rsidRPr="00381192" w:rsidRDefault="008229CF" w:rsidP="008229CF">
            <w:pPr>
              <w:tabs>
                <w:tab w:val="left" w:pos="540"/>
              </w:tabs>
              <w:ind w:left="141" w:right="178"/>
              <w:jc w:val="right"/>
              <w:rPr>
                <w:color w:val="FF0000"/>
                <w:lang w:val="nl-NL"/>
              </w:rPr>
            </w:pPr>
            <w:r>
              <w:rPr>
                <w:color w:val="000000"/>
              </w:rPr>
              <w:t xml:space="preserve">355,387,914.23 </w:t>
            </w:r>
          </w:p>
        </w:tc>
      </w:tr>
      <w:tr w:rsidR="008229CF" w:rsidRPr="00381192" w14:paraId="1B3AE343" w14:textId="77777777" w:rsidTr="00375C22">
        <w:trPr>
          <w:trHeight w:val="641"/>
        </w:trPr>
        <w:tc>
          <w:tcPr>
            <w:tcW w:w="1835" w:type="pct"/>
            <w:shd w:val="clear" w:color="auto" w:fill="auto"/>
            <w:vAlign w:val="center"/>
          </w:tcPr>
          <w:p w14:paraId="5F74A421" w14:textId="77777777" w:rsidR="008229CF" w:rsidRPr="00381192" w:rsidRDefault="008229CF" w:rsidP="008229CF">
            <w:pPr>
              <w:tabs>
                <w:tab w:val="left" w:pos="540"/>
              </w:tabs>
              <w:ind w:left="142" w:right="184"/>
              <w:rPr>
                <w:lang w:val="nl-NL"/>
              </w:rPr>
            </w:pPr>
            <w:r w:rsidRPr="00381192">
              <w:rPr>
                <w:lang w:val="nl-NL"/>
              </w:rPr>
              <w:t>2.3.Giá trị tài sản ròng của một đơn vị Chứng chỉ quỹ (CCQ)</w:t>
            </w:r>
          </w:p>
        </w:tc>
        <w:tc>
          <w:tcPr>
            <w:tcW w:w="1055" w:type="pct"/>
            <w:shd w:val="clear" w:color="auto" w:fill="auto"/>
            <w:vAlign w:val="center"/>
          </w:tcPr>
          <w:p w14:paraId="18C962FA" w14:textId="0FA5AB87" w:rsidR="008229CF" w:rsidRPr="00381192" w:rsidRDefault="008229CF" w:rsidP="008229CF">
            <w:pPr>
              <w:ind w:left="141" w:right="178"/>
              <w:jc w:val="right"/>
              <w:rPr>
                <w:color w:val="FF0000"/>
              </w:rPr>
            </w:pPr>
            <w:r>
              <w:rPr>
                <w:color w:val="000000"/>
              </w:rPr>
              <w:t>15,999.65</w:t>
            </w:r>
          </w:p>
        </w:tc>
        <w:tc>
          <w:tcPr>
            <w:tcW w:w="1055" w:type="pct"/>
            <w:shd w:val="clear" w:color="auto" w:fill="auto"/>
            <w:vAlign w:val="center"/>
          </w:tcPr>
          <w:p w14:paraId="00E6D443" w14:textId="090D9E5A" w:rsidR="008229CF" w:rsidRPr="00381192" w:rsidRDefault="008229CF" w:rsidP="008229CF">
            <w:pPr>
              <w:ind w:left="141" w:right="178"/>
              <w:jc w:val="right"/>
              <w:rPr>
                <w:color w:val="FF0000"/>
              </w:rPr>
            </w:pPr>
            <w:r>
              <w:rPr>
                <w:color w:val="000000"/>
              </w:rPr>
              <w:t>12,138.42</w:t>
            </w:r>
          </w:p>
        </w:tc>
        <w:tc>
          <w:tcPr>
            <w:tcW w:w="1055" w:type="pct"/>
            <w:shd w:val="clear" w:color="auto" w:fill="auto"/>
            <w:vAlign w:val="center"/>
          </w:tcPr>
          <w:p w14:paraId="3269ADBC" w14:textId="613EF0F7" w:rsidR="008229CF" w:rsidRPr="00381192" w:rsidRDefault="008229CF" w:rsidP="008229CF">
            <w:pPr>
              <w:tabs>
                <w:tab w:val="left" w:pos="540"/>
              </w:tabs>
              <w:ind w:left="141" w:right="178"/>
              <w:jc w:val="right"/>
              <w:rPr>
                <w:color w:val="FF0000"/>
                <w:lang w:val="nl-NL"/>
              </w:rPr>
            </w:pPr>
            <w:r>
              <w:rPr>
                <w:color w:val="000000"/>
              </w:rPr>
              <w:t>12,518.04</w:t>
            </w:r>
          </w:p>
        </w:tc>
      </w:tr>
      <w:tr w:rsidR="008229CF" w:rsidRPr="00381192" w14:paraId="2BCA8A75" w14:textId="77777777" w:rsidTr="00375C22">
        <w:trPr>
          <w:trHeight w:val="832"/>
        </w:trPr>
        <w:tc>
          <w:tcPr>
            <w:tcW w:w="1835" w:type="pct"/>
            <w:shd w:val="clear" w:color="auto" w:fill="auto"/>
            <w:vAlign w:val="center"/>
          </w:tcPr>
          <w:p w14:paraId="3D2D37C7" w14:textId="77777777" w:rsidR="008229CF" w:rsidRPr="00381192" w:rsidRDefault="008229CF" w:rsidP="008229CF">
            <w:pPr>
              <w:tabs>
                <w:tab w:val="left" w:pos="540"/>
              </w:tabs>
              <w:ind w:left="142" w:right="184"/>
              <w:rPr>
                <w:lang w:val="nl-NL"/>
              </w:rPr>
            </w:pPr>
            <w:r w:rsidRPr="00381192">
              <w:rPr>
                <w:lang w:val="nl-NL"/>
              </w:rPr>
              <w:t>2.4.Giá trị tài sản ròng cao nhất của 1 đơn vị CCQ trong kỳ báo cáo</w:t>
            </w:r>
          </w:p>
        </w:tc>
        <w:tc>
          <w:tcPr>
            <w:tcW w:w="1055" w:type="pct"/>
            <w:shd w:val="clear" w:color="auto" w:fill="auto"/>
            <w:vAlign w:val="center"/>
          </w:tcPr>
          <w:p w14:paraId="0AC1927E" w14:textId="48CFFBDC" w:rsidR="008229CF" w:rsidRPr="00381192" w:rsidRDefault="008229CF" w:rsidP="008229CF">
            <w:pPr>
              <w:ind w:left="141" w:right="178"/>
              <w:jc w:val="right"/>
              <w:rPr>
                <w:color w:val="FF0000"/>
              </w:rPr>
            </w:pPr>
            <w:r>
              <w:rPr>
                <w:color w:val="000000"/>
              </w:rPr>
              <w:t>16,405.06</w:t>
            </w:r>
          </w:p>
        </w:tc>
        <w:tc>
          <w:tcPr>
            <w:tcW w:w="1055" w:type="pct"/>
            <w:shd w:val="clear" w:color="auto" w:fill="auto"/>
            <w:vAlign w:val="center"/>
          </w:tcPr>
          <w:p w14:paraId="3F1DA89E" w14:textId="45D47A7A" w:rsidR="008229CF" w:rsidRPr="00381192" w:rsidRDefault="008229CF" w:rsidP="008229CF">
            <w:pPr>
              <w:ind w:left="141" w:right="178"/>
              <w:jc w:val="right"/>
              <w:rPr>
                <w:color w:val="FF0000"/>
              </w:rPr>
            </w:pPr>
            <w:r>
              <w:rPr>
                <w:color w:val="000000"/>
              </w:rPr>
              <w:t>12,273.47</w:t>
            </w:r>
          </w:p>
        </w:tc>
        <w:tc>
          <w:tcPr>
            <w:tcW w:w="1055" w:type="pct"/>
            <w:shd w:val="clear" w:color="auto" w:fill="auto"/>
            <w:vAlign w:val="center"/>
          </w:tcPr>
          <w:p w14:paraId="6FDA7BC1" w14:textId="4A71304B" w:rsidR="008229CF" w:rsidRPr="00381192" w:rsidRDefault="008229CF" w:rsidP="008229CF">
            <w:pPr>
              <w:ind w:left="141" w:right="178"/>
              <w:jc w:val="right"/>
              <w:rPr>
                <w:color w:val="FF0000"/>
              </w:rPr>
            </w:pPr>
            <w:r>
              <w:rPr>
                <w:color w:val="000000"/>
              </w:rPr>
              <w:t>15,695.90</w:t>
            </w:r>
          </w:p>
        </w:tc>
      </w:tr>
      <w:tr w:rsidR="008229CF" w:rsidRPr="00381192" w14:paraId="3F6C1BC8" w14:textId="77777777" w:rsidTr="00375C22">
        <w:trPr>
          <w:trHeight w:val="704"/>
        </w:trPr>
        <w:tc>
          <w:tcPr>
            <w:tcW w:w="1835" w:type="pct"/>
            <w:shd w:val="clear" w:color="auto" w:fill="auto"/>
            <w:vAlign w:val="center"/>
          </w:tcPr>
          <w:p w14:paraId="142E8159" w14:textId="77777777" w:rsidR="008229CF" w:rsidRPr="00381192" w:rsidRDefault="008229CF" w:rsidP="008229CF">
            <w:pPr>
              <w:tabs>
                <w:tab w:val="left" w:pos="540"/>
              </w:tabs>
              <w:ind w:left="142" w:right="184"/>
              <w:rPr>
                <w:lang w:val="nl-NL"/>
              </w:rPr>
            </w:pPr>
            <w:r w:rsidRPr="00381192">
              <w:rPr>
                <w:lang w:val="nl-NL"/>
              </w:rPr>
              <w:t>2.5.Giá trị tài sản ròng thấp nhất của 1 đơn vị CCQ trong kỳ báo cáo</w:t>
            </w:r>
          </w:p>
        </w:tc>
        <w:tc>
          <w:tcPr>
            <w:tcW w:w="1055" w:type="pct"/>
            <w:shd w:val="clear" w:color="auto" w:fill="auto"/>
            <w:vAlign w:val="center"/>
          </w:tcPr>
          <w:p w14:paraId="5724FAD0" w14:textId="59BCE656" w:rsidR="008229CF" w:rsidRPr="00381192" w:rsidRDefault="008229CF" w:rsidP="008229CF">
            <w:pPr>
              <w:ind w:left="141" w:right="178"/>
              <w:jc w:val="right"/>
              <w:rPr>
                <w:color w:val="FF0000"/>
              </w:rPr>
            </w:pPr>
            <w:r>
              <w:rPr>
                <w:color w:val="000000"/>
              </w:rPr>
              <w:t>14,491.56</w:t>
            </w:r>
          </w:p>
        </w:tc>
        <w:tc>
          <w:tcPr>
            <w:tcW w:w="1055" w:type="pct"/>
            <w:shd w:val="clear" w:color="auto" w:fill="auto"/>
            <w:vAlign w:val="center"/>
          </w:tcPr>
          <w:p w14:paraId="40B6E257" w14:textId="4AE6B2AE" w:rsidR="008229CF" w:rsidRPr="00381192" w:rsidRDefault="008229CF" w:rsidP="008229CF">
            <w:pPr>
              <w:ind w:left="141" w:right="178"/>
              <w:jc w:val="right"/>
              <w:rPr>
                <w:color w:val="FF0000"/>
              </w:rPr>
            </w:pPr>
            <w:r>
              <w:rPr>
                <w:color w:val="000000"/>
              </w:rPr>
              <w:t>10,852.64</w:t>
            </w:r>
          </w:p>
        </w:tc>
        <w:tc>
          <w:tcPr>
            <w:tcW w:w="1055" w:type="pct"/>
            <w:shd w:val="clear" w:color="auto" w:fill="auto"/>
            <w:vAlign w:val="center"/>
          </w:tcPr>
          <w:p w14:paraId="43160935" w14:textId="2DCFE0B0" w:rsidR="008229CF" w:rsidRPr="00381192" w:rsidRDefault="008229CF" w:rsidP="008229CF">
            <w:pPr>
              <w:ind w:left="141" w:right="178"/>
              <w:jc w:val="right"/>
              <w:rPr>
                <w:color w:val="FF0000"/>
              </w:rPr>
            </w:pPr>
            <w:r>
              <w:rPr>
                <w:color w:val="000000"/>
              </w:rPr>
              <w:t>12,173.75</w:t>
            </w:r>
          </w:p>
        </w:tc>
      </w:tr>
      <w:tr w:rsidR="00D40256" w:rsidRPr="00381192" w14:paraId="16D940A2" w14:textId="77777777" w:rsidTr="00375C22">
        <w:trPr>
          <w:trHeight w:val="712"/>
        </w:trPr>
        <w:tc>
          <w:tcPr>
            <w:tcW w:w="1835" w:type="pct"/>
            <w:shd w:val="clear" w:color="auto" w:fill="auto"/>
            <w:vAlign w:val="center"/>
          </w:tcPr>
          <w:p w14:paraId="3172A638" w14:textId="2A9D4E69" w:rsidR="00D40256" w:rsidRPr="00381192" w:rsidRDefault="00D40256" w:rsidP="00BF0151">
            <w:pPr>
              <w:tabs>
                <w:tab w:val="left" w:pos="540"/>
              </w:tabs>
              <w:ind w:left="142" w:right="184"/>
              <w:rPr>
                <w:lang w:val="nl-NL"/>
              </w:rPr>
            </w:pPr>
            <w:r w:rsidRPr="00381192">
              <w:rPr>
                <w:lang w:val="nl-NL"/>
              </w:rPr>
              <w:t>2.6.Giá cuối ngày của 1 đơn vị CCQ tại ngày báo cáo</w:t>
            </w:r>
          </w:p>
        </w:tc>
        <w:tc>
          <w:tcPr>
            <w:tcW w:w="1055" w:type="pct"/>
            <w:shd w:val="clear" w:color="auto" w:fill="auto"/>
            <w:vAlign w:val="center"/>
          </w:tcPr>
          <w:p w14:paraId="165F6EAA" w14:textId="1C309FA3" w:rsidR="00D40256" w:rsidRPr="00B14506" w:rsidRDefault="00D40256" w:rsidP="00BF0151">
            <w:pPr>
              <w:tabs>
                <w:tab w:val="left" w:pos="540"/>
              </w:tabs>
              <w:ind w:left="141" w:right="178"/>
              <w:jc w:val="right"/>
              <w:rPr>
                <w:lang w:val="nl-NL"/>
              </w:rPr>
            </w:pPr>
            <w:r w:rsidRPr="00B14506">
              <w:t>N/A</w:t>
            </w:r>
          </w:p>
        </w:tc>
        <w:tc>
          <w:tcPr>
            <w:tcW w:w="1055" w:type="pct"/>
            <w:shd w:val="clear" w:color="auto" w:fill="auto"/>
            <w:vAlign w:val="center"/>
          </w:tcPr>
          <w:p w14:paraId="66252BB3" w14:textId="1068ED82" w:rsidR="00D40256" w:rsidRPr="00B14506" w:rsidRDefault="00D40256" w:rsidP="00BF0151">
            <w:pPr>
              <w:tabs>
                <w:tab w:val="left" w:pos="540"/>
              </w:tabs>
              <w:ind w:left="141" w:right="178"/>
              <w:jc w:val="right"/>
              <w:rPr>
                <w:lang w:val="nl-NL"/>
              </w:rPr>
            </w:pPr>
            <w:r w:rsidRPr="00B14506">
              <w:t>N/A</w:t>
            </w:r>
          </w:p>
        </w:tc>
        <w:tc>
          <w:tcPr>
            <w:tcW w:w="1055" w:type="pct"/>
            <w:shd w:val="clear" w:color="auto" w:fill="auto"/>
            <w:vAlign w:val="center"/>
          </w:tcPr>
          <w:p w14:paraId="3B0A57DB" w14:textId="246C5E08" w:rsidR="00D40256" w:rsidRPr="00B14506" w:rsidRDefault="00D40256" w:rsidP="00BF0151">
            <w:pPr>
              <w:tabs>
                <w:tab w:val="left" w:pos="540"/>
              </w:tabs>
              <w:ind w:left="141" w:right="178"/>
              <w:jc w:val="right"/>
              <w:rPr>
                <w:lang w:val="nl-NL"/>
              </w:rPr>
            </w:pPr>
            <w:r w:rsidRPr="00B14506">
              <w:t>N/A</w:t>
            </w:r>
          </w:p>
        </w:tc>
      </w:tr>
      <w:tr w:rsidR="00D40256" w:rsidRPr="00381192" w14:paraId="0CC6E9A4" w14:textId="77777777" w:rsidTr="00375C22">
        <w:trPr>
          <w:trHeight w:val="734"/>
        </w:trPr>
        <w:tc>
          <w:tcPr>
            <w:tcW w:w="1835" w:type="pct"/>
            <w:shd w:val="clear" w:color="auto" w:fill="auto"/>
            <w:vAlign w:val="center"/>
          </w:tcPr>
          <w:p w14:paraId="279132B0" w14:textId="77777777" w:rsidR="00D40256" w:rsidRPr="00381192" w:rsidRDefault="00D40256" w:rsidP="00BF0151">
            <w:pPr>
              <w:tabs>
                <w:tab w:val="left" w:pos="540"/>
              </w:tabs>
              <w:ind w:left="142" w:right="184"/>
              <w:rPr>
                <w:lang w:val="nl-NL"/>
              </w:rPr>
            </w:pPr>
            <w:r w:rsidRPr="00381192">
              <w:rPr>
                <w:lang w:val="nl-NL"/>
              </w:rPr>
              <w:lastRenderedPageBreak/>
              <w:t>2.7.Giá cuối ngày cao nhất của 1 đơn vị CCQ trong kỳ báo cáo</w:t>
            </w:r>
          </w:p>
        </w:tc>
        <w:tc>
          <w:tcPr>
            <w:tcW w:w="1055" w:type="pct"/>
            <w:shd w:val="clear" w:color="auto" w:fill="auto"/>
            <w:vAlign w:val="center"/>
          </w:tcPr>
          <w:p w14:paraId="08524762" w14:textId="410C009F" w:rsidR="00D40256" w:rsidRPr="00B14506" w:rsidRDefault="00D40256" w:rsidP="00BF0151">
            <w:pPr>
              <w:tabs>
                <w:tab w:val="left" w:pos="540"/>
              </w:tabs>
              <w:ind w:left="141" w:right="178"/>
              <w:jc w:val="right"/>
              <w:rPr>
                <w:lang w:val="nl-NL"/>
              </w:rPr>
            </w:pPr>
            <w:r w:rsidRPr="00B14506">
              <w:t>N/A</w:t>
            </w:r>
          </w:p>
        </w:tc>
        <w:tc>
          <w:tcPr>
            <w:tcW w:w="1055" w:type="pct"/>
            <w:shd w:val="clear" w:color="auto" w:fill="auto"/>
            <w:vAlign w:val="center"/>
          </w:tcPr>
          <w:p w14:paraId="57892BFA" w14:textId="5551D87B" w:rsidR="00D40256" w:rsidRPr="00B14506" w:rsidRDefault="00D40256" w:rsidP="00BF0151">
            <w:pPr>
              <w:tabs>
                <w:tab w:val="left" w:pos="540"/>
              </w:tabs>
              <w:ind w:left="141" w:right="178"/>
              <w:jc w:val="right"/>
              <w:rPr>
                <w:lang w:val="nl-NL"/>
              </w:rPr>
            </w:pPr>
            <w:r w:rsidRPr="00B14506">
              <w:t>N/A</w:t>
            </w:r>
          </w:p>
        </w:tc>
        <w:tc>
          <w:tcPr>
            <w:tcW w:w="1055" w:type="pct"/>
            <w:shd w:val="clear" w:color="auto" w:fill="auto"/>
            <w:vAlign w:val="center"/>
          </w:tcPr>
          <w:p w14:paraId="44690A8F" w14:textId="2EA0470E" w:rsidR="00D40256" w:rsidRPr="00B14506" w:rsidRDefault="00D40256" w:rsidP="00BF0151">
            <w:pPr>
              <w:tabs>
                <w:tab w:val="left" w:pos="540"/>
              </w:tabs>
              <w:ind w:left="141" w:right="178"/>
              <w:jc w:val="right"/>
              <w:rPr>
                <w:lang w:val="nl-NL"/>
              </w:rPr>
            </w:pPr>
            <w:r w:rsidRPr="00B14506">
              <w:t>N/A</w:t>
            </w:r>
          </w:p>
        </w:tc>
      </w:tr>
      <w:tr w:rsidR="00D40256" w:rsidRPr="00381192" w14:paraId="65B23733" w14:textId="77777777" w:rsidTr="00375C22">
        <w:trPr>
          <w:trHeight w:val="741"/>
        </w:trPr>
        <w:tc>
          <w:tcPr>
            <w:tcW w:w="1835" w:type="pct"/>
            <w:shd w:val="clear" w:color="auto" w:fill="auto"/>
            <w:vAlign w:val="center"/>
          </w:tcPr>
          <w:p w14:paraId="45FDFC50" w14:textId="77777777" w:rsidR="00D40256" w:rsidRPr="00381192" w:rsidRDefault="00D40256" w:rsidP="00BF0151">
            <w:pPr>
              <w:tabs>
                <w:tab w:val="left" w:pos="540"/>
              </w:tabs>
              <w:ind w:left="142" w:right="184"/>
              <w:rPr>
                <w:lang w:val="nl-NL"/>
              </w:rPr>
            </w:pPr>
            <w:r w:rsidRPr="00381192">
              <w:rPr>
                <w:lang w:val="nl-NL"/>
              </w:rPr>
              <w:t>2.8.Giá cuối ngày thấp nhất của 1 đơn vị CCQ trong kỳ báo cáo</w:t>
            </w:r>
          </w:p>
        </w:tc>
        <w:tc>
          <w:tcPr>
            <w:tcW w:w="1055" w:type="pct"/>
            <w:shd w:val="clear" w:color="auto" w:fill="auto"/>
            <w:vAlign w:val="center"/>
          </w:tcPr>
          <w:p w14:paraId="3BC56AB2" w14:textId="10C17F4A" w:rsidR="00D40256" w:rsidRPr="00B14506" w:rsidRDefault="00D40256" w:rsidP="00BF0151">
            <w:pPr>
              <w:tabs>
                <w:tab w:val="left" w:pos="540"/>
              </w:tabs>
              <w:ind w:left="141" w:right="178"/>
              <w:jc w:val="right"/>
              <w:rPr>
                <w:lang w:val="nl-NL"/>
              </w:rPr>
            </w:pPr>
            <w:r w:rsidRPr="00B14506">
              <w:t>N/A</w:t>
            </w:r>
          </w:p>
        </w:tc>
        <w:tc>
          <w:tcPr>
            <w:tcW w:w="1055" w:type="pct"/>
            <w:shd w:val="clear" w:color="auto" w:fill="auto"/>
            <w:vAlign w:val="center"/>
          </w:tcPr>
          <w:p w14:paraId="1F9AFC24" w14:textId="40D1D86B" w:rsidR="00D40256" w:rsidRPr="00B14506" w:rsidRDefault="00D40256" w:rsidP="00BF0151">
            <w:pPr>
              <w:tabs>
                <w:tab w:val="left" w:pos="540"/>
              </w:tabs>
              <w:ind w:left="141" w:right="178"/>
              <w:jc w:val="right"/>
              <w:rPr>
                <w:lang w:val="nl-NL"/>
              </w:rPr>
            </w:pPr>
            <w:r w:rsidRPr="00B14506">
              <w:t>N/A</w:t>
            </w:r>
          </w:p>
        </w:tc>
        <w:tc>
          <w:tcPr>
            <w:tcW w:w="1055" w:type="pct"/>
            <w:shd w:val="clear" w:color="auto" w:fill="auto"/>
            <w:vAlign w:val="center"/>
          </w:tcPr>
          <w:p w14:paraId="17C7C3E0" w14:textId="376CC9CA" w:rsidR="00D40256" w:rsidRPr="00B14506" w:rsidRDefault="00D40256" w:rsidP="00BF0151">
            <w:pPr>
              <w:tabs>
                <w:tab w:val="left" w:pos="540"/>
              </w:tabs>
              <w:ind w:left="141" w:right="178"/>
              <w:jc w:val="right"/>
              <w:rPr>
                <w:lang w:val="nl-NL"/>
              </w:rPr>
            </w:pPr>
            <w:r w:rsidRPr="00B14506">
              <w:t>N/A</w:t>
            </w:r>
          </w:p>
        </w:tc>
      </w:tr>
      <w:tr w:rsidR="008229CF" w:rsidRPr="00381192" w14:paraId="03B2D8A7" w14:textId="77777777" w:rsidTr="00375C22">
        <w:trPr>
          <w:trHeight w:val="593"/>
        </w:trPr>
        <w:tc>
          <w:tcPr>
            <w:tcW w:w="1835" w:type="pct"/>
            <w:shd w:val="clear" w:color="auto" w:fill="auto"/>
          </w:tcPr>
          <w:p w14:paraId="00FC7CAB" w14:textId="77777777" w:rsidR="008229CF" w:rsidRPr="00381192" w:rsidRDefault="008229CF" w:rsidP="008229CF">
            <w:pPr>
              <w:tabs>
                <w:tab w:val="left" w:pos="540"/>
              </w:tabs>
              <w:ind w:left="142" w:right="184"/>
              <w:rPr>
                <w:lang w:val="nl-NL"/>
              </w:rPr>
            </w:pPr>
            <w:r w:rsidRPr="00381192">
              <w:rPr>
                <w:lang w:val="nl-NL"/>
              </w:rPr>
              <w:t>2.9.Tổng tăng trưởng (%)/1 đơn vị CCQ</w:t>
            </w:r>
          </w:p>
        </w:tc>
        <w:tc>
          <w:tcPr>
            <w:tcW w:w="1055" w:type="pct"/>
            <w:shd w:val="clear" w:color="auto" w:fill="auto"/>
            <w:vAlign w:val="center"/>
          </w:tcPr>
          <w:p w14:paraId="71475721" w14:textId="3EBEA530" w:rsidR="008229CF" w:rsidRPr="00381192" w:rsidRDefault="008229CF" w:rsidP="008229CF">
            <w:pPr>
              <w:ind w:left="141" w:right="178"/>
              <w:jc w:val="right"/>
              <w:rPr>
                <w:b/>
                <w:bCs/>
                <w:color w:val="FF0000"/>
              </w:rPr>
            </w:pPr>
            <w:r>
              <w:rPr>
                <w:color w:val="000000"/>
              </w:rPr>
              <w:t>1.18%</w:t>
            </w:r>
          </w:p>
        </w:tc>
        <w:tc>
          <w:tcPr>
            <w:tcW w:w="1055" w:type="pct"/>
            <w:shd w:val="clear" w:color="auto" w:fill="auto"/>
            <w:vAlign w:val="center"/>
          </w:tcPr>
          <w:p w14:paraId="1B84DEF9" w14:textId="0A91A536" w:rsidR="008229CF" w:rsidRPr="00381192" w:rsidRDefault="008229CF" w:rsidP="008229CF">
            <w:pPr>
              <w:ind w:left="141" w:right="178"/>
              <w:jc w:val="right"/>
              <w:rPr>
                <w:b/>
                <w:bCs/>
                <w:color w:val="FF0000"/>
              </w:rPr>
            </w:pPr>
            <w:r>
              <w:rPr>
                <w:color w:val="000000"/>
              </w:rPr>
              <w:t>10.25%</w:t>
            </w:r>
          </w:p>
        </w:tc>
        <w:tc>
          <w:tcPr>
            <w:tcW w:w="1055" w:type="pct"/>
            <w:shd w:val="clear" w:color="auto" w:fill="auto"/>
            <w:vAlign w:val="center"/>
          </w:tcPr>
          <w:p w14:paraId="4252F5F7" w14:textId="74760733" w:rsidR="008229CF" w:rsidRPr="00381192" w:rsidRDefault="008229CF" w:rsidP="008229CF">
            <w:pPr>
              <w:ind w:left="141" w:right="178"/>
              <w:jc w:val="right"/>
              <w:rPr>
                <w:color w:val="FF0000"/>
              </w:rPr>
            </w:pPr>
            <w:r>
              <w:rPr>
                <w:color w:val="000000"/>
              </w:rPr>
              <w:t>-18.37%</w:t>
            </w:r>
          </w:p>
        </w:tc>
      </w:tr>
      <w:tr w:rsidR="008229CF" w:rsidRPr="00381192" w14:paraId="4543A2FA" w14:textId="77777777" w:rsidTr="00375C22">
        <w:trPr>
          <w:trHeight w:val="757"/>
        </w:trPr>
        <w:tc>
          <w:tcPr>
            <w:tcW w:w="1835" w:type="pct"/>
            <w:shd w:val="clear" w:color="auto" w:fill="auto"/>
          </w:tcPr>
          <w:p w14:paraId="7F2E42ED" w14:textId="77777777" w:rsidR="008229CF" w:rsidRPr="00381192" w:rsidRDefault="008229CF" w:rsidP="008229CF">
            <w:pPr>
              <w:tabs>
                <w:tab w:val="left" w:pos="540"/>
              </w:tabs>
              <w:ind w:left="142" w:right="184"/>
              <w:rPr>
                <w:lang w:val="nl-NL"/>
              </w:rPr>
            </w:pPr>
            <w:r w:rsidRPr="00381192">
              <w:rPr>
                <w:lang w:val="nl-NL"/>
              </w:rPr>
              <w:t>2.9.1.Tăng trưởng vốn (%)/1 đơn vị CCQ (Thay đổi do biến động giá)</w:t>
            </w:r>
          </w:p>
        </w:tc>
        <w:tc>
          <w:tcPr>
            <w:tcW w:w="1055" w:type="pct"/>
            <w:shd w:val="clear" w:color="auto" w:fill="auto"/>
            <w:vAlign w:val="center"/>
          </w:tcPr>
          <w:p w14:paraId="2CCA6A25" w14:textId="314B740C" w:rsidR="008229CF" w:rsidRPr="00381192" w:rsidRDefault="008229CF" w:rsidP="008229CF">
            <w:pPr>
              <w:ind w:left="141" w:right="178"/>
              <w:jc w:val="right"/>
              <w:rPr>
                <w:b/>
                <w:bCs/>
                <w:color w:val="FF0000"/>
              </w:rPr>
            </w:pPr>
            <w:r>
              <w:rPr>
                <w:color w:val="000000"/>
              </w:rPr>
              <w:t>-5.7</w:t>
            </w:r>
            <w:r w:rsidR="003C127F">
              <w:rPr>
                <w:color w:val="000000"/>
              </w:rPr>
              <w:t>5</w:t>
            </w:r>
            <w:r>
              <w:rPr>
                <w:color w:val="000000"/>
              </w:rPr>
              <w:t>%</w:t>
            </w:r>
          </w:p>
        </w:tc>
        <w:tc>
          <w:tcPr>
            <w:tcW w:w="1055" w:type="pct"/>
            <w:shd w:val="clear" w:color="auto" w:fill="auto"/>
            <w:vAlign w:val="center"/>
          </w:tcPr>
          <w:p w14:paraId="5C8C0B7B" w14:textId="0F464B37" w:rsidR="008229CF" w:rsidRPr="00381192" w:rsidRDefault="008229CF" w:rsidP="008229CF">
            <w:pPr>
              <w:ind w:left="141" w:right="178"/>
              <w:jc w:val="right"/>
              <w:rPr>
                <w:b/>
                <w:bCs/>
                <w:color w:val="FF0000"/>
              </w:rPr>
            </w:pPr>
            <w:r>
              <w:rPr>
                <w:color w:val="000000"/>
              </w:rPr>
              <w:t>10.6</w:t>
            </w:r>
            <w:r w:rsidR="003C127F">
              <w:rPr>
                <w:color w:val="000000"/>
              </w:rPr>
              <w:t>7</w:t>
            </w:r>
            <w:r>
              <w:rPr>
                <w:color w:val="000000"/>
              </w:rPr>
              <w:t>%</w:t>
            </w:r>
          </w:p>
        </w:tc>
        <w:tc>
          <w:tcPr>
            <w:tcW w:w="1055" w:type="pct"/>
            <w:shd w:val="clear" w:color="auto" w:fill="auto"/>
            <w:vAlign w:val="center"/>
          </w:tcPr>
          <w:p w14:paraId="62327872" w14:textId="33195AF2" w:rsidR="008229CF" w:rsidRPr="00381192" w:rsidRDefault="008229CF" w:rsidP="008229CF">
            <w:pPr>
              <w:ind w:left="141" w:right="178"/>
              <w:jc w:val="right"/>
              <w:rPr>
                <w:b/>
                <w:bCs/>
                <w:color w:val="FF0000"/>
              </w:rPr>
            </w:pPr>
            <w:r>
              <w:rPr>
                <w:color w:val="000000"/>
              </w:rPr>
              <w:t>-21.45%</w:t>
            </w:r>
          </w:p>
        </w:tc>
      </w:tr>
      <w:tr w:rsidR="008229CF" w:rsidRPr="00381192" w14:paraId="655F4249" w14:textId="77777777" w:rsidTr="00375C22">
        <w:trPr>
          <w:trHeight w:val="907"/>
        </w:trPr>
        <w:tc>
          <w:tcPr>
            <w:tcW w:w="1835" w:type="pct"/>
            <w:shd w:val="clear" w:color="auto" w:fill="auto"/>
          </w:tcPr>
          <w:p w14:paraId="4ED02A6F" w14:textId="77777777" w:rsidR="008229CF" w:rsidRPr="00381192" w:rsidRDefault="008229CF" w:rsidP="008229CF">
            <w:pPr>
              <w:tabs>
                <w:tab w:val="left" w:pos="540"/>
              </w:tabs>
              <w:ind w:left="142" w:right="184"/>
              <w:rPr>
                <w:lang w:val="nl-NL"/>
              </w:rPr>
            </w:pPr>
            <w:r w:rsidRPr="00381192">
              <w:rPr>
                <w:lang w:val="nl-NL"/>
              </w:rPr>
              <w:t>2.9.2.Tăng trưởng thu nhập (%)/1 đơn vị CCQ (Tính trên thu nhập đã thực hiện)</w:t>
            </w:r>
          </w:p>
        </w:tc>
        <w:tc>
          <w:tcPr>
            <w:tcW w:w="1055" w:type="pct"/>
            <w:shd w:val="clear" w:color="auto" w:fill="auto"/>
            <w:vAlign w:val="center"/>
          </w:tcPr>
          <w:p w14:paraId="22F8C775" w14:textId="3F1C99A7" w:rsidR="008229CF" w:rsidRPr="00381192" w:rsidRDefault="008229CF" w:rsidP="008229CF">
            <w:pPr>
              <w:ind w:left="141" w:right="178"/>
              <w:jc w:val="right"/>
              <w:rPr>
                <w:color w:val="FF0000"/>
              </w:rPr>
            </w:pPr>
            <w:r>
              <w:rPr>
                <w:color w:val="000000"/>
              </w:rPr>
              <w:t>6.93%</w:t>
            </w:r>
          </w:p>
        </w:tc>
        <w:tc>
          <w:tcPr>
            <w:tcW w:w="1055" w:type="pct"/>
            <w:shd w:val="clear" w:color="auto" w:fill="auto"/>
            <w:vAlign w:val="center"/>
          </w:tcPr>
          <w:p w14:paraId="0CF8284C" w14:textId="682FD209" w:rsidR="008229CF" w:rsidRPr="00381192" w:rsidRDefault="008229CF" w:rsidP="008229CF">
            <w:pPr>
              <w:ind w:left="141" w:right="178"/>
              <w:jc w:val="right"/>
              <w:rPr>
                <w:color w:val="FF0000"/>
              </w:rPr>
            </w:pPr>
            <w:r>
              <w:rPr>
                <w:color w:val="000000"/>
              </w:rPr>
              <w:t>-0.42%</w:t>
            </w:r>
          </w:p>
        </w:tc>
        <w:tc>
          <w:tcPr>
            <w:tcW w:w="1055" w:type="pct"/>
            <w:shd w:val="clear" w:color="auto" w:fill="auto"/>
            <w:vAlign w:val="center"/>
          </w:tcPr>
          <w:p w14:paraId="4212C6BE" w14:textId="56D410A6" w:rsidR="008229CF" w:rsidRPr="00381192" w:rsidRDefault="008229CF" w:rsidP="008229CF">
            <w:pPr>
              <w:ind w:left="141" w:right="178"/>
              <w:jc w:val="right"/>
              <w:rPr>
                <w:color w:val="FF0000"/>
              </w:rPr>
            </w:pPr>
            <w:r>
              <w:rPr>
                <w:color w:val="000000"/>
              </w:rPr>
              <w:t>3.09%</w:t>
            </w:r>
          </w:p>
        </w:tc>
      </w:tr>
      <w:tr w:rsidR="00D40256" w:rsidRPr="00381192" w14:paraId="3CFA44D3" w14:textId="77777777" w:rsidTr="00375C22">
        <w:trPr>
          <w:trHeight w:val="507"/>
        </w:trPr>
        <w:tc>
          <w:tcPr>
            <w:tcW w:w="1835" w:type="pct"/>
            <w:shd w:val="clear" w:color="auto" w:fill="auto"/>
            <w:vAlign w:val="center"/>
          </w:tcPr>
          <w:p w14:paraId="127ECD81" w14:textId="77777777" w:rsidR="00D40256" w:rsidRPr="00381192" w:rsidRDefault="00D40256" w:rsidP="00BF0151">
            <w:pPr>
              <w:tabs>
                <w:tab w:val="left" w:pos="540"/>
              </w:tabs>
              <w:ind w:left="142" w:right="184"/>
              <w:rPr>
                <w:lang w:val="nl-NL"/>
              </w:rPr>
            </w:pPr>
            <w:r w:rsidRPr="00381192">
              <w:rPr>
                <w:lang w:val="nl-NL"/>
              </w:rPr>
              <w:t>2.10.Phân phối gộp trên 1 đơn vị CCQ</w:t>
            </w:r>
          </w:p>
        </w:tc>
        <w:tc>
          <w:tcPr>
            <w:tcW w:w="1055" w:type="pct"/>
            <w:shd w:val="clear" w:color="auto" w:fill="auto"/>
            <w:vAlign w:val="center"/>
          </w:tcPr>
          <w:p w14:paraId="259E7F51" w14:textId="7D26094E" w:rsidR="00D40256" w:rsidRPr="00B14506" w:rsidRDefault="00D40256" w:rsidP="00BF0151">
            <w:pPr>
              <w:tabs>
                <w:tab w:val="left" w:pos="540"/>
              </w:tabs>
              <w:ind w:left="141" w:right="178"/>
              <w:jc w:val="right"/>
              <w:rPr>
                <w:lang w:val="nl-NL"/>
              </w:rPr>
            </w:pPr>
            <w:r w:rsidRPr="00B14506">
              <w:t>N/A</w:t>
            </w:r>
          </w:p>
        </w:tc>
        <w:tc>
          <w:tcPr>
            <w:tcW w:w="1055" w:type="pct"/>
            <w:shd w:val="clear" w:color="auto" w:fill="auto"/>
            <w:vAlign w:val="center"/>
          </w:tcPr>
          <w:p w14:paraId="4C871BC5" w14:textId="29DE5659" w:rsidR="00D40256" w:rsidRPr="00B14506" w:rsidRDefault="00D40256" w:rsidP="00BF0151">
            <w:pPr>
              <w:tabs>
                <w:tab w:val="left" w:pos="540"/>
              </w:tabs>
              <w:ind w:left="141" w:right="178"/>
              <w:jc w:val="right"/>
              <w:rPr>
                <w:lang w:val="nl-NL"/>
              </w:rPr>
            </w:pPr>
            <w:r w:rsidRPr="00B14506">
              <w:t>N/A</w:t>
            </w:r>
          </w:p>
        </w:tc>
        <w:tc>
          <w:tcPr>
            <w:tcW w:w="1055" w:type="pct"/>
            <w:shd w:val="clear" w:color="auto" w:fill="auto"/>
            <w:vAlign w:val="center"/>
          </w:tcPr>
          <w:p w14:paraId="76412A22" w14:textId="05C93F88" w:rsidR="00D40256" w:rsidRPr="00B14506" w:rsidRDefault="00D40256" w:rsidP="00BF0151">
            <w:pPr>
              <w:tabs>
                <w:tab w:val="left" w:pos="540"/>
              </w:tabs>
              <w:ind w:left="141" w:right="178"/>
              <w:jc w:val="right"/>
              <w:rPr>
                <w:lang w:val="nl-NL"/>
              </w:rPr>
            </w:pPr>
            <w:r w:rsidRPr="00B14506">
              <w:t>N/A</w:t>
            </w:r>
          </w:p>
        </w:tc>
      </w:tr>
      <w:tr w:rsidR="00D40256" w:rsidRPr="00381192" w14:paraId="48F1FED6" w14:textId="77777777" w:rsidTr="00375C22">
        <w:tc>
          <w:tcPr>
            <w:tcW w:w="1835" w:type="pct"/>
            <w:shd w:val="clear" w:color="auto" w:fill="auto"/>
            <w:vAlign w:val="center"/>
          </w:tcPr>
          <w:p w14:paraId="682F30D6" w14:textId="77777777" w:rsidR="00D40256" w:rsidRPr="00381192" w:rsidRDefault="00D40256" w:rsidP="00BF0151">
            <w:pPr>
              <w:tabs>
                <w:tab w:val="left" w:pos="540"/>
              </w:tabs>
              <w:ind w:left="142" w:right="184"/>
              <w:rPr>
                <w:lang w:val="nl-NL"/>
              </w:rPr>
            </w:pPr>
            <w:r w:rsidRPr="00381192">
              <w:rPr>
                <w:lang w:val="nl-NL"/>
              </w:rPr>
              <w:t>2.11.Phân phối ròng trên 1 đơn vị CCQ</w:t>
            </w:r>
          </w:p>
        </w:tc>
        <w:tc>
          <w:tcPr>
            <w:tcW w:w="1055" w:type="pct"/>
            <w:shd w:val="clear" w:color="auto" w:fill="auto"/>
            <w:vAlign w:val="center"/>
          </w:tcPr>
          <w:p w14:paraId="757167F1" w14:textId="48F34065" w:rsidR="00D40256" w:rsidRPr="00B14506" w:rsidRDefault="00D40256" w:rsidP="00BF0151">
            <w:pPr>
              <w:tabs>
                <w:tab w:val="left" w:pos="540"/>
              </w:tabs>
              <w:ind w:left="141" w:right="178"/>
              <w:jc w:val="right"/>
              <w:rPr>
                <w:lang w:val="nl-NL"/>
              </w:rPr>
            </w:pPr>
            <w:r w:rsidRPr="00B14506">
              <w:t>N/A</w:t>
            </w:r>
          </w:p>
        </w:tc>
        <w:tc>
          <w:tcPr>
            <w:tcW w:w="1055" w:type="pct"/>
            <w:shd w:val="clear" w:color="auto" w:fill="auto"/>
            <w:vAlign w:val="center"/>
          </w:tcPr>
          <w:p w14:paraId="1AAD7F77" w14:textId="385B85CE" w:rsidR="00D40256" w:rsidRPr="00B14506" w:rsidRDefault="00D40256" w:rsidP="00BF0151">
            <w:pPr>
              <w:tabs>
                <w:tab w:val="left" w:pos="540"/>
              </w:tabs>
              <w:ind w:left="141" w:right="178"/>
              <w:jc w:val="right"/>
              <w:rPr>
                <w:lang w:val="nl-NL"/>
              </w:rPr>
            </w:pPr>
            <w:r w:rsidRPr="00B14506">
              <w:t>N/A</w:t>
            </w:r>
          </w:p>
        </w:tc>
        <w:tc>
          <w:tcPr>
            <w:tcW w:w="1055" w:type="pct"/>
            <w:shd w:val="clear" w:color="auto" w:fill="auto"/>
            <w:vAlign w:val="center"/>
          </w:tcPr>
          <w:p w14:paraId="0CFFB5E6" w14:textId="00F25FB7" w:rsidR="00D40256" w:rsidRPr="00B14506" w:rsidRDefault="00D40256" w:rsidP="00BF0151">
            <w:pPr>
              <w:tabs>
                <w:tab w:val="left" w:pos="540"/>
              </w:tabs>
              <w:ind w:left="141" w:right="178"/>
              <w:jc w:val="right"/>
              <w:rPr>
                <w:lang w:val="nl-NL"/>
              </w:rPr>
            </w:pPr>
            <w:r w:rsidRPr="00B14506">
              <w:t>N/A</w:t>
            </w:r>
          </w:p>
        </w:tc>
      </w:tr>
      <w:tr w:rsidR="00D40256" w:rsidRPr="00381192" w14:paraId="005CF1EF" w14:textId="77777777" w:rsidTr="00375C22">
        <w:tc>
          <w:tcPr>
            <w:tcW w:w="1835" w:type="pct"/>
            <w:shd w:val="clear" w:color="auto" w:fill="auto"/>
            <w:vAlign w:val="center"/>
          </w:tcPr>
          <w:p w14:paraId="06CA401F" w14:textId="77777777" w:rsidR="00D40256" w:rsidRPr="00381192" w:rsidRDefault="00D40256" w:rsidP="00BF0151">
            <w:pPr>
              <w:tabs>
                <w:tab w:val="left" w:pos="540"/>
              </w:tabs>
              <w:ind w:left="142" w:right="184"/>
              <w:rPr>
                <w:lang w:val="nl-NL"/>
              </w:rPr>
            </w:pPr>
            <w:r w:rsidRPr="00381192">
              <w:rPr>
                <w:lang w:val="nl-NL"/>
              </w:rPr>
              <w:t>2.12.Ngày chốt quyền (Ex-date of distribution)</w:t>
            </w:r>
          </w:p>
        </w:tc>
        <w:tc>
          <w:tcPr>
            <w:tcW w:w="1055" w:type="pct"/>
            <w:shd w:val="clear" w:color="auto" w:fill="auto"/>
            <w:vAlign w:val="center"/>
          </w:tcPr>
          <w:p w14:paraId="180A99B7" w14:textId="6E6AE376" w:rsidR="00D40256" w:rsidRPr="00B14506" w:rsidRDefault="00D40256" w:rsidP="00BF0151">
            <w:pPr>
              <w:tabs>
                <w:tab w:val="left" w:pos="540"/>
              </w:tabs>
              <w:ind w:left="141" w:right="178"/>
              <w:jc w:val="right"/>
              <w:rPr>
                <w:lang w:val="nl-NL"/>
              </w:rPr>
            </w:pPr>
            <w:r w:rsidRPr="00B14506">
              <w:t>N/A</w:t>
            </w:r>
          </w:p>
        </w:tc>
        <w:tc>
          <w:tcPr>
            <w:tcW w:w="1055" w:type="pct"/>
            <w:shd w:val="clear" w:color="auto" w:fill="auto"/>
            <w:vAlign w:val="center"/>
          </w:tcPr>
          <w:p w14:paraId="69B7BAA6" w14:textId="15A5093A" w:rsidR="00D40256" w:rsidRPr="00B14506" w:rsidRDefault="00D40256" w:rsidP="00BF0151">
            <w:pPr>
              <w:tabs>
                <w:tab w:val="left" w:pos="540"/>
              </w:tabs>
              <w:ind w:left="141" w:right="178"/>
              <w:jc w:val="right"/>
              <w:rPr>
                <w:lang w:val="nl-NL"/>
              </w:rPr>
            </w:pPr>
            <w:r w:rsidRPr="00B14506">
              <w:t>N/A</w:t>
            </w:r>
          </w:p>
        </w:tc>
        <w:tc>
          <w:tcPr>
            <w:tcW w:w="1055" w:type="pct"/>
            <w:shd w:val="clear" w:color="auto" w:fill="auto"/>
            <w:vAlign w:val="center"/>
          </w:tcPr>
          <w:p w14:paraId="488062D9" w14:textId="775FA426" w:rsidR="00D40256" w:rsidRPr="00B14506" w:rsidRDefault="00D40256" w:rsidP="00BF0151">
            <w:pPr>
              <w:tabs>
                <w:tab w:val="left" w:pos="540"/>
              </w:tabs>
              <w:ind w:left="141" w:right="178"/>
              <w:jc w:val="right"/>
              <w:rPr>
                <w:lang w:val="nl-NL"/>
              </w:rPr>
            </w:pPr>
            <w:r w:rsidRPr="00B14506">
              <w:t>N/A</w:t>
            </w:r>
          </w:p>
        </w:tc>
      </w:tr>
      <w:tr w:rsidR="008229CF" w:rsidRPr="00381192" w14:paraId="375BAA49" w14:textId="77777777" w:rsidTr="00375C22">
        <w:tc>
          <w:tcPr>
            <w:tcW w:w="1835" w:type="pct"/>
            <w:shd w:val="clear" w:color="auto" w:fill="auto"/>
            <w:vAlign w:val="center"/>
          </w:tcPr>
          <w:p w14:paraId="08B9FBCD" w14:textId="77777777" w:rsidR="008229CF" w:rsidRPr="00381192" w:rsidRDefault="008229CF" w:rsidP="008229CF">
            <w:pPr>
              <w:tabs>
                <w:tab w:val="left" w:pos="540"/>
              </w:tabs>
              <w:ind w:left="142" w:right="184"/>
              <w:rPr>
                <w:lang w:val="nl-NL"/>
              </w:rPr>
            </w:pPr>
            <w:r w:rsidRPr="00381192">
              <w:rPr>
                <w:lang w:val="nl-NL"/>
              </w:rPr>
              <w:t>2.13.Tỷ lệ chi phí hoạt động của quỹ (%)</w:t>
            </w:r>
          </w:p>
        </w:tc>
        <w:tc>
          <w:tcPr>
            <w:tcW w:w="1055" w:type="pct"/>
            <w:shd w:val="clear" w:color="auto" w:fill="auto"/>
            <w:vAlign w:val="center"/>
          </w:tcPr>
          <w:p w14:paraId="61FD8DC3" w14:textId="36344AA2" w:rsidR="008229CF" w:rsidRPr="00B14506" w:rsidRDefault="008229CF" w:rsidP="008229CF">
            <w:pPr>
              <w:tabs>
                <w:tab w:val="left" w:pos="540"/>
              </w:tabs>
              <w:ind w:left="141" w:right="178"/>
              <w:jc w:val="right"/>
              <w:rPr>
                <w:lang w:val="nl-NL"/>
              </w:rPr>
            </w:pPr>
            <w:r>
              <w:rPr>
                <w:color w:val="000000"/>
              </w:rPr>
              <w:t>0.85%</w:t>
            </w:r>
          </w:p>
        </w:tc>
        <w:tc>
          <w:tcPr>
            <w:tcW w:w="1055" w:type="pct"/>
            <w:shd w:val="clear" w:color="auto" w:fill="auto"/>
            <w:vAlign w:val="center"/>
          </w:tcPr>
          <w:p w14:paraId="0D645B12" w14:textId="5ACC09B2" w:rsidR="008229CF" w:rsidRPr="00C636CC" w:rsidRDefault="008229CF" w:rsidP="008229CF">
            <w:pPr>
              <w:tabs>
                <w:tab w:val="left" w:pos="540"/>
              </w:tabs>
              <w:ind w:left="141" w:right="178"/>
              <w:jc w:val="right"/>
              <w:rPr>
                <w:lang w:val="nl-NL"/>
              </w:rPr>
            </w:pPr>
            <w:r>
              <w:rPr>
                <w:color w:val="000000"/>
              </w:rPr>
              <w:t>0.86%</w:t>
            </w:r>
          </w:p>
        </w:tc>
        <w:tc>
          <w:tcPr>
            <w:tcW w:w="1055" w:type="pct"/>
            <w:shd w:val="clear" w:color="auto" w:fill="auto"/>
            <w:vAlign w:val="center"/>
          </w:tcPr>
          <w:p w14:paraId="3A7BB857" w14:textId="7ADE9E08" w:rsidR="008229CF" w:rsidRPr="00062C7E" w:rsidRDefault="008229CF" w:rsidP="008229CF">
            <w:pPr>
              <w:tabs>
                <w:tab w:val="left" w:pos="540"/>
              </w:tabs>
              <w:ind w:left="141" w:right="178"/>
              <w:jc w:val="right"/>
              <w:rPr>
                <w:lang w:val="nl-NL"/>
              </w:rPr>
            </w:pPr>
            <w:r>
              <w:rPr>
                <w:color w:val="000000"/>
              </w:rPr>
              <w:t>1.48%</w:t>
            </w:r>
          </w:p>
        </w:tc>
      </w:tr>
      <w:tr w:rsidR="008229CF" w:rsidRPr="00381192" w14:paraId="7ADBC675" w14:textId="77777777" w:rsidTr="00375C22">
        <w:trPr>
          <w:trHeight w:val="562"/>
        </w:trPr>
        <w:tc>
          <w:tcPr>
            <w:tcW w:w="1835" w:type="pct"/>
            <w:shd w:val="clear" w:color="auto" w:fill="auto"/>
            <w:vAlign w:val="center"/>
          </w:tcPr>
          <w:p w14:paraId="52A093B3" w14:textId="77777777" w:rsidR="008229CF" w:rsidRPr="00381192" w:rsidRDefault="008229CF" w:rsidP="008229CF">
            <w:pPr>
              <w:tabs>
                <w:tab w:val="left" w:pos="540"/>
              </w:tabs>
              <w:ind w:left="142" w:right="184"/>
              <w:rPr>
                <w:lang w:val="nl-NL"/>
              </w:rPr>
            </w:pPr>
            <w:r w:rsidRPr="00381192">
              <w:rPr>
                <w:lang w:val="nl-NL"/>
              </w:rPr>
              <w:t>2.14.Tốc độ vòng quay danh mục (lần)</w:t>
            </w:r>
          </w:p>
        </w:tc>
        <w:tc>
          <w:tcPr>
            <w:tcW w:w="1055" w:type="pct"/>
            <w:shd w:val="clear" w:color="auto" w:fill="auto"/>
            <w:vAlign w:val="center"/>
          </w:tcPr>
          <w:p w14:paraId="754F2A6B" w14:textId="3ED728F5" w:rsidR="008229CF" w:rsidRPr="00381192" w:rsidRDefault="008229CF" w:rsidP="008229CF">
            <w:pPr>
              <w:tabs>
                <w:tab w:val="left" w:pos="540"/>
              </w:tabs>
              <w:ind w:left="141" w:right="178"/>
              <w:jc w:val="right"/>
              <w:rPr>
                <w:color w:val="FF0000"/>
                <w:lang w:val="nl-NL"/>
              </w:rPr>
            </w:pPr>
            <w:r>
              <w:rPr>
                <w:color w:val="000000"/>
              </w:rPr>
              <w:t>185.24%</w:t>
            </w:r>
          </w:p>
        </w:tc>
        <w:tc>
          <w:tcPr>
            <w:tcW w:w="1055" w:type="pct"/>
            <w:shd w:val="clear" w:color="auto" w:fill="auto"/>
            <w:vAlign w:val="center"/>
          </w:tcPr>
          <w:p w14:paraId="24028D58" w14:textId="5C16A9E5" w:rsidR="008229CF" w:rsidRPr="00C636CC" w:rsidRDefault="008229CF" w:rsidP="008229CF">
            <w:pPr>
              <w:tabs>
                <w:tab w:val="left" w:pos="540"/>
              </w:tabs>
              <w:ind w:left="141" w:right="178"/>
              <w:jc w:val="right"/>
              <w:rPr>
                <w:color w:val="FF0000"/>
                <w:lang w:val="nl-NL"/>
              </w:rPr>
            </w:pPr>
            <w:r>
              <w:rPr>
                <w:color w:val="000000"/>
              </w:rPr>
              <w:t>155.79%</w:t>
            </w:r>
          </w:p>
        </w:tc>
        <w:tc>
          <w:tcPr>
            <w:tcW w:w="1055" w:type="pct"/>
            <w:shd w:val="clear" w:color="auto" w:fill="auto"/>
            <w:vAlign w:val="center"/>
          </w:tcPr>
          <w:p w14:paraId="2B085CC5" w14:textId="1B47B2E6" w:rsidR="008229CF" w:rsidRPr="00062C7E" w:rsidRDefault="008229CF" w:rsidP="008229CF">
            <w:pPr>
              <w:tabs>
                <w:tab w:val="left" w:pos="540"/>
              </w:tabs>
              <w:ind w:left="141" w:right="178"/>
              <w:jc w:val="right"/>
              <w:rPr>
                <w:lang w:val="nl-NL"/>
              </w:rPr>
            </w:pPr>
            <w:r>
              <w:rPr>
                <w:color w:val="000000"/>
              </w:rPr>
              <w:t>226.53%</w:t>
            </w:r>
          </w:p>
        </w:tc>
      </w:tr>
    </w:tbl>
    <w:p w14:paraId="64018134" w14:textId="77777777" w:rsidR="00FD049D" w:rsidRPr="00381192" w:rsidRDefault="00FD049D" w:rsidP="00381192">
      <w:pPr>
        <w:pStyle w:val="ListParagraph"/>
        <w:spacing w:after="0"/>
        <w:ind w:left="0"/>
        <w:rPr>
          <w:rFonts w:ascii="Times New Roman" w:hAnsi="Times New Roman"/>
          <w:b/>
          <w:sz w:val="24"/>
          <w:szCs w:val="24"/>
          <w:lang w:val="nl-NL"/>
        </w:rPr>
      </w:pPr>
    </w:p>
    <w:p w14:paraId="51B2E230" w14:textId="2D2EA756" w:rsidR="007922E7" w:rsidRPr="00DD4F42" w:rsidRDefault="00B14506" w:rsidP="00B14506">
      <w:pPr>
        <w:pStyle w:val="ListParagraph"/>
        <w:numPr>
          <w:ilvl w:val="1"/>
          <w:numId w:val="1"/>
        </w:numPr>
        <w:spacing w:after="0"/>
        <w:rPr>
          <w:rFonts w:ascii="Times New Roman" w:hAnsi="Times New Roman"/>
          <w:b/>
          <w:sz w:val="24"/>
          <w:szCs w:val="24"/>
          <w:lang w:val="nl-NL"/>
        </w:rPr>
      </w:pPr>
      <w:r>
        <w:rPr>
          <w:rFonts w:ascii="Times New Roman" w:hAnsi="Times New Roman"/>
          <w:b/>
          <w:sz w:val="24"/>
          <w:szCs w:val="24"/>
          <w:lang w:val="nl-NL"/>
        </w:rPr>
        <w:t xml:space="preserve"> </w:t>
      </w:r>
      <w:r w:rsidR="007922E7" w:rsidRPr="00DD4F42">
        <w:rPr>
          <w:rFonts w:ascii="Times New Roman" w:hAnsi="Times New Roman"/>
          <w:b/>
          <w:sz w:val="24"/>
          <w:szCs w:val="24"/>
          <w:lang w:val="nl-NL"/>
        </w:rPr>
        <w:t>Tăng trưởng qua các thời kỳ</w:t>
      </w:r>
    </w:p>
    <w:p w14:paraId="71D66438" w14:textId="77777777" w:rsidR="00B14506" w:rsidRPr="00DD4F42" w:rsidRDefault="00B14506" w:rsidP="00B14506">
      <w:pPr>
        <w:pStyle w:val="ListParagraph"/>
        <w:spacing w:after="0"/>
        <w:rPr>
          <w:rFonts w:ascii="Times New Roman" w:hAnsi="Times New Roman"/>
          <w:b/>
          <w:sz w:val="24"/>
          <w:szCs w:val="24"/>
          <w:lang w:val="nl-NL"/>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757"/>
        <w:gridCol w:w="3193"/>
        <w:gridCol w:w="3117"/>
      </w:tblGrid>
      <w:tr w:rsidR="009175E1" w:rsidRPr="00DD4F42" w14:paraId="5F60C628" w14:textId="77777777" w:rsidTr="00DD0130">
        <w:tc>
          <w:tcPr>
            <w:tcW w:w="1520" w:type="pct"/>
            <w:shd w:val="clear" w:color="auto" w:fill="auto"/>
            <w:vAlign w:val="center"/>
          </w:tcPr>
          <w:p w14:paraId="66025E2C" w14:textId="77777777" w:rsidR="001A3514" w:rsidRPr="00DD4F42" w:rsidRDefault="001A3514" w:rsidP="00B14506">
            <w:pPr>
              <w:tabs>
                <w:tab w:val="left" w:pos="540"/>
              </w:tabs>
              <w:ind w:left="709"/>
              <w:rPr>
                <w:b/>
                <w:lang w:val="nl-NL"/>
              </w:rPr>
            </w:pPr>
            <w:r w:rsidRPr="00DD4F42">
              <w:rPr>
                <w:b/>
                <w:lang w:val="nl-NL"/>
              </w:rPr>
              <w:t>Giai đoạn</w:t>
            </w:r>
          </w:p>
        </w:tc>
        <w:tc>
          <w:tcPr>
            <w:tcW w:w="1761" w:type="pct"/>
            <w:shd w:val="clear" w:color="auto" w:fill="auto"/>
            <w:vAlign w:val="center"/>
          </w:tcPr>
          <w:p w14:paraId="03E3A889" w14:textId="77777777" w:rsidR="001A3514" w:rsidRPr="00DD4F42" w:rsidRDefault="001A3514" w:rsidP="00B14506">
            <w:pPr>
              <w:tabs>
                <w:tab w:val="left" w:pos="540"/>
              </w:tabs>
              <w:ind w:right="242"/>
              <w:jc w:val="right"/>
              <w:rPr>
                <w:b/>
                <w:lang w:val="nl-NL"/>
              </w:rPr>
            </w:pPr>
            <w:r w:rsidRPr="00DD4F42">
              <w:rPr>
                <w:b/>
                <w:lang w:val="nl-NL"/>
              </w:rPr>
              <w:t>Tổng tăng trưởng của NAV/CCQ (%)</w:t>
            </w:r>
          </w:p>
        </w:tc>
        <w:tc>
          <w:tcPr>
            <w:tcW w:w="1719" w:type="pct"/>
            <w:shd w:val="clear" w:color="auto" w:fill="auto"/>
            <w:vAlign w:val="center"/>
          </w:tcPr>
          <w:p w14:paraId="4FC54E7C" w14:textId="77777777" w:rsidR="001A3514" w:rsidRPr="00DD4F42" w:rsidRDefault="001A3514" w:rsidP="00B14506">
            <w:pPr>
              <w:tabs>
                <w:tab w:val="left" w:pos="540"/>
              </w:tabs>
              <w:ind w:right="282"/>
              <w:jc w:val="right"/>
              <w:rPr>
                <w:b/>
                <w:lang w:val="nl-NL"/>
              </w:rPr>
            </w:pPr>
            <w:r w:rsidRPr="00DD4F42">
              <w:rPr>
                <w:b/>
                <w:lang w:val="nl-NL"/>
              </w:rPr>
              <w:t>Tăng trưởng NAV/CCQ</w:t>
            </w:r>
            <w:r w:rsidRPr="00DD4F42">
              <w:rPr>
                <w:b/>
                <w:lang w:val="nl-NL"/>
              </w:rPr>
              <w:br/>
              <w:t>hàng năm (%)</w:t>
            </w:r>
          </w:p>
        </w:tc>
      </w:tr>
      <w:tr w:rsidR="00CB3C83" w:rsidRPr="00DD4F42" w14:paraId="341AAE4C" w14:textId="77777777" w:rsidTr="00DD0130">
        <w:tc>
          <w:tcPr>
            <w:tcW w:w="1520" w:type="pct"/>
            <w:shd w:val="clear" w:color="auto" w:fill="auto"/>
            <w:vAlign w:val="center"/>
          </w:tcPr>
          <w:p w14:paraId="1E9EE7F1" w14:textId="1C6DA78A" w:rsidR="00CB3C83" w:rsidRPr="00D8248A" w:rsidRDefault="00CB3C83" w:rsidP="00CB3C83">
            <w:pPr>
              <w:tabs>
                <w:tab w:val="left" w:pos="540"/>
              </w:tabs>
              <w:ind w:left="416" w:right="208"/>
              <w:rPr>
                <w:lang w:val="nl-NL"/>
              </w:rPr>
            </w:pPr>
            <w:r w:rsidRPr="00D8248A">
              <w:rPr>
                <w:lang w:val="nl-NL"/>
              </w:rPr>
              <w:t>1 năm</w:t>
            </w:r>
          </w:p>
        </w:tc>
        <w:tc>
          <w:tcPr>
            <w:tcW w:w="1761" w:type="pct"/>
            <w:shd w:val="clear" w:color="auto" w:fill="auto"/>
          </w:tcPr>
          <w:p w14:paraId="5134C23F" w14:textId="1A851726" w:rsidR="00CB3C83" w:rsidRPr="00D8248A" w:rsidRDefault="00CB3C83" w:rsidP="00CB3C83">
            <w:pPr>
              <w:tabs>
                <w:tab w:val="left" w:pos="540"/>
              </w:tabs>
              <w:ind w:right="242"/>
              <w:jc w:val="right"/>
              <w:rPr>
                <w:lang w:val="nl-NL"/>
              </w:rPr>
            </w:pPr>
            <w:r w:rsidRPr="00A92B33">
              <w:t>31.81</w:t>
            </w:r>
          </w:p>
        </w:tc>
        <w:tc>
          <w:tcPr>
            <w:tcW w:w="1719" w:type="pct"/>
            <w:shd w:val="clear" w:color="auto" w:fill="auto"/>
          </w:tcPr>
          <w:p w14:paraId="700CBF7A" w14:textId="6AC54A3D" w:rsidR="00CB3C83" w:rsidRPr="00D8248A" w:rsidRDefault="00CB3C83" w:rsidP="00CB3C83">
            <w:pPr>
              <w:tabs>
                <w:tab w:val="left" w:pos="540"/>
              </w:tabs>
              <w:ind w:right="282"/>
              <w:jc w:val="right"/>
              <w:rPr>
                <w:lang w:val="nl-NL"/>
              </w:rPr>
            </w:pPr>
            <w:r w:rsidRPr="00A92B33">
              <w:t>31.81</w:t>
            </w:r>
          </w:p>
        </w:tc>
      </w:tr>
      <w:tr w:rsidR="00CB3C83" w:rsidRPr="00DD4F42" w14:paraId="1E222191" w14:textId="77777777" w:rsidTr="00DD0130">
        <w:tc>
          <w:tcPr>
            <w:tcW w:w="1520" w:type="pct"/>
            <w:shd w:val="clear" w:color="auto" w:fill="auto"/>
            <w:vAlign w:val="center"/>
          </w:tcPr>
          <w:p w14:paraId="7E9D6090" w14:textId="2F67B09D" w:rsidR="00CB3C83" w:rsidRPr="00D8248A" w:rsidRDefault="00CB3C83" w:rsidP="00CB3C83">
            <w:pPr>
              <w:tabs>
                <w:tab w:val="left" w:pos="540"/>
              </w:tabs>
              <w:ind w:left="416" w:right="208"/>
              <w:rPr>
                <w:lang w:val="nl-NL"/>
              </w:rPr>
            </w:pPr>
            <w:r w:rsidRPr="00D8248A">
              <w:rPr>
                <w:lang w:val="nl-NL"/>
              </w:rPr>
              <w:t>3 năm</w:t>
            </w:r>
          </w:p>
        </w:tc>
        <w:tc>
          <w:tcPr>
            <w:tcW w:w="1761" w:type="pct"/>
            <w:shd w:val="clear" w:color="auto" w:fill="auto"/>
          </w:tcPr>
          <w:p w14:paraId="768E7509" w14:textId="6A7A9866" w:rsidR="00CB3C83" w:rsidRPr="00D8248A" w:rsidRDefault="00CB3C83" w:rsidP="00CB3C83">
            <w:pPr>
              <w:tabs>
                <w:tab w:val="left" w:pos="540"/>
              </w:tabs>
              <w:ind w:right="242"/>
              <w:jc w:val="right"/>
              <w:rPr>
                <w:lang w:val="nl-NL"/>
              </w:rPr>
            </w:pPr>
            <w:r w:rsidRPr="00A92B33">
              <w:t>14.15</w:t>
            </w:r>
          </w:p>
        </w:tc>
        <w:tc>
          <w:tcPr>
            <w:tcW w:w="1719" w:type="pct"/>
            <w:shd w:val="clear" w:color="auto" w:fill="auto"/>
          </w:tcPr>
          <w:p w14:paraId="522CDCDE" w14:textId="26966D3C" w:rsidR="00CB3C83" w:rsidRPr="00D8248A" w:rsidRDefault="00CB3C83" w:rsidP="00CB3C83">
            <w:pPr>
              <w:tabs>
                <w:tab w:val="left" w:pos="540"/>
              </w:tabs>
              <w:ind w:right="282"/>
              <w:jc w:val="right"/>
              <w:rPr>
                <w:lang w:val="nl-NL"/>
              </w:rPr>
            </w:pPr>
            <w:r w:rsidRPr="00A92B33">
              <w:t>4.51</w:t>
            </w:r>
          </w:p>
        </w:tc>
      </w:tr>
      <w:tr w:rsidR="00CB3C83" w:rsidRPr="00381192" w14:paraId="2BFA4767" w14:textId="77777777" w:rsidTr="00DD0130">
        <w:tc>
          <w:tcPr>
            <w:tcW w:w="1520" w:type="pct"/>
            <w:shd w:val="clear" w:color="auto" w:fill="auto"/>
            <w:vAlign w:val="center"/>
          </w:tcPr>
          <w:p w14:paraId="1E6E8741" w14:textId="1CD8B9A9" w:rsidR="00CB3C83" w:rsidRPr="00D8248A" w:rsidRDefault="00CB3C83" w:rsidP="00CB3C83">
            <w:pPr>
              <w:tabs>
                <w:tab w:val="left" w:pos="540"/>
              </w:tabs>
              <w:ind w:left="416" w:right="208"/>
              <w:rPr>
                <w:lang w:val="nl-NL"/>
              </w:rPr>
            </w:pPr>
            <w:r w:rsidRPr="00D8248A">
              <w:rPr>
                <w:lang w:val="nl-NL"/>
              </w:rPr>
              <w:t>Từ khi thành lập</w:t>
            </w:r>
          </w:p>
        </w:tc>
        <w:tc>
          <w:tcPr>
            <w:tcW w:w="1761" w:type="pct"/>
            <w:shd w:val="clear" w:color="auto" w:fill="auto"/>
          </w:tcPr>
          <w:p w14:paraId="11477859" w14:textId="5B9345E8" w:rsidR="00CB3C83" w:rsidRPr="00D8248A" w:rsidRDefault="00CB3C83" w:rsidP="00CB3C83">
            <w:pPr>
              <w:tabs>
                <w:tab w:val="left" w:pos="540"/>
              </w:tabs>
              <w:ind w:right="242"/>
              <w:jc w:val="right"/>
              <w:rPr>
                <w:lang w:val="nl-NL"/>
              </w:rPr>
            </w:pPr>
            <w:r w:rsidRPr="00A92B33">
              <w:t>60.00</w:t>
            </w:r>
          </w:p>
        </w:tc>
        <w:tc>
          <w:tcPr>
            <w:tcW w:w="1719" w:type="pct"/>
            <w:shd w:val="clear" w:color="auto" w:fill="auto"/>
          </w:tcPr>
          <w:p w14:paraId="7DE0967D" w14:textId="290502B1" w:rsidR="00CB3C83" w:rsidRPr="00D8248A" w:rsidRDefault="00CB3C83" w:rsidP="00CB3C83">
            <w:pPr>
              <w:tabs>
                <w:tab w:val="left" w:pos="540"/>
              </w:tabs>
              <w:ind w:right="282"/>
              <w:jc w:val="right"/>
              <w:rPr>
                <w:lang w:val="nl-NL"/>
              </w:rPr>
            </w:pPr>
            <w:r w:rsidRPr="00A92B33">
              <w:t>7.72</w:t>
            </w:r>
          </w:p>
        </w:tc>
      </w:tr>
    </w:tbl>
    <w:p w14:paraId="6384791A" w14:textId="77777777" w:rsidR="00B14506" w:rsidRDefault="00B14506" w:rsidP="00B14506">
      <w:pPr>
        <w:pStyle w:val="ListParagraph"/>
        <w:spacing w:after="0"/>
        <w:rPr>
          <w:rFonts w:ascii="Times New Roman" w:hAnsi="Times New Roman"/>
          <w:b/>
          <w:sz w:val="24"/>
          <w:szCs w:val="24"/>
          <w:lang w:val="nl-NL"/>
        </w:rPr>
      </w:pPr>
    </w:p>
    <w:p w14:paraId="02042B79" w14:textId="05F9A4BD" w:rsidR="007922E7" w:rsidRDefault="008666E5" w:rsidP="008666E5">
      <w:pPr>
        <w:pStyle w:val="ListParagraph"/>
        <w:numPr>
          <w:ilvl w:val="1"/>
          <w:numId w:val="1"/>
        </w:numPr>
        <w:spacing w:after="0"/>
        <w:rPr>
          <w:rFonts w:ascii="Times New Roman" w:hAnsi="Times New Roman"/>
          <w:b/>
          <w:sz w:val="24"/>
          <w:szCs w:val="24"/>
          <w:lang w:val="nl-NL"/>
        </w:rPr>
      </w:pPr>
      <w:r>
        <w:rPr>
          <w:rFonts w:ascii="Times New Roman" w:hAnsi="Times New Roman"/>
          <w:b/>
          <w:sz w:val="24"/>
          <w:szCs w:val="24"/>
          <w:lang w:val="nl-NL"/>
        </w:rPr>
        <w:t xml:space="preserve"> </w:t>
      </w:r>
      <w:r w:rsidR="007922E7" w:rsidRPr="008666E5">
        <w:rPr>
          <w:rFonts w:ascii="Times New Roman" w:hAnsi="Times New Roman"/>
          <w:b/>
          <w:sz w:val="24"/>
          <w:szCs w:val="24"/>
          <w:lang w:val="nl-NL"/>
        </w:rPr>
        <w:t>Tăng trưởng hàng năm</w:t>
      </w:r>
    </w:p>
    <w:p w14:paraId="1497BF0D" w14:textId="77777777" w:rsidR="008666E5" w:rsidRPr="008666E5" w:rsidRDefault="008666E5" w:rsidP="008666E5">
      <w:pPr>
        <w:pStyle w:val="ListParagraph"/>
        <w:spacing w:after="0"/>
        <w:rPr>
          <w:rFonts w:ascii="Times New Roman" w:hAnsi="Times New Roman"/>
          <w:b/>
          <w:sz w:val="24"/>
          <w:szCs w:val="24"/>
          <w:lang w:val="nl-NL"/>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683"/>
        <w:gridCol w:w="1842"/>
        <w:gridCol w:w="1701"/>
        <w:gridCol w:w="1700"/>
      </w:tblGrid>
      <w:tr w:rsidR="00D8248A" w:rsidRPr="00381192" w14:paraId="39CB5AC1" w14:textId="77777777" w:rsidTr="00DD4F42">
        <w:tc>
          <w:tcPr>
            <w:tcW w:w="2063" w:type="pct"/>
            <w:shd w:val="clear" w:color="auto" w:fill="auto"/>
            <w:vAlign w:val="center"/>
          </w:tcPr>
          <w:p w14:paraId="57A908C1" w14:textId="1B817485" w:rsidR="00D8248A" w:rsidRPr="00790868" w:rsidRDefault="00D8248A" w:rsidP="00D8248A">
            <w:pPr>
              <w:tabs>
                <w:tab w:val="left" w:pos="540"/>
              </w:tabs>
              <w:ind w:left="274" w:right="278"/>
              <w:rPr>
                <w:b/>
                <w:bCs/>
                <w:color w:val="FF0000"/>
                <w:lang w:val="nl-NL"/>
              </w:rPr>
            </w:pPr>
            <w:proofErr w:type="spellStart"/>
            <w:r w:rsidRPr="00790868">
              <w:rPr>
                <w:b/>
                <w:bCs/>
              </w:rPr>
              <w:t>Thời</w:t>
            </w:r>
            <w:proofErr w:type="spellEnd"/>
            <w:r w:rsidRPr="00790868">
              <w:rPr>
                <w:b/>
                <w:bCs/>
              </w:rPr>
              <w:t xml:space="preserve"> </w:t>
            </w:r>
            <w:proofErr w:type="spellStart"/>
            <w:r w:rsidRPr="00790868">
              <w:rPr>
                <w:b/>
                <w:bCs/>
              </w:rPr>
              <w:t>kỳ</w:t>
            </w:r>
            <w:proofErr w:type="spellEnd"/>
          </w:p>
        </w:tc>
        <w:tc>
          <w:tcPr>
            <w:tcW w:w="1032" w:type="pct"/>
            <w:shd w:val="clear" w:color="auto" w:fill="auto"/>
            <w:vAlign w:val="center"/>
          </w:tcPr>
          <w:p w14:paraId="0AC1B60C" w14:textId="122532DB" w:rsidR="00D8248A" w:rsidRPr="00741A23" w:rsidRDefault="00D8248A" w:rsidP="00D8248A">
            <w:pPr>
              <w:tabs>
                <w:tab w:val="left" w:pos="540"/>
              </w:tabs>
              <w:ind w:right="225"/>
              <w:jc w:val="right"/>
              <w:rPr>
                <w:b/>
                <w:bCs/>
                <w:lang w:val="nl-NL"/>
              </w:rPr>
            </w:pPr>
            <w:r>
              <w:rPr>
                <w:b/>
                <w:bCs/>
                <w:color w:val="000000"/>
              </w:rPr>
              <w:t>3</w:t>
            </w:r>
            <w:r w:rsidR="00CB3C83">
              <w:rPr>
                <w:b/>
                <w:bCs/>
                <w:color w:val="000000"/>
              </w:rPr>
              <w:t>0</w:t>
            </w:r>
            <w:r>
              <w:rPr>
                <w:b/>
                <w:bCs/>
                <w:color w:val="000000"/>
              </w:rPr>
              <w:t>/</w:t>
            </w:r>
            <w:r w:rsidR="00652F7A">
              <w:rPr>
                <w:b/>
                <w:bCs/>
                <w:color w:val="000000"/>
              </w:rPr>
              <w:t>0</w:t>
            </w:r>
            <w:r w:rsidR="00CB3C83">
              <w:rPr>
                <w:b/>
                <w:bCs/>
                <w:color w:val="000000"/>
              </w:rPr>
              <w:t>6</w:t>
            </w:r>
            <w:r>
              <w:rPr>
                <w:b/>
                <w:bCs/>
                <w:color w:val="000000"/>
              </w:rPr>
              <w:t>/202</w:t>
            </w:r>
            <w:r w:rsidR="00652F7A">
              <w:rPr>
                <w:b/>
                <w:bCs/>
                <w:color w:val="000000"/>
              </w:rPr>
              <w:t>4</w:t>
            </w:r>
          </w:p>
        </w:tc>
        <w:tc>
          <w:tcPr>
            <w:tcW w:w="953" w:type="pct"/>
            <w:shd w:val="clear" w:color="auto" w:fill="auto"/>
            <w:vAlign w:val="center"/>
          </w:tcPr>
          <w:p w14:paraId="4471AD58" w14:textId="5B849797" w:rsidR="00D8248A" w:rsidRPr="00741A23" w:rsidRDefault="00D8248A" w:rsidP="00D8248A">
            <w:pPr>
              <w:tabs>
                <w:tab w:val="left" w:pos="540"/>
              </w:tabs>
              <w:ind w:right="200"/>
              <w:jc w:val="right"/>
              <w:rPr>
                <w:b/>
                <w:bCs/>
                <w:lang w:val="nl-NL"/>
              </w:rPr>
            </w:pPr>
            <w:r>
              <w:rPr>
                <w:b/>
                <w:bCs/>
                <w:color w:val="000000"/>
              </w:rPr>
              <w:t>3</w:t>
            </w:r>
            <w:r w:rsidR="00DC2030">
              <w:rPr>
                <w:b/>
                <w:bCs/>
                <w:color w:val="000000"/>
              </w:rPr>
              <w:t>0</w:t>
            </w:r>
            <w:r>
              <w:rPr>
                <w:b/>
                <w:bCs/>
                <w:color w:val="000000"/>
              </w:rPr>
              <w:t>/</w:t>
            </w:r>
            <w:r w:rsidR="00652F7A">
              <w:rPr>
                <w:b/>
                <w:bCs/>
                <w:color w:val="000000"/>
              </w:rPr>
              <w:t>0</w:t>
            </w:r>
            <w:r w:rsidR="00DC2030">
              <w:rPr>
                <w:b/>
                <w:bCs/>
                <w:color w:val="000000"/>
              </w:rPr>
              <w:t>6</w:t>
            </w:r>
            <w:r w:rsidRPr="00DD2067">
              <w:rPr>
                <w:b/>
                <w:bCs/>
                <w:color w:val="000000"/>
              </w:rPr>
              <w:t>/202</w:t>
            </w:r>
            <w:r w:rsidR="00652F7A">
              <w:rPr>
                <w:b/>
                <w:bCs/>
                <w:color w:val="000000"/>
              </w:rPr>
              <w:t>3</w:t>
            </w:r>
          </w:p>
        </w:tc>
        <w:tc>
          <w:tcPr>
            <w:tcW w:w="952" w:type="pct"/>
            <w:shd w:val="clear" w:color="auto" w:fill="auto"/>
            <w:vAlign w:val="center"/>
          </w:tcPr>
          <w:p w14:paraId="5813F1A4" w14:textId="03C828AC" w:rsidR="00D8248A" w:rsidRPr="00741A23" w:rsidRDefault="00D8248A" w:rsidP="00D8248A">
            <w:pPr>
              <w:tabs>
                <w:tab w:val="left" w:pos="540"/>
              </w:tabs>
              <w:ind w:right="175"/>
              <w:jc w:val="right"/>
              <w:rPr>
                <w:b/>
                <w:bCs/>
                <w:lang w:val="nl-NL"/>
              </w:rPr>
            </w:pPr>
            <w:r>
              <w:rPr>
                <w:b/>
                <w:bCs/>
                <w:color w:val="000000"/>
              </w:rPr>
              <w:t>3</w:t>
            </w:r>
            <w:r w:rsidR="00DC2030">
              <w:rPr>
                <w:b/>
                <w:bCs/>
                <w:color w:val="000000"/>
              </w:rPr>
              <w:t>0</w:t>
            </w:r>
            <w:r>
              <w:rPr>
                <w:b/>
                <w:bCs/>
                <w:color w:val="000000"/>
              </w:rPr>
              <w:t>/</w:t>
            </w:r>
            <w:r w:rsidR="00652F7A">
              <w:rPr>
                <w:b/>
                <w:bCs/>
                <w:color w:val="000000"/>
              </w:rPr>
              <w:t>0</w:t>
            </w:r>
            <w:r w:rsidR="00DC2030">
              <w:rPr>
                <w:b/>
                <w:bCs/>
                <w:color w:val="000000"/>
              </w:rPr>
              <w:t>6</w:t>
            </w:r>
            <w:r w:rsidRPr="00DD2067">
              <w:rPr>
                <w:b/>
                <w:bCs/>
                <w:color w:val="000000"/>
              </w:rPr>
              <w:t>/202</w:t>
            </w:r>
            <w:r w:rsidR="00652F7A">
              <w:rPr>
                <w:b/>
                <w:bCs/>
                <w:color w:val="000000"/>
              </w:rPr>
              <w:t>2</w:t>
            </w:r>
          </w:p>
        </w:tc>
      </w:tr>
      <w:tr w:rsidR="001F07F3" w:rsidRPr="00381192" w14:paraId="5CBBCC94" w14:textId="77777777" w:rsidTr="00DD4F42">
        <w:trPr>
          <w:trHeight w:val="486"/>
        </w:trPr>
        <w:tc>
          <w:tcPr>
            <w:tcW w:w="2063" w:type="pct"/>
            <w:shd w:val="clear" w:color="auto" w:fill="auto"/>
            <w:vAlign w:val="center"/>
          </w:tcPr>
          <w:p w14:paraId="496569CA" w14:textId="390152EC" w:rsidR="001F07F3" w:rsidRPr="00381192" w:rsidRDefault="001F07F3" w:rsidP="001F07F3">
            <w:pPr>
              <w:tabs>
                <w:tab w:val="left" w:pos="540"/>
              </w:tabs>
              <w:ind w:left="274" w:right="278"/>
              <w:rPr>
                <w:color w:val="FF0000"/>
                <w:lang w:val="nl-NL"/>
              </w:rPr>
            </w:pPr>
            <w:proofErr w:type="spellStart"/>
            <w:r w:rsidRPr="00790868">
              <w:t>Tỷ</w:t>
            </w:r>
            <w:proofErr w:type="spellEnd"/>
            <w:r w:rsidRPr="00790868">
              <w:t xml:space="preserve"> </w:t>
            </w:r>
            <w:proofErr w:type="spellStart"/>
            <w:r w:rsidRPr="00790868">
              <w:t>lệ</w:t>
            </w:r>
            <w:proofErr w:type="spellEnd"/>
            <w:r w:rsidRPr="00790868">
              <w:t xml:space="preserve"> </w:t>
            </w:r>
            <w:proofErr w:type="spellStart"/>
            <w:r w:rsidRPr="00790868">
              <w:t>tăng</w:t>
            </w:r>
            <w:proofErr w:type="spellEnd"/>
            <w:r w:rsidRPr="00790868">
              <w:t xml:space="preserve"> </w:t>
            </w:r>
            <w:proofErr w:type="spellStart"/>
            <w:r w:rsidRPr="00790868">
              <w:t>trưởng</w:t>
            </w:r>
            <w:proofErr w:type="spellEnd"/>
            <w:r w:rsidRPr="00790868">
              <w:t xml:space="preserve"> (%)/1 </w:t>
            </w:r>
            <w:proofErr w:type="spellStart"/>
            <w:r w:rsidRPr="00790868">
              <w:t>đơn</w:t>
            </w:r>
            <w:proofErr w:type="spellEnd"/>
            <w:r w:rsidRPr="00790868">
              <w:t xml:space="preserve"> </w:t>
            </w:r>
            <w:proofErr w:type="spellStart"/>
            <w:r w:rsidRPr="00790868">
              <w:t>vị</w:t>
            </w:r>
            <w:proofErr w:type="spellEnd"/>
          </w:p>
        </w:tc>
        <w:tc>
          <w:tcPr>
            <w:tcW w:w="1032" w:type="pct"/>
            <w:shd w:val="clear" w:color="auto" w:fill="auto"/>
            <w:vAlign w:val="center"/>
          </w:tcPr>
          <w:p w14:paraId="529855C1" w14:textId="5D4775A0" w:rsidR="001F07F3" w:rsidRPr="00381192" w:rsidRDefault="001F07F3" w:rsidP="001F07F3">
            <w:pPr>
              <w:tabs>
                <w:tab w:val="left" w:pos="540"/>
              </w:tabs>
              <w:ind w:right="200"/>
              <w:jc w:val="right"/>
              <w:rPr>
                <w:color w:val="FF0000"/>
                <w:lang w:val="nl-NL"/>
              </w:rPr>
            </w:pPr>
            <w:r>
              <w:t>31.81%</w:t>
            </w:r>
          </w:p>
        </w:tc>
        <w:tc>
          <w:tcPr>
            <w:tcW w:w="953" w:type="pct"/>
            <w:shd w:val="clear" w:color="auto" w:fill="auto"/>
            <w:vAlign w:val="center"/>
          </w:tcPr>
          <w:p w14:paraId="391EB21E" w14:textId="3D5C9FFB" w:rsidR="001F07F3" w:rsidRPr="00381192" w:rsidRDefault="001F07F3" w:rsidP="001F07F3">
            <w:pPr>
              <w:tabs>
                <w:tab w:val="left" w:pos="540"/>
              </w:tabs>
              <w:ind w:right="200"/>
              <w:jc w:val="right"/>
              <w:rPr>
                <w:color w:val="FF0000"/>
                <w:lang w:val="nl-NL"/>
              </w:rPr>
            </w:pPr>
            <w:r>
              <w:t>-3.03%</w:t>
            </w:r>
          </w:p>
        </w:tc>
        <w:tc>
          <w:tcPr>
            <w:tcW w:w="952" w:type="pct"/>
            <w:shd w:val="clear" w:color="auto" w:fill="auto"/>
            <w:vAlign w:val="center"/>
          </w:tcPr>
          <w:p w14:paraId="69A3FD0A" w14:textId="2BD7F674" w:rsidR="001F07F3" w:rsidRPr="00381192" w:rsidRDefault="001F07F3" w:rsidP="001F07F3">
            <w:pPr>
              <w:tabs>
                <w:tab w:val="left" w:pos="540"/>
              </w:tabs>
              <w:ind w:right="200"/>
              <w:jc w:val="right"/>
              <w:rPr>
                <w:color w:val="FF0000"/>
                <w:lang w:val="nl-NL"/>
              </w:rPr>
            </w:pPr>
            <w:r>
              <w:t>-10.69%</w:t>
            </w:r>
          </w:p>
        </w:tc>
      </w:tr>
    </w:tbl>
    <w:p w14:paraId="61994C59" w14:textId="77777777" w:rsidR="00790868" w:rsidRDefault="00790868" w:rsidP="00790868">
      <w:pPr>
        <w:pStyle w:val="ListParagraph"/>
        <w:shd w:val="clear" w:color="auto" w:fill="FFFFFF"/>
        <w:tabs>
          <w:tab w:val="left" w:pos="540"/>
        </w:tabs>
        <w:spacing w:after="0"/>
        <w:ind w:left="0"/>
        <w:rPr>
          <w:rFonts w:ascii="Times New Roman" w:hAnsi="Times New Roman"/>
          <w:b/>
          <w:sz w:val="24"/>
          <w:szCs w:val="24"/>
          <w:lang w:val="nl-NL"/>
        </w:rPr>
      </w:pPr>
    </w:p>
    <w:p w14:paraId="0D6DF8B1" w14:textId="51184319" w:rsidR="001A3514" w:rsidRPr="00DD4F42" w:rsidRDefault="00790868" w:rsidP="00DD4F42">
      <w:pPr>
        <w:pStyle w:val="ListParagraph"/>
        <w:numPr>
          <w:ilvl w:val="0"/>
          <w:numId w:val="1"/>
        </w:numPr>
        <w:tabs>
          <w:tab w:val="left" w:pos="284"/>
        </w:tabs>
        <w:spacing w:after="0"/>
        <w:ind w:left="0" w:firstLine="0"/>
        <w:rPr>
          <w:rFonts w:ascii="Times New Roman" w:hAnsi="Times New Roman"/>
          <w:b/>
          <w:sz w:val="24"/>
          <w:szCs w:val="24"/>
          <w:lang w:val="nl-NL"/>
        </w:rPr>
      </w:pPr>
      <w:r w:rsidRPr="00DD4F42">
        <w:rPr>
          <w:rFonts w:ascii="Times New Roman" w:hAnsi="Times New Roman"/>
          <w:b/>
          <w:sz w:val="24"/>
          <w:szCs w:val="24"/>
          <w:lang w:val="nl-NL"/>
        </w:rPr>
        <w:t>MÔ TẢ THỊ TRƯỜNG TRONG KỲ</w:t>
      </w:r>
    </w:p>
    <w:p w14:paraId="1F39C10C" w14:textId="77777777" w:rsidR="00C321CD" w:rsidRPr="001001C4" w:rsidRDefault="00375C22" w:rsidP="00C321CD">
      <w:pPr>
        <w:ind w:firstLine="567"/>
        <w:jc w:val="both"/>
      </w:pPr>
      <w:r w:rsidRPr="00DD4F42">
        <w:tab/>
      </w:r>
      <w:r w:rsidR="00C321CD" w:rsidRPr="001001C4">
        <w:t xml:space="preserve">VNINDEX </w:t>
      </w:r>
      <w:proofErr w:type="spellStart"/>
      <w:r w:rsidR="00C321CD" w:rsidRPr="001001C4">
        <w:t>giảm</w:t>
      </w:r>
      <w:proofErr w:type="spellEnd"/>
      <w:r w:rsidR="00C321CD" w:rsidRPr="001001C4">
        <w:t xml:space="preserve"> 1.3% </w:t>
      </w:r>
      <w:proofErr w:type="spellStart"/>
      <w:r w:rsidR="00C321CD" w:rsidRPr="001001C4">
        <w:t>trong</w:t>
      </w:r>
      <w:proofErr w:type="spellEnd"/>
      <w:r w:rsidR="00C321CD" w:rsidRPr="001001C4">
        <w:t xml:space="preserve"> </w:t>
      </w:r>
      <w:proofErr w:type="spellStart"/>
      <w:r w:rsidR="00C321CD" w:rsidRPr="001001C4">
        <w:t>tháng</w:t>
      </w:r>
      <w:proofErr w:type="spellEnd"/>
      <w:r w:rsidR="00C321CD" w:rsidRPr="001001C4">
        <w:t xml:space="preserve"> 6, </w:t>
      </w:r>
      <w:proofErr w:type="spellStart"/>
      <w:r w:rsidR="00C321CD" w:rsidRPr="001001C4">
        <w:t>đóng</w:t>
      </w:r>
      <w:proofErr w:type="spellEnd"/>
      <w:r w:rsidR="00C321CD" w:rsidRPr="001001C4">
        <w:t xml:space="preserve"> </w:t>
      </w:r>
      <w:proofErr w:type="spellStart"/>
      <w:r w:rsidR="00C321CD" w:rsidRPr="001001C4">
        <w:t>cửa</w:t>
      </w:r>
      <w:proofErr w:type="spellEnd"/>
      <w:r w:rsidR="00C321CD" w:rsidRPr="001001C4">
        <w:t xml:space="preserve"> </w:t>
      </w:r>
      <w:proofErr w:type="spellStart"/>
      <w:r w:rsidR="00C321CD" w:rsidRPr="001001C4">
        <w:t>tại</w:t>
      </w:r>
      <w:proofErr w:type="spellEnd"/>
      <w:r w:rsidR="00C321CD" w:rsidRPr="001001C4">
        <w:t xml:space="preserve"> </w:t>
      </w:r>
      <w:proofErr w:type="spellStart"/>
      <w:r w:rsidR="00C321CD" w:rsidRPr="001001C4">
        <w:t>mức</w:t>
      </w:r>
      <w:proofErr w:type="spellEnd"/>
      <w:r w:rsidR="00C321CD" w:rsidRPr="001001C4">
        <w:t xml:space="preserve"> 1,245.32 </w:t>
      </w:r>
      <w:proofErr w:type="spellStart"/>
      <w:r w:rsidR="00C321CD" w:rsidRPr="001001C4">
        <w:t>điểm</w:t>
      </w:r>
      <w:proofErr w:type="spellEnd"/>
      <w:r w:rsidR="00C321CD" w:rsidRPr="001001C4">
        <w:t xml:space="preserve">, </w:t>
      </w:r>
      <w:proofErr w:type="spellStart"/>
      <w:r w:rsidR="00C321CD" w:rsidRPr="001001C4">
        <w:t>tăng</w:t>
      </w:r>
      <w:proofErr w:type="spellEnd"/>
      <w:r w:rsidR="00C321CD" w:rsidRPr="001001C4">
        <w:t xml:space="preserve"> 10.2% so </w:t>
      </w:r>
      <w:proofErr w:type="spellStart"/>
      <w:r w:rsidR="00C321CD" w:rsidRPr="001001C4">
        <w:t>với</w:t>
      </w:r>
      <w:proofErr w:type="spellEnd"/>
      <w:r w:rsidR="00C321CD" w:rsidRPr="001001C4">
        <w:t xml:space="preserve"> </w:t>
      </w:r>
      <w:proofErr w:type="spellStart"/>
      <w:r w:rsidR="00C321CD" w:rsidRPr="001001C4">
        <w:t>đầu</w:t>
      </w:r>
      <w:proofErr w:type="spellEnd"/>
      <w:r w:rsidR="00C321CD" w:rsidRPr="001001C4">
        <w:t xml:space="preserve"> </w:t>
      </w:r>
      <w:proofErr w:type="spellStart"/>
      <w:r w:rsidR="00C321CD" w:rsidRPr="001001C4">
        <w:t>năm</w:t>
      </w:r>
      <w:proofErr w:type="spellEnd"/>
      <w:r w:rsidR="00C321CD" w:rsidRPr="001001C4">
        <w:t xml:space="preserve">. Thanh </w:t>
      </w:r>
      <w:proofErr w:type="spellStart"/>
      <w:r w:rsidR="00C321CD" w:rsidRPr="001001C4">
        <w:t>khoản</w:t>
      </w:r>
      <w:proofErr w:type="spellEnd"/>
      <w:r w:rsidR="00C321CD" w:rsidRPr="001001C4">
        <w:t xml:space="preserve"> </w:t>
      </w:r>
      <w:proofErr w:type="spellStart"/>
      <w:r w:rsidR="00C321CD" w:rsidRPr="001001C4">
        <w:t>trung</w:t>
      </w:r>
      <w:proofErr w:type="spellEnd"/>
      <w:r w:rsidR="00C321CD" w:rsidRPr="001001C4">
        <w:t xml:space="preserve"> </w:t>
      </w:r>
      <w:proofErr w:type="spellStart"/>
      <w:r w:rsidR="00C321CD" w:rsidRPr="001001C4">
        <w:t>bình</w:t>
      </w:r>
      <w:proofErr w:type="spellEnd"/>
      <w:r w:rsidR="00C321CD" w:rsidRPr="001001C4">
        <w:t xml:space="preserve"> </w:t>
      </w:r>
      <w:proofErr w:type="spellStart"/>
      <w:r w:rsidR="00C321CD" w:rsidRPr="001001C4">
        <w:t>trong</w:t>
      </w:r>
      <w:proofErr w:type="spellEnd"/>
      <w:r w:rsidR="00C321CD" w:rsidRPr="001001C4">
        <w:t xml:space="preserve"> </w:t>
      </w:r>
      <w:proofErr w:type="spellStart"/>
      <w:r w:rsidR="00C321CD" w:rsidRPr="001001C4">
        <w:t>quý</w:t>
      </w:r>
      <w:proofErr w:type="spellEnd"/>
      <w:r w:rsidR="00C321CD" w:rsidRPr="001001C4">
        <w:t xml:space="preserve"> 2 </w:t>
      </w:r>
      <w:proofErr w:type="spellStart"/>
      <w:r w:rsidR="00C321CD" w:rsidRPr="001001C4">
        <w:t>là</w:t>
      </w:r>
      <w:proofErr w:type="spellEnd"/>
      <w:r w:rsidR="00C321CD" w:rsidRPr="001001C4">
        <w:t xml:space="preserve"> </w:t>
      </w:r>
      <w:proofErr w:type="spellStart"/>
      <w:r w:rsidR="00C321CD" w:rsidRPr="001001C4">
        <w:t>hơn</w:t>
      </w:r>
      <w:proofErr w:type="spellEnd"/>
      <w:r w:rsidR="00C321CD" w:rsidRPr="001001C4">
        <w:t xml:space="preserve"> 22,179 </w:t>
      </w:r>
      <w:proofErr w:type="spellStart"/>
      <w:r w:rsidR="00C321CD" w:rsidRPr="001001C4">
        <w:t>tỷ</w:t>
      </w:r>
      <w:proofErr w:type="spellEnd"/>
      <w:r w:rsidR="00C321CD" w:rsidRPr="001001C4">
        <w:t xml:space="preserve"> </w:t>
      </w:r>
      <w:proofErr w:type="spellStart"/>
      <w:r w:rsidR="00C321CD" w:rsidRPr="001001C4">
        <w:t>đồng</w:t>
      </w:r>
      <w:proofErr w:type="spellEnd"/>
      <w:r w:rsidR="00C321CD" w:rsidRPr="001001C4">
        <w:t xml:space="preserve">, </w:t>
      </w:r>
      <w:proofErr w:type="spellStart"/>
      <w:r w:rsidR="00C321CD" w:rsidRPr="001001C4">
        <w:t>tăng</w:t>
      </w:r>
      <w:proofErr w:type="spellEnd"/>
      <w:r w:rsidR="00C321CD" w:rsidRPr="001001C4">
        <w:t xml:space="preserve"> 3.8% so </w:t>
      </w:r>
      <w:proofErr w:type="spellStart"/>
      <w:r w:rsidR="00C321CD" w:rsidRPr="001001C4">
        <w:t>với</w:t>
      </w:r>
      <w:proofErr w:type="spellEnd"/>
      <w:r w:rsidR="00C321CD" w:rsidRPr="001001C4">
        <w:t xml:space="preserve"> </w:t>
      </w:r>
      <w:proofErr w:type="spellStart"/>
      <w:r w:rsidR="00C321CD" w:rsidRPr="001001C4">
        <w:t>quý</w:t>
      </w:r>
      <w:proofErr w:type="spellEnd"/>
      <w:r w:rsidR="00C321CD" w:rsidRPr="001001C4">
        <w:t xml:space="preserve"> 1 </w:t>
      </w:r>
      <w:proofErr w:type="spellStart"/>
      <w:r w:rsidR="00C321CD" w:rsidRPr="001001C4">
        <w:t>trước</w:t>
      </w:r>
      <w:proofErr w:type="spellEnd"/>
      <w:r w:rsidR="00C321CD" w:rsidRPr="001001C4">
        <w:t xml:space="preserve"> </w:t>
      </w:r>
      <w:proofErr w:type="spellStart"/>
      <w:r w:rsidR="00C321CD" w:rsidRPr="001001C4">
        <w:t>đó</w:t>
      </w:r>
      <w:proofErr w:type="spellEnd"/>
      <w:r w:rsidR="00C321CD" w:rsidRPr="001001C4">
        <w:t>.</w:t>
      </w:r>
    </w:p>
    <w:p w14:paraId="05AFA408" w14:textId="77777777" w:rsidR="00C321CD" w:rsidRPr="001001C4" w:rsidRDefault="00C321CD" w:rsidP="00C321CD">
      <w:pPr>
        <w:ind w:firstLine="567"/>
        <w:jc w:val="both"/>
      </w:pPr>
      <w:proofErr w:type="spellStart"/>
      <w:r w:rsidRPr="001001C4">
        <w:t>Những</w:t>
      </w:r>
      <w:proofErr w:type="spellEnd"/>
      <w:r w:rsidRPr="001001C4">
        <w:t xml:space="preserve"> </w:t>
      </w:r>
      <w:proofErr w:type="spellStart"/>
      <w:r w:rsidRPr="001001C4">
        <w:t>điểm</w:t>
      </w:r>
      <w:proofErr w:type="spellEnd"/>
      <w:r w:rsidRPr="001001C4">
        <w:t xml:space="preserve"> </w:t>
      </w:r>
      <w:proofErr w:type="spellStart"/>
      <w:r w:rsidRPr="001001C4">
        <w:t>chính</w:t>
      </w:r>
      <w:proofErr w:type="spellEnd"/>
      <w:r w:rsidRPr="001001C4">
        <w:t xml:space="preserve"> </w:t>
      </w:r>
      <w:proofErr w:type="spellStart"/>
      <w:r w:rsidRPr="001001C4">
        <w:t>của</w:t>
      </w:r>
      <w:proofErr w:type="spellEnd"/>
      <w:r w:rsidRPr="001001C4">
        <w:t xml:space="preserve"> </w:t>
      </w:r>
      <w:proofErr w:type="spellStart"/>
      <w:r w:rsidRPr="001001C4">
        <w:t>thị</w:t>
      </w:r>
      <w:proofErr w:type="spellEnd"/>
      <w:r w:rsidRPr="001001C4">
        <w:t xml:space="preserve"> </w:t>
      </w:r>
      <w:proofErr w:type="spellStart"/>
      <w:r w:rsidRPr="001001C4">
        <w:t>trường</w:t>
      </w:r>
      <w:proofErr w:type="spellEnd"/>
      <w:r w:rsidRPr="001001C4">
        <w:t xml:space="preserve"> </w:t>
      </w:r>
      <w:proofErr w:type="spellStart"/>
      <w:r w:rsidRPr="001001C4">
        <w:t>trong</w:t>
      </w:r>
      <w:proofErr w:type="spellEnd"/>
      <w:r w:rsidRPr="001001C4">
        <w:t xml:space="preserve"> Q2/2024:</w:t>
      </w:r>
    </w:p>
    <w:p w14:paraId="3E348300" w14:textId="177C04EA" w:rsidR="00C321CD" w:rsidRPr="001001C4" w:rsidRDefault="00C321CD" w:rsidP="00C321CD">
      <w:pPr>
        <w:pStyle w:val="ListParagraph"/>
        <w:numPr>
          <w:ilvl w:val="0"/>
          <w:numId w:val="10"/>
        </w:numPr>
        <w:ind w:left="993" w:hanging="219"/>
        <w:jc w:val="both"/>
        <w:rPr>
          <w:rFonts w:ascii="Times New Roman" w:hAnsi="Times New Roman"/>
          <w:sz w:val="24"/>
          <w:szCs w:val="24"/>
        </w:rPr>
      </w:pPr>
      <w:proofErr w:type="spellStart"/>
      <w:r w:rsidRPr="001001C4">
        <w:rPr>
          <w:rFonts w:ascii="Times New Roman" w:hAnsi="Times New Roman"/>
          <w:sz w:val="24"/>
          <w:szCs w:val="24"/>
        </w:rPr>
        <w:t>Khối</w:t>
      </w:r>
      <w:proofErr w:type="spellEnd"/>
      <w:r w:rsidRPr="001001C4">
        <w:rPr>
          <w:rFonts w:ascii="Times New Roman" w:hAnsi="Times New Roman"/>
          <w:sz w:val="24"/>
          <w:szCs w:val="24"/>
        </w:rPr>
        <w:t xml:space="preserve"> </w:t>
      </w:r>
      <w:proofErr w:type="spellStart"/>
      <w:r w:rsidRPr="001001C4">
        <w:rPr>
          <w:rFonts w:ascii="Times New Roman" w:hAnsi="Times New Roman"/>
          <w:sz w:val="24"/>
          <w:szCs w:val="24"/>
        </w:rPr>
        <w:t>doanh</w:t>
      </w:r>
      <w:proofErr w:type="spellEnd"/>
      <w:r w:rsidRPr="001001C4">
        <w:rPr>
          <w:rFonts w:ascii="Times New Roman" w:hAnsi="Times New Roman"/>
          <w:sz w:val="24"/>
          <w:szCs w:val="24"/>
        </w:rPr>
        <w:t xml:space="preserve"> </w:t>
      </w:r>
      <w:proofErr w:type="spellStart"/>
      <w:r w:rsidRPr="001001C4">
        <w:rPr>
          <w:rFonts w:ascii="Times New Roman" w:hAnsi="Times New Roman"/>
          <w:sz w:val="24"/>
          <w:szCs w:val="24"/>
        </w:rPr>
        <w:t>nghiệp</w:t>
      </w:r>
      <w:proofErr w:type="spellEnd"/>
      <w:r w:rsidRPr="001001C4">
        <w:rPr>
          <w:rFonts w:ascii="Times New Roman" w:hAnsi="Times New Roman"/>
          <w:sz w:val="24"/>
          <w:szCs w:val="24"/>
        </w:rPr>
        <w:t xml:space="preserve"> </w:t>
      </w:r>
      <w:proofErr w:type="spellStart"/>
      <w:r w:rsidRPr="001001C4">
        <w:rPr>
          <w:rFonts w:ascii="Times New Roman" w:hAnsi="Times New Roman"/>
          <w:sz w:val="24"/>
          <w:szCs w:val="24"/>
        </w:rPr>
        <w:t>tư</w:t>
      </w:r>
      <w:proofErr w:type="spellEnd"/>
      <w:r w:rsidRPr="001001C4">
        <w:rPr>
          <w:rFonts w:ascii="Times New Roman" w:hAnsi="Times New Roman"/>
          <w:sz w:val="24"/>
          <w:szCs w:val="24"/>
        </w:rPr>
        <w:t xml:space="preserve"> </w:t>
      </w:r>
      <w:proofErr w:type="spellStart"/>
      <w:r w:rsidRPr="001001C4">
        <w:rPr>
          <w:rFonts w:ascii="Times New Roman" w:hAnsi="Times New Roman"/>
          <w:sz w:val="24"/>
          <w:szCs w:val="24"/>
        </w:rPr>
        <w:t>nhân</w:t>
      </w:r>
      <w:proofErr w:type="spellEnd"/>
      <w:r w:rsidRPr="001001C4">
        <w:rPr>
          <w:rFonts w:ascii="Times New Roman" w:hAnsi="Times New Roman"/>
          <w:sz w:val="24"/>
          <w:szCs w:val="24"/>
        </w:rPr>
        <w:t xml:space="preserve"> </w:t>
      </w:r>
      <w:proofErr w:type="spellStart"/>
      <w:r w:rsidRPr="001001C4">
        <w:rPr>
          <w:rFonts w:ascii="Times New Roman" w:hAnsi="Times New Roman"/>
          <w:sz w:val="24"/>
          <w:szCs w:val="24"/>
        </w:rPr>
        <w:t>đang</w:t>
      </w:r>
      <w:proofErr w:type="spellEnd"/>
      <w:r w:rsidRPr="001001C4">
        <w:rPr>
          <w:rFonts w:ascii="Times New Roman" w:hAnsi="Times New Roman"/>
          <w:sz w:val="24"/>
          <w:szCs w:val="24"/>
        </w:rPr>
        <w:t xml:space="preserve"> </w:t>
      </w:r>
      <w:proofErr w:type="spellStart"/>
      <w:r w:rsidRPr="001001C4">
        <w:rPr>
          <w:rFonts w:ascii="Times New Roman" w:hAnsi="Times New Roman"/>
          <w:sz w:val="24"/>
          <w:szCs w:val="24"/>
        </w:rPr>
        <w:t>thể</w:t>
      </w:r>
      <w:proofErr w:type="spellEnd"/>
      <w:r w:rsidRPr="001001C4">
        <w:rPr>
          <w:rFonts w:ascii="Times New Roman" w:hAnsi="Times New Roman"/>
          <w:sz w:val="24"/>
          <w:szCs w:val="24"/>
        </w:rPr>
        <w:t xml:space="preserve"> </w:t>
      </w:r>
      <w:proofErr w:type="spellStart"/>
      <w:r w:rsidRPr="001001C4">
        <w:rPr>
          <w:rFonts w:ascii="Times New Roman" w:hAnsi="Times New Roman"/>
          <w:sz w:val="24"/>
          <w:szCs w:val="24"/>
        </w:rPr>
        <w:t>hiện</w:t>
      </w:r>
      <w:proofErr w:type="spellEnd"/>
      <w:r w:rsidRPr="001001C4">
        <w:rPr>
          <w:rFonts w:ascii="Times New Roman" w:hAnsi="Times New Roman"/>
          <w:sz w:val="24"/>
          <w:szCs w:val="24"/>
        </w:rPr>
        <w:t xml:space="preserve"> </w:t>
      </w:r>
      <w:proofErr w:type="spellStart"/>
      <w:r w:rsidRPr="001001C4">
        <w:rPr>
          <w:rFonts w:ascii="Times New Roman" w:hAnsi="Times New Roman"/>
          <w:sz w:val="24"/>
          <w:szCs w:val="24"/>
        </w:rPr>
        <w:t>đà</w:t>
      </w:r>
      <w:proofErr w:type="spellEnd"/>
      <w:r w:rsidRPr="001001C4">
        <w:rPr>
          <w:rFonts w:ascii="Times New Roman" w:hAnsi="Times New Roman"/>
          <w:sz w:val="24"/>
          <w:szCs w:val="24"/>
        </w:rPr>
        <w:t xml:space="preserve"> </w:t>
      </w:r>
      <w:proofErr w:type="spellStart"/>
      <w:r w:rsidRPr="001001C4">
        <w:rPr>
          <w:rFonts w:ascii="Times New Roman" w:hAnsi="Times New Roman"/>
          <w:sz w:val="24"/>
          <w:szCs w:val="24"/>
        </w:rPr>
        <w:t>phục</w:t>
      </w:r>
      <w:proofErr w:type="spellEnd"/>
      <w:r w:rsidRPr="001001C4">
        <w:rPr>
          <w:rFonts w:ascii="Times New Roman" w:hAnsi="Times New Roman"/>
          <w:sz w:val="24"/>
          <w:szCs w:val="24"/>
        </w:rPr>
        <w:t xml:space="preserve"> </w:t>
      </w:r>
      <w:proofErr w:type="spellStart"/>
      <w:r w:rsidRPr="001001C4">
        <w:rPr>
          <w:rFonts w:ascii="Times New Roman" w:hAnsi="Times New Roman"/>
          <w:sz w:val="24"/>
          <w:szCs w:val="24"/>
        </w:rPr>
        <w:t>hồi</w:t>
      </w:r>
      <w:proofErr w:type="spellEnd"/>
      <w:r w:rsidRPr="001001C4">
        <w:rPr>
          <w:rFonts w:ascii="Times New Roman" w:hAnsi="Times New Roman"/>
          <w:sz w:val="24"/>
          <w:szCs w:val="24"/>
        </w:rPr>
        <w:t xml:space="preserve"> </w:t>
      </w:r>
      <w:proofErr w:type="spellStart"/>
      <w:r w:rsidRPr="001001C4">
        <w:rPr>
          <w:rFonts w:ascii="Times New Roman" w:hAnsi="Times New Roman"/>
          <w:sz w:val="24"/>
          <w:szCs w:val="24"/>
        </w:rPr>
        <w:t>mạnh</w:t>
      </w:r>
      <w:proofErr w:type="spellEnd"/>
      <w:r w:rsidRPr="001001C4">
        <w:rPr>
          <w:rFonts w:ascii="Times New Roman" w:hAnsi="Times New Roman"/>
          <w:sz w:val="24"/>
          <w:szCs w:val="24"/>
        </w:rPr>
        <w:t xml:space="preserve"> </w:t>
      </w:r>
      <w:proofErr w:type="spellStart"/>
      <w:r w:rsidRPr="001001C4">
        <w:rPr>
          <w:rFonts w:ascii="Times New Roman" w:hAnsi="Times New Roman"/>
          <w:sz w:val="24"/>
          <w:szCs w:val="24"/>
        </w:rPr>
        <w:t>mẽ</w:t>
      </w:r>
      <w:proofErr w:type="spellEnd"/>
      <w:r w:rsidRPr="001001C4">
        <w:rPr>
          <w:rFonts w:ascii="Times New Roman" w:hAnsi="Times New Roman"/>
          <w:sz w:val="24"/>
          <w:szCs w:val="24"/>
        </w:rPr>
        <w:t xml:space="preserve"> </w:t>
      </w:r>
      <w:proofErr w:type="spellStart"/>
      <w:r w:rsidRPr="001001C4">
        <w:rPr>
          <w:rFonts w:ascii="Times New Roman" w:hAnsi="Times New Roman"/>
          <w:sz w:val="24"/>
          <w:szCs w:val="24"/>
        </w:rPr>
        <w:t>và</w:t>
      </w:r>
      <w:proofErr w:type="spellEnd"/>
      <w:r w:rsidRPr="001001C4">
        <w:rPr>
          <w:rFonts w:ascii="Times New Roman" w:hAnsi="Times New Roman"/>
          <w:sz w:val="24"/>
          <w:szCs w:val="24"/>
        </w:rPr>
        <w:t xml:space="preserve"> </w:t>
      </w:r>
      <w:proofErr w:type="spellStart"/>
      <w:r w:rsidRPr="001001C4">
        <w:rPr>
          <w:rFonts w:ascii="Times New Roman" w:hAnsi="Times New Roman"/>
          <w:sz w:val="24"/>
          <w:szCs w:val="24"/>
        </w:rPr>
        <w:t>được</w:t>
      </w:r>
      <w:proofErr w:type="spellEnd"/>
      <w:r w:rsidRPr="001001C4">
        <w:rPr>
          <w:rFonts w:ascii="Times New Roman" w:hAnsi="Times New Roman"/>
          <w:sz w:val="24"/>
          <w:szCs w:val="24"/>
        </w:rPr>
        <w:t xml:space="preserve"> </w:t>
      </w:r>
      <w:proofErr w:type="spellStart"/>
      <w:r w:rsidRPr="001001C4">
        <w:rPr>
          <w:rFonts w:ascii="Times New Roman" w:hAnsi="Times New Roman"/>
          <w:sz w:val="24"/>
          <w:szCs w:val="24"/>
        </w:rPr>
        <w:t>kỳ</w:t>
      </w:r>
      <w:proofErr w:type="spellEnd"/>
      <w:r w:rsidRPr="001001C4">
        <w:rPr>
          <w:rFonts w:ascii="Times New Roman" w:hAnsi="Times New Roman"/>
          <w:sz w:val="24"/>
          <w:szCs w:val="24"/>
        </w:rPr>
        <w:t xml:space="preserve"> </w:t>
      </w:r>
      <w:proofErr w:type="spellStart"/>
      <w:r w:rsidRPr="001001C4">
        <w:rPr>
          <w:rFonts w:ascii="Times New Roman" w:hAnsi="Times New Roman"/>
          <w:sz w:val="24"/>
          <w:szCs w:val="24"/>
        </w:rPr>
        <w:t>vọng</w:t>
      </w:r>
      <w:proofErr w:type="spellEnd"/>
      <w:r w:rsidRPr="001001C4">
        <w:rPr>
          <w:rFonts w:ascii="Times New Roman" w:hAnsi="Times New Roman"/>
          <w:sz w:val="24"/>
          <w:szCs w:val="24"/>
        </w:rPr>
        <w:t xml:space="preserve"> </w:t>
      </w:r>
      <w:proofErr w:type="spellStart"/>
      <w:r w:rsidRPr="001001C4">
        <w:rPr>
          <w:rFonts w:ascii="Times New Roman" w:hAnsi="Times New Roman"/>
          <w:sz w:val="24"/>
          <w:szCs w:val="24"/>
        </w:rPr>
        <w:t>là</w:t>
      </w:r>
      <w:proofErr w:type="spellEnd"/>
      <w:r w:rsidRPr="001001C4">
        <w:rPr>
          <w:rFonts w:ascii="Times New Roman" w:hAnsi="Times New Roman"/>
          <w:sz w:val="24"/>
          <w:szCs w:val="24"/>
        </w:rPr>
        <w:t xml:space="preserve"> </w:t>
      </w:r>
      <w:proofErr w:type="spellStart"/>
      <w:r w:rsidRPr="001001C4">
        <w:rPr>
          <w:rFonts w:ascii="Times New Roman" w:hAnsi="Times New Roman"/>
          <w:sz w:val="24"/>
          <w:szCs w:val="24"/>
        </w:rPr>
        <w:t>động</w:t>
      </w:r>
      <w:proofErr w:type="spellEnd"/>
      <w:r w:rsidRPr="001001C4">
        <w:rPr>
          <w:rFonts w:ascii="Times New Roman" w:hAnsi="Times New Roman"/>
          <w:sz w:val="24"/>
          <w:szCs w:val="24"/>
        </w:rPr>
        <w:t xml:space="preserve"> </w:t>
      </w:r>
      <w:proofErr w:type="spellStart"/>
      <w:r w:rsidRPr="001001C4">
        <w:rPr>
          <w:rFonts w:ascii="Times New Roman" w:hAnsi="Times New Roman"/>
          <w:sz w:val="24"/>
          <w:szCs w:val="24"/>
        </w:rPr>
        <w:t>lực</w:t>
      </w:r>
      <w:proofErr w:type="spellEnd"/>
      <w:r w:rsidRPr="001001C4">
        <w:rPr>
          <w:rFonts w:ascii="Times New Roman" w:hAnsi="Times New Roman"/>
          <w:sz w:val="24"/>
          <w:szCs w:val="24"/>
        </w:rPr>
        <w:t xml:space="preserve"> </w:t>
      </w:r>
      <w:proofErr w:type="spellStart"/>
      <w:r w:rsidRPr="001001C4">
        <w:rPr>
          <w:rFonts w:ascii="Times New Roman" w:hAnsi="Times New Roman"/>
          <w:sz w:val="24"/>
          <w:szCs w:val="24"/>
        </w:rPr>
        <w:t>thúc</w:t>
      </w:r>
      <w:proofErr w:type="spellEnd"/>
      <w:r w:rsidRPr="001001C4">
        <w:rPr>
          <w:rFonts w:ascii="Times New Roman" w:hAnsi="Times New Roman"/>
          <w:sz w:val="24"/>
          <w:szCs w:val="24"/>
        </w:rPr>
        <w:t xml:space="preserve"> </w:t>
      </w:r>
      <w:proofErr w:type="spellStart"/>
      <w:r w:rsidRPr="001001C4">
        <w:rPr>
          <w:rFonts w:ascii="Times New Roman" w:hAnsi="Times New Roman"/>
          <w:sz w:val="24"/>
          <w:szCs w:val="24"/>
        </w:rPr>
        <w:t>đẩy</w:t>
      </w:r>
      <w:proofErr w:type="spellEnd"/>
      <w:r w:rsidRPr="001001C4">
        <w:rPr>
          <w:rFonts w:ascii="Times New Roman" w:hAnsi="Times New Roman"/>
          <w:sz w:val="24"/>
          <w:szCs w:val="24"/>
        </w:rPr>
        <w:t xml:space="preserve"> </w:t>
      </w:r>
      <w:proofErr w:type="spellStart"/>
      <w:r w:rsidRPr="001001C4">
        <w:rPr>
          <w:rFonts w:ascii="Times New Roman" w:hAnsi="Times New Roman"/>
          <w:sz w:val="24"/>
          <w:szCs w:val="24"/>
        </w:rPr>
        <w:t>giúp</w:t>
      </w:r>
      <w:proofErr w:type="spellEnd"/>
      <w:r w:rsidRPr="001001C4">
        <w:rPr>
          <w:rFonts w:ascii="Times New Roman" w:hAnsi="Times New Roman"/>
          <w:sz w:val="24"/>
          <w:szCs w:val="24"/>
        </w:rPr>
        <w:t xml:space="preserve"> </w:t>
      </w:r>
      <w:proofErr w:type="spellStart"/>
      <w:r w:rsidRPr="001001C4">
        <w:rPr>
          <w:rFonts w:ascii="Times New Roman" w:hAnsi="Times New Roman"/>
          <w:sz w:val="24"/>
          <w:szCs w:val="24"/>
        </w:rPr>
        <w:t>cho</w:t>
      </w:r>
      <w:proofErr w:type="spellEnd"/>
      <w:r w:rsidRPr="001001C4">
        <w:rPr>
          <w:rFonts w:ascii="Times New Roman" w:hAnsi="Times New Roman"/>
          <w:sz w:val="24"/>
          <w:szCs w:val="24"/>
        </w:rPr>
        <w:t xml:space="preserve"> </w:t>
      </w:r>
      <w:proofErr w:type="spellStart"/>
      <w:r w:rsidRPr="001001C4">
        <w:rPr>
          <w:rFonts w:ascii="Times New Roman" w:hAnsi="Times New Roman"/>
          <w:sz w:val="24"/>
          <w:szCs w:val="24"/>
        </w:rPr>
        <w:t>nền</w:t>
      </w:r>
      <w:proofErr w:type="spellEnd"/>
      <w:r w:rsidRPr="001001C4">
        <w:rPr>
          <w:rFonts w:ascii="Times New Roman" w:hAnsi="Times New Roman"/>
          <w:sz w:val="24"/>
          <w:szCs w:val="24"/>
        </w:rPr>
        <w:t xml:space="preserve"> </w:t>
      </w:r>
      <w:proofErr w:type="spellStart"/>
      <w:r w:rsidRPr="001001C4">
        <w:rPr>
          <w:rFonts w:ascii="Times New Roman" w:hAnsi="Times New Roman"/>
          <w:sz w:val="24"/>
          <w:szCs w:val="24"/>
        </w:rPr>
        <w:t>kinh</w:t>
      </w:r>
      <w:proofErr w:type="spellEnd"/>
      <w:r w:rsidRPr="001001C4">
        <w:rPr>
          <w:rFonts w:ascii="Times New Roman" w:hAnsi="Times New Roman"/>
          <w:sz w:val="24"/>
          <w:szCs w:val="24"/>
        </w:rPr>
        <w:t xml:space="preserve"> </w:t>
      </w:r>
      <w:proofErr w:type="spellStart"/>
      <w:r w:rsidRPr="001001C4">
        <w:rPr>
          <w:rFonts w:ascii="Times New Roman" w:hAnsi="Times New Roman"/>
          <w:sz w:val="24"/>
          <w:szCs w:val="24"/>
        </w:rPr>
        <w:t>tế</w:t>
      </w:r>
      <w:proofErr w:type="spellEnd"/>
      <w:r w:rsidRPr="001001C4">
        <w:rPr>
          <w:rFonts w:ascii="Times New Roman" w:hAnsi="Times New Roman"/>
          <w:sz w:val="24"/>
          <w:szCs w:val="24"/>
        </w:rPr>
        <w:t xml:space="preserve"> </w:t>
      </w:r>
      <w:proofErr w:type="spellStart"/>
      <w:r w:rsidRPr="001001C4">
        <w:rPr>
          <w:rFonts w:ascii="Times New Roman" w:hAnsi="Times New Roman"/>
          <w:sz w:val="24"/>
          <w:szCs w:val="24"/>
        </w:rPr>
        <w:t>và</w:t>
      </w:r>
      <w:proofErr w:type="spellEnd"/>
      <w:r w:rsidRPr="001001C4">
        <w:rPr>
          <w:rFonts w:ascii="Times New Roman" w:hAnsi="Times New Roman"/>
          <w:sz w:val="24"/>
          <w:szCs w:val="24"/>
        </w:rPr>
        <w:t xml:space="preserve"> </w:t>
      </w:r>
      <w:proofErr w:type="spellStart"/>
      <w:r w:rsidRPr="001001C4">
        <w:rPr>
          <w:rFonts w:ascii="Times New Roman" w:hAnsi="Times New Roman"/>
          <w:sz w:val="24"/>
          <w:szCs w:val="24"/>
        </w:rPr>
        <w:t>thị</w:t>
      </w:r>
      <w:proofErr w:type="spellEnd"/>
      <w:r w:rsidRPr="001001C4">
        <w:rPr>
          <w:rFonts w:ascii="Times New Roman" w:hAnsi="Times New Roman"/>
          <w:sz w:val="24"/>
          <w:szCs w:val="24"/>
        </w:rPr>
        <w:t xml:space="preserve"> </w:t>
      </w:r>
      <w:proofErr w:type="spellStart"/>
      <w:r w:rsidRPr="001001C4">
        <w:rPr>
          <w:rFonts w:ascii="Times New Roman" w:hAnsi="Times New Roman"/>
          <w:sz w:val="24"/>
          <w:szCs w:val="24"/>
        </w:rPr>
        <w:t>trường</w:t>
      </w:r>
      <w:proofErr w:type="spellEnd"/>
      <w:r w:rsidRPr="001001C4">
        <w:rPr>
          <w:rFonts w:ascii="Times New Roman" w:hAnsi="Times New Roman"/>
          <w:sz w:val="24"/>
          <w:szCs w:val="24"/>
        </w:rPr>
        <w:t xml:space="preserve"> </w:t>
      </w:r>
      <w:proofErr w:type="spellStart"/>
      <w:r w:rsidRPr="001001C4">
        <w:rPr>
          <w:rFonts w:ascii="Times New Roman" w:hAnsi="Times New Roman"/>
          <w:sz w:val="24"/>
          <w:szCs w:val="24"/>
        </w:rPr>
        <w:t>trở</w:t>
      </w:r>
      <w:proofErr w:type="spellEnd"/>
      <w:r w:rsidRPr="001001C4">
        <w:rPr>
          <w:rFonts w:ascii="Times New Roman" w:hAnsi="Times New Roman"/>
          <w:sz w:val="24"/>
          <w:szCs w:val="24"/>
        </w:rPr>
        <w:t xml:space="preserve"> </w:t>
      </w:r>
      <w:proofErr w:type="spellStart"/>
      <w:r w:rsidRPr="001001C4">
        <w:rPr>
          <w:rFonts w:ascii="Times New Roman" w:hAnsi="Times New Roman"/>
          <w:sz w:val="24"/>
          <w:szCs w:val="24"/>
        </w:rPr>
        <w:t>nên</w:t>
      </w:r>
      <w:proofErr w:type="spellEnd"/>
      <w:r w:rsidRPr="001001C4">
        <w:rPr>
          <w:rFonts w:ascii="Times New Roman" w:hAnsi="Times New Roman"/>
          <w:sz w:val="24"/>
          <w:szCs w:val="24"/>
        </w:rPr>
        <w:t xml:space="preserve"> </w:t>
      </w:r>
      <w:proofErr w:type="spellStart"/>
      <w:r w:rsidRPr="001001C4">
        <w:rPr>
          <w:rFonts w:ascii="Times New Roman" w:hAnsi="Times New Roman"/>
          <w:sz w:val="24"/>
          <w:szCs w:val="24"/>
        </w:rPr>
        <w:t>khởi</w:t>
      </w:r>
      <w:proofErr w:type="spellEnd"/>
      <w:r w:rsidRPr="001001C4">
        <w:rPr>
          <w:rFonts w:ascii="Times New Roman" w:hAnsi="Times New Roman"/>
          <w:sz w:val="24"/>
          <w:szCs w:val="24"/>
        </w:rPr>
        <w:t xml:space="preserve"> </w:t>
      </w:r>
      <w:proofErr w:type="spellStart"/>
      <w:r w:rsidRPr="001001C4">
        <w:rPr>
          <w:rFonts w:ascii="Times New Roman" w:hAnsi="Times New Roman"/>
          <w:sz w:val="24"/>
          <w:szCs w:val="24"/>
        </w:rPr>
        <w:t>sắc</w:t>
      </w:r>
      <w:proofErr w:type="spellEnd"/>
      <w:r w:rsidRPr="001001C4">
        <w:rPr>
          <w:rFonts w:ascii="Times New Roman" w:hAnsi="Times New Roman"/>
          <w:sz w:val="24"/>
          <w:szCs w:val="24"/>
        </w:rPr>
        <w:t xml:space="preserve">. </w:t>
      </w:r>
    </w:p>
    <w:p w14:paraId="7F926466" w14:textId="26C88F63" w:rsidR="00C321CD" w:rsidRPr="001001C4" w:rsidRDefault="00C321CD" w:rsidP="00C321CD">
      <w:pPr>
        <w:pStyle w:val="ListParagraph"/>
        <w:numPr>
          <w:ilvl w:val="0"/>
          <w:numId w:val="10"/>
        </w:numPr>
        <w:ind w:left="993" w:hanging="219"/>
        <w:jc w:val="both"/>
        <w:rPr>
          <w:rFonts w:ascii="Times New Roman" w:hAnsi="Times New Roman"/>
          <w:sz w:val="24"/>
          <w:szCs w:val="24"/>
        </w:rPr>
      </w:pPr>
      <w:proofErr w:type="spellStart"/>
      <w:r w:rsidRPr="001001C4">
        <w:rPr>
          <w:rFonts w:ascii="Times New Roman" w:hAnsi="Times New Roman"/>
          <w:sz w:val="24"/>
          <w:szCs w:val="24"/>
        </w:rPr>
        <w:t>Một</w:t>
      </w:r>
      <w:proofErr w:type="spellEnd"/>
      <w:r w:rsidRPr="001001C4">
        <w:rPr>
          <w:rFonts w:ascii="Times New Roman" w:hAnsi="Times New Roman"/>
          <w:sz w:val="24"/>
          <w:szCs w:val="24"/>
        </w:rPr>
        <w:t xml:space="preserve"> </w:t>
      </w:r>
      <w:proofErr w:type="spellStart"/>
      <w:r w:rsidRPr="001001C4">
        <w:rPr>
          <w:rFonts w:ascii="Times New Roman" w:hAnsi="Times New Roman"/>
          <w:sz w:val="24"/>
          <w:szCs w:val="24"/>
        </w:rPr>
        <w:t>số</w:t>
      </w:r>
      <w:proofErr w:type="spellEnd"/>
      <w:r w:rsidRPr="001001C4">
        <w:rPr>
          <w:rFonts w:ascii="Times New Roman" w:hAnsi="Times New Roman"/>
          <w:sz w:val="24"/>
          <w:szCs w:val="24"/>
        </w:rPr>
        <w:t xml:space="preserve"> </w:t>
      </w:r>
      <w:proofErr w:type="spellStart"/>
      <w:r w:rsidRPr="001001C4">
        <w:rPr>
          <w:rFonts w:ascii="Times New Roman" w:hAnsi="Times New Roman"/>
          <w:sz w:val="24"/>
          <w:szCs w:val="24"/>
        </w:rPr>
        <w:t>cổ</w:t>
      </w:r>
      <w:proofErr w:type="spellEnd"/>
      <w:r w:rsidRPr="001001C4">
        <w:rPr>
          <w:rFonts w:ascii="Times New Roman" w:hAnsi="Times New Roman"/>
          <w:sz w:val="24"/>
          <w:szCs w:val="24"/>
        </w:rPr>
        <w:t xml:space="preserve"> </w:t>
      </w:r>
      <w:proofErr w:type="spellStart"/>
      <w:r w:rsidRPr="001001C4">
        <w:rPr>
          <w:rFonts w:ascii="Times New Roman" w:hAnsi="Times New Roman"/>
          <w:sz w:val="24"/>
          <w:szCs w:val="24"/>
        </w:rPr>
        <w:t>phiếu</w:t>
      </w:r>
      <w:proofErr w:type="spellEnd"/>
      <w:r w:rsidRPr="001001C4">
        <w:rPr>
          <w:rFonts w:ascii="Times New Roman" w:hAnsi="Times New Roman"/>
          <w:sz w:val="24"/>
          <w:szCs w:val="24"/>
        </w:rPr>
        <w:t xml:space="preserve"> </w:t>
      </w:r>
      <w:proofErr w:type="spellStart"/>
      <w:r w:rsidRPr="001001C4">
        <w:rPr>
          <w:rFonts w:ascii="Times New Roman" w:hAnsi="Times New Roman"/>
          <w:sz w:val="24"/>
          <w:szCs w:val="24"/>
        </w:rPr>
        <w:t>bất</w:t>
      </w:r>
      <w:proofErr w:type="spellEnd"/>
      <w:r w:rsidRPr="001001C4">
        <w:rPr>
          <w:rFonts w:ascii="Times New Roman" w:hAnsi="Times New Roman"/>
          <w:sz w:val="24"/>
          <w:szCs w:val="24"/>
        </w:rPr>
        <w:t xml:space="preserve"> </w:t>
      </w:r>
      <w:proofErr w:type="spellStart"/>
      <w:r w:rsidRPr="001001C4">
        <w:rPr>
          <w:rFonts w:ascii="Times New Roman" w:hAnsi="Times New Roman"/>
          <w:sz w:val="24"/>
          <w:szCs w:val="24"/>
        </w:rPr>
        <w:t>động</w:t>
      </w:r>
      <w:proofErr w:type="spellEnd"/>
      <w:r w:rsidRPr="001001C4">
        <w:rPr>
          <w:rFonts w:ascii="Times New Roman" w:hAnsi="Times New Roman"/>
          <w:sz w:val="24"/>
          <w:szCs w:val="24"/>
        </w:rPr>
        <w:t xml:space="preserve"> </w:t>
      </w:r>
      <w:proofErr w:type="spellStart"/>
      <w:r w:rsidRPr="001001C4">
        <w:rPr>
          <w:rFonts w:ascii="Times New Roman" w:hAnsi="Times New Roman"/>
          <w:sz w:val="24"/>
          <w:szCs w:val="24"/>
        </w:rPr>
        <w:t>sản</w:t>
      </w:r>
      <w:proofErr w:type="spellEnd"/>
      <w:r w:rsidRPr="001001C4">
        <w:rPr>
          <w:rFonts w:ascii="Times New Roman" w:hAnsi="Times New Roman"/>
          <w:sz w:val="24"/>
          <w:szCs w:val="24"/>
        </w:rPr>
        <w:t xml:space="preserve"> </w:t>
      </w:r>
      <w:proofErr w:type="spellStart"/>
      <w:r w:rsidRPr="001001C4">
        <w:rPr>
          <w:rFonts w:ascii="Times New Roman" w:hAnsi="Times New Roman"/>
          <w:sz w:val="24"/>
          <w:szCs w:val="24"/>
        </w:rPr>
        <w:t>vốn</w:t>
      </w:r>
      <w:proofErr w:type="spellEnd"/>
      <w:r w:rsidRPr="001001C4">
        <w:rPr>
          <w:rFonts w:ascii="Times New Roman" w:hAnsi="Times New Roman"/>
          <w:sz w:val="24"/>
          <w:szCs w:val="24"/>
        </w:rPr>
        <w:t xml:space="preserve"> </w:t>
      </w:r>
      <w:proofErr w:type="spellStart"/>
      <w:r w:rsidRPr="001001C4">
        <w:rPr>
          <w:rFonts w:ascii="Times New Roman" w:hAnsi="Times New Roman"/>
          <w:sz w:val="24"/>
          <w:szCs w:val="24"/>
        </w:rPr>
        <w:t>hóa</w:t>
      </w:r>
      <w:proofErr w:type="spellEnd"/>
      <w:r w:rsidRPr="001001C4">
        <w:rPr>
          <w:rFonts w:ascii="Times New Roman" w:hAnsi="Times New Roman"/>
          <w:sz w:val="24"/>
          <w:szCs w:val="24"/>
        </w:rPr>
        <w:t xml:space="preserve"> </w:t>
      </w:r>
      <w:proofErr w:type="spellStart"/>
      <w:r w:rsidRPr="001001C4">
        <w:rPr>
          <w:rFonts w:ascii="Times New Roman" w:hAnsi="Times New Roman"/>
          <w:sz w:val="24"/>
          <w:szCs w:val="24"/>
        </w:rPr>
        <w:t>lớn</w:t>
      </w:r>
      <w:proofErr w:type="spellEnd"/>
      <w:r w:rsidRPr="001001C4">
        <w:rPr>
          <w:rFonts w:ascii="Times New Roman" w:hAnsi="Times New Roman"/>
          <w:sz w:val="24"/>
          <w:szCs w:val="24"/>
        </w:rPr>
        <w:t xml:space="preserve"> </w:t>
      </w:r>
      <w:proofErr w:type="spellStart"/>
      <w:r w:rsidRPr="001001C4">
        <w:rPr>
          <w:rFonts w:ascii="Times New Roman" w:hAnsi="Times New Roman"/>
          <w:sz w:val="24"/>
          <w:szCs w:val="24"/>
        </w:rPr>
        <w:t>vẫn</w:t>
      </w:r>
      <w:proofErr w:type="spellEnd"/>
      <w:r w:rsidRPr="001001C4">
        <w:rPr>
          <w:rFonts w:ascii="Times New Roman" w:hAnsi="Times New Roman"/>
          <w:sz w:val="24"/>
          <w:szCs w:val="24"/>
        </w:rPr>
        <w:t xml:space="preserve"> </w:t>
      </w:r>
      <w:proofErr w:type="spellStart"/>
      <w:r w:rsidRPr="001001C4">
        <w:rPr>
          <w:rFonts w:ascii="Times New Roman" w:hAnsi="Times New Roman"/>
          <w:sz w:val="24"/>
          <w:szCs w:val="24"/>
        </w:rPr>
        <w:t>còn</w:t>
      </w:r>
      <w:proofErr w:type="spellEnd"/>
      <w:r w:rsidRPr="001001C4">
        <w:rPr>
          <w:rFonts w:ascii="Times New Roman" w:hAnsi="Times New Roman"/>
          <w:sz w:val="24"/>
          <w:szCs w:val="24"/>
        </w:rPr>
        <w:t xml:space="preserve"> </w:t>
      </w:r>
      <w:proofErr w:type="spellStart"/>
      <w:r w:rsidRPr="001001C4">
        <w:rPr>
          <w:rFonts w:ascii="Times New Roman" w:hAnsi="Times New Roman"/>
          <w:sz w:val="24"/>
          <w:szCs w:val="24"/>
        </w:rPr>
        <w:t>đang</w:t>
      </w:r>
      <w:proofErr w:type="spellEnd"/>
      <w:r w:rsidRPr="001001C4">
        <w:rPr>
          <w:rFonts w:ascii="Times New Roman" w:hAnsi="Times New Roman"/>
          <w:sz w:val="24"/>
          <w:szCs w:val="24"/>
        </w:rPr>
        <w:t xml:space="preserve"> </w:t>
      </w:r>
      <w:proofErr w:type="spellStart"/>
      <w:r w:rsidRPr="001001C4">
        <w:rPr>
          <w:rFonts w:ascii="Times New Roman" w:hAnsi="Times New Roman"/>
          <w:sz w:val="24"/>
          <w:szCs w:val="24"/>
        </w:rPr>
        <w:t>phụ</w:t>
      </w:r>
      <w:proofErr w:type="spellEnd"/>
      <w:r w:rsidRPr="001001C4">
        <w:rPr>
          <w:rFonts w:ascii="Times New Roman" w:hAnsi="Times New Roman"/>
          <w:sz w:val="24"/>
          <w:szCs w:val="24"/>
        </w:rPr>
        <w:t xml:space="preserve"> </w:t>
      </w:r>
      <w:proofErr w:type="spellStart"/>
      <w:r w:rsidRPr="001001C4">
        <w:rPr>
          <w:rFonts w:ascii="Times New Roman" w:hAnsi="Times New Roman"/>
          <w:sz w:val="24"/>
          <w:szCs w:val="24"/>
        </w:rPr>
        <w:t>thuộc</w:t>
      </w:r>
      <w:proofErr w:type="spellEnd"/>
      <w:r w:rsidRPr="001001C4">
        <w:rPr>
          <w:rFonts w:ascii="Times New Roman" w:hAnsi="Times New Roman"/>
          <w:sz w:val="24"/>
          <w:szCs w:val="24"/>
        </w:rPr>
        <w:t xml:space="preserve"> </w:t>
      </w:r>
      <w:proofErr w:type="spellStart"/>
      <w:r w:rsidRPr="001001C4">
        <w:rPr>
          <w:rFonts w:ascii="Times New Roman" w:hAnsi="Times New Roman"/>
          <w:sz w:val="24"/>
          <w:szCs w:val="24"/>
        </w:rPr>
        <w:t>vào</w:t>
      </w:r>
      <w:proofErr w:type="spellEnd"/>
      <w:r w:rsidRPr="001001C4">
        <w:rPr>
          <w:rFonts w:ascii="Times New Roman" w:hAnsi="Times New Roman"/>
          <w:sz w:val="24"/>
          <w:szCs w:val="24"/>
        </w:rPr>
        <w:t xml:space="preserve"> </w:t>
      </w:r>
      <w:proofErr w:type="spellStart"/>
      <w:r w:rsidRPr="001001C4">
        <w:rPr>
          <w:rFonts w:ascii="Times New Roman" w:hAnsi="Times New Roman"/>
          <w:sz w:val="24"/>
          <w:szCs w:val="24"/>
        </w:rPr>
        <w:t>các</w:t>
      </w:r>
      <w:proofErr w:type="spellEnd"/>
      <w:r w:rsidRPr="001001C4">
        <w:rPr>
          <w:rFonts w:ascii="Times New Roman" w:hAnsi="Times New Roman"/>
          <w:sz w:val="24"/>
          <w:szCs w:val="24"/>
        </w:rPr>
        <w:t xml:space="preserve"> </w:t>
      </w:r>
      <w:proofErr w:type="spellStart"/>
      <w:r w:rsidRPr="001001C4">
        <w:rPr>
          <w:rFonts w:ascii="Times New Roman" w:hAnsi="Times New Roman"/>
          <w:sz w:val="24"/>
          <w:szCs w:val="24"/>
        </w:rPr>
        <w:t>chính</w:t>
      </w:r>
      <w:proofErr w:type="spellEnd"/>
      <w:r w:rsidRPr="001001C4">
        <w:rPr>
          <w:rFonts w:ascii="Times New Roman" w:hAnsi="Times New Roman"/>
          <w:sz w:val="24"/>
          <w:szCs w:val="24"/>
        </w:rPr>
        <w:t xml:space="preserve"> </w:t>
      </w:r>
      <w:proofErr w:type="spellStart"/>
      <w:r w:rsidRPr="001001C4">
        <w:rPr>
          <w:rFonts w:ascii="Times New Roman" w:hAnsi="Times New Roman"/>
          <w:sz w:val="24"/>
          <w:szCs w:val="24"/>
        </w:rPr>
        <w:t>sách</w:t>
      </w:r>
      <w:proofErr w:type="spellEnd"/>
      <w:r w:rsidRPr="001001C4">
        <w:rPr>
          <w:rFonts w:ascii="Times New Roman" w:hAnsi="Times New Roman"/>
          <w:sz w:val="24"/>
          <w:szCs w:val="24"/>
        </w:rPr>
        <w:t xml:space="preserve"> </w:t>
      </w:r>
      <w:proofErr w:type="spellStart"/>
      <w:r w:rsidRPr="001001C4">
        <w:rPr>
          <w:rFonts w:ascii="Times New Roman" w:hAnsi="Times New Roman"/>
          <w:sz w:val="24"/>
          <w:szCs w:val="24"/>
        </w:rPr>
        <w:t>tháo</w:t>
      </w:r>
      <w:proofErr w:type="spellEnd"/>
      <w:r w:rsidRPr="001001C4">
        <w:rPr>
          <w:rFonts w:ascii="Times New Roman" w:hAnsi="Times New Roman"/>
          <w:sz w:val="24"/>
          <w:szCs w:val="24"/>
        </w:rPr>
        <w:t xml:space="preserve"> </w:t>
      </w:r>
      <w:proofErr w:type="spellStart"/>
      <w:r w:rsidRPr="001001C4">
        <w:rPr>
          <w:rFonts w:ascii="Times New Roman" w:hAnsi="Times New Roman"/>
          <w:sz w:val="24"/>
          <w:szCs w:val="24"/>
        </w:rPr>
        <w:t>gỡ</w:t>
      </w:r>
      <w:proofErr w:type="spellEnd"/>
      <w:r w:rsidRPr="001001C4">
        <w:rPr>
          <w:rFonts w:ascii="Times New Roman" w:hAnsi="Times New Roman"/>
          <w:sz w:val="24"/>
          <w:szCs w:val="24"/>
        </w:rPr>
        <w:t xml:space="preserve"> </w:t>
      </w:r>
      <w:proofErr w:type="spellStart"/>
      <w:r w:rsidRPr="001001C4">
        <w:rPr>
          <w:rFonts w:ascii="Times New Roman" w:hAnsi="Times New Roman"/>
          <w:sz w:val="24"/>
          <w:szCs w:val="24"/>
        </w:rPr>
        <w:t>khó</w:t>
      </w:r>
      <w:proofErr w:type="spellEnd"/>
      <w:r w:rsidRPr="001001C4">
        <w:rPr>
          <w:rFonts w:ascii="Times New Roman" w:hAnsi="Times New Roman"/>
          <w:sz w:val="24"/>
          <w:szCs w:val="24"/>
        </w:rPr>
        <w:t xml:space="preserve"> </w:t>
      </w:r>
      <w:proofErr w:type="spellStart"/>
      <w:r w:rsidRPr="001001C4">
        <w:rPr>
          <w:rFonts w:ascii="Times New Roman" w:hAnsi="Times New Roman"/>
          <w:sz w:val="24"/>
          <w:szCs w:val="24"/>
        </w:rPr>
        <w:t>khăn</w:t>
      </w:r>
      <w:proofErr w:type="spellEnd"/>
      <w:r w:rsidRPr="001001C4">
        <w:rPr>
          <w:rFonts w:ascii="Times New Roman" w:hAnsi="Times New Roman"/>
          <w:sz w:val="24"/>
          <w:szCs w:val="24"/>
        </w:rPr>
        <w:t xml:space="preserve"> </w:t>
      </w:r>
      <w:proofErr w:type="spellStart"/>
      <w:r w:rsidRPr="001001C4">
        <w:rPr>
          <w:rFonts w:ascii="Times New Roman" w:hAnsi="Times New Roman"/>
          <w:sz w:val="24"/>
          <w:szCs w:val="24"/>
        </w:rPr>
        <w:t>của</w:t>
      </w:r>
      <w:proofErr w:type="spellEnd"/>
      <w:r w:rsidRPr="001001C4">
        <w:rPr>
          <w:rFonts w:ascii="Times New Roman" w:hAnsi="Times New Roman"/>
          <w:sz w:val="24"/>
          <w:szCs w:val="24"/>
        </w:rPr>
        <w:t xml:space="preserve"> </w:t>
      </w:r>
      <w:proofErr w:type="spellStart"/>
      <w:r w:rsidRPr="001001C4">
        <w:rPr>
          <w:rFonts w:ascii="Times New Roman" w:hAnsi="Times New Roman"/>
          <w:sz w:val="24"/>
          <w:szCs w:val="24"/>
        </w:rPr>
        <w:t>Chính</w:t>
      </w:r>
      <w:proofErr w:type="spellEnd"/>
      <w:r w:rsidRPr="001001C4">
        <w:rPr>
          <w:rFonts w:ascii="Times New Roman" w:hAnsi="Times New Roman"/>
          <w:sz w:val="24"/>
          <w:szCs w:val="24"/>
        </w:rPr>
        <w:t xml:space="preserve"> </w:t>
      </w:r>
      <w:proofErr w:type="spellStart"/>
      <w:r w:rsidRPr="001001C4">
        <w:rPr>
          <w:rFonts w:ascii="Times New Roman" w:hAnsi="Times New Roman"/>
          <w:sz w:val="24"/>
          <w:szCs w:val="24"/>
        </w:rPr>
        <w:t>phủ</w:t>
      </w:r>
      <w:proofErr w:type="spellEnd"/>
      <w:r w:rsidRPr="001001C4">
        <w:rPr>
          <w:rFonts w:ascii="Times New Roman" w:hAnsi="Times New Roman"/>
          <w:sz w:val="24"/>
          <w:szCs w:val="24"/>
        </w:rPr>
        <w:t>.</w:t>
      </w:r>
    </w:p>
    <w:p w14:paraId="2B2FE005" w14:textId="394A1AD2" w:rsidR="00790868" w:rsidRPr="001001C4" w:rsidRDefault="00C321CD" w:rsidP="00C321CD">
      <w:pPr>
        <w:pStyle w:val="ListParagraph"/>
        <w:numPr>
          <w:ilvl w:val="0"/>
          <w:numId w:val="10"/>
        </w:numPr>
        <w:ind w:left="993" w:hanging="219"/>
        <w:jc w:val="both"/>
      </w:pPr>
      <w:r w:rsidRPr="001001C4">
        <w:rPr>
          <w:rFonts w:ascii="Times New Roman" w:hAnsi="Times New Roman"/>
          <w:sz w:val="24"/>
          <w:szCs w:val="24"/>
        </w:rPr>
        <w:lastRenderedPageBreak/>
        <w:t xml:space="preserve">Hiệu </w:t>
      </w:r>
      <w:proofErr w:type="spellStart"/>
      <w:r w:rsidRPr="001001C4">
        <w:rPr>
          <w:rFonts w:ascii="Times New Roman" w:hAnsi="Times New Roman"/>
          <w:sz w:val="24"/>
          <w:szCs w:val="24"/>
        </w:rPr>
        <w:t>suất</w:t>
      </w:r>
      <w:proofErr w:type="spellEnd"/>
      <w:r w:rsidRPr="001001C4">
        <w:rPr>
          <w:rFonts w:ascii="Times New Roman" w:hAnsi="Times New Roman"/>
          <w:sz w:val="24"/>
          <w:szCs w:val="24"/>
        </w:rPr>
        <w:t xml:space="preserve"> </w:t>
      </w:r>
      <w:proofErr w:type="spellStart"/>
      <w:r w:rsidRPr="001001C4">
        <w:rPr>
          <w:rFonts w:ascii="Times New Roman" w:hAnsi="Times New Roman"/>
          <w:sz w:val="24"/>
          <w:szCs w:val="24"/>
        </w:rPr>
        <w:t>nhóm</w:t>
      </w:r>
      <w:proofErr w:type="spellEnd"/>
      <w:r w:rsidRPr="001001C4">
        <w:rPr>
          <w:rFonts w:ascii="Times New Roman" w:hAnsi="Times New Roman"/>
          <w:sz w:val="24"/>
          <w:szCs w:val="24"/>
        </w:rPr>
        <w:t xml:space="preserve"> </w:t>
      </w:r>
      <w:proofErr w:type="spellStart"/>
      <w:r w:rsidRPr="001001C4">
        <w:rPr>
          <w:rFonts w:ascii="Times New Roman" w:hAnsi="Times New Roman"/>
          <w:sz w:val="24"/>
          <w:szCs w:val="24"/>
        </w:rPr>
        <w:t>cổ</w:t>
      </w:r>
      <w:proofErr w:type="spellEnd"/>
      <w:r w:rsidRPr="001001C4">
        <w:rPr>
          <w:rFonts w:ascii="Times New Roman" w:hAnsi="Times New Roman"/>
          <w:sz w:val="24"/>
          <w:szCs w:val="24"/>
        </w:rPr>
        <w:t xml:space="preserve"> </w:t>
      </w:r>
      <w:proofErr w:type="spellStart"/>
      <w:r w:rsidRPr="001001C4">
        <w:rPr>
          <w:rFonts w:ascii="Times New Roman" w:hAnsi="Times New Roman"/>
          <w:sz w:val="24"/>
          <w:szCs w:val="24"/>
        </w:rPr>
        <w:t>phiếu</w:t>
      </w:r>
      <w:proofErr w:type="spellEnd"/>
      <w:r w:rsidRPr="001001C4">
        <w:rPr>
          <w:rFonts w:ascii="Times New Roman" w:hAnsi="Times New Roman"/>
          <w:sz w:val="24"/>
          <w:szCs w:val="24"/>
        </w:rPr>
        <w:t xml:space="preserve"> </w:t>
      </w:r>
      <w:proofErr w:type="spellStart"/>
      <w:r w:rsidRPr="001001C4">
        <w:rPr>
          <w:rFonts w:ascii="Times New Roman" w:hAnsi="Times New Roman"/>
          <w:sz w:val="24"/>
          <w:szCs w:val="24"/>
        </w:rPr>
        <w:t>dịch</w:t>
      </w:r>
      <w:proofErr w:type="spellEnd"/>
      <w:r w:rsidRPr="001001C4">
        <w:rPr>
          <w:rFonts w:ascii="Times New Roman" w:hAnsi="Times New Roman"/>
          <w:sz w:val="24"/>
          <w:szCs w:val="24"/>
        </w:rPr>
        <w:t xml:space="preserve"> </w:t>
      </w:r>
      <w:proofErr w:type="spellStart"/>
      <w:r w:rsidRPr="001001C4">
        <w:rPr>
          <w:rFonts w:ascii="Times New Roman" w:hAnsi="Times New Roman"/>
          <w:sz w:val="24"/>
          <w:szCs w:val="24"/>
        </w:rPr>
        <w:t>vụ</w:t>
      </w:r>
      <w:proofErr w:type="spellEnd"/>
      <w:r w:rsidRPr="001001C4">
        <w:rPr>
          <w:rFonts w:ascii="Times New Roman" w:hAnsi="Times New Roman"/>
          <w:sz w:val="24"/>
          <w:szCs w:val="24"/>
        </w:rPr>
        <w:t xml:space="preserve"> </w:t>
      </w:r>
      <w:proofErr w:type="spellStart"/>
      <w:r w:rsidRPr="001001C4">
        <w:rPr>
          <w:rFonts w:ascii="Times New Roman" w:hAnsi="Times New Roman"/>
          <w:sz w:val="24"/>
          <w:szCs w:val="24"/>
        </w:rPr>
        <w:t>công</w:t>
      </w:r>
      <w:proofErr w:type="spellEnd"/>
      <w:r w:rsidRPr="001001C4">
        <w:rPr>
          <w:rFonts w:ascii="Times New Roman" w:hAnsi="Times New Roman"/>
          <w:sz w:val="24"/>
          <w:szCs w:val="24"/>
        </w:rPr>
        <w:t xml:space="preserve"> </w:t>
      </w:r>
      <w:proofErr w:type="spellStart"/>
      <w:r w:rsidRPr="001001C4">
        <w:rPr>
          <w:rFonts w:ascii="Times New Roman" w:hAnsi="Times New Roman"/>
          <w:sz w:val="24"/>
          <w:szCs w:val="24"/>
        </w:rPr>
        <w:t>nghệ</w:t>
      </w:r>
      <w:proofErr w:type="spellEnd"/>
      <w:r w:rsidRPr="001001C4">
        <w:rPr>
          <w:rFonts w:ascii="Times New Roman" w:hAnsi="Times New Roman"/>
          <w:sz w:val="24"/>
          <w:szCs w:val="24"/>
        </w:rPr>
        <w:t xml:space="preserve"> </w:t>
      </w:r>
      <w:proofErr w:type="spellStart"/>
      <w:r w:rsidRPr="001001C4">
        <w:rPr>
          <w:rFonts w:ascii="Times New Roman" w:hAnsi="Times New Roman"/>
          <w:sz w:val="24"/>
          <w:szCs w:val="24"/>
        </w:rPr>
        <w:t>thông</w:t>
      </w:r>
      <w:proofErr w:type="spellEnd"/>
      <w:r w:rsidRPr="001001C4">
        <w:rPr>
          <w:rFonts w:ascii="Times New Roman" w:hAnsi="Times New Roman"/>
          <w:sz w:val="24"/>
          <w:szCs w:val="24"/>
        </w:rPr>
        <w:t xml:space="preserve"> tin </w:t>
      </w:r>
      <w:proofErr w:type="spellStart"/>
      <w:r w:rsidRPr="001001C4">
        <w:rPr>
          <w:rFonts w:ascii="Times New Roman" w:hAnsi="Times New Roman"/>
          <w:sz w:val="24"/>
          <w:szCs w:val="24"/>
        </w:rPr>
        <w:t>đạt</w:t>
      </w:r>
      <w:proofErr w:type="spellEnd"/>
      <w:r w:rsidRPr="001001C4">
        <w:rPr>
          <w:rFonts w:ascii="Times New Roman" w:hAnsi="Times New Roman"/>
          <w:sz w:val="24"/>
          <w:szCs w:val="24"/>
        </w:rPr>
        <w:t xml:space="preserve"> </w:t>
      </w:r>
      <w:proofErr w:type="spellStart"/>
      <w:r w:rsidRPr="001001C4">
        <w:rPr>
          <w:rFonts w:ascii="Times New Roman" w:hAnsi="Times New Roman"/>
          <w:sz w:val="24"/>
          <w:szCs w:val="24"/>
        </w:rPr>
        <w:t>mức</w:t>
      </w:r>
      <w:proofErr w:type="spellEnd"/>
      <w:r w:rsidRPr="001001C4">
        <w:rPr>
          <w:rFonts w:ascii="Times New Roman" w:hAnsi="Times New Roman"/>
          <w:sz w:val="24"/>
          <w:szCs w:val="24"/>
        </w:rPr>
        <w:t xml:space="preserve"> 50%, </w:t>
      </w:r>
      <w:proofErr w:type="spellStart"/>
      <w:r w:rsidRPr="001001C4">
        <w:rPr>
          <w:rFonts w:ascii="Times New Roman" w:hAnsi="Times New Roman"/>
          <w:sz w:val="24"/>
          <w:szCs w:val="24"/>
        </w:rPr>
        <w:t>thể</w:t>
      </w:r>
      <w:proofErr w:type="spellEnd"/>
      <w:r w:rsidRPr="001001C4">
        <w:rPr>
          <w:rFonts w:ascii="Times New Roman" w:hAnsi="Times New Roman"/>
          <w:sz w:val="24"/>
          <w:szCs w:val="24"/>
        </w:rPr>
        <w:t xml:space="preserve"> </w:t>
      </w:r>
      <w:proofErr w:type="spellStart"/>
      <w:r w:rsidRPr="001001C4">
        <w:rPr>
          <w:rFonts w:ascii="Times New Roman" w:hAnsi="Times New Roman"/>
          <w:sz w:val="24"/>
          <w:szCs w:val="24"/>
        </w:rPr>
        <w:t>hiện</w:t>
      </w:r>
      <w:proofErr w:type="spellEnd"/>
      <w:r w:rsidRPr="001001C4">
        <w:rPr>
          <w:rFonts w:ascii="Times New Roman" w:hAnsi="Times New Roman"/>
          <w:sz w:val="24"/>
          <w:szCs w:val="24"/>
        </w:rPr>
        <w:t xml:space="preserve"> </w:t>
      </w:r>
      <w:proofErr w:type="spellStart"/>
      <w:r w:rsidRPr="001001C4">
        <w:rPr>
          <w:rFonts w:ascii="Times New Roman" w:hAnsi="Times New Roman"/>
          <w:sz w:val="24"/>
          <w:szCs w:val="24"/>
        </w:rPr>
        <w:t>sự</w:t>
      </w:r>
      <w:proofErr w:type="spellEnd"/>
      <w:r w:rsidRPr="001001C4">
        <w:rPr>
          <w:rFonts w:ascii="Times New Roman" w:hAnsi="Times New Roman"/>
          <w:sz w:val="24"/>
          <w:szCs w:val="24"/>
        </w:rPr>
        <w:t xml:space="preserve"> </w:t>
      </w:r>
      <w:proofErr w:type="spellStart"/>
      <w:r w:rsidRPr="001001C4">
        <w:rPr>
          <w:rFonts w:ascii="Times New Roman" w:hAnsi="Times New Roman"/>
          <w:sz w:val="24"/>
          <w:szCs w:val="24"/>
        </w:rPr>
        <w:t>lạc</w:t>
      </w:r>
      <w:proofErr w:type="spellEnd"/>
      <w:r w:rsidRPr="001001C4">
        <w:rPr>
          <w:rFonts w:ascii="Times New Roman" w:hAnsi="Times New Roman"/>
          <w:sz w:val="24"/>
          <w:szCs w:val="24"/>
        </w:rPr>
        <w:t xml:space="preserve"> </w:t>
      </w:r>
      <w:proofErr w:type="spellStart"/>
      <w:r w:rsidRPr="001001C4">
        <w:rPr>
          <w:rFonts w:ascii="Times New Roman" w:hAnsi="Times New Roman"/>
          <w:sz w:val="24"/>
          <w:szCs w:val="24"/>
        </w:rPr>
        <w:t>quan</w:t>
      </w:r>
      <w:proofErr w:type="spellEnd"/>
      <w:r w:rsidRPr="001001C4">
        <w:rPr>
          <w:rFonts w:ascii="Times New Roman" w:hAnsi="Times New Roman"/>
          <w:sz w:val="24"/>
          <w:szCs w:val="24"/>
        </w:rPr>
        <w:t xml:space="preserve"> </w:t>
      </w:r>
      <w:proofErr w:type="spellStart"/>
      <w:r w:rsidRPr="001001C4">
        <w:rPr>
          <w:rFonts w:ascii="Times New Roman" w:hAnsi="Times New Roman"/>
          <w:sz w:val="24"/>
          <w:szCs w:val="24"/>
        </w:rPr>
        <w:t>vào</w:t>
      </w:r>
      <w:proofErr w:type="spellEnd"/>
      <w:r w:rsidRPr="001001C4">
        <w:rPr>
          <w:rFonts w:ascii="Times New Roman" w:hAnsi="Times New Roman"/>
          <w:sz w:val="24"/>
          <w:szCs w:val="24"/>
        </w:rPr>
        <w:t xml:space="preserve"> </w:t>
      </w:r>
      <w:proofErr w:type="spellStart"/>
      <w:r w:rsidRPr="001001C4">
        <w:rPr>
          <w:rFonts w:ascii="Times New Roman" w:hAnsi="Times New Roman"/>
          <w:sz w:val="24"/>
          <w:szCs w:val="24"/>
        </w:rPr>
        <w:t>triển</w:t>
      </w:r>
      <w:proofErr w:type="spellEnd"/>
      <w:r w:rsidRPr="001001C4">
        <w:rPr>
          <w:rFonts w:ascii="Times New Roman" w:hAnsi="Times New Roman"/>
          <w:sz w:val="24"/>
          <w:szCs w:val="24"/>
        </w:rPr>
        <w:t xml:space="preserve"> </w:t>
      </w:r>
      <w:proofErr w:type="spellStart"/>
      <w:r w:rsidRPr="001001C4">
        <w:rPr>
          <w:rFonts w:ascii="Times New Roman" w:hAnsi="Times New Roman"/>
          <w:sz w:val="24"/>
          <w:szCs w:val="24"/>
        </w:rPr>
        <w:t>vọng</w:t>
      </w:r>
      <w:proofErr w:type="spellEnd"/>
      <w:r w:rsidRPr="001001C4">
        <w:rPr>
          <w:rFonts w:ascii="Times New Roman" w:hAnsi="Times New Roman"/>
          <w:sz w:val="24"/>
          <w:szCs w:val="24"/>
        </w:rPr>
        <w:t xml:space="preserve"> </w:t>
      </w:r>
      <w:proofErr w:type="spellStart"/>
      <w:r w:rsidRPr="001001C4">
        <w:rPr>
          <w:rFonts w:ascii="Times New Roman" w:hAnsi="Times New Roman"/>
          <w:sz w:val="24"/>
          <w:szCs w:val="24"/>
        </w:rPr>
        <w:t>của</w:t>
      </w:r>
      <w:proofErr w:type="spellEnd"/>
      <w:r w:rsidRPr="001001C4">
        <w:rPr>
          <w:rFonts w:ascii="Times New Roman" w:hAnsi="Times New Roman"/>
          <w:sz w:val="24"/>
          <w:szCs w:val="24"/>
        </w:rPr>
        <w:t xml:space="preserve"> Việt Nam </w:t>
      </w:r>
      <w:proofErr w:type="spellStart"/>
      <w:r w:rsidRPr="001001C4">
        <w:rPr>
          <w:rFonts w:ascii="Times New Roman" w:hAnsi="Times New Roman"/>
          <w:sz w:val="24"/>
          <w:szCs w:val="24"/>
        </w:rPr>
        <w:t>đối</w:t>
      </w:r>
      <w:proofErr w:type="spellEnd"/>
      <w:r w:rsidRPr="001001C4">
        <w:rPr>
          <w:rFonts w:ascii="Times New Roman" w:hAnsi="Times New Roman"/>
          <w:sz w:val="24"/>
          <w:szCs w:val="24"/>
        </w:rPr>
        <w:t xml:space="preserve"> </w:t>
      </w:r>
      <w:proofErr w:type="spellStart"/>
      <w:r w:rsidRPr="001001C4">
        <w:rPr>
          <w:rFonts w:ascii="Times New Roman" w:hAnsi="Times New Roman"/>
          <w:sz w:val="24"/>
          <w:szCs w:val="24"/>
        </w:rPr>
        <w:t>với</w:t>
      </w:r>
      <w:proofErr w:type="spellEnd"/>
      <w:r w:rsidRPr="001001C4">
        <w:rPr>
          <w:rFonts w:ascii="Times New Roman" w:hAnsi="Times New Roman"/>
          <w:sz w:val="24"/>
          <w:szCs w:val="24"/>
        </w:rPr>
        <w:t xml:space="preserve"> </w:t>
      </w:r>
      <w:proofErr w:type="spellStart"/>
      <w:r w:rsidRPr="001001C4">
        <w:rPr>
          <w:rFonts w:ascii="Times New Roman" w:hAnsi="Times New Roman"/>
          <w:sz w:val="24"/>
          <w:szCs w:val="24"/>
        </w:rPr>
        <w:t>ngành</w:t>
      </w:r>
      <w:proofErr w:type="spellEnd"/>
      <w:r w:rsidRPr="001001C4">
        <w:rPr>
          <w:rFonts w:ascii="Times New Roman" w:hAnsi="Times New Roman"/>
          <w:sz w:val="24"/>
          <w:szCs w:val="24"/>
        </w:rPr>
        <w:t xml:space="preserve"> </w:t>
      </w:r>
      <w:proofErr w:type="spellStart"/>
      <w:r w:rsidRPr="001001C4">
        <w:rPr>
          <w:rFonts w:ascii="Times New Roman" w:hAnsi="Times New Roman"/>
          <w:sz w:val="24"/>
          <w:szCs w:val="24"/>
        </w:rPr>
        <w:t>công</w:t>
      </w:r>
      <w:proofErr w:type="spellEnd"/>
      <w:r w:rsidRPr="001001C4">
        <w:rPr>
          <w:rFonts w:ascii="Times New Roman" w:hAnsi="Times New Roman"/>
          <w:sz w:val="24"/>
          <w:szCs w:val="24"/>
        </w:rPr>
        <w:t xml:space="preserve"> </w:t>
      </w:r>
      <w:proofErr w:type="spellStart"/>
      <w:r w:rsidRPr="001001C4">
        <w:rPr>
          <w:rFonts w:ascii="Times New Roman" w:hAnsi="Times New Roman"/>
          <w:sz w:val="24"/>
          <w:szCs w:val="24"/>
        </w:rPr>
        <w:t>nghiệp</w:t>
      </w:r>
      <w:proofErr w:type="spellEnd"/>
      <w:r w:rsidRPr="001001C4">
        <w:rPr>
          <w:rFonts w:ascii="Times New Roman" w:hAnsi="Times New Roman"/>
          <w:sz w:val="24"/>
          <w:szCs w:val="24"/>
        </w:rPr>
        <w:t xml:space="preserve"> </w:t>
      </w:r>
      <w:proofErr w:type="spellStart"/>
      <w:r w:rsidRPr="001001C4">
        <w:rPr>
          <w:rFonts w:ascii="Times New Roman" w:hAnsi="Times New Roman"/>
          <w:sz w:val="24"/>
          <w:szCs w:val="24"/>
        </w:rPr>
        <w:t>bán</w:t>
      </w:r>
      <w:proofErr w:type="spellEnd"/>
      <w:r w:rsidRPr="001001C4">
        <w:rPr>
          <w:rFonts w:ascii="Times New Roman" w:hAnsi="Times New Roman"/>
          <w:sz w:val="24"/>
          <w:szCs w:val="24"/>
        </w:rPr>
        <w:t xml:space="preserve"> </w:t>
      </w:r>
      <w:proofErr w:type="spellStart"/>
      <w:r w:rsidRPr="001001C4">
        <w:rPr>
          <w:rFonts w:ascii="Times New Roman" w:hAnsi="Times New Roman"/>
          <w:sz w:val="24"/>
          <w:szCs w:val="24"/>
        </w:rPr>
        <w:t>dẫn</w:t>
      </w:r>
      <w:proofErr w:type="spellEnd"/>
      <w:r w:rsidRPr="001001C4">
        <w:rPr>
          <w:rFonts w:ascii="Times New Roman" w:hAnsi="Times New Roman"/>
          <w:sz w:val="24"/>
          <w:szCs w:val="24"/>
        </w:rPr>
        <w:t xml:space="preserve"> </w:t>
      </w:r>
      <w:proofErr w:type="spellStart"/>
      <w:r w:rsidRPr="001001C4">
        <w:rPr>
          <w:rFonts w:ascii="Times New Roman" w:hAnsi="Times New Roman"/>
          <w:sz w:val="24"/>
          <w:szCs w:val="24"/>
        </w:rPr>
        <w:t>và</w:t>
      </w:r>
      <w:proofErr w:type="spellEnd"/>
      <w:r w:rsidRPr="001001C4">
        <w:rPr>
          <w:rFonts w:ascii="Times New Roman" w:hAnsi="Times New Roman"/>
          <w:sz w:val="24"/>
          <w:szCs w:val="24"/>
        </w:rPr>
        <w:t xml:space="preserve"> </w:t>
      </w:r>
      <w:proofErr w:type="spellStart"/>
      <w:r w:rsidRPr="001001C4">
        <w:rPr>
          <w:rFonts w:ascii="Times New Roman" w:hAnsi="Times New Roman"/>
          <w:sz w:val="24"/>
          <w:szCs w:val="24"/>
        </w:rPr>
        <w:t>trí</w:t>
      </w:r>
      <w:proofErr w:type="spellEnd"/>
      <w:r w:rsidRPr="001001C4">
        <w:rPr>
          <w:rFonts w:ascii="Times New Roman" w:hAnsi="Times New Roman"/>
          <w:sz w:val="24"/>
          <w:szCs w:val="24"/>
        </w:rPr>
        <w:t xml:space="preserve"> </w:t>
      </w:r>
      <w:proofErr w:type="spellStart"/>
      <w:r w:rsidRPr="001001C4">
        <w:rPr>
          <w:rFonts w:ascii="Times New Roman" w:hAnsi="Times New Roman"/>
          <w:sz w:val="24"/>
          <w:szCs w:val="24"/>
        </w:rPr>
        <w:t>tuệ</w:t>
      </w:r>
      <w:proofErr w:type="spellEnd"/>
      <w:r w:rsidRPr="001001C4">
        <w:rPr>
          <w:rFonts w:ascii="Times New Roman" w:hAnsi="Times New Roman"/>
          <w:sz w:val="24"/>
          <w:szCs w:val="24"/>
        </w:rPr>
        <w:t xml:space="preserve"> </w:t>
      </w:r>
      <w:proofErr w:type="spellStart"/>
      <w:r w:rsidRPr="001001C4">
        <w:rPr>
          <w:rFonts w:ascii="Times New Roman" w:hAnsi="Times New Roman"/>
          <w:sz w:val="24"/>
          <w:szCs w:val="24"/>
        </w:rPr>
        <w:t>nhân</w:t>
      </w:r>
      <w:proofErr w:type="spellEnd"/>
      <w:r w:rsidRPr="001001C4">
        <w:rPr>
          <w:rFonts w:ascii="Times New Roman" w:hAnsi="Times New Roman"/>
          <w:sz w:val="24"/>
          <w:szCs w:val="24"/>
        </w:rPr>
        <w:t xml:space="preserve"> </w:t>
      </w:r>
      <w:proofErr w:type="spellStart"/>
      <w:r w:rsidRPr="001001C4">
        <w:rPr>
          <w:rFonts w:ascii="Times New Roman" w:hAnsi="Times New Roman"/>
          <w:sz w:val="24"/>
          <w:szCs w:val="24"/>
        </w:rPr>
        <w:t>tạo</w:t>
      </w:r>
      <w:proofErr w:type="spellEnd"/>
      <w:r w:rsidRPr="001001C4">
        <w:rPr>
          <w:rFonts w:ascii="Times New Roman" w:hAnsi="Times New Roman"/>
          <w:sz w:val="24"/>
          <w:szCs w:val="24"/>
        </w:rPr>
        <w:t>.</w:t>
      </w:r>
    </w:p>
    <w:p w14:paraId="68AEFC0F" w14:textId="77777777" w:rsidR="008C5367" w:rsidRPr="00381192" w:rsidRDefault="008C5367" w:rsidP="008C5367">
      <w:pPr>
        <w:tabs>
          <w:tab w:val="left" w:pos="540"/>
        </w:tabs>
        <w:spacing w:line="252" w:lineRule="auto"/>
        <w:ind w:left="567"/>
        <w:jc w:val="both"/>
        <w:rPr>
          <w:highlight w:val="yellow"/>
          <w:lang w:val="nl-NL"/>
        </w:rPr>
      </w:pPr>
    </w:p>
    <w:p w14:paraId="269465D7" w14:textId="2FE85CD9" w:rsidR="007922E7" w:rsidRPr="00381192" w:rsidRDefault="00790868" w:rsidP="00790868">
      <w:pPr>
        <w:pStyle w:val="ListParagraph"/>
        <w:numPr>
          <w:ilvl w:val="0"/>
          <w:numId w:val="1"/>
        </w:numPr>
        <w:shd w:val="clear" w:color="auto" w:fill="FFFFFF"/>
        <w:tabs>
          <w:tab w:val="left" w:pos="540"/>
        </w:tabs>
        <w:spacing w:after="0"/>
        <w:ind w:left="284"/>
        <w:rPr>
          <w:rFonts w:ascii="Times New Roman" w:hAnsi="Times New Roman"/>
          <w:b/>
          <w:sz w:val="24"/>
          <w:szCs w:val="24"/>
          <w:lang w:val="nl-NL"/>
        </w:rPr>
      </w:pPr>
      <w:r>
        <w:rPr>
          <w:rFonts w:ascii="Times New Roman" w:hAnsi="Times New Roman"/>
          <w:b/>
          <w:sz w:val="24"/>
          <w:szCs w:val="24"/>
          <w:lang w:val="nl-NL"/>
        </w:rPr>
        <w:t xml:space="preserve"> </w:t>
      </w:r>
      <w:r w:rsidRPr="00381192">
        <w:rPr>
          <w:rFonts w:ascii="Times New Roman" w:hAnsi="Times New Roman"/>
          <w:b/>
          <w:sz w:val="24"/>
          <w:szCs w:val="24"/>
          <w:lang w:val="nl-NL"/>
        </w:rPr>
        <w:t>CHI TIẾT CÁC CHỈ TIÊU HOẠT ĐỘNG CỦA QUỸ</w:t>
      </w:r>
    </w:p>
    <w:p w14:paraId="5C05B3CC" w14:textId="189EDAA2" w:rsidR="007922E7" w:rsidRDefault="00790868" w:rsidP="00790868">
      <w:pPr>
        <w:pStyle w:val="ListParagraph"/>
        <w:numPr>
          <w:ilvl w:val="1"/>
          <w:numId w:val="1"/>
        </w:numPr>
        <w:shd w:val="clear" w:color="auto" w:fill="FFFFFF"/>
        <w:tabs>
          <w:tab w:val="left" w:pos="540"/>
        </w:tabs>
        <w:spacing w:after="0"/>
        <w:rPr>
          <w:rFonts w:ascii="Times New Roman" w:hAnsi="Times New Roman"/>
          <w:b/>
          <w:sz w:val="24"/>
          <w:szCs w:val="24"/>
          <w:lang w:val="nl-NL"/>
        </w:rPr>
      </w:pPr>
      <w:r>
        <w:rPr>
          <w:rFonts w:ascii="Times New Roman" w:hAnsi="Times New Roman"/>
          <w:b/>
          <w:sz w:val="24"/>
          <w:szCs w:val="24"/>
          <w:lang w:val="nl-NL"/>
        </w:rPr>
        <w:t xml:space="preserve"> </w:t>
      </w:r>
      <w:r w:rsidR="007922E7" w:rsidRPr="00381192">
        <w:rPr>
          <w:rFonts w:ascii="Times New Roman" w:hAnsi="Times New Roman"/>
          <w:b/>
          <w:sz w:val="24"/>
          <w:szCs w:val="24"/>
          <w:lang w:val="nl-NL"/>
        </w:rPr>
        <w:t>Số liệu chi tiết hoạt động của Quỹ</w:t>
      </w:r>
    </w:p>
    <w:p w14:paraId="21362E34" w14:textId="77777777" w:rsidR="00790868" w:rsidRPr="00381192" w:rsidRDefault="00790868" w:rsidP="00790868">
      <w:pPr>
        <w:pStyle w:val="ListParagraph"/>
        <w:shd w:val="clear" w:color="auto" w:fill="FFFFFF"/>
        <w:tabs>
          <w:tab w:val="left" w:pos="540"/>
        </w:tabs>
        <w:spacing w:after="0"/>
        <w:rPr>
          <w:rFonts w:ascii="Times New Roman" w:hAnsi="Times New Roman"/>
          <w:b/>
          <w:sz w:val="24"/>
          <w:szCs w:val="24"/>
          <w:lang w:val="nl-NL"/>
        </w:rPr>
      </w:pPr>
    </w:p>
    <w:tbl>
      <w:tblP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9"/>
        <w:gridCol w:w="2351"/>
        <w:gridCol w:w="2468"/>
        <w:gridCol w:w="2032"/>
      </w:tblGrid>
      <w:tr w:rsidR="009175E1" w:rsidRPr="00381192" w14:paraId="661D9C1E" w14:textId="77777777" w:rsidTr="00790868">
        <w:trPr>
          <w:trHeight w:val="855"/>
        </w:trPr>
        <w:tc>
          <w:tcPr>
            <w:tcW w:w="2689" w:type="dxa"/>
            <w:shd w:val="clear" w:color="auto" w:fill="auto"/>
            <w:vAlign w:val="center"/>
            <w:hideMark/>
          </w:tcPr>
          <w:p w14:paraId="55C64B1F" w14:textId="77777777" w:rsidR="001A3514" w:rsidRPr="00381192" w:rsidRDefault="001A3514" w:rsidP="00381192">
            <w:pPr>
              <w:jc w:val="center"/>
              <w:rPr>
                <w:b/>
                <w:bCs/>
              </w:rPr>
            </w:pPr>
            <w:proofErr w:type="spellStart"/>
            <w:r w:rsidRPr="00381192">
              <w:rPr>
                <w:b/>
                <w:bCs/>
              </w:rPr>
              <w:t>Chỉ</w:t>
            </w:r>
            <w:proofErr w:type="spellEnd"/>
            <w:r w:rsidRPr="00381192">
              <w:rPr>
                <w:b/>
                <w:bCs/>
              </w:rPr>
              <w:t xml:space="preserve"> </w:t>
            </w:r>
            <w:proofErr w:type="spellStart"/>
            <w:r w:rsidRPr="00381192">
              <w:rPr>
                <w:b/>
                <w:bCs/>
              </w:rPr>
              <w:t>tiêu</w:t>
            </w:r>
            <w:proofErr w:type="spellEnd"/>
          </w:p>
        </w:tc>
        <w:tc>
          <w:tcPr>
            <w:tcW w:w="2351" w:type="dxa"/>
            <w:shd w:val="clear" w:color="auto" w:fill="auto"/>
            <w:vAlign w:val="center"/>
            <w:hideMark/>
          </w:tcPr>
          <w:p w14:paraId="333CD973" w14:textId="77777777" w:rsidR="001A3514" w:rsidRPr="00381192" w:rsidRDefault="001A3514" w:rsidP="00381192">
            <w:pPr>
              <w:jc w:val="center"/>
              <w:rPr>
                <w:b/>
                <w:bCs/>
              </w:rPr>
            </w:pPr>
            <w:r w:rsidRPr="00381192">
              <w:rPr>
                <w:b/>
                <w:bCs/>
              </w:rPr>
              <w:t xml:space="preserve">1 </w:t>
            </w:r>
            <w:proofErr w:type="spellStart"/>
            <w:r w:rsidRPr="00381192">
              <w:rPr>
                <w:b/>
                <w:bCs/>
              </w:rPr>
              <w:t>năm</w:t>
            </w:r>
            <w:proofErr w:type="spellEnd"/>
            <w:r w:rsidRPr="00381192">
              <w:rPr>
                <w:b/>
                <w:bCs/>
              </w:rPr>
              <w:t xml:space="preserve"> </w:t>
            </w:r>
            <w:proofErr w:type="spellStart"/>
            <w:r w:rsidRPr="00381192">
              <w:rPr>
                <w:b/>
                <w:bCs/>
              </w:rPr>
              <w:t>đến</w:t>
            </w:r>
            <w:proofErr w:type="spellEnd"/>
            <w:r w:rsidRPr="00381192">
              <w:rPr>
                <w:b/>
                <w:bCs/>
              </w:rPr>
              <w:t xml:space="preserve"> </w:t>
            </w:r>
            <w:proofErr w:type="spellStart"/>
            <w:r w:rsidRPr="00381192">
              <w:rPr>
                <w:b/>
                <w:bCs/>
              </w:rPr>
              <w:t>thời</w:t>
            </w:r>
            <w:proofErr w:type="spellEnd"/>
            <w:r w:rsidRPr="00381192">
              <w:rPr>
                <w:b/>
                <w:bCs/>
              </w:rPr>
              <w:t xml:space="preserve"> </w:t>
            </w:r>
            <w:proofErr w:type="spellStart"/>
            <w:r w:rsidRPr="00381192">
              <w:rPr>
                <w:b/>
                <w:bCs/>
              </w:rPr>
              <w:t>điểm</w:t>
            </w:r>
            <w:proofErr w:type="spellEnd"/>
            <w:r w:rsidRPr="00381192">
              <w:rPr>
                <w:b/>
                <w:bCs/>
              </w:rPr>
              <w:t xml:space="preserve"> </w:t>
            </w:r>
            <w:proofErr w:type="spellStart"/>
            <w:r w:rsidRPr="00381192">
              <w:rPr>
                <w:b/>
                <w:bCs/>
              </w:rPr>
              <w:t>báo</w:t>
            </w:r>
            <w:proofErr w:type="spellEnd"/>
            <w:r w:rsidRPr="00381192">
              <w:rPr>
                <w:b/>
                <w:bCs/>
              </w:rPr>
              <w:t xml:space="preserve"> </w:t>
            </w:r>
            <w:proofErr w:type="spellStart"/>
            <w:r w:rsidRPr="00381192">
              <w:rPr>
                <w:b/>
                <w:bCs/>
              </w:rPr>
              <w:t>cáo</w:t>
            </w:r>
            <w:proofErr w:type="spellEnd"/>
            <w:r w:rsidRPr="00381192">
              <w:rPr>
                <w:b/>
                <w:bCs/>
              </w:rPr>
              <w:t xml:space="preserve"> (%)</w:t>
            </w:r>
          </w:p>
        </w:tc>
        <w:tc>
          <w:tcPr>
            <w:tcW w:w="2468" w:type="dxa"/>
            <w:shd w:val="clear" w:color="auto" w:fill="auto"/>
            <w:vAlign w:val="center"/>
            <w:hideMark/>
          </w:tcPr>
          <w:p w14:paraId="406EEDEA" w14:textId="77777777" w:rsidR="001A3514" w:rsidRPr="00381192" w:rsidRDefault="001A3514" w:rsidP="00381192">
            <w:pPr>
              <w:jc w:val="center"/>
              <w:rPr>
                <w:b/>
                <w:bCs/>
              </w:rPr>
            </w:pPr>
            <w:r w:rsidRPr="00381192">
              <w:rPr>
                <w:b/>
                <w:bCs/>
              </w:rPr>
              <w:t xml:space="preserve">3 </w:t>
            </w:r>
            <w:proofErr w:type="spellStart"/>
            <w:r w:rsidRPr="00381192">
              <w:rPr>
                <w:b/>
                <w:bCs/>
              </w:rPr>
              <w:t>năm</w:t>
            </w:r>
            <w:proofErr w:type="spellEnd"/>
            <w:r w:rsidRPr="00381192">
              <w:rPr>
                <w:b/>
                <w:bCs/>
              </w:rPr>
              <w:t xml:space="preserve"> </w:t>
            </w:r>
            <w:proofErr w:type="spellStart"/>
            <w:r w:rsidRPr="00381192">
              <w:rPr>
                <w:b/>
                <w:bCs/>
              </w:rPr>
              <w:t>gần</w:t>
            </w:r>
            <w:proofErr w:type="spellEnd"/>
            <w:r w:rsidRPr="00381192">
              <w:rPr>
                <w:b/>
                <w:bCs/>
              </w:rPr>
              <w:t xml:space="preserve"> </w:t>
            </w:r>
            <w:proofErr w:type="spellStart"/>
            <w:r w:rsidRPr="00381192">
              <w:rPr>
                <w:b/>
                <w:bCs/>
              </w:rPr>
              <w:t>nhất</w:t>
            </w:r>
            <w:proofErr w:type="spellEnd"/>
            <w:r w:rsidRPr="00381192">
              <w:rPr>
                <w:b/>
                <w:bCs/>
              </w:rPr>
              <w:t xml:space="preserve"> </w:t>
            </w:r>
            <w:proofErr w:type="spellStart"/>
            <w:r w:rsidRPr="00381192">
              <w:rPr>
                <w:b/>
                <w:bCs/>
              </w:rPr>
              <w:t>tính</w:t>
            </w:r>
            <w:proofErr w:type="spellEnd"/>
            <w:r w:rsidRPr="00381192">
              <w:rPr>
                <w:b/>
                <w:bCs/>
              </w:rPr>
              <w:t xml:space="preserve"> </w:t>
            </w:r>
            <w:proofErr w:type="spellStart"/>
            <w:r w:rsidRPr="00381192">
              <w:rPr>
                <w:b/>
                <w:bCs/>
              </w:rPr>
              <w:t>đến</w:t>
            </w:r>
            <w:proofErr w:type="spellEnd"/>
            <w:r w:rsidRPr="00381192">
              <w:rPr>
                <w:b/>
                <w:bCs/>
              </w:rPr>
              <w:t xml:space="preserve"> </w:t>
            </w:r>
            <w:proofErr w:type="spellStart"/>
            <w:r w:rsidRPr="00381192">
              <w:rPr>
                <w:b/>
                <w:bCs/>
              </w:rPr>
              <w:t>thời</w:t>
            </w:r>
            <w:proofErr w:type="spellEnd"/>
            <w:r w:rsidRPr="00381192">
              <w:rPr>
                <w:b/>
                <w:bCs/>
              </w:rPr>
              <w:t xml:space="preserve"> </w:t>
            </w:r>
            <w:proofErr w:type="spellStart"/>
            <w:r w:rsidRPr="00381192">
              <w:rPr>
                <w:b/>
                <w:bCs/>
              </w:rPr>
              <w:t>điểm</w:t>
            </w:r>
            <w:proofErr w:type="spellEnd"/>
            <w:r w:rsidRPr="00381192">
              <w:rPr>
                <w:b/>
                <w:bCs/>
              </w:rPr>
              <w:t xml:space="preserve"> </w:t>
            </w:r>
            <w:proofErr w:type="spellStart"/>
            <w:r w:rsidRPr="00381192">
              <w:rPr>
                <w:b/>
                <w:bCs/>
              </w:rPr>
              <w:t>báo</w:t>
            </w:r>
            <w:proofErr w:type="spellEnd"/>
            <w:r w:rsidRPr="00381192">
              <w:rPr>
                <w:b/>
                <w:bCs/>
              </w:rPr>
              <w:t xml:space="preserve"> </w:t>
            </w:r>
            <w:proofErr w:type="spellStart"/>
            <w:r w:rsidRPr="00381192">
              <w:rPr>
                <w:b/>
                <w:bCs/>
              </w:rPr>
              <w:t>cáo</w:t>
            </w:r>
            <w:proofErr w:type="spellEnd"/>
            <w:r w:rsidRPr="00381192">
              <w:rPr>
                <w:b/>
                <w:bCs/>
              </w:rPr>
              <w:t xml:space="preserve"> (%)</w:t>
            </w:r>
          </w:p>
        </w:tc>
        <w:tc>
          <w:tcPr>
            <w:tcW w:w="2032" w:type="dxa"/>
            <w:shd w:val="clear" w:color="auto" w:fill="auto"/>
            <w:vAlign w:val="center"/>
            <w:hideMark/>
          </w:tcPr>
          <w:p w14:paraId="7AA9FB60" w14:textId="77777777" w:rsidR="001A3514" w:rsidRPr="00381192" w:rsidRDefault="001A3514" w:rsidP="00381192">
            <w:pPr>
              <w:jc w:val="center"/>
              <w:rPr>
                <w:b/>
                <w:bCs/>
              </w:rPr>
            </w:pPr>
            <w:proofErr w:type="spellStart"/>
            <w:r w:rsidRPr="00381192">
              <w:rPr>
                <w:b/>
                <w:bCs/>
              </w:rPr>
              <w:t>Từ</w:t>
            </w:r>
            <w:proofErr w:type="spellEnd"/>
            <w:r w:rsidRPr="00381192">
              <w:rPr>
                <w:b/>
                <w:bCs/>
              </w:rPr>
              <w:t xml:space="preserve"> </w:t>
            </w:r>
            <w:proofErr w:type="spellStart"/>
            <w:r w:rsidRPr="00381192">
              <w:rPr>
                <w:b/>
                <w:bCs/>
              </w:rPr>
              <w:t>khi</w:t>
            </w:r>
            <w:proofErr w:type="spellEnd"/>
            <w:r w:rsidRPr="00381192">
              <w:rPr>
                <w:b/>
                <w:bCs/>
              </w:rPr>
              <w:t xml:space="preserve"> </w:t>
            </w:r>
            <w:proofErr w:type="spellStart"/>
            <w:r w:rsidRPr="00381192">
              <w:rPr>
                <w:b/>
                <w:bCs/>
              </w:rPr>
              <w:t>thành</w:t>
            </w:r>
            <w:proofErr w:type="spellEnd"/>
            <w:r w:rsidRPr="00381192">
              <w:rPr>
                <w:b/>
                <w:bCs/>
              </w:rPr>
              <w:t xml:space="preserve"> </w:t>
            </w:r>
            <w:proofErr w:type="spellStart"/>
            <w:r w:rsidRPr="00381192">
              <w:rPr>
                <w:b/>
                <w:bCs/>
              </w:rPr>
              <w:t>lập</w:t>
            </w:r>
            <w:proofErr w:type="spellEnd"/>
            <w:r w:rsidRPr="00381192">
              <w:rPr>
                <w:b/>
                <w:bCs/>
              </w:rPr>
              <w:t xml:space="preserve"> </w:t>
            </w:r>
            <w:proofErr w:type="spellStart"/>
            <w:r w:rsidRPr="00381192">
              <w:rPr>
                <w:b/>
                <w:bCs/>
              </w:rPr>
              <w:t>đến</w:t>
            </w:r>
            <w:proofErr w:type="spellEnd"/>
            <w:r w:rsidRPr="00381192">
              <w:rPr>
                <w:b/>
                <w:bCs/>
              </w:rPr>
              <w:t xml:space="preserve"> </w:t>
            </w:r>
            <w:proofErr w:type="spellStart"/>
            <w:r w:rsidRPr="00381192">
              <w:rPr>
                <w:b/>
                <w:bCs/>
              </w:rPr>
              <w:t>thời</w:t>
            </w:r>
            <w:proofErr w:type="spellEnd"/>
            <w:r w:rsidRPr="00381192">
              <w:rPr>
                <w:b/>
                <w:bCs/>
              </w:rPr>
              <w:t xml:space="preserve"> </w:t>
            </w:r>
            <w:proofErr w:type="spellStart"/>
            <w:r w:rsidRPr="00381192">
              <w:rPr>
                <w:b/>
                <w:bCs/>
              </w:rPr>
              <w:t>điểm</w:t>
            </w:r>
            <w:proofErr w:type="spellEnd"/>
            <w:r w:rsidRPr="00381192">
              <w:rPr>
                <w:b/>
                <w:bCs/>
              </w:rPr>
              <w:t xml:space="preserve"> </w:t>
            </w:r>
            <w:proofErr w:type="spellStart"/>
            <w:r w:rsidRPr="00381192">
              <w:rPr>
                <w:b/>
                <w:bCs/>
              </w:rPr>
              <w:t>báo</w:t>
            </w:r>
            <w:proofErr w:type="spellEnd"/>
            <w:r w:rsidRPr="00381192">
              <w:rPr>
                <w:b/>
                <w:bCs/>
              </w:rPr>
              <w:t xml:space="preserve"> </w:t>
            </w:r>
            <w:proofErr w:type="spellStart"/>
            <w:r w:rsidRPr="00381192">
              <w:rPr>
                <w:b/>
                <w:bCs/>
              </w:rPr>
              <w:t>cáo</w:t>
            </w:r>
            <w:proofErr w:type="spellEnd"/>
            <w:r w:rsidRPr="00381192">
              <w:rPr>
                <w:b/>
                <w:bCs/>
              </w:rPr>
              <w:t xml:space="preserve"> (%)</w:t>
            </w:r>
          </w:p>
        </w:tc>
      </w:tr>
      <w:tr w:rsidR="00E85D11" w:rsidRPr="00381192" w14:paraId="37FA2406" w14:textId="77777777" w:rsidTr="00790868">
        <w:trPr>
          <w:trHeight w:val="600"/>
        </w:trPr>
        <w:tc>
          <w:tcPr>
            <w:tcW w:w="2689" w:type="dxa"/>
            <w:shd w:val="clear" w:color="auto" w:fill="auto"/>
            <w:vAlign w:val="center"/>
            <w:hideMark/>
          </w:tcPr>
          <w:p w14:paraId="2356AD91" w14:textId="77777777" w:rsidR="00E85D11" w:rsidRPr="00381192" w:rsidRDefault="00E85D11" w:rsidP="00E85D11">
            <w:proofErr w:type="spellStart"/>
            <w:r w:rsidRPr="00381192">
              <w:t>Tăng</w:t>
            </w:r>
            <w:proofErr w:type="spellEnd"/>
            <w:r w:rsidRPr="00381192">
              <w:t xml:space="preserve"> </w:t>
            </w:r>
            <w:proofErr w:type="spellStart"/>
            <w:r w:rsidRPr="00381192">
              <w:t>trưởng</w:t>
            </w:r>
            <w:proofErr w:type="spellEnd"/>
            <w:r w:rsidRPr="00381192">
              <w:t xml:space="preserve"> </w:t>
            </w:r>
            <w:proofErr w:type="spellStart"/>
            <w:r w:rsidRPr="00381192">
              <w:t>thu</w:t>
            </w:r>
            <w:proofErr w:type="spellEnd"/>
            <w:r w:rsidRPr="00381192">
              <w:t xml:space="preserve"> </w:t>
            </w:r>
            <w:proofErr w:type="spellStart"/>
            <w:r w:rsidRPr="00381192">
              <w:t>nhập</w:t>
            </w:r>
            <w:proofErr w:type="spellEnd"/>
            <w:r w:rsidRPr="00381192">
              <w:t xml:space="preserve">/1 </w:t>
            </w:r>
            <w:proofErr w:type="spellStart"/>
            <w:r w:rsidRPr="00381192">
              <w:t>đơn</w:t>
            </w:r>
            <w:proofErr w:type="spellEnd"/>
            <w:r w:rsidRPr="00381192">
              <w:t xml:space="preserve"> </w:t>
            </w:r>
            <w:proofErr w:type="spellStart"/>
            <w:r w:rsidRPr="00381192">
              <w:t>vị</w:t>
            </w:r>
            <w:proofErr w:type="spellEnd"/>
            <w:r w:rsidRPr="00381192">
              <w:t xml:space="preserve"> CCQ</w:t>
            </w:r>
          </w:p>
        </w:tc>
        <w:tc>
          <w:tcPr>
            <w:tcW w:w="2351" w:type="dxa"/>
            <w:shd w:val="clear" w:color="auto" w:fill="auto"/>
            <w:vAlign w:val="center"/>
          </w:tcPr>
          <w:p w14:paraId="2DB102D7" w14:textId="5C1602F3" w:rsidR="00E85D11" w:rsidRPr="00381192" w:rsidRDefault="00E85D11" w:rsidP="00E85D11">
            <w:pPr>
              <w:jc w:val="right"/>
              <w:rPr>
                <w:color w:val="FF0000"/>
              </w:rPr>
            </w:pPr>
            <w:r>
              <w:t>17.23%</w:t>
            </w:r>
          </w:p>
        </w:tc>
        <w:tc>
          <w:tcPr>
            <w:tcW w:w="2468" w:type="dxa"/>
            <w:shd w:val="clear" w:color="auto" w:fill="auto"/>
            <w:vAlign w:val="center"/>
          </w:tcPr>
          <w:p w14:paraId="73F4D7B9" w14:textId="56047FC0" w:rsidR="00E85D11" w:rsidRPr="00381192" w:rsidRDefault="00E85D11" w:rsidP="00E85D11">
            <w:pPr>
              <w:jc w:val="right"/>
              <w:rPr>
                <w:color w:val="FF0000"/>
              </w:rPr>
            </w:pPr>
            <w:r>
              <w:t>22.16%</w:t>
            </w:r>
          </w:p>
        </w:tc>
        <w:tc>
          <w:tcPr>
            <w:tcW w:w="2032" w:type="dxa"/>
            <w:shd w:val="clear" w:color="auto" w:fill="auto"/>
            <w:vAlign w:val="center"/>
          </w:tcPr>
          <w:p w14:paraId="1304BE03" w14:textId="46B063CA" w:rsidR="00E85D11" w:rsidRPr="00381192" w:rsidRDefault="00E85D11" w:rsidP="00E85D11">
            <w:pPr>
              <w:jc w:val="right"/>
              <w:rPr>
                <w:color w:val="FF0000"/>
              </w:rPr>
            </w:pPr>
            <w:r>
              <w:t>51.98%</w:t>
            </w:r>
          </w:p>
        </w:tc>
      </w:tr>
      <w:tr w:rsidR="00E85D11" w:rsidRPr="00381192" w14:paraId="46BBA7BA" w14:textId="77777777" w:rsidTr="00790868">
        <w:trPr>
          <w:trHeight w:val="600"/>
        </w:trPr>
        <w:tc>
          <w:tcPr>
            <w:tcW w:w="2689" w:type="dxa"/>
            <w:shd w:val="clear" w:color="auto" w:fill="auto"/>
            <w:vAlign w:val="center"/>
            <w:hideMark/>
          </w:tcPr>
          <w:p w14:paraId="1244D718" w14:textId="77777777" w:rsidR="00E85D11" w:rsidRPr="00381192" w:rsidRDefault="00E85D11" w:rsidP="00E85D11">
            <w:proofErr w:type="spellStart"/>
            <w:r w:rsidRPr="00381192">
              <w:t>Tăng</w:t>
            </w:r>
            <w:proofErr w:type="spellEnd"/>
            <w:r w:rsidRPr="00381192">
              <w:t xml:space="preserve"> </w:t>
            </w:r>
            <w:proofErr w:type="spellStart"/>
            <w:r w:rsidRPr="00381192">
              <w:t>trưởng</w:t>
            </w:r>
            <w:proofErr w:type="spellEnd"/>
            <w:r w:rsidRPr="00381192">
              <w:t xml:space="preserve"> </w:t>
            </w:r>
            <w:proofErr w:type="spellStart"/>
            <w:r w:rsidRPr="00381192">
              <w:t>Vốn</w:t>
            </w:r>
            <w:proofErr w:type="spellEnd"/>
            <w:r w:rsidRPr="00381192">
              <w:t xml:space="preserve">/1 </w:t>
            </w:r>
            <w:proofErr w:type="spellStart"/>
            <w:r w:rsidRPr="00381192">
              <w:t>đơn</w:t>
            </w:r>
            <w:proofErr w:type="spellEnd"/>
            <w:r w:rsidRPr="00381192">
              <w:t xml:space="preserve"> </w:t>
            </w:r>
            <w:proofErr w:type="spellStart"/>
            <w:r w:rsidRPr="00381192">
              <w:t>vị</w:t>
            </w:r>
            <w:proofErr w:type="spellEnd"/>
            <w:r w:rsidRPr="00381192">
              <w:t xml:space="preserve"> CCQ</w:t>
            </w:r>
          </w:p>
        </w:tc>
        <w:tc>
          <w:tcPr>
            <w:tcW w:w="2351" w:type="dxa"/>
            <w:shd w:val="clear" w:color="auto" w:fill="auto"/>
            <w:vAlign w:val="center"/>
          </w:tcPr>
          <w:p w14:paraId="75FC702F" w14:textId="77CBB06B" w:rsidR="00E85D11" w:rsidRPr="00381192" w:rsidRDefault="00E85D11" w:rsidP="00E85D11">
            <w:pPr>
              <w:jc w:val="right"/>
              <w:rPr>
                <w:color w:val="FF0000"/>
              </w:rPr>
            </w:pPr>
            <w:r>
              <w:t>14.58%</w:t>
            </w:r>
          </w:p>
        </w:tc>
        <w:tc>
          <w:tcPr>
            <w:tcW w:w="2468" w:type="dxa"/>
            <w:shd w:val="clear" w:color="auto" w:fill="auto"/>
            <w:vAlign w:val="center"/>
          </w:tcPr>
          <w:p w14:paraId="7068AB50" w14:textId="02313247" w:rsidR="00E85D11" w:rsidRPr="00381192" w:rsidRDefault="00E85D11" w:rsidP="00E85D11">
            <w:pPr>
              <w:jc w:val="right"/>
              <w:rPr>
                <w:color w:val="FF0000"/>
              </w:rPr>
            </w:pPr>
            <w:r>
              <w:t>-8.01%</w:t>
            </w:r>
          </w:p>
        </w:tc>
        <w:tc>
          <w:tcPr>
            <w:tcW w:w="2032" w:type="dxa"/>
            <w:shd w:val="clear" w:color="auto" w:fill="auto"/>
            <w:vAlign w:val="center"/>
          </w:tcPr>
          <w:p w14:paraId="7A812028" w14:textId="3FF23DAB" w:rsidR="00E85D11" w:rsidRPr="00381192" w:rsidRDefault="00E85D11" w:rsidP="00E85D11">
            <w:pPr>
              <w:jc w:val="right"/>
              <w:rPr>
                <w:color w:val="FF0000"/>
              </w:rPr>
            </w:pPr>
            <w:r>
              <w:t>8.02%</w:t>
            </w:r>
          </w:p>
        </w:tc>
      </w:tr>
      <w:tr w:rsidR="00E85D11" w:rsidRPr="00381192" w14:paraId="37F82D32" w14:textId="77777777" w:rsidTr="00790868">
        <w:trPr>
          <w:trHeight w:val="600"/>
        </w:trPr>
        <w:tc>
          <w:tcPr>
            <w:tcW w:w="2689" w:type="dxa"/>
            <w:shd w:val="clear" w:color="auto" w:fill="auto"/>
            <w:vAlign w:val="center"/>
            <w:hideMark/>
          </w:tcPr>
          <w:p w14:paraId="281E5487" w14:textId="77777777" w:rsidR="00E85D11" w:rsidRPr="00381192" w:rsidRDefault="00E85D11" w:rsidP="00E85D11">
            <w:proofErr w:type="spellStart"/>
            <w:r w:rsidRPr="00381192">
              <w:t>Tổng</w:t>
            </w:r>
            <w:proofErr w:type="spellEnd"/>
            <w:r w:rsidRPr="00381192">
              <w:t xml:space="preserve"> </w:t>
            </w:r>
            <w:proofErr w:type="spellStart"/>
            <w:r w:rsidRPr="00381192">
              <w:t>tăng</w:t>
            </w:r>
            <w:proofErr w:type="spellEnd"/>
            <w:r w:rsidRPr="00381192">
              <w:t xml:space="preserve"> </w:t>
            </w:r>
            <w:proofErr w:type="spellStart"/>
            <w:r w:rsidRPr="00381192">
              <w:t>trưởng</w:t>
            </w:r>
            <w:proofErr w:type="spellEnd"/>
            <w:r w:rsidRPr="00381192">
              <w:t xml:space="preserve">/1 </w:t>
            </w:r>
            <w:proofErr w:type="spellStart"/>
            <w:r w:rsidRPr="00381192">
              <w:t>đơn</w:t>
            </w:r>
            <w:proofErr w:type="spellEnd"/>
            <w:r w:rsidRPr="00381192">
              <w:t xml:space="preserve"> </w:t>
            </w:r>
            <w:proofErr w:type="spellStart"/>
            <w:r w:rsidRPr="00381192">
              <w:t>vị</w:t>
            </w:r>
            <w:proofErr w:type="spellEnd"/>
            <w:r w:rsidRPr="00381192">
              <w:t xml:space="preserve"> CCQ</w:t>
            </w:r>
          </w:p>
        </w:tc>
        <w:tc>
          <w:tcPr>
            <w:tcW w:w="2351" w:type="dxa"/>
            <w:shd w:val="clear" w:color="auto" w:fill="auto"/>
            <w:vAlign w:val="center"/>
          </w:tcPr>
          <w:p w14:paraId="2E9D7D3C" w14:textId="3A432CBC" w:rsidR="00E85D11" w:rsidRPr="00381192" w:rsidRDefault="00E85D11" w:rsidP="00E85D11">
            <w:pPr>
              <w:jc w:val="right"/>
              <w:rPr>
                <w:color w:val="FF0000"/>
              </w:rPr>
            </w:pPr>
            <w:r>
              <w:t>31.81%</w:t>
            </w:r>
          </w:p>
        </w:tc>
        <w:tc>
          <w:tcPr>
            <w:tcW w:w="2468" w:type="dxa"/>
            <w:shd w:val="clear" w:color="auto" w:fill="auto"/>
            <w:vAlign w:val="center"/>
          </w:tcPr>
          <w:p w14:paraId="6ADA377E" w14:textId="38002271" w:rsidR="00E85D11" w:rsidRPr="00381192" w:rsidRDefault="00E85D11" w:rsidP="00E85D11">
            <w:pPr>
              <w:jc w:val="right"/>
              <w:rPr>
                <w:color w:val="FF0000"/>
              </w:rPr>
            </w:pPr>
            <w:r>
              <w:t>14.15%</w:t>
            </w:r>
          </w:p>
        </w:tc>
        <w:tc>
          <w:tcPr>
            <w:tcW w:w="2032" w:type="dxa"/>
            <w:shd w:val="clear" w:color="auto" w:fill="auto"/>
            <w:vAlign w:val="center"/>
          </w:tcPr>
          <w:p w14:paraId="508FCEAA" w14:textId="4FB75892" w:rsidR="00E85D11" w:rsidRPr="00381192" w:rsidRDefault="00E85D11" w:rsidP="00E85D11">
            <w:pPr>
              <w:jc w:val="right"/>
              <w:rPr>
                <w:color w:val="FF0000"/>
              </w:rPr>
            </w:pPr>
            <w:r>
              <w:t>60.00%</w:t>
            </w:r>
          </w:p>
        </w:tc>
      </w:tr>
      <w:tr w:rsidR="00656A91" w:rsidRPr="00381192" w14:paraId="1ED15F29" w14:textId="77777777" w:rsidTr="001001C4">
        <w:trPr>
          <w:trHeight w:val="600"/>
        </w:trPr>
        <w:tc>
          <w:tcPr>
            <w:tcW w:w="2689" w:type="dxa"/>
            <w:shd w:val="clear" w:color="auto" w:fill="auto"/>
            <w:vAlign w:val="center"/>
            <w:hideMark/>
          </w:tcPr>
          <w:p w14:paraId="46EA9E0C" w14:textId="6382935D" w:rsidR="00656A91" w:rsidRPr="00CD362E" w:rsidRDefault="00656A91" w:rsidP="00656A91">
            <w:proofErr w:type="spellStart"/>
            <w:r w:rsidRPr="00CD362E">
              <w:t>Tăng</w:t>
            </w:r>
            <w:proofErr w:type="spellEnd"/>
            <w:r w:rsidRPr="00CD362E">
              <w:t xml:space="preserve"> </w:t>
            </w:r>
            <w:proofErr w:type="spellStart"/>
            <w:r w:rsidRPr="00CD362E">
              <w:t>trưởng</w:t>
            </w:r>
            <w:proofErr w:type="spellEnd"/>
            <w:r w:rsidRPr="00CD362E">
              <w:t xml:space="preserve"> </w:t>
            </w:r>
            <w:proofErr w:type="spellStart"/>
            <w:r w:rsidRPr="00CD362E">
              <w:t>hàng</w:t>
            </w:r>
            <w:proofErr w:type="spellEnd"/>
            <w:r w:rsidRPr="00CD362E">
              <w:t xml:space="preserve"> </w:t>
            </w:r>
            <w:proofErr w:type="spellStart"/>
            <w:r w:rsidRPr="00CD362E">
              <w:t>năm</w:t>
            </w:r>
            <w:proofErr w:type="spellEnd"/>
            <w:r w:rsidRPr="00CD362E">
              <w:t xml:space="preserve"> (%)/1 </w:t>
            </w:r>
            <w:proofErr w:type="spellStart"/>
            <w:r w:rsidRPr="00CD362E">
              <w:t>đơn</w:t>
            </w:r>
            <w:proofErr w:type="spellEnd"/>
            <w:r w:rsidRPr="00CD362E">
              <w:t xml:space="preserve"> </w:t>
            </w:r>
            <w:proofErr w:type="spellStart"/>
            <w:r w:rsidRPr="00CD362E">
              <w:t>vị</w:t>
            </w:r>
            <w:proofErr w:type="spellEnd"/>
            <w:r w:rsidRPr="00CD362E">
              <w:t xml:space="preserve"> CCQ</w:t>
            </w:r>
          </w:p>
        </w:tc>
        <w:tc>
          <w:tcPr>
            <w:tcW w:w="2351" w:type="dxa"/>
            <w:shd w:val="clear" w:color="auto" w:fill="auto"/>
            <w:vAlign w:val="center"/>
          </w:tcPr>
          <w:p w14:paraId="31BE05C1" w14:textId="20640BB7" w:rsidR="00656A91" w:rsidRPr="00CD362E" w:rsidRDefault="00656A91" w:rsidP="00656A91">
            <w:pPr>
              <w:jc w:val="right"/>
            </w:pPr>
            <w:r w:rsidRPr="00947326">
              <w:t>31.81</w:t>
            </w:r>
            <w:r>
              <w:t>%</w:t>
            </w:r>
          </w:p>
        </w:tc>
        <w:tc>
          <w:tcPr>
            <w:tcW w:w="2468" w:type="dxa"/>
            <w:shd w:val="clear" w:color="auto" w:fill="auto"/>
            <w:vAlign w:val="center"/>
          </w:tcPr>
          <w:p w14:paraId="61EF9D52" w14:textId="716B7C3C" w:rsidR="00656A91" w:rsidRPr="00CD362E" w:rsidRDefault="00656A91" w:rsidP="00656A91">
            <w:pPr>
              <w:jc w:val="right"/>
            </w:pPr>
            <w:r w:rsidRPr="00947326">
              <w:t>4.51</w:t>
            </w:r>
            <w:r>
              <w:t>%</w:t>
            </w:r>
          </w:p>
        </w:tc>
        <w:tc>
          <w:tcPr>
            <w:tcW w:w="2032" w:type="dxa"/>
            <w:shd w:val="clear" w:color="auto" w:fill="auto"/>
            <w:vAlign w:val="center"/>
          </w:tcPr>
          <w:p w14:paraId="40733552" w14:textId="22386D8B" w:rsidR="00656A91" w:rsidRPr="00CD362E" w:rsidRDefault="00656A91" w:rsidP="00656A91">
            <w:pPr>
              <w:jc w:val="right"/>
            </w:pPr>
            <w:r w:rsidRPr="00947326">
              <w:t>7.72</w:t>
            </w:r>
            <w:r>
              <w:t>%</w:t>
            </w:r>
          </w:p>
        </w:tc>
      </w:tr>
      <w:tr w:rsidR="00145DFC" w:rsidRPr="00381192" w14:paraId="4C6145E3" w14:textId="77777777" w:rsidTr="001001C4">
        <w:trPr>
          <w:trHeight w:val="600"/>
        </w:trPr>
        <w:tc>
          <w:tcPr>
            <w:tcW w:w="2689" w:type="dxa"/>
            <w:shd w:val="clear" w:color="auto" w:fill="auto"/>
            <w:vAlign w:val="center"/>
            <w:hideMark/>
          </w:tcPr>
          <w:p w14:paraId="613C6F99" w14:textId="1800B2D3" w:rsidR="00145DFC" w:rsidRPr="00CD362E" w:rsidRDefault="00145DFC" w:rsidP="00145DFC">
            <w:proofErr w:type="spellStart"/>
            <w:r w:rsidRPr="00CD362E">
              <w:t>Tăng</w:t>
            </w:r>
            <w:proofErr w:type="spellEnd"/>
            <w:r w:rsidRPr="00CD362E">
              <w:t xml:space="preserve"> </w:t>
            </w:r>
            <w:proofErr w:type="spellStart"/>
            <w:r w:rsidRPr="00CD362E">
              <w:t>trưởng</w:t>
            </w:r>
            <w:proofErr w:type="spellEnd"/>
            <w:r w:rsidRPr="00CD362E">
              <w:t xml:space="preserve"> </w:t>
            </w:r>
            <w:proofErr w:type="spellStart"/>
            <w:r w:rsidRPr="00CD362E">
              <w:t>của</w:t>
            </w:r>
            <w:proofErr w:type="spellEnd"/>
            <w:r w:rsidRPr="00CD362E">
              <w:t xml:space="preserve"> </w:t>
            </w:r>
            <w:proofErr w:type="spellStart"/>
            <w:r w:rsidRPr="00CD362E">
              <w:t>danh</w:t>
            </w:r>
            <w:proofErr w:type="spellEnd"/>
            <w:r w:rsidRPr="00CD362E">
              <w:t xml:space="preserve"> </w:t>
            </w:r>
            <w:proofErr w:type="spellStart"/>
            <w:r w:rsidRPr="00CD362E">
              <w:t>mục</w:t>
            </w:r>
            <w:proofErr w:type="spellEnd"/>
            <w:r w:rsidRPr="00CD362E">
              <w:t xml:space="preserve"> </w:t>
            </w:r>
            <w:proofErr w:type="spellStart"/>
            <w:r w:rsidRPr="00CD362E">
              <w:t>cơ</w:t>
            </w:r>
            <w:proofErr w:type="spellEnd"/>
            <w:r w:rsidRPr="00CD362E">
              <w:t xml:space="preserve"> </w:t>
            </w:r>
            <w:proofErr w:type="spellStart"/>
            <w:r w:rsidRPr="00CD362E">
              <w:t>cấu</w:t>
            </w:r>
            <w:proofErr w:type="spellEnd"/>
            <w:r w:rsidRPr="00CD362E">
              <w:t xml:space="preserve"> (*)</w:t>
            </w:r>
          </w:p>
        </w:tc>
        <w:tc>
          <w:tcPr>
            <w:tcW w:w="2351" w:type="dxa"/>
            <w:shd w:val="clear" w:color="auto" w:fill="auto"/>
            <w:vAlign w:val="center"/>
          </w:tcPr>
          <w:p w14:paraId="66923A43" w14:textId="3E71EF8C" w:rsidR="00145DFC" w:rsidRPr="00CD362E" w:rsidRDefault="00145DFC" w:rsidP="00145DFC">
            <w:pPr>
              <w:jc w:val="center"/>
            </w:pPr>
            <w:r w:rsidRPr="00CD362E">
              <w:t>N/A</w:t>
            </w:r>
          </w:p>
        </w:tc>
        <w:tc>
          <w:tcPr>
            <w:tcW w:w="2468" w:type="dxa"/>
            <w:shd w:val="clear" w:color="auto" w:fill="auto"/>
            <w:vAlign w:val="center"/>
          </w:tcPr>
          <w:p w14:paraId="12D21BF2" w14:textId="71BA50BB" w:rsidR="00145DFC" w:rsidRPr="00CD362E" w:rsidRDefault="00145DFC" w:rsidP="00145DFC">
            <w:pPr>
              <w:jc w:val="center"/>
            </w:pPr>
            <w:r w:rsidRPr="00CD362E">
              <w:t>N/A</w:t>
            </w:r>
          </w:p>
        </w:tc>
        <w:tc>
          <w:tcPr>
            <w:tcW w:w="2032" w:type="dxa"/>
            <w:shd w:val="clear" w:color="auto" w:fill="auto"/>
            <w:vAlign w:val="center"/>
          </w:tcPr>
          <w:p w14:paraId="2186D334" w14:textId="1755D88D" w:rsidR="00145DFC" w:rsidRPr="00CD362E" w:rsidRDefault="00145DFC" w:rsidP="00145DFC">
            <w:pPr>
              <w:jc w:val="center"/>
            </w:pPr>
            <w:r w:rsidRPr="00CD362E">
              <w:t>N/A</w:t>
            </w:r>
          </w:p>
        </w:tc>
      </w:tr>
      <w:tr w:rsidR="00145DFC" w:rsidRPr="00381192" w14:paraId="6BFE026C" w14:textId="77777777" w:rsidTr="001001C4">
        <w:trPr>
          <w:trHeight w:val="600"/>
        </w:trPr>
        <w:tc>
          <w:tcPr>
            <w:tcW w:w="2689" w:type="dxa"/>
            <w:shd w:val="clear" w:color="auto" w:fill="auto"/>
            <w:vAlign w:val="center"/>
            <w:hideMark/>
          </w:tcPr>
          <w:p w14:paraId="4AC2E0B1" w14:textId="6DD8F562" w:rsidR="00145DFC" w:rsidRPr="00CD362E" w:rsidRDefault="00145DFC" w:rsidP="00145DFC">
            <w:r w:rsidRPr="00CD362E">
              <w:t xml:space="preserve">Thay </w:t>
            </w:r>
            <w:proofErr w:type="spellStart"/>
            <w:r w:rsidRPr="00CD362E">
              <w:t>đổi</w:t>
            </w:r>
            <w:proofErr w:type="spellEnd"/>
            <w:r w:rsidRPr="00CD362E">
              <w:t xml:space="preserve"> </w:t>
            </w:r>
            <w:proofErr w:type="spellStart"/>
            <w:r w:rsidRPr="00CD362E">
              <w:t>giá</w:t>
            </w:r>
            <w:proofErr w:type="spellEnd"/>
            <w:r w:rsidRPr="00CD362E">
              <w:t xml:space="preserve"> </w:t>
            </w:r>
            <w:proofErr w:type="spellStart"/>
            <w:r w:rsidRPr="00CD362E">
              <w:t>trị</w:t>
            </w:r>
            <w:proofErr w:type="spellEnd"/>
            <w:r w:rsidRPr="00CD362E">
              <w:t xml:space="preserve"> </w:t>
            </w:r>
            <w:proofErr w:type="spellStart"/>
            <w:r w:rsidRPr="00CD362E">
              <w:t>thị</w:t>
            </w:r>
            <w:proofErr w:type="spellEnd"/>
            <w:r w:rsidRPr="00CD362E">
              <w:t xml:space="preserve"> </w:t>
            </w:r>
            <w:proofErr w:type="spellStart"/>
            <w:r w:rsidRPr="00CD362E">
              <w:t>trường</w:t>
            </w:r>
            <w:proofErr w:type="spellEnd"/>
            <w:r w:rsidRPr="00CD362E">
              <w:t xml:space="preserve"> </w:t>
            </w:r>
            <w:proofErr w:type="spellStart"/>
            <w:r w:rsidRPr="00CD362E">
              <w:t>của</w:t>
            </w:r>
            <w:proofErr w:type="spellEnd"/>
            <w:r w:rsidRPr="00CD362E">
              <w:t xml:space="preserve"> 1 </w:t>
            </w:r>
            <w:proofErr w:type="spellStart"/>
            <w:r w:rsidRPr="00CD362E">
              <w:t>đơn</w:t>
            </w:r>
            <w:proofErr w:type="spellEnd"/>
            <w:r w:rsidRPr="00CD362E">
              <w:t xml:space="preserve"> </w:t>
            </w:r>
            <w:proofErr w:type="spellStart"/>
            <w:r w:rsidRPr="00CD362E">
              <w:t>vị</w:t>
            </w:r>
            <w:proofErr w:type="spellEnd"/>
            <w:r w:rsidRPr="00CD362E">
              <w:t xml:space="preserve"> CCQ (**)</w:t>
            </w:r>
          </w:p>
        </w:tc>
        <w:tc>
          <w:tcPr>
            <w:tcW w:w="2351" w:type="dxa"/>
            <w:shd w:val="clear" w:color="auto" w:fill="auto"/>
            <w:vAlign w:val="center"/>
          </w:tcPr>
          <w:p w14:paraId="3132CE3A" w14:textId="59EFFC5B" w:rsidR="00145DFC" w:rsidRPr="00CD362E" w:rsidRDefault="00145DFC" w:rsidP="00145DFC">
            <w:pPr>
              <w:jc w:val="center"/>
            </w:pPr>
            <w:r w:rsidRPr="00CD362E">
              <w:t>N/A</w:t>
            </w:r>
          </w:p>
        </w:tc>
        <w:tc>
          <w:tcPr>
            <w:tcW w:w="2468" w:type="dxa"/>
            <w:shd w:val="clear" w:color="auto" w:fill="auto"/>
            <w:vAlign w:val="center"/>
          </w:tcPr>
          <w:p w14:paraId="051E5E71" w14:textId="354C9C13" w:rsidR="00145DFC" w:rsidRPr="00CD362E" w:rsidRDefault="00145DFC" w:rsidP="00145DFC">
            <w:pPr>
              <w:jc w:val="center"/>
            </w:pPr>
            <w:r w:rsidRPr="00CD362E">
              <w:t>N/A</w:t>
            </w:r>
          </w:p>
        </w:tc>
        <w:tc>
          <w:tcPr>
            <w:tcW w:w="2032" w:type="dxa"/>
            <w:shd w:val="clear" w:color="auto" w:fill="auto"/>
            <w:vAlign w:val="center"/>
          </w:tcPr>
          <w:p w14:paraId="7919C095" w14:textId="0FACDB6F" w:rsidR="00145DFC" w:rsidRPr="00CD362E" w:rsidRDefault="00145DFC" w:rsidP="00145DFC">
            <w:pPr>
              <w:jc w:val="center"/>
            </w:pPr>
            <w:r w:rsidRPr="00CD362E">
              <w:t>N/A</w:t>
            </w:r>
          </w:p>
        </w:tc>
      </w:tr>
    </w:tbl>
    <w:p w14:paraId="52E47C5B" w14:textId="63A3B617" w:rsidR="001A3514" w:rsidRPr="00381192" w:rsidRDefault="001A3514" w:rsidP="00381192">
      <w:pPr>
        <w:shd w:val="clear" w:color="auto" w:fill="FFFFFF"/>
        <w:tabs>
          <w:tab w:val="left" w:pos="540"/>
        </w:tabs>
        <w:rPr>
          <w:lang w:val="nl-NL"/>
        </w:rPr>
      </w:pPr>
      <w:r w:rsidRPr="00381192">
        <w:rPr>
          <w:lang w:val="nl-NL"/>
        </w:rPr>
        <w:t>(*)</w:t>
      </w:r>
      <w:r w:rsidRPr="00381192">
        <w:rPr>
          <w:lang w:val="nl-NL"/>
        </w:rPr>
        <w:tab/>
        <w:t>Quỹ không có danh mục cơ cấu</w:t>
      </w:r>
    </w:p>
    <w:p w14:paraId="2283817B" w14:textId="32C2BDFF" w:rsidR="001A3514" w:rsidRDefault="001A3514" w:rsidP="00381192">
      <w:pPr>
        <w:shd w:val="clear" w:color="auto" w:fill="FFFFFF"/>
        <w:tabs>
          <w:tab w:val="left" w:pos="540"/>
        </w:tabs>
        <w:rPr>
          <w:lang w:val="nl-NL"/>
        </w:rPr>
      </w:pPr>
      <w:r w:rsidRPr="00381192">
        <w:rPr>
          <w:lang w:val="nl-NL"/>
        </w:rPr>
        <w:t xml:space="preserve">(**) </w:t>
      </w:r>
      <w:r w:rsidRPr="00381192">
        <w:rPr>
          <w:lang w:val="nl-NL"/>
        </w:rPr>
        <w:tab/>
        <w:t>Quỹ không có giá trị thị trường</w:t>
      </w:r>
    </w:p>
    <w:p w14:paraId="49C67F30" w14:textId="77777777" w:rsidR="00DD4F42" w:rsidRPr="00381192" w:rsidRDefault="00DD4F42" w:rsidP="00381192">
      <w:pPr>
        <w:shd w:val="clear" w:color="auto" w:fill="FFFFFF"/>
        <w:tabs>
          <w:tab w:val="left" w:pos="540"/>
        </w:tabs>
        <w:rPr>
          <w:lang w:val="nl-NL"/>
        </w:rPr>
      </w:pPr>
    </w:p>
    <w:p w14:paraId="7DC3C191" w14:textId="36040920" w:rsidR="00B73A3C" w:rsidRPr="00381192" w:rsidRDefault="00C76708" w:rsidP="00381192">
      <w:pPr>
        <w:shd w:val="clear" w:color="auto" w:fill="FFFFFF"/>
        <w:tabs>
          <w:tab w:val="left" w:pos="540"/>
        </w:tabs>
        <w:rPr>
          <w:lang w:val="nl-NL"/>
        </w:rPr>
      </w:pPr>
      <w:r>
        <w:rPr>
          <w:noProof/>
          <w:lang w:val="nl-NL"/>
        </w:rPr>
        <w:drawing>
          <wp:inline distT="0" distB="0" distL="0" distR="0" wp14:anchorId="53DEDFAC" wp14:editId="63BE8F56">
            <wp:extent cx="5731510" cy="2188220"/>
            <wp:effectExtent l="0" t="0" r="2540" b="2540"/>
            <wp:docPr id="1762056287" name="Picture 1" descr="A graph with a line going u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2056287" name="Picture 1" descr="A graph with a line going up&#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1510" cy="2188220"/>
                    </a:xfrm>
                    <a:prstGeom prst="rect">
                      <a:avLst/>
                    </a:prstGeom>
                    <a:noFill/>
                  </pic:spPr>
                </pic:pic>
              </a:graphicData>
            </a:graphic>
          </wp:inline>
        </w:drawing>
      </w:r>
    </w:p>
    <w:p w14:paraId="063A8334" w14:textId="75103721" w:rsidR="00B73A3C" w:rsidRPr="00381192" w:rsidRDefault="00B73A3C" w:rsidP="00381192">
      <w:pPr>
        <w:shd w:val="clear" w:color="auto" w:fill="FFFFFF"/>
        <w:tabs>
          <w:tab w:val="left" w:pos="540"/>
        </w:tabs>
        <w:rPr>
          <w:lang w:val="nl-NL"/>
        </w:rPr>
      </w:pPr>
    </w:p>
    <w:p w14:paraId="4D796DA4" w14:textId="77777777" w:rsidR="00DD4F42" w:rsidRDefault="00DD4F42" w:rsidP="00381192">
      <w:pPr>
        <w:shd w:val="clear" w:color="auto" w:fill="FFFFFF"/>
        <w:tabs>
          <w:tab w:val="left" w:pos="540"/>
        </w:tabs>
        <w:rPr>
          <w:lang w:val="nl-NL"/>
        </w:rPr>
      </w:pPr>
    </w:p>
    <w:p w14:paraId="251FD578" w14:textId="04445B91" w:rsidR="007922E7" w:rsidRPr="00381192" w:rsidRDefault="007922E7" w:rsidP="00381192">
      <w:pPr>
        <w:shd w:val="clear" w:color="auto" w:fill="FFFFFF"/>
        <w:tabs>
          <w:tab w:val="left" w:pos="540"/>
        </w:tabs>
        <w:rPr>
          <w:lang w:val="nl-NL"/>
        </w:rPr>
      </w:pPr>
      <w:r w:rsidRPr="00381192">
        <w:rPr>
          <w:lang w:val="nl-NL"/>
        </w:rPr>
        <w:t>Thay đổi giá trị tài sản ròng</w:t>
      </w:r>
    </w:p>
    <w:p w14:paraId="55B121EC" w14:textId="77777777" w:rsidR="00837933" w:rsidRPr="00381192" w:rsidRDefault="00837933" w:rsidP="00381192">
      <w:pPr>
        <w:shd w:val="clear" w:color="auto" w:fill="FFFFFF"/>
        <w:tabs>
          <w:tab w:val="left" w:pos="540"/>
        </w:tabs>
        <w:rPr>
          <w:lang w:val="nl-NL"/>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2540"/>
        <w:gridCol w:w="2016"/>
        <w:gridCol w:w="2248"/>
      </w:tblGrid>
      <w:tr w:rsidR="00B33435" w:rsidRPr="00381192" w14:paraId="032E2F78" w14:textId="77777777" w:rsidTr="007B79CA">
        <w:trPr>
          <w:trHeight w:val="526"/>
        </w:trPr>
        <w:tc>
          <w:tcPr>
            <w:tcW w:w="2830" w:type="dxa"/>
            <w:shd w:val="clear" w:color="auto" w:fill="auto"/>
            <w:vAlign w:val="center"/>
            <w:hideMark/>
          </w:tcPr>
          <w:p w14:paraId="4CED8DE9" w14:textId="77777777" w:rsidR="00B33435" w:rsidRPr="00381192" w:rsidRDefault="00B33435" w:rsidP="00381192">
            <w:pPr>
              <w:jc w:val="center"/>
              <w:rPr>
                <w:b/>
                <w:bCs/>
              </w:rPr>
            </w:pPr>
            <w:proofErr w:type="spellStart"/>
            <w:r w:rsidRPr="00381192">
              <w:rPr>
                <w:b/>
                <w:bCs/>
              </w:rPr>
              <w:t>Chỉ</w:t>
            </w:r>
            <w:proofErr w:type="spellEnd"/>
            <w:r w:rsidRPr="00381192">
              <w:rPr>
                <w:b/>
                <w:bCs/>
              </w:rPr>
              <w:t xml:space="preserve"> </w:t>
            </w:r>
            <w:proofErr w:type="spellStart"/>
            <w:r w:rsidRPr="00381192">
              <w:rPr>
                <w:b/>
                <w:bCs/>
              </w:rPr>
              <w:t>tiêu</w:t>
            </w:r>
            <w:proofErr w:type="spellEnd"/>
          </w:p>
        </w:tc>
        <w:tc>
          <w:tcPr>
            <w:tcW w:w="2540" w:type="dxa"/>
            <w:shd w:val="clear" w:color="auto" w:fill="auto"/>
            <w:vAlign w:val="center"/>
            <w:hideMark/>
          </w:tcPr>
          <w:p w14:paraId="2C8DC4E7" w14:textId="33BD37D3" w:rsidR="00B33435" w:rsidRPr="00741A23" w:rsidRDefault="0049506B" w:rsidP="007B79CA">
            <w:pPr>
              <w:jc w:val="center"/>
              <w:rPr>
                <w:b/>
                <w:bCs/>
              </w:rPr>
            </w:pPr>
            <w:r>
              <w:rPr>
                <w:b/>
                <w:bCs/>
              </w:rPr>
              <w:t>3</w:t>
            </w:r>
            <w:r w:rsidR="00B026FA">
              <w:rPr>
                <w:b/>
                <w:bCs/>
              </w:rPr>
              <w:t>0</w:t>
            </w:r>
            <w:r>
              <w:rPr>
                <w:b/>
                <w:bCs/>
              </w:rPr>
              <w:t>/</w:t>
            </w:r>
            <w:r w:rsidR="00B04518">
              <w:rPr>
                <w:b/>
                <w:bCs/>
              </w:rPr>
              <w:t>0</w:t>
            </w:r>
            <w:r w:rsidR="00B026FA">
              <w:rPr>
                <w:b/>
                <w:bCs/>
              </w:rPr>
              <w:t>6</w:t>
            </w:r>
            <w:r w:rsidR="00B33435" w:rsidRPr="00741A23">
              <w:rPr>
                <w:b/>
                <w:bCs/>
              </w:rPr>
              <w:t>/202</w:t>
            </w:r>
            <w:r w:rsidR="00B04518">
              <w:rPr>
                <w:b/>
                <w:bCs/>
              </w:rPr>
              <w:t>4</w:t>
            </w:r>
          </w:p>
          <w:p w14:paraId="506A0979" w14:textId="09A316A0" w:rsidR="007B79CA" w:rsidRPr="00741A23" w:rsidRDefault="007B79CA" w:rsidP="007B79CA">
            <w:pPr>
              <w:jc w:val="center"/>
              <w:rPr>
                <w:b/>
                <w:bCs/>
              </w:rPr>
            </w:pPr>
            <w:r w:rsidRPr="00741A23">
              <w:rPr>
                <w:b/>
                <w:bCs/>
              </w:rPr>
              <w:t>(1)</w:t>
            </w:r>
          </w:p>
        </w:tc>
        <w:tc>
          <w:tcPr>
            <w:tcW w:w="2016" w:type="dxa"/>
            <w:shd w:val="clear" w:color="auto" w:fill="auto"/>
            <w:vAlign w:val="center"/>
            <w:hideMark/>
          </w:tcPr>
          <w:p w14:paraId="4C57DA24" w14:textId="6F57E3CE" w:rsidR="00B33435" w:rsidRPr="00741A23" w:rsidRDefault="0049506B" w:rsidP="007B79CA">
            <w:pPr>
              <w:jc w:val="center"/>
              <w:rPr>
                <w:b/>
                <w:bCs/>
              </w:rPr>
            </w:pPr>
            <w:r>
              <w:rPr>
                <w:b/>
                <w:bCs/>
              </w:rPr>
              <w:t>3</w:t>
            </w:r>
            <w:r w:rsidR="00B026FA">
              <w:rPr>
                <w:b/>
                <w:bCs/>
              </w:rPr>
              <w:t>0</w:t>
            </w:r>
            <w:r>
              <w:rPr>
                <w:b/>
                <w:bCs/>
              </w:rPr>
              <w:t>/</w:t>
            </w:r>
            <w:r w:rsidR="00B04518">
              <w:rPr>
                <w:b/>
                <w:bCs/>
              </w:rPr>
              <w:t>0</w:t>
            </w:r>
            <w:r w:rsidR="00B026FA">
              <w:rPr>
                <w:b/>
                <w:bCs/>
              </w:rPr>
              <w:t>6</w:t>
            </w:r>
            <w:r w:rsidR="00B33435" w:rsidRPr="00741A23">
              <w:rPr>
                <w:b/>
                <w:bCs/>
              </w:rPr>
              <w:t>/202</w:t>
            </w:r>
            <w:r w:rsidR="00B04518">
              <w:rPr>
                <w:b/>
                <w:bCs/>
              </w:rPr>
              <w:t>3</w:t>
            </w:r>
          </w:p>
          <w:p w14:paraId="0EFA3B08" w14:textId="38668250" w:rsidR="007B79CA" w:rsidRPr="00741A23" w:rsidRDefault="007B79CA" w:rsidP="007B79CA">
            <w:pPr>
              <w:jc w:val="center"/>
              <w:rPr>
                <w:b/>
                <w:bCs/>
              </w:rPr>
            </w:pPr>
            <w:r w:rsidRPr="00741A23">
              <w:rPr>
                <w:b/>
                <w:bCs/>
              </w:rPr>
              <w:t>(2)</w:t>
            </w:r>
          </w:p>
        </w:tc>
        <w:tc>
          <w:tcPr>
            <w:tcW w:w="2248" w:type="dxa"/>
            <w:shd w:val="clear" w:color="auto" w:fill="auto"/>
            <w:vAlign w:val="center"/>
            <w:hideMark/>
          </w:tcPr>
          <w:p w14:paraId="1832B6CC" w14:textId="77777777" w:rsidR="00B33435" w:rsidRPr="00741A23" w:rsidRDefault="00B33435" w:rsidP="007B79CA">
            <w:pPr>
              <w:tabs>
                <w:tab w:val="left" w:pos="1995"/>
              </w:tabs>
              <w:jc w:val="center"/>
              <w:rPr>
                <w:b/>
                <w:bCs/>
              </w:rPr>
            </w:pPr>
            <w:proofErr w:type="spellStart"/>
            <w:r w:rsidRPr="00741A23">
              <w:rPr>
                <w:b/>
                <w:bCs/>
              </w:rPr>
              <w:t>Tỷ</w:t>
            </w:r>
            <w:proofErr w:type="spellEnd"/>
            <w:r w:rsidRPr="00741A23">
              <w:rPr>
                <w:b/>
                <w:bCs/>
              </w:rPr>
              <w:t xml:space="preserve"> </w:t>
            </w:r>
            <w:proofErr w:type="spellStart"/>
            <w:r w:rsidRPr="00741A23">
              <w:rPr>
                <w:b/>
                <w:bCs/>
              </w:rPr>
              <w:t>lệ</w:t>
            </w:r>
            <w:proofErr w:type="spellEnd"/>
            <w:r w:rsidRPr="00741A23">
              <w:rPr>
                <w:b/>
                <w:bCs/>
              </w:rPr>
              <w:t xml:space="preserve"> </w:t>
            </w:r>
            <w:proofErr w:type="spellStart"/>
            <w:r w:rsidRPr="00741A23">
              <w:rPr>
                <w:b/>
                <w:bCs/>
              </w:rPr>
              <w:t>thay</w:t>
            </w:r>
            <w:proofErr w:type="spellEnd"/>
            <w:r w:rsidRPr="00741A23">
              <w:rPr>
                <w:b/>
                <w:bCs/>
              </w:rPr>
              <w:t xml:space="preserve"> </w:t>
            </w:r>
            <w:proofErr w:type="spellStart"/>
            <w:r w:rsidRPr="00741A23">
              <w:rPr>
                <w:b/>
                <w:bCs/>
              </w:rPr>
              <w:t>đổi</w:t>
            </w:r>
            <w:proofErr w:type="spellEnd"/>
          </w:p>
          <w:p w14:paraId="30B74DBE" w14:textId="5D5D699B" w:rsidR="007B79CA" w:rsidRPr="00741A23" w:rsidRDefault="007B79CA" w:rsidP="007B79CA">
            <w:pPr>
              <w:tabs>
                <w:tab w:val="left" w:pos="1995"/>
              </w:tabs>
              <w:jc w:val="center"/>
              <w:rPr>
                <w:b/>
                <w:bCs/>
              </w:rPr>
            </w:pPr>
            <w:r w:rsidRPr="00741A23">
              <w:rPr>
                <w:b/>
                <w:bCs/>
              </w:rPr>
              <w:t>(3) = ((1)-(2))</w:t>
            </w:r>
            <w:proofErr w:type="gramStart"/>
            <w:r w:rsidRPr="00741A23">
              <w:rPr>
                <w:b/>
                <w:bCs/>
              </w:rPr>
              <w:t>/(</w:t>
            </w:r>
            <w:proofErr w:type="gramEnd"/>
            <w:r w:rsidRPr="00741A23">
              <w:rPr>
                <w:b/>
                <w:bCs/>
              </w:rPr>
              <w:t>2)</w:t>
            </w:r>
          </w:p>
        </w:tc>
      </w:tr>
      <w:tr w:rsidR="00B94969" w:rsidRPr="00381192" w14:paraId="1DA2C98C" w14:textId="77777777" w:rsidTr="00375C22">
        <w:trPr>
          <w:trHeight w:val="560"/>
        </w:trPr>
        <w:tc>
          <w:tcPr>
            <w:tcW w:w="2830" w:type="dxa"/>
            <w:shd w:val="clear" w:color="auto" w:fill="auto"/>
            <w:vAlign w:val="center"/>
            <w:hideMark/>
          </w:tcPr>
          <w:p w14:paraId="5B98B489" w14:textId="77777777" w:rsidR="00B94969" w:rsidRPr="00381192" w:rsidRDefault="00B94969" w:rsidP="00B94969">
            <w:proofErr w:type="spellStart"/>
            <w:r w:rsidRPr="00381192">
              <w:t>Giá</w:t>
            </w:r>
            <w:proofErr w:type="spellEnd"/>
            <w:r w:rsidRPr="00381192">
              <w:t xml:space="preserve"> </w:t>
            </w:r>
            <w:proofErr w:type="spellStart"/>
            <w:r w:rsidRPr="00381192">
              <w:t>trị</w:t>
            </w:r>
            <w:proofErr w:type="spellEnd"/>
            <w:r w:rsidRPr="00381192">
              <w:t xml:space="preserve"> </w:t>
            </w:r>
            <w:proofErr w:type="spellStart"/>
            <w:r w:rsidRPr="00381192">
              <w:t>tài</w:t>
            </w:r>
            <w:proofErr w:type="spellEnd"/>
            <w:r w:rsidRPr="00381192">
              <w:t xml:space="preserve"> </w:t>
            </w:r>
            <w:proofErr w:type="spellStart"/>
            <w:r w:rsidRPr="00381192">
              <w:t>sản</w:t>
            </w:r>
            <w:proofErr w:type="spellEnd"/>
            <w:r w:rsidRPr="00381192">
              <w:t xml:space="preserve"> </w:t>
            </w:r>
            <w:proofErr w:type="spellStart"/>
            <w:r w:rsidRPr="00381192">
              <w:t>ròng</w:t>
            </w:r>
            <w:proofErr w:type="spellEnd"/>
            <w:r w:rsidRPr="00381192">
              <w:t xml:space="preserve"> (NAV) </w:t>
            </w:r>
            <w:proofErr w:type="spellStart"/>
            <w:r w:rsidRPr="00381192">
              <w:t>của</w:t>
            </w:r>
            <w:proofErr w:type="spellEnd"/>
            <w:r w:rsidRPr="00381192">
              <w:t xml:space="preserve"> </w:t>
            </w:r>
            <w:proofErr w:type="spellStart"/>
            <w:r w:rsidRPr="00381192">
              <w:t>Quỹ</w:t>
            </w:r>
            <w:proofErr w:type="spellEnd"/>
          </w:p>
        </w:tc>
        <w:tc>
          <w:tcPr>
            <w:tcW w:w="2540" w:type="dxa"/>
            <w:shd w:val="clear" w:color="auto" w:fill="auto"/>
            <w:vAlign w:val="center"/>
          </w:tcPr>
          <w:p w14:paraId="0C52DDF7" w14:textId="1284DE21" w:rsidR="00B94969" w:rsidRPr="00741A23" w:rsidRDefault="00B94969" w:rsidP="00B94969">
            <w:pPr>
              <w:jc w:val="right"/>
            </w:pPr>
            <w:r>
              <w:rPr>
                <w:color w:val="000000"/>
              </w:rPr>
              <w:t>5,862,587,783,596</w:t>
            </w:r>
          </w:p>
        </w:tc>
        <w:tc>
          <w:tcPr>
            <w:tcW w:w="2016" w:type="dxa"/>
            <w:shd w:val="clear" w:color="auto" w:fill="auto"/>
            <w:vAlign w:val="center"/>
          </w:tcPr>
          <w:p w14:paraId="6219F950" w14:textId="540CDC97" w:rsidR="00B94969" w:rsidRPr="00741A23" w:rsidRDefault="00B94969" w:rsidP="00B94969">
            <w:pPr>
              <w:jc w:val="right"/>
            </w:pPr>
            <w:r>
              <w:rPr>
                <w:color w:val="000000"/>
              </w:rPr>
              <w:t>3,800,004,775,163</w:t>
            </w:r>
          </w:p>
        </w:tc>
        <w:tc>
          <w:tcPr>
            <w:tcW w:w="2248" w:type="dxa"/>
            <w:shd w:val="clear" w:color="auto" w:fill="auto"/>
            <w:vAlign w:val="center"/>
          </w:tcPr>
          <w:p w14:paraId="197E4ED4" w14:textId="5D213B86" w:rsidR="00B94969" w:rsidRPr="00741A23" w:rsidRDefault="00B94969" w:rsidP="00B94969">
            <w:pPr>
              <w:jc w:val="right"/>
            </w:pPr>
            <w:r>
              <w:rPr>
                <w:color w:val="000000"/>
              </w:rPr>
              <w:t>54.28%</w:t>
            </w:r>
          </w:p>
        </w:tc>
      </w:tr>
      <w:tr w:rsidR="00B94969" w:rsidRPr="00381192" w14:paraId="0A0067D5" w14:textId="77777777" w:rsidTr="00375C22">
        <w:trPr>
          <w:trHeight w:val="560"/>
        </w:trPr>
        <w:tc>
          <w:tcPr>
            <w:tcW w:w="2830" w:type="dxa"/>
            <w:shd w:val="clear" w:color="auto" w:fill="auto"/>
            <w:vAlign w:val="center"/>
            <w:hideMark/>
          </w:tcPr>
          <w:p w14:paraId="091AD1FC" w14:textId="77777777" w:rsidR="00B94969" w:rsidRPr="00381192" w:rsidRDefault="00B94969" w:rsidP="00B94969">
            <w:proofErr w:type="spellStart"/>
            <w:r w:rsidRPr="00381192">
              <w:lastRenderedPageBreak/>
              <w:t>Giá</w:t>
            </w:r>
            <w:proofErr w:type="spellEnd"/>
            <w:r w:rsidRPr="00381192">
              <w:t xml:space="preserve"> </w:t>
            </w:r>
            <w:proofErr w:type="spellStart"/>
            <w:r w:rsidRPr="00381192">
              <w:t>trị</w:t>
            </w:r>
            <w:proofErr w:type="spellEnd"/>
            <w:r w:rsidRPr="00381192">
              <w:t xml:space="preserve"> </w:t>
            </w:r>
            <w:proofErr w:type="spellStart"/>
            <w:r w:rsidRPr="00381192">
              <w:t>tài</w:t>
            </w:r>
            <w:proofErr w:type="spellEnd"/>
            <w:r w:rsidRPr="00381192">
              <w:t xml:space="preserve"> </w:t>
            </w:r>
            <w:proofErr w:type="spellStart"/>
            <w:r w:rsidRPr="00381192">
              <w:t>sản</w:t>
            </w:r>
            <w:proofErr w:type="spellEnd"/>
            <w:r w:rsidRPr="00381192">
              <w:t xml:space="preserve"> </w:t>
            </w:r>
            <w:proofErr w:type="spellStart"/>
            <w:r w:rsidRPr="00381192">
              <w:t>ròng</w:t>
            </w:r>
            <w:proofErr w:type="spellEnd"/>
            <w:r w:rsidRPr="00381192">
              <w:t xml:space="preserve"> (NAV) </w:t>
            </w:r>
            <w:proofErr w:type="spellStart"/>
            <w:r w:rsidRPr="00381192">
              <w:t>trên</w:t>
            </w:r>
            <w:proofErr w:type="spellEnd"/>
            <w:r w:rsidRPr="00381192">
              <w:t xml:space="preserve"> 1 </w:t>
            </w:r>
            <w:proofErr w:type="spellStart"/>
            <w:r w:rsidRPr="00381192">
              <w:t>đơn</w:t>
            </w:r>
            <w:proofErr w:type="spellEnd"/>
            <w:r w:rsidRPr="00381192">
              <w:t xml:space="preserve"> </w:t>
            </w:r>
            <w:proofErr w:type="spellStart"/>
            <w:r w:rsidRPr="00381192">
              <w:t>vị</w:t>
            </w:r>
            <w:proofErr w:type="spellEnd"/>
            <w:r w:rsidRPr="00381192">
              <w:t xml:space="preserve"> CCQ</w:t>
            </w:r>
          </w:p>
        </w:tc>
        <w:tc>
          <w:tcPr>
            <w:tcW w:w="2540" w:type="dxa"/>
            <w:shd w:val="clear" w:color="auto" w:fill="auto"/>
            <w:vAlign w:val="center"/>
          </w:tcPr>
          <w:p w14:paraId="64F66705" w14:textId="7DD0C99F" w:rsidR="00B94969" w:rsidRPr="00381192" w:rsidRDefault="00B94969" w:rsidP="00B94969">
            <w:pPr>
              <w:jc w:val="right"/>
              <w:rPr>
                <w:color w:val="FF0000"/>
              </w:rPr>
            </w:pPr>
            <w:r>
              <w:rPr>
                <w:color w:val="000000"/>
              </w:rPr>
              <w:t xml:space="preserve">15,999.65 </w:t>
            </w:r>
          </w:p>
        </w:tc>
        <w:tc>
          <w:tcPr>
            <w:tcW w:w="2016" w:type="dxa"/>
            <w:shd w:val="clear" w:color="auto" w:fill="auto"/>
            <w:vAlign w:val="center"/>
          </w:tcPr>
          <w:p w14:paraId="5BDB06AD" w14:textId="4DD3CF4C" w:rsidR="00B94969" w:rsidRPr="00381192" w:rsidRDefault="00B94969" w:rsidP="00B94969">
            <w:pPr>
              <w:jc w:val="right"/>
              <w:rPr>
                <w:color w:val="FF0000"/>
              </w:rPr>
            </w:pPr>
            <w:r>
              <w:rPr>
                <w:color w:val="000000"/>
              </w:rPr>
              <w:t xml:space="preserve">12,138.42 </w:t>
            </w:r>
          </w:p>
        </w:tc>
        <w:tc>
          <w:tcPr>
            <w:tcW w:w="2248" w:type="dxa"/>
            <w:shd w:val="clear" w:color="auto" w:fill="auto"/>
            <w:vAlign w:val="center"/>
          </w:tcPr>
          <w:p w14:paraId="7C9C0F35" w14:textId="31625803" w:rsidR="00B94969" w:rsidRPr="00381192" w:rsidRDefault="00B94969" w:rsidP="00B94969">
            <w:pPr>
              <w:jc w:val="right"/>
              <w:rPr>
                <w:color w:val="FF0000"/>
              </w:rPr>
            </w:pPr>
            <w:r>
              <w:rPr>
                <w:color w:val="000000"/>
              </w:rPr>
              <w:t>31.81%</w:t>
            </w:r>
          </w:p>
        </w:tc>
      </w:tr>
    </w:tbl>
    <w:p w14:paraId="3B79394E" w14:textId="2E216AA1" w:rsidR="007B79CA" w:rsidRDefault="007B79CA" w:rsidP="00513BB8">
      <w:pPr>
        <w:tabs>
          <w:tab w:val="left" w:pos="540"/>
        </w:tabs>
        <w:spacing w:before="120"/>
        <w:jc w:val="both"/>
      </w:pPr>
      <w:r w:rsidRPr="007B79CA">
        <w:tab/>
      </w:r>
      <w:r w:rsidR="006A7BE7" w:rsidRPr="001001C4">
        <w:t xml:space="preserve">Trong </w:t>
      </w:r>
      <w:proofErr w:type="spellStart"/>
      <w:r w:rsidR="006A7BE7" w:rsidRPr="001001C4">
        <w:t>giai</w:t>
      </w:r>
      <w:proofErr w:type="spellEnd"/>
      <w:r w:rsidR="006A7BE7" w:rsidRPr="001001C4">
        <w:t xml:space="preserve"> </w:t>
      </w:r>
      <w:proofErr w:type="spellStart"/>
      <w:r w:rsidR="006A7BE7" w:rsidRPr="001001C4">
        <w:t>đoạn</w:t>
      </w:r>
      <w:proofErr w:type="spellEnd"/>
      <w:r w:rsidR="006A7BE7" w:rsidRPr="001001C4">
        <w:t xml:space="preserve"> 30/</w:t>
      </w:r>
      <w:r w:rsidR="00F55D5B">
        <w:t>0</w:t>
      </w:r>
      <w:r w:rsidR="006A7BE7" w:rsidRPr="001001C4">
        <w:t>6/2023 – 30/</w:t>
      </w:r>
      <w:r w:rsidR="00F55D5B">
        <w:t>0</w:t>
      </w:r>
      <w:r w:rsidR="006A7BE7" w:rsidRPr="001001C4">
        <w:t xml:space="preserve">6/2024, </w:t>
      </w:r>
      <w:proofErr w:type="spellStart"/>
      <w:r w:rsidR="006A7BE7" w:rsidRPr="001001C4">
        <w:t>giá</w:t>
      </w:r>
      <w:proofErr w:type="spellEnd"/>
      <w:r w:rsidR="006A7BE7" w:rsidRPr="001001C4">
        <w:t xml:space="preserve"> </w:t>
      </w:r>
      <w:proofErr w:type="spellStart"/>
      <w:r w:rsidR="006A7BE7" w:rsidRPr="001001C4">
        <w:t>trị</w:t>
      </w:r>
      <w:proofErr w:type="spellEnd"/>
      <w:r w:rsidR="006A7BE7" w:rsidRPr="001001C4">
        <w:t xml:space="preserve"> </w:t>
      </w:r>
      <w:proofErr w:type="spellStart"/>
      <w:r w:rsidR="006A7BE7" w:rsidRPr="001001C4">
        <w:t>tài</w:t>
      </w:r>
      <w:proofErr w:type="spellEnd"/>
      <w:r w:rsidR="006A7BE7" w:rsidRPr="001001C4">
        <w:t xml:space="preserve"> </w:t>
      </w:r>
      <w:proofErr w:type="spellStart"/>
      <w:r w:rsidR="006A7BE7" w:rsidRPr="001001C4">
        <w:t>sản</w:t>
      </w:r>
      <w:proofErr w:type="spellEnd"/>
      <w:r w:rsidR="006A7BE7" w:rsidRPr="001001C4">
        <w:t xml:space="preserve"> </w:t>
      </w:r>
      <w:proofErr w:type="spellStart"/>
      <w:r w:rsidR="006A7BE7" w:rsidRPr="001001C4">
        <w:t>ròng</w:t>
      </w:r>
      <w:proofErr w:type="spellEnd"/>
      <w:r w:rsidR="006A7BE7" w:rsidRPr="001001C4">
        <w:t xml:space="preserve"> </w:t>
      </w:r>
      <w:proofErr w:type="spellStart"/>
      <w:r w:rsidR="006A7BE7" w:rsidRPr="001001C4">
        <w:t>trên</w:t>
      </w:r>
      <w:proofErr w:type="spellEnd"/>
      <w:r w:rsidR="006A7BE7" w:rsidRPr="001001C4">
        <w:t xml:space="preserve"> 1 </w:t>
      </w:r>
      <w:proofErr w:type="spellStart"/>
      <w:r w:rsidR="006A7BE7" w:rsidRPr="001001C4">
        <w:t>đơn</w:t>
      </w:r>
      <w:proofErr w:type="spellEnd"/>
      <w:r w:rsidR="006A7BE7" w:rsidRPr="001001C4">
        <w:t xml:space="preserve"> </w:t>
      </w:r>
      <w:proofErr w:type="spellStart"/>
      <w:r w:rsidR="006A7BE7" w:rsidRPr="001001C4">
        <w:t>vị</w:t>
      </w:r>
      <w:proofErr w:type="spellEnd"/>
      <w:r w:rsidR="006A7BE7" w:rsidRPr="001001C4">
        <w:t xml:space="preserve"> CCQ </w:t>
      </w:r>
      <w:proofErr w:type="spellStart"/>
      <w:r w:rsidR="006A7BE7" w:rsidRPr="001001C4">
        <w:t>của</w:t>
      </w:r>
      <w:proofErr w:type="spellEnd"/>
      <w:r w:rsidR="006A7BE7" w:rsidRPr="001001C4">
        <w:t xml:space="preserve"> </w:t>
      </w:r>
      <w:proofErr w:type="spellStart"/>
      <w:r w:rsidR="006A7BE7" w:rsidRPr="001001C4">
        <w:t>Quỹ</w:t>
      </w:r>
      <w:proofErr w:type="spellEnd"/>
      <w:r w:rsidR="006A7BE7" w:rsidRPr="001001C4">
        <w:t xml:space="preserve"> </w:t>
      </w:r>
      <w:proofErr w:type="spellStart"/>
      <w:r w:rsidR="006A7BE7" w:rsidRPr="001001C4">
        <w:t>tăng</w:t>
      </w:r>
      <w:proofErr w:type="spellEnd"/>
      <w:r w:rsidR="006A7BE7" w:rsidRPr="001001C4">
        <w:t xml:space="preserve"> 54.28% </w:t>
      </w:r>
      <w:proofErr w:type="spellStart"/>
      <w:r w:rsidR="006A7BE7" w:rsidRPr="001001C4">
        <w:t>nhờ</w:t>
      </w:r>
      <w:proofErr w:type="spellEnd"/>
      <w:r w:rsidR="006A7BE7" w:rsidRPr="001001C4">
        <w:t xml:space="preserve"> </w:t>
      </w:r>
      <w:proofErr w:type="spellStart"/>
      <w:r w:rsidR="006A7BE7" w:rsidRPr="001001C4">
        <w:t>các</w:t>
      </w:r>
      <w:proofErr w:type="spellEnd"/>
      <w:r w:rsidR="006A7BE7" w:rsidRPr="001001C4">
        <w:t xml:space="preserve"> </w:t>
      </w:r>
      <w:proofErr w:type="spellStart"/>
      <w:r w:rsidR="006A7BE7" w:rsidRPr="001001C4">
        <w:t>cổ</w:t>
      </w:r>
      <w:proofErr w:type="spellEnd"/>
      <w:r w:rsidR="006A7BE7" w:rsidRPr="001001C4">
        <w:t xml:space="preserve"> </w:t>
      </w:r>
      <w:proofErr w:type="spellStart"/>
      <w:r w:rsidR="006A7BE7" w:rsidRPr="001001C4">
        <w:t>phiếu</w:t>
      </w:r>
      <w:proofErr w:type="spellEnd"/>
      <w:r w:rsidR="006A7BE7" w:rsidRPr="001001C4">
        <w:t xml:space="preserve"> </w:t>
      </w:r>
      <w:proofErr w:type="spellStart"/>
      <w:r w:rsidR="006A7BE7" w:rsidRPr="001001C4">
        <w:t>trong</w:t>
      </w:r>
      <w:proofErr w:type="spellEnd"/>
      <w:r w:rsidR="006A7BE7" w:rsidRPr="001001C4">
        <w:t xml:space="preserve"> </w:t>
      </w:r>
      <w:proofErr w:type="spellStart"/>
      <w:r w:rsidR="006A7BE7" w:rsidRPr="001001C4">
        <w:t>danh</w:t>
      </w:r>
      <w:proofErr w:type="spellEnd"/>
      <w:r w:rsidR="006A7BE7" w:rsidRPr="001001C4">
        <w:t xml:space="preserve"> </w:t>
      </w:r>
      <w:proofErr w:type="spellStart"/>
      <w:r w:rsidR="006A7BE7" w:rsidRPr="001001C4">
        <w:t>mục</w:t>
      </w:r>
      <w:proofErr w:type="spellEnd"/>
      <w:r w:rsidR="006A7BE7" w:rsidRPr="001001C4">
        <w:t xml:space="preserve"> </w:t>
      </w:r>
      <w:proofErr w:type="spellStart"/>
      <w:r w:rsidR="006A7BE7" w:rsidRPr="001001C4">
        <w:t>Quỹ</w:t>
      </w:r>
      <w:proofErr w:type="spellEnd"/>
      <w:r w:rsidR="006A7BE7" w:rsidRPr="001001C4">
        <w:t xml:space="preserve"> </w:t>
      </w:r>
      <w:proofErr w:type="spellStart"/>
      <w:r w:rsidR="006A7BE7" w:rsidRPr="001001C4">
        <w:t>đạt</w:t>
      </w:r>
      <w:proofErr w:type="spellEnd"/>
      <w:r w:rsidR="006A7BE7" w:rsidRPr="001001C4">
        <w:t xml:space="preserve"> </w:t>
      </w:r>
      <w:proofErr w:type="spellStart"/>
      <w:r w:rsidR="006A7BE7" w:rsidRPr="001001C4">
        <w:t>tăng</w:t>
      </w:r>
      <w:proofErr w:type="spellEnd"/>
      <w:r w:rsidR="006A7BE7" w:rsidRPr="001001C4">
        <w:t xml:space="preserve"> </w:t>
      </w:r>
      <w:proofErr w:type="spellStart"/>
      <w:r w:rsidR="006A7BE7" w:rsidRPr="001001C4">
        <w:t>trưởng</w:t>
      </w:r>
      <w:proofErr w:type="spellEnd"/>
      <w:r w:rsidR="006A7BE7" w:rsidRPr="001001C4">
        <w:t xml:space="preserve"> </w:t>
      </w:r>
      <w:proofErr w:type="spellStart"/>
      <w:r w:rsidR="006A7BE7" w:rsidRPr="001001C4">
        <w:t>tốt</w:t>
      </w:r>
      <w:proofErr w:type="spellEnd"/>
      <w:r w:rsidR="006A7BE7" w:rsidRPr="001001C4">
        <w:t xml:space="preserve">. </w:t>
      </w:r>
      <w:proofErr w:type="spellStart"/>
      <w:r w:rsidR="006A7BE7" w:rsidRPr="001001C4">
        <w:t>Ngoài</w:t>
      </w:r>
      <w:proofErr w:type="spellEnd"/>
      <w:r w:rsidR="006A7BE7" w:rsidRPr="001001C4">
        <w:t xml:space="preserve"> </w:t>
      </w:r>
      <w:proofErr w:type="spellStart"/>
      <w:r w:rsidR="006A7BE7" w:rsidRPr="001001C4">
        <w:t>ra</w:t>
      </w:r>
      <w:proofErr w:type="spellEnd"/>
      <w:r w:rsidR="006A7BE7" w:rsidRPr="001001C4">
        <w:t xml:space="preserve">, </w:t>
      </w:r>
      <w:proofErr w:type="spellStart"/>
      <w:r w:rsidR="006A7BE7" w:rsidRPr="001001C4">
        <w:t>tổng</w:t>
      </w:r>
      <w:proofErr w:type="spellEnd"/>
      <w:r w:rsidR="006A7BE7" w:rsidRPr="001001C4">
        <w:t xml:space="preserve"> </w:t>
      </w:r>
      <w:proofErr w:type="spellStart"/>
      <w:r w:rsidR="006A7BE7" w:rsidRPr="001001C4">
        <w:t>giá</w:t>
      </w:r>
      <w:proofErr w:type="spellEnd"/>
      <w:r w:rsidR="006A7BE7" w:rsidRPr="001001C4">
        <w:t xml:space="preserve"> </w:t>
      </w:r>
      <w:proofErr w:type="spellStart"/>
      <w:r w:rsidR="006A7BE7" w:rsidRPr="001001C4">
        <w:t>trị</w:t>
      </w:r>
      <w:proofErr w:type="spellEnd"/>
      <w:r w:rsidR="006A7BE7" w:rsidRPr="001001C4">
        <w:t xml:space="preserve"> </w:t>
      </w:r>
      <w:proofErr w:type="spellStart"/>
      <w:r w:rsidR="006A7BE7" w:rsidRPr="001001C4">
        <w:t>tài</w:t>
      </w:r>
      <w:proofErr w:type="spellEnd"/>
      <w:r w:rsidR="006A7BE7" w:rsidRPr="001001C4">
        <w:t xml:space="preserve"> </w:t>
      </w:r>
      <w:proofErr w:type="spellStart"/>
      <w:r w:rsidR="006A7BE7" w:rsidRPr="001001C4">
        <w:t>sản</w:t>
      </w:r>
      <w:proofErr w:type="spellEnd"/>
      <w:r w:rsidR="006A7BE7" w:rsidRPr="001001C4">
        <w:t xml:space="preserve"> </w:t>
      </w:r>
      <w:proofErr w:type="spellStart"/>
      <w:r w:rsidR="006A7BE7" w:rsidRPr="001001C4">
        <w:t>ròng</w:t>
      </w:r>
      <w:proofErr w:type="spellEnd"/>
      <w:r w:rsidR="006A7BE7" w:rsidRPr="001001C4">
        <w:t xml:space="preserve"> (NAV) </w:t>
      </w:r>
      <w:proofErr w:type="spellStart"/>
      <w:r w:rsidR="006A7BE7" w:rsidRPr="001001C4">
        <w:t>của</w:t>
      </w:r>
      <w:proofErr w:type="spellEnd"/>
      <w:r w:rsidR="006A7BE7" w:rsidRPr="001001C4">
        <w:t xml:space="preserve"> </w:t>
      </w:r>
      <w:proofErr w:type="spellStart"/>
      <w:r w:rsidR="006A7BE7" w:rsidRPr="001001C4">
        <w:t>Quỹ</w:t>
      </w:r>
      <w:proofErr w:type="spellEnd"/>
      <w:r w:rsidR="006A7BE7" w:rsidRPr="001001C4">
        <w:t xml:space="preserve"> </w:t>
      </w:r>
      <w:proofErr w:type="spellStart"/>
      <w:r w:rsidR="006A7BE7" w:rsidRPr="001001C4">
        <w:t>cũng</w:t>
      </w:r>
      <w:proofErr w:type="spellEnd"/>
      <w:r w:rsidR="006A7BE7" w:rsidRPr="001001C4">
        <w:t xml:space="preserve"> </w:t>
      </w:r>
      <w:proofErr w:type="spellStart"/>
      <w:r w:rsidR="006A7BE7" w:rsidRPr="001001C4">
        <w:t>tăng</w:t>
      </w:r>
      <w:proofErr w:type="spellEnd"/>
      <w:r w:rsidR="006A7BE7" w:rsidRPr="001001C4">
        <w:t xml:space="preserve"> 31.81% </w:t>
      </w:r>
      <w:proofErr w:type="spellStart"/>
      <w:r w:rsidR="006A7BE7" w:rsidRPr="001001C4">
        <w:t>trong</w:t>
      </w:r>
      <w:proofErr w:type="spellEnd"/>
      <w:r w:rsidR="006A7BE7" w:rsidRPr="001001C4">
        <w:t xml:space="preserve"> </w:t>
      </w:r>
      <w:proofErr w:type="spellStart"/>
      <w:r w:rsidR="006A7BE7" w:rsidRPr="001001C4">
        <w:t>cùng</w:t>
      </w:r>
      <w:proofErr w:type="spellEnd"/>
      <w:r w:rsidR="006A7BE7" w:rsidRPr="001001C4">
        <w:t xml:space="preserve"> </w:t>
      </w:r>
      <w:proofErr w:type="spellStart"/>
      <w:r w:rsidR="006A7BE7" w:rsidRPr="001001C4">
        <w:t>kỳ</w:t>
      </w:r>
      <w:proofErr w:type="spellEnd"/>
      <w:r w:rsidR="006A7BE7" w:rsidRPr="001001C4">
        <w:t xml:space="preserve"> </w:t>
      </w:r>
      <w:proofErr w:type="spellStart"/>
      <w:r w:rsidR="006A7BE7" w:rsidRPr="001001C4">
        <w:t>nhờ</w:t>
      </w:r>
      <w:proofErr w:type="spellEnd"/>
      <w:r w:rsidR="006A7BE7" w:rsidRPr="001001C4">
        <w:t xml:space="preserve"> </w:t>
      </w:r>
      <w:proofErr w:type="spellStart"/>
      <w:r w:rsidR="006A7BE7" w:rsidRPr="001001C4">
        <w:t>phát</w:t>
      </w:r>
      <w:proofErr w:type="spellEnd"/>
      <w:r w:rsidR="006A7BE7" w:rsidRPr="001001C4">
        <w:t xml:space="preserve"> </w:t>
      </w:r>
      <w:proofErr w:type="spellStart"/>
      <w:r w:rsidR="006A7BE7" w:rsidRPr="001001C4">
        <w:t>hành</w:t>
      </w:r>
      <w:proofErr w:type="spellEnd"/>
      <w:r w:rsidR="006A7BE7" w:rsidRPr="001001C4">
        <w:t xml:space="preserve"> </w:t>
      </w:r>
      <w:proofErr w:type="spellStart"/>
      <w:r w:rsidR="006A7BE7" w:rsidRPr="001001C4">
        <w:t>thêm</w:t>
      </w:r>
      <w:proofErr w:type="spellEnd"/>
      <w:r w:rsidR="006A7BE7" w:rsidRPr="001001C4">
        <w:t xml:space="preserve"> </w:t>
      </w:r>
      <w:proofErr w:type="spellStart"/>
      <w:r w:rsidR="006A7BE7" w:rsidRPr="001001C4">
        <w:t>chứng</w:t>
      </w:r>
      <w:proofErr w:type="spellEnd"/>
      <w:r w:rsidR="006A7BE7" w:rsidRPr="001001C4">
        <w:t xml:space="preserve"> </w:t>
      </w:r>
      <w:proofErr w:type="spellStart"/>
      <w:r w:rsidR="006A7BE7" w:rsidRPr="001001C4">
        <w:t>chỉ</w:t>
      </w:r>
      <w:proofErr w:type="spellEnd"/>
      <w:r w:rsidR="006A7BE7" w:rsidRPr="001001C4">
        <w:t xml:space="preserve"> </w:t>
      </w:r>
      <w:proofErr w:type="spellStart"/>
      <w:r w:rsidR="006A7BE7" w:rsidRPr="001001C4">
        <w:t>quỹ</w:t>
      </w:r>
      <w:proofErr w:type="spellEnd"/>
      <w:r w:rsidR="006A7BE7" w:rsidRPr="001001C4">
        <w:t xml:space="preserve"> </w:t>
      </w:r>
      <w:proofErr w:type="spellStart"/>
      <w:r w:rsidR="006A7BE7" w:rsidRPr="001001C4">
        <w:t>cho</w:t>
      </w:r>
      <w:proofErr w:type="spellEnd"/>
      <w:r w:rsidR="006A7BE7" w:rsidRPr="001001C4">
        <w:t xml:space="preserve"> </w:t>
      </w:r>
      <w:proofErr w:type="spellStart"/>
      <w:r w:rsidR="006A7BE7" w:rsidRPr="001001C4">
        <w:t>nhà</w:t>
      </w:r>
      <w:proofErr w:type="spellEnd"/>
      <w:r w:rsidR="006A7BE7" w:rsidRPr="001001C4">
        <w:t xml:space="preserve"> </w:t>
      </w:r>
      <w:proofErr w:type="spellStart"/>
      <w:r w:rsidR="006A7BE7" w:rsidRPr="001001C4">
        <w:t>đầu</w:t>
      </w:r>
      <w:proofErr w:type="spellEnd"/>
      <w:r w:rsidR="006A7BE7" w:rsidRPr="001001C4">
        <w:t xml:space="preserve"> </w:t>
      </w:r>
      <w:proofErr w:type="spellStart"/>
      <w:r w:rsidR="006A7BE7" w:rsidRPr="001001C4">
        <w:t>tư</w:t>
      </w:r>
      <w:proofErr w:type="spellEnd"/>
      <w:r w:rsidR="006A7BE7" w:rsidRPr="001001C4">
        <w:t>.</w:t>
      </w:r>
    </w:p>
    <w:p w14:paraId="5C3BF098" w14:textId="77777777" w:rsidR="00513BB8" w:rsidRDefault="00513BB8" w:rsidP="00513BB8">
      <w:pPr>
        <w:tabs>
          <w:tab w:val="left" w:pos="540"/>
        </w:tabs>
        <w:spacing w:before="120"/>
        <w:jc w:val="both"/>
        <w:rPr>
          <w:b/>
          <w:lang w:val="nl-NL"/>
        </w:rPr>
      </w:pPr>
    </w:p>
    <w:p w14:paraId="57E0094D" w14:textId="064A6248" w:rsidR="008F56E6" w:rsidRPr="007B79CA" w:rsidRDefault="007B79CA" w:rsidP="007B79CA">
      <w:pPr>
        <w:pStyle w:val="ListParagraph"/>
        <w:numPr>
          <w:ilvl w:val="1"/>
          <w:numId w:val="1"/>
        </w:numPr>
        <w:tabs>
          <w:tab w:val="left" w:pos="540"/>
        </w:tabs>
        <w:rPr>
          <w:rFonts w:ascii="Times New Roman" w:hAnsi="Times New Roman"/>
          <w:b/>
          <w:sz w:val="24"/>
          <w:szCs w:val="24"/>
          <w:lang w:val="nl-NL"/>
        </w:rPr>
      </w:pPr>
      <w:r>
        <w:rPr>
          <w:rFonts w:ascii="Times New Roman" w:hAnsi="Times New Roman"/>
          <w:b/>
          <w:sz w:val="24"/>
          <w:szCs w:val="24"/>
          <w:lang w:val="nl-NL"/>
        </w:rPr>
        <w:t xml:space="preserve"> </w:t>
      </w:r>
      <w:r w:rsidR="007922E7" w:rsidRPr="007B79CA">
        <w:rPr>
          <w:rFonts w:ascii="Times New Roman" w:hAnsi="Times New Roman"/>
          <w:b/>
          <w:sz w:val="24"/>
          <w:szCs w:val="24"/>
          <w:lang w:val="nl-NL"/>
        </w:rPr>
        <w:t>Thống kê về Nhà đầu tư nắm giữ Chứng chỉ quỹ tại thời điểm báo cáo</w:t>
      </w:r>
    </w:p>
    <w:tbl>
      <w:tblPr>
        <w:tblW w:w="9540" w:type="dxa"/>
        <w:tblLook w:val="04A0" w:firstRow="1" w:lastRow="0" w:firstColumn="1" w:lastColumn="0" w:noHBand="0" w:noVBand="1"/>
      </w:tblPr>
      <w:tblGrid>
        <w:gridCol w:w="2620"/>
        <w:gridCol w:w="2240"/>
        <w:gridCol w:w="2520"/>
        <w:gridCol w:w="2160"/>
      </w:tblGrid>
      <w:tr w:rsidR="007B79CA" w:rsidRPr="007B79CA" w14:paraId="28ADD236" w14:textId="77777777" w:rsidTr="004B04F5">
        <w:trPr>
          <w:trHeight w:val="290"/>
        </w:trPr>
        <w:tc>
          <w:tcPr>
            <w:tcW w:w="2620" w:type="dxa"/>
            <w:vMerge w:val="restart"/>
            <w:tcBorders>
              <w:top w:val="nil"/>
              <w:left w:val="nil"/>
              <w:bottom w:val="nil"/>
              <w:right w:val="nil"/>
            </w:tcBorders>
            <w:shd w:val="clear" w:color="auto" w:fill="auto"/>
            <w:vAlign w:val="center"/>
            <w:hideMark/>
          </w:tcPr>
          <w:p w14:paraId="72690C89" w14:textId="77777777" w:rsidR="007B3182" w:rsidRPr="007B79CA" w:rsidRDefault="007B3182" w:rsidP="00381192">
            <w:pPr>
              <w:jc w:val="center"/>
              <w:rPr>
                <w:b/>
                <w:bCs/>
              </w:rPr>
            </w:pPr>
            <w:r w:rsidRPr="007B79CA">
              <w:rPr>
                <w:b/>
                <w:bCs/>
              </w:rPr>
              <w:t xml:space="preserve">Quy </w:t>
            </w:r>
            <w:proofErr w:type="spellStart"/>
            <w:r w:rsidRPr="007B79CA">
              <w:rPr>
                <w:b/>
                <w:bCs/>
              </w:rPr>
              <w:t>mô</w:t>
            </w:r>
            <w:proofErr w:type="spellEnd"/>
            <w:r w:rsidRPr="007B79CA">
              <w:rPr>
                <w:b/>
                <w:bCs/>
              </w:rPr>
              <w:t xml:space="preserve"> </w:t>
            </w:r>
            <w:proofErr w:type="spellStart"/>
            <w:r w:rsidRPr="007B79CA">
              <w:rPr>
                <w:b/>
                <w:bCs/>
              </w:rPr>
              <w:t>nắm</w:t>
            </w:r>
            <w:proofErr w:type="spellEnd"/>
            <w:r w:rsidRPr="007B79CA">
              <w:rPr>
                <w:b/>
                <w:bCs/>
              </w:rPr>
              <w:t xml:space="preserve"> </w:t>
            </w:r>
            <w:proofErr w:type="spellStart"/>
            <w:r w:rsidRPr="007B79CA">
              <w:rPr>
                <w:b/>
                <w:bCs/>
              </w:rPr>
              <w:t>giữ</w:t>
            </w:r>
            <w:proofErr w:type="spellEnd"/>
            <w:r w:rsidRPr="007B79CA">
              <w:rPr>
                <w:b/>
                <w:bCs/>
              </w:rPr>
              <w:t xml:space="preserve"> (</w:t>
            </w:r>
            <w:proofErr w:type="spellStart"/>
            <w:r w:rsidRPr="007B79CA">
              <w:rPr>
                <w:b/>
                <w:bCs/>
              </w:rPr>
              <w:t>Đơn</w:t>
            </w:r>
            <w:proofErr w:type="spellEnd"/>
            <w:r w:rsidRPr="007B79CA">
              <w:rPr>
                <w:b/>
                <w:bCs/>
              </w:rPr>
              <w:t xml:space="preserve"> </w:t>
            </w:r>
            <w:proofErr w:type="spellStart"/>
            <w:r w:rsidRPr="007B79CA">
              <w:rPr>
                <w:b/>
                <w:bCs/>
              </w:rPr>
              <w:t>vị</w:t>
            </w:r>
            <w:proofErr w:type="spellEnd"/>
            <w:r w:rsidRPr="007B79CA">
              <w:rPr>
                <w:b/>
                <w:bCs/>
              </w:rPr>
              <w:t>)</w:t>
            </w:r>
          </w:p>
        </w:tc>
        <w:tc>
          <w:tcPr>
            <w:tcW w:w="2240" w:type="dxa"/>
            <w:vMerge w:val="restart"/>
            <w:tcBorders>
              <w:top w:val="nil"/>
              <w:left w:val="nil"/>
              <w:bottom w:val="nil"/>
              <w:right w:val="nil"/>
            </w:tcBorders>
            <w:shd w:val="clear" w:color="auto" w:fill="auto"/>
            <w:vAlign w:val="center"/>
            <w:hideMark/>
          </w:tcPr>
          <w:p w14:paraId="4312E7F1" w14:textId="77777777" w:rsidR="007B3182" w:rsidRPr="007B79CA" w:rsidRDefault="007B3182" w:rsidP="00381192">
            <w:pPr>
              <w:jc w:val="center"/>
              <w:rPr>
                <w:b/>
                <w:bCs/>
              </w:rPr>
            </w:pPr>
            <w:proofErr w:type="spellStart"/>
            <w:r w:rsidRPr="007B79CA">
              <w:rPr>
                <w:b/>
                <w:bCs/>
              </w:rPr>
              <w:t>Số</w:t>
            </w:r>
            <w:proofErr w:type="spellEnd"/>
            <w:r w:rsidRPr="007B79CA">
              <w:rPr>
                <w:b/>
                <w:bCs/>
              </w:rPr>
              <w:t xml:space="preserve"> </w:t>
            </w:r>
            <w:proofErr w:type="spellStart"/>
            <w:r w:rsidRPr="007B79CA">
              <w:rPr>
                <w:b/>
                <w:bCs/>
              </w:rPr>
              <w:t>lượng</w:t>
            </w:r>
            <w:proofErr w:type="spellEnd"/>
            <w:r w:rsidRPr="007B79CA">
              <w:rPr>
                <w:b/>
                <w:bCs/>
              </w:rPr>
              <w:t xml:space="preserve"> </w:t>
            </w:r>
            <w:proofErr w:type="spellStart"/>
            <w:r w:rsidRPr="007B79CA">
              <w:rPr>
                <w:b/>
                <w:bCs/>
              </w:rPr>
              <w:t>Nhà</w:t>
            </w:r>
            <w:proofErr w:type="spellEnd"/>
            <w:r w:rsidRPr="007B79CA">
              <w:rPr>
                <w:b/>
                <w:bCs/>
              </w:rPr>
              <w:t xml:space="preserve"> </w:t>
            </w:r>
            <w:proofErr w:type="spellStart"/>
            <w:r w:rsidRPr="007B79CA">
              <w:rPr>
                <w:b/>
                <w:bCs/>
              </w:rPr>
              <w:t>đầu</w:t>
            </w:r>
            <w:proofErr w:type="spellEnd"/>
            <w:r w:rsidRPr="007B79CA">
              <w:rPr>
                <w:b/>
                <w:bCs/>
              </w:rPr>
              <w:t xml:space="preserve"> </w:t>
            </w:r>
            <w:proofErr w:type="spellStart"/>
            <w:r w:rsidRPr="007B79CA">
              <w:rPr>
                <w:b/>
                <w:bCs/>
              </w:rPr>
              <w:t>tư</w:t>
            </w:r>
            <w:proofErr w:type="spellEnd"/>
            <w:r w:rsidRPr="007B79CA">
              <w:rPr>
                <w:b/>
                <w:bCs/>
              </w:rPr>
              <w:t xml:space="preserve"> </w:t>
            </w:r>
            <w:proofErr w:type="spellStart"/>
            <w:r w:rsidRPr="007B79CA">
              <w:rPr>
                <w:b/>
                <w:bCs/>
              </w:rPr>
              <w:t>nắm</w:t>
            </w:r>
            <w:proofErr w:type="spellEnd"/>
            <w:r w:rsidRPr="007B79CA">
              <w:rPr>
                <w:b/>
                <w:bCs/>
              </w:rPr>
              <w:t xml:space="preserve"> </w:t>
            </w:r>
            <w:proofErr w:type="spellStart"/>
            <w:r w:rsidRPr="007B79CA">
              <w:rPr>
                <w:b/>
                <w:bCs/>
              </w:rPr>
              <w:t>giữ</w:t>
            </w:r>
            <w:proofErr w:type="spellEnd"/>
          </w:p>
        </w:tc>
        <w:tc>
          <w:tcPr>
            <w:tcW w:w="2520" w:type="dxa"/>
            <w:vMerge w:val="restart"/>
            <w:tcBorders>
              <w:top w:val="nil"/>
              <w:left w:val="nil"/>
              <w:bottom w:val="nil"/>
              <w:right w:val="nil"/>
            </w:tcBorders>
            <w:shd w:val="clear" w:color="auto" w:fill="auto"/>
            <w:vAlign w:val="center"/>
            <w:hideMark/>
          </w:tcPr>
          <w:p w14:paraId="4758F246" w14:textId="77777777" w:rsidR="007B3182" w:rsidRPr="007B79CA" w:rsidRDefault="007B3182" w:rsidP="00381192">
            <w:pPr>
              <w:jc w:val="center"/>
              <w:rPr>
                <w:b/>
                <w:bCs/>
              </w:rPr>
            </w:pPr>
            <w:proofErr w:type="spellStart"/>
            <w:r w:rsidRPr="007B79CA">
              <w:rPr>
                <w:b/>
                <w:bCs/>
              </w:rPr>
              <w:t>Số</w:t>
            </w:r>
            <w:proofErr w:type="spellEnd"/>
            <w:r w:rsidRPr="007B79CA">
              <w:rPr>
                <w:b/>
                <w:bCs/>
              </w:rPr>
              <w:t xml:space="preserve"> </w:t>
            </w:r>
            <w:proofErr w:type="spellStart"/>
            <w:r w:rsidRPr="007B79CA">
              <w:rPr>
                <w:b/>
                <w:bCs/>
              </w:rPr>
              <w:t>lượng</w:t>
            </w:r>
            <w:proofErr w:type="spellEnd"/>
            <w:r w:rsidRPr="007B79CA">
              <w:rPr>
                <w:b/>
                <w:bCs/>
              </w:rPr>
              <w:t xml:space="preserve"> </w:t>
            </w:r>
            <w:proofErr w:type="spellStart"/>
            <w:r w:rsidRPr="007B79CA">
              <w:rPr>
                <w:b/>
                <w:bCs/>
              </w:rPr>
              <w:t>đơn</w:t>
            </w:r>
            <w:proofErr w:type="spellEnd"/>
            <w:r w:rsidRPr="007B79CA">
              <w:rPr>
                <w:b/>
                <w:bCs/>
              </w:rPr>
              <w:t xml:space="preserve"> </w:t>
            </w:r>
            <w:proofErr w:type="spellStart"/>
            <w:r w:rsidRPr="007B79CA">
              <w:rPr>
                <w:b/>
                <w:bCs/>
              </w:rPr>
              <w:t>vị</w:t>
            </w:r>
            <w:proofErr w:type="spellEnd"/>
            <w:r w:rsidRPr="007B79CA">
              <w:rPr>
                <w:b/>
                <w:bCs/>
              </w:rPr>
              <w:t xml:space="preserve"> </w:t>
            </w:r>
            <w:proofErr w:type="spellStart"/>
            <w:r w:rsidRPr="007B79CA">
              <w:rPr>
                <w:b/>
                <w:bCs/>
              </w:rPr>
              <w:t>Chứng</w:t>
            </w:r>
            <w:proofErr w:type="spellEnd"/>
            <w:r w:rsidRPr="007B79CA">
              <w:rPr>
                <w:b/>
                <w:bCs/>
              </w:rPr>
              <w:t xml:space="preserve"> </w:t>
            </w:r>
            <w:proofErr w:type="spellStart"/>
            <w:r w:rsidRPr="007B79CA">
              <w:rPr>
                <w:b/>
                <w:bCs/>
              </w:rPr>
              <w:t>chỉ</w:t>
            </w:r>
            <w:proofErr w:type="spellEnd"/>
            <w:r w:rsidRPr="007B79CA">
              <w:rPr>
                <w:b/>
                <w:bCs/>
              </w:rPr>
              <w:t xml:space="preserve"> </w:t>
            </w:r>
            <w:proofErr w:type="spellStart"/>
            <w:r w:rsidRPr="007B79CA">
              <w:rPr>
                <w:b/>
                <w:bCs/>
              </w:rPr>
              <w:t>quỹ</w:t>
            </w:r>
            <w:proofErr w:type="spellEnd"/>
            <w:r w:rsidRPr="007B79CA">
              <w:rPr>
                <w:b/>
                <w:bCs/>
              </w:rPr>
              <w:t xml:space="preserve"> </w:t>
            </w:r>
            <w:proofErr w:type="spellStart"/>
            <w:r w:rsidRPr="007B79CA">
              <w:rPr>
                <w:b/>
                <w:bCs/>
              </w:rPr>
              <w:t>nắm</w:t>
            </w:r>
            <w:proofErr w:type="spellEnd"/>
            <w:r w:rsidRPr="007B79CA">
              <w:rPr>
                <w:b/>
                <w:bCs/>
              </w:rPr>
              <w:t xml:space="preserve"> </w:t>
            </w:r>
            <w:proofErr w:type="spellStart"/>
            <w:r w:rsidRPr="007B79CA">
              <w:rPr>
                <w:b/>
                <w:bCs/>
              </w:rPr>
              <w:t>giữ</w:t>
            </w:r>
            <w:proofErr w:type="spellEnd"/>
          </w:p>
        </w:tc>
        <w:tc>
          <w:tcPr>
            <w:tcW w:w="2160" w:type="dxa"/>
            <w:tcBorders>
              <w:top w:val="nil"/>
              <w:left w:val="nil"/>
              <w:bottom w:val="nil"/>
              <w:right w:val="nil"/>
            </w:tcBorders>
            <w:shd w:val="clear" w:color="auto" w:fill="auto"/>
            <w:vAlign w:val="center"/>
            <w:hideMark/>
          </w:tcPr>
          <w:p w14:paraId="3A534C95" w14:textId="77777777" w:rsidR="007B3182" w:rsidRPr="007B79CA" w:rsidRDefault="007B3182" w:rsidP="00381192">
            <w:pPr>
              <w:jc w:val="center"/>
              <w:rPr>
                <w:b/>
                <w:bCs/>
              </w:rPr>
            </w:pPr>
            <w:proofErr w:type="spellStart"/>
            <w:r w:rsidRPr="007B79CA">
              <w:rPr>
                <w:b/>
                <w:bCs/>
              </w:rPr>
              <w:t>Tỷ</w:t>
            </w:r>
            <w:proofErr w:type="spellEnd"/>
            <w:r w:rsidRPr="007B79CA">
              <w:rPr>
                <w:b/>
                <w:bCs/>
              </w:rPr>
              <w:t xml:space="preserve"> lệ </w:t>
            </w:r>
            <w:proofErr w:type="spellStart"/>
            <w:r w:rsidRPr="007B79CA">
              <w:rPr>
                <w:b/>
                <w:bCs/>
              </w:rPr>
              <w:t>nắm</w:t>
            </w:r>
            <w:proofErr w:type="spellEnd"/>
            <w:r w:rsidRPr="007B79CA">
              <w:rPr>
                <w:b/>
                <w:bCs/>
              </w:rPr>
              <w:t xml:space="preserve"> </w:t>
            </w:r>
            <w:proofErr w:type="spellStart"/>
            <w:r w:rsidRPr="007B79CA">
              <w:rPr>
                <w:b/>
                <w:bCs/>
              </w:rPr>
              <w:t>giữ</w:t>
            </w:r>
            <w:proofErr w:type="spellEnd"/>
          </w:p>
        </w:tc>
      </w:tr>
      <w:tr w:rsidR="007B79CA" w:rsidRPr="007B79CA" w14:paraId="01188F0D" w14:textId="77777777" w:rsidTr="004B04F5">
        <w:trPr>
          <w:trHeight w:val="290"/>
        </w:trPr>
        <w:tc>
          <w:tcPr>
            <w:tcW w:w="2620" w:type="dxa"/>
            <w:vMerge/>
            <w:tcBorders>
              <w:top w:val="nil"/>
              <w:left w:val="nil"/>
              <w:bottom w:val="nil"/>
              <w:right w:val="nil"/>
            </w:tcBorders>
            <w:vAlign w:val="center"/>
            <w:hideMark/>
          </w:tcPr>
          <w:p w14:paraId="2F66328B" w14:textId="77777777" w:rsidR="007B3182" w:rsidRPr="007B79CA" w:rsidRDefault="007B3182" w:rsidP="00381192">
            <w:pPr>
              <w:rPr>
                <w:b/>
                <w:bCs/>
              </w:rPr>
            </w:pPr>
          </w:p>
        </w:tc>
        <w:tc>
          <w:tcPr>
            <w:tcW w:w="2240" w:type="dxa"/>
            <w:vMerge/>
            <w:tcBorders>
              <w:top w:val="nil"/>
              <w:left w:val="nil"/>
              <w:bottom w:val="nil"/>
              <w:right w:val="nil"/>
            </w:tcBorders>
            <w:vAlign w:val="center"/>
            <w:hideMark/>
          </w:tcPr>
          <w:p w14:paraId="7EADB890" w14:textId="77777777" w:rsidR="007B3182" w:rsidRPr="007B79CA" w:rsidRDefault="007B3182" w:rsidP="00381192">
            <w:pPr>
              <w:rPr>
                <w:b/>
                <w:bCs/>
              </w:rPr>
            </w:pPr>
          </w:p>
        </w:tc>
        <w:tc>
          <w:tcPr>
            <w:tcW w:w="2520" w:type="dxa"/>
            <w:vMerge/>
            <w:tcBorders>
              <w:top w:val="nil"/>
              <w:left w:val="nil"/>
              <w:bottom w:val="nil"/>
              <w:right w:val="nil"/>
            </w:tcBorders>
            <w:vAlign w:val="center"/>
            <w:hideMark/>
          </w:tcPr>
          <w:p w14:paraId="698E63BF" w14:textId="77777777" w:rsidR="007B3182" w:rsidRPr="007B79CA" w:rsidRDefault="007B3182" w:rsidP="00381192">
            <w:pPr>
              <w:rPr>
                <w:b/>
                <w:bCs/>
              </w:rPr>
            </w:pPr>
          </w:p>
        </w:tc>
        <w:tc>
          <w:tcPr>
            <w:tcW w:w="2160" w:type="dxa"/>
            <w:tcBorders>
              <w:top w:val="nil"/>
              <w:left w:val="nil"/>
              <w:bottom w:val="nil"/>
              <w:right w:val="nil"/>
            </w:tcBorders>
            <w:shd w:val="clear" w:color="auto" w:fill="auto"/>
            <w:vAlign w:val="center"/>
            <w:hideMark/>
          </w:tcPr>
          <w:p w14:paraId="169584E9" w14:textId="77777777" w:rsidR="007B3182" w:rsidRPr="007B79CA" w:rsidRDefault="007B3182" w:rsidP="00381192">
            <w:pPr>
              <w:jc w:val="center"/>
              <w:rPr>
                <w:b/>
                <w:bCs/>
              </w:rPr>
            </w:pPr>
            <w:r w:rsidRPr="007B79CA">
              <w:rPr>
                <w:b/>
                <w:bCs/>
              </w:rPr>
              <w:t>(%)</w:t>
            </w:r>
          </w:p>
        </w:tc>
      </w:tr>
      <w:tr w:rsidR="007B79CA" w:rsidRPr="007B79CA" w14:paraId="235536B2" w14:textId="77777777" w:rsidTr="004B04F5">
        <w:trPr>
          <w:trHeight w:val="290"/>
        </w:trPr>
        <w:tc>
          <w:tcPr>
            <w:tcW w:w="2620" w:type="dxa"/>
            <w:tcBorders>
              <w:top w:val="nil"/>
              <w:left w:val="nil"/>
              <w:bottom w:val="nil"/>
              <w:right w:val="nil"/>
            </w:tcBorders>
            <w:shd w:val="clear" w:color="auto" w:fill="auto"/>
            <w:vAlign w:val="center"/>
            <w:hideMark/>
          </w:tcPr>
          <w:p w14:paraId="2634A63D" w14:textId="77777777" w:rsidR="007B3182" w:rsidRPr="007B79CA" w:rsidRDefault="007B3182" w:rsidP="00381192">
            <w:pPr>
              <w:jc w:val="center"/>
              <w:rPr>
                <w:b/>
                <w:bCs/>
              </w:rPr>
            </w:pPr>
          </w:p>
        </w:tc>
        <w:tc>
          <w:tcPr>
            <w:tcW w:w="2240" w:type="dxa"/>
            <w:tcBorders>
              <w:top w:val="nil"/>
              <w:left w:val="nil"/>
              <w:bottom w:val="nil"/>
              <w:right w:val="nil"/>
            </w:tcBorders>
            <w:shd w:val="clear" w:color="auto" w:fill="auto"/>
            <w:vAlign w:val="center"/>
            <w:hideMark/>
          </w:tcPr>
          <w:p w14:paraId="4CDA34B2" w14:textId="77777777" w:rsidR="007B3182" w:rsidRPr="007B79CA" w:rsidRDefault="007B3182" w:rsidP="00381192">
            <w:pPr>
              <w:jc w:val="center"/>
            </w:pPr>
          </w:p>
        </w:tc>
        <w:tc>
          <w:tcPr>
            <w:tcW w:w="2520" w:type="dxa"/>
            <w:tcBorders>
              <w:top w:val="nil"/>
              <w:left w:val="nil"/>
              <w:bottom w:val="nil"/>
              <w:right w:val="nil"/>
            </w:tcBorders>
            <w:shd w:val="clear" w:color="auto" w:fill="auto"/>
            <w:vAlign w:val="center"/>
            <w:hideMark/>
          </w:tcPr>
          <w:p w14:paraId="6A248164" w14:textId="77777777" w:rsidR="007B3182" w:rsidRPr="007B79CA" w:rsidRDefault="007B3182" w:rsidP="00381192">
            <w:pPr>
              <w:jc w:val="center"/>
            </w:pPr>
          </w:p>
        </w:tc>
        <w:tc>
          <w:tcPr>
            <w:tcW w:w="2160" w:type="dxa"/>
            <w:tcBorders>
              <w:top w:val="nil"/>
              <w:left w:val="nil"/>
              <w:bottom w:val="nil"/>
              <w:right w:val="nil"/>
            </w:tcBorders>
            <w:shd w:val="clear" w:color="auto" w:fill="auto"/>
            <w:vAlign w:val="center"/>
            <w:hideMark/>
          </w:tcPr>
          <w:p w14:paraId="1584D111" w14:textId="77777777" w:rsidR="007B3182" w:rsidRPr="007B79CA" w:rsidRDefault="007B3182" w:rsidP="00381192">
            <w:pPr>
              <w:jc w:val="center"/>
            </w:pPr>
          </w:p>
        </w:tc>
      </w:tr>
      <w:tr w:rsidR="00243B11" w:rsidRPr="007B79CA" w14:paraId="4609F526" w14:textId="77777777" w:rsidTr="00EB4F9B">
        <w:trPr>
          <w:trHeight w:val="290"/>
        </w:trPr>
        <w:tc>
          <w:tcPr>
            <w:tcW w:w="2620" w:type="dxa"/>
            <w:tcBorders>
              <w:top w:val="nil"/>
              <w:left w:val="nil"/>
              <w:bottom w:val="nil"/>
              <w:right w:val="nil"/>
            </w:tcBorders>
            <w:shd w:val="clear" w:color="auto" w:fill="auto"/>
            <w:vAlign w:val="center"/>
            <w:hideMark/>
          </w:tcPr>
          <w:p w14:paraId="17200303" w14:textId="4E2F04A8" w:rsidR="00243B11" w:rsidRPr="007B79CA" w:rsidRDefault="00243B11" w:rsidP="00243B11">
            <w:proofErr w:type="spellStart"/>
            <w:r>
              <w:t>Dưới</w:t>
            </w:r>
            <w:proofErr w:type="spellEnd"/>
            <w:r>
              <w:t xml:space="preserve"> 5.000</w:t>
            </w:r>
          </w:p>
        </w:tc>
        <w:tc>
          <w:tcPr>
            <w:tcW w:w="2240" w:type="dxa"/>
            <w:tcBorders>
              <w:top w:val="nil"/>
              <w:left w:val="nil"/>
              <w:bottom w:val="nil"/>
              <w:right w:val="nil"/>
            </w:tcBorders>
            <w:shd w:val="clear" w:color="auto" w:fill="auto"/>
            <w:noWrap/>
            <w:vAlign w:val="center"/>
          </w:tcPr>
          <w:p w14:paraId="42205458" w14:textId="0F36A3C8" w:rsidR="00243B11" w:rsidRPr="00AE7479" w:rsidRDefault="00243B11" w:rsidP="00243B11">
            <w:pPr>
              <w:jc w:val="right"/>
              <w:rPr>
                <w:color w:val="FF0000"/>
              </w:rPr>
            </w:pPr>
            <w:r>
              <w:t>11</w:t>
            </w:r>
          </w:p>
        </w:tc>
        <w:tc>
          <w:tcPr>
            <w:tcW w:w="2520" w:type="dxa"/>
            <w:tcBorders>
              <w:top w:val="nil"/>
              <w:left w:val="nil"/>
              <w:bottom w:val="nil"/>
              <w:right w:val="nil"/>
            </w:tcBorders>
            <w:shd w:val="clear" w:color="auto" w:fill="auto"/>
            <w:vAlign w:val="center"/>
          </w:tcPr>
          <w:p w14:paraId="6D508E08" w14:textId="374B5F03" w:rsidR="00243B11" w:rsidRPr="00AE7479" w:rsidRDefault="00243B11" w:rsidP="00243B11">
            <w:pPr>
              <w:jc w:val="right"/>
              <w:rPr>
                <w:color w:val="FF0000"/>
              </w:rPr>
            </w:pPr>
            <w:r>
              <w:t>24,500.00</w:t>
            </w:r>
          </w:p>
        </w:tc>
        <w:tc>
          <w:tcPr>
            <w:tcW w:w="2160" w:type="dxa"/>
            <w:tcBorders>
              <w:top w:val="nil"/>
              <w:left w:val="nil"/>
              <w:bottom w:val="nil"/>
              <w:right w:val="nil"/>
            </w:tcBorders>
            <w:shd w:val="clear" w:color="auto" w:fill="auto"/>
            <w:vAlign w:val="center"/>
          </w:tcPr>
          <w:p w14:paraId="4665AF7C" w14:textId="5719A097" w:rsidR="00243B11" w:rsidRPr="00AE7479" w:rsidRDefault="00243B11" w:rsidP="00243B11">
            <w:pPr>
              <w:jc w:val="right"/>
              <w:rPr>
                <w:color w:val="FF0000"/>
              </w:rPr>
            </w:pPr>
            <w:r>
              <w:t>0.007%</w:t>
            </w:r>
          </w:p>
        </w:tc>
      </w:tr>
      <w:tr w:rsidR="00243B11" w:rsidRPr="007B79CA" w14:paraId="6563FA0F" w14:textId="77777777" w:rsidTr="007B79CA">
        <w:trPr>
          <w:trHeight w:val="290"/>
        </w:trPr>
        <w:tc>
          <w:tcPr>
            <w:tcW w:w="2620" w:type="dxa"/>
            <w:tcBorders>
              <w:top w:val="nil"/>
              <w:left w:val="nil"/>
              <w:bottom w:val="nil"/>
              <w:right w:val="nil"/>
            </w:tcBorders>
            <w:shd w:val="clear" w:color="auto" w:fill="F2F2F2" w:themeFill="background1" w:themeFillShade="F2"/>
            <w:vAlign w:val="center"/>
            <w:hideMark/>
          </w:tcPr>
          <w:p w14:paraId="070E8920" w14:textId="32249638" w:rsidR="00243B11" w:rsidRPr="007B79CA" w:rsidRDefault="00243B11" w:rsidP="00243B11">
            <w:proofErr w:type="spellStart"/>
            <w:r>
              <w:t>Từ</w:t>
            </w:r>
            <w:proofErr w:type="spellEnd"/>
            <w:r>
              <w:t xml:space="preserve"> 5.000 </w:t>
            </w:r>
            <w:proofErr w:type="spellStart"/>
            <w:r>
              <w:t>đến</w:t>
            </w:r>
            <w:proofErr w:type="spellEnd"/>
            <w:r>
              <w:t xml:space="preserve"> 10.000</w:t>
            </w:r>
          </w:p>
        </w:tc>
        <w:tc>
          <w:tcPr>
            <w:tcW w:w="2240" w:type="dxa"/>
            <w:tcBorders>
              <w:top w:val="nil"/>
              <w:left w:val="nil"/>
              <w:bottom w:val="nil"/>
              <w:right w:val="nil"/>
            </w:tcBorders>
            <w:shd w:val="clear" w:color="auto" w:fill="F2F2F2" w:themeFill="background1" w:themeFillShade="F2"/>
            <w:noWrap/>
            <w:vAlign w:val="center"/>
          </w:tcPr>
          <w:p w14:paraId="53AF4DB1" w14:textId="6C36EFDF" w:rsidR="00243B11" w:rsidRPr="00AE7479" w:rsidRDefault="00243B11" w:rsidP="00243B11">
            <w:pPr>
              <w:jc w:val="right"/>
              <w:rPr>
                <w:color w:val="FF0000"/>
              </w:rPr>
            </w:pPr>
            <w:r>
              <w:t>3</w:t>
            </w:r>
          </w:p>
        </w:tc>
        <w:tc>
          <w:tcPr>
            <w:tcW w:w="2520" w:type="dxa"/>
            <w:tcBorders>
              <w:top w:val="nil"/>
              <w:left w:val="nil"/>
              <w:bottom w:val="nil"/>
              <w:right w:val="nil"/>
            </w:tcBorders>
            <w:shd w:val="clear" w:color="auto" w:fill="F2F2F2" w:themeFill="background1" w:themeFillShade="F2"/>
            <w:vAlign w:val="center"/>
          </w:tcPr>
          <w:p w14:paraId="07445A91" w14:textId="358DF3F9" w:rsidR="00243B11" w:rsidRPr="00AE7479" w:rsidRDefault="00243B11" w:rsidP="00243B11">
            <w:pPr>
              <w:jc w:val="right"/>
              <w:rPr>
                <w:color w:val="FF0000"/>
              </w:rPr>
            </w:pPr>
            <w:r>
              <w:t>15,500.00</w:t>
            </w:r>
          </w:p>
        </w:tc>
        <w:tc>
          <w:tcPr>
            <w:tcW w:w="2160" w:type="dxa"/>
            <w:tcBorders>
              <w:top w:val="nil"/>
              <w:left w:val="nil"/>
              <w:bottom w:val="nil"/>
              <w:right w:val="nil"/>
            </w:tcBorders>
            <w:shd w:val="clear" w:color="auto" w:fill="F2F2F2" w:themeFill="background1" w:themeFillShade="F2"/>
            <w:vAlign w:val="center"/>
          </w:tcPr>
          <w:p w14:paraId="6453294A" w14:textId="120F7D50" w:rsidR="00243B11" w:rsidRPr="00AE7479" w:rsidRDefault="00243B11" w:rsidP="00243B11">
            <w:pPr>
              <w:jc w:val="right"/>
              <w:rPr>
                <w:color w:val="FF0000"/>
              </w:rPr>
            </w:pPr>
            <w:r>
              <w:t>0.004%</w:t>
            </w:r>
          </w:p>
        </w:tc>
      </w:tr>
      <w:tr w:rsidR="00243B11" w:rsidRPr="007B79CA" w14:paraId="72376EE5" w14:textId="77777777" w:rsidTr="00EB4F9B">
        <w:trPr>
          <w:trHeight w:val="290"/>
        </w:trPr>
        <w:tc>
          <w:tcPr>
            <w:tcW w:w="2620" w:type="dxa"/>
            <w:tcBorders>
              <w:top w:val="nil"/>
              <w:left w:val="nil"/>
              <w:bottom w:val="nil"/>
              <w:right w:val="nil"/>
            </w:tcBorders>
            <w:shd w:val="clear" w:color="auto" w:fill="auto"/>
            <w:vAlign w:val="center"/>
            <w:hideMark/>
          </w:tcPr>
          <w:p w14:paraId="477D0D28" w14:textId="57F68208" w:rsidR="00243B11" w:rsidRPr="007B79CA" w:rsidRDefault="00243B11" w:rsidP="00243B11">
            <w:proofErr w:type="spellStart"/>
            <w:r>
              <w:t>Từ</w:t>
            </w:r>
            <w:proofErr w:type="spellEnd"/>
            <w:r>
              <w:t xml:space="preserve"> 10.000 </w:t>
            </w:r>
            <w:proofErr w:type="spellStart"/>
            <w:r>
              <w:t>đến</w:t>
            </w:r>
            <w:proofErr w:type="spellEnd"/>
            <w:r>
              <w:t xml:space="preserve"> 50.000</w:t>
            </w:r>
          </w:p>
        </w:tc>
        <w:tc>
          <w:tcPr>
            <w:tcW w:w="2240" w:type="dxa"/>
            <w:tcBorders>
              <w:top w:val="nil"/>
              <w:left w:val="nil"/>
              <w:bottom w:val="nil"/>
              <w:right w:val="nil"/>
            </w:tcBorders>
            <w:shd w:val="clear" w:color="auto" w:fill="auto"/>
            <w:noWrap/>
            <w:vAlign w:val="center"/>
          </w:tcPr>
          <w:p w14:paraId="236E8D1A" w14:textId="003257B6" w:rsidR="00243B11" w:rsidRPr="00AE7479" w:rsidRDefault="00243B11" w:rsidP="00243B11">
            <w:pPr>
              <w:jc w:val="right"/>
              <w:rPr>
                <w:color w:val="FF0000"/>
              </w:rPr>
            </w:pPr>
            <w:r>
              <w:t>1</w:t>
            </w:r>
          </w:p>
        </w:tc>
        <w:tc>
          <w:tcPr>
            <w:tcW w:w="2520" w:type="dxa"/>
            <w:tcBorders>
              <w:top w:val="nil"/>
              <w:left w:val="nil"/>
              <w:bottom w:val="nil"/>
              <w:right w:val="nil"/>
            </w:tcBorders>
            <w:shd w:val="clear" w:color="auto" w:fill="auto"/>
            <w:vAlign w:val="center"/>
          </w:tcPr>
          <w:p w14:paraId="6327E28E" w14:textId="2157E8CB" w:rsidR="00243B11" w:rsidRPr="00AE7479" w:rsidRDefault="00243B11" w:rsidP="00243B11">
            <w:pPr>
              <w:jc w:val="right"/>
              <w:rPr>
                <w:color w:val="FF0000"/>
              </w:rPr>
            </w:pPr>
            <w:r>
              <w:t>12,000.00</w:t>
            </w:r>
          </w:p>
        </w:tc>
        <w:tc>
          <w:tcPr>
            <w:tcW w:w="2160" w:type="dxa"/>
            <w:tcBorders>
              <w:top w:val="nil"/>
              <w:left w:val="nil"/>
              <w:bottom w:val="nil"/>
              <w:right w:val="nil"/>
            </w:tcBorders>
            <w:shd w:val="clear" w:color="auto" w:fill="auto"/>
            <w:vAlign w:val="center"/>
          </w:tcPr>
          <w:p w14:paraId="0C2B3FB3" w14:textId="0E10F716" w:rsidR="00243B11" w:rsidRPr="00AE7479" w:rsidRDefault="00243B11" w:rsidP="00243B11">
            <w:pPr>
              <w:jc w:val="right"/>
              <w:rPr>
                <w:color w:val="FF0000"/>
              </w:rPr>
            </w:pPr>
            <w:r>
              <w:t>0.003%</w:t>
            </w:r>
          </w:p>
        </w:tc>
      </w:tr>
      <w:tr w:rsidR="00243B11" w:rsidRPr="007B79CA" w14:paraId="262CCF1A" w14:textId="77777777" w:rsidTr="007B79CA">
        <w:trPr>
          <w:trHeight w:val="290"/>
        </w:trPr>
        <w:tc>
          <w:tcPr>
            <w:tcW w:w="2620" w:type="dxa"/>
            <w:tcBorders>
              <w:top w:val="nil"/>
              <w:left w:val="nil"/>
              <w:bottom w:val="nil"/>
              <w:right w:val="nil"/>
            </w:tcBorders>
            <w:shd w:val="clear" w:color="auto" w:fill="F2F2F2" w:themeFill="background1" w:themeFillShade="F2"/>
            <w:vAlign w:val="center"/>
            <w:hideMark/>
          </w:tcPr>
          <w:p w14:paraId="53A64239" w14:textId="78C59CAF" w:rsidR="00243B11" w:rsidRPr="007B79CA" w:rsidRDefault="00243B11" w:rsidP="00243B11">
            <w:proofErr w:type="spellStart"/>
            <w:r>
              <w:t>Từ</w:t>
            </w:r>
            <w:proofErr w:type="spellEnd"/>
            <w:r>
              <w:t xml:space="preserve"> 50.000 </w:t>
            </w:r>
            <w:proofErr w:type="spellStart"/>
            <w:r>
              <w:t>đến</w:t>
            </w:r>
            <w:proofErr w:type="spellEnd"/>
            <w:r>
              <w:t xml:space="preserve"> 500.000</w:t>
            </w:r>
          </w:p>
        </w:tc>
        <w:tc>
          <w:tcPr>
            <w:tcW w:w="2240" w:type="dxa"/>
            <w:tcBorders>
              <w:top w:val="nil"/>
              <w:left w:val="nil"/>
              <w:bottom w:val="nil"/>
              <w:right w:val="nil"/>
            </w:tcBorders>
            <w:shd w:val="clear" w:color="auto" w:fill="F2F2F2" w:themeFill="background1" w:themeFillShade="F2"/>
            <w:noWrap/>
            <w:vAlign w:val="center"/>
          </w:tcPr>
          <w:p w14:paraId="2C476870" w14:textId="2D104143" w:rsidR="00243B11" w:rsidRPr="00AE7479" w:rsidRDefault="00243B11" w:rsidP="00243B11">
            <w:pPr>
              <w:jc w:val="right"/>
              <w:rPr>
                <w:color w:val="FF0000"/>
              </w:rPr>
            </w:pPr>
            <w:r>
              <w:t>1</w:t>
            </w:r>
          </w:p>
        </w:tc>
        <w:tc>
          <w:tcPr>
            <w:tcW w:w="2520" w:type="dxa"/>
            <w:tcBorders>
              <w:top w:val="nil"/>
              <w:left w:val="nil"/>
              <w:bottom w:val="nil"/>
              <w:right w:val="nil"/>
            </w:tcBorders>
            <w:shd w:val="clear" w:color="auto" w:fill="F2F2F2" w:themeFill="background1" w:themeFillShade="F2"/>
            <w:vAlign w:val="center"/>
          </w:tcPr>
          <w:p w14:paraId="4A7E6176" w14:textId="395E4EFD" w:rsidR="00243B11" w:rsidRPr="00AE7479" w:rsidRDefault="00243B11" w:rsidP="00243B11">
            <w:pPr>
              <w:jc w:val="right"/>
              <w:rPr>
                <w:color w:val="FF0000"/>
              </w:rPr>
            </w:pPr>
            <w:r>
              <w:t>50,000.00</w:t>
            </w:r>
          </w:p>
        </w:tc>
        <w:tc>
          <w:tcPr>
            <w:tcW w:w="2160" w:type="dxa"/>
            <w:tcBorders>
              <w:top w:val="nil"/>
              <w:left w:val="nil"/>
              <w:bottom w:val="nil"/>
              <w:right w:val="nil"/>
            </w:tcBorders>
            <w:shd w:val="clear" w:color="auto" w:fill="F2F2F2" w:themeFill="background1" w:themeFillShade="F2"/>
            <w:vAlign w:val="center"/>
          </w:tcPr>
          <w:p w14:paraId="6D6DBE5C" w14:textId="5E5C5864" w:rsidR="00243B11" w:rsidRPr="00AE7479" w:rsidRDefault="00243B11" w:rsidP="00243B11">
            <w:pPr>
              <w:jc w:val="right"/>
              <w:rPr>
                <w:color w:val="FF0000"/>
              </w:rPr>
            </w:pPr>
            <w:r>
              <w:t>0.014%</w:t>
            </w:r>
          </w:p>
        </w:tc>
      </w:tr>
      <w:tr w:rsidR="00243B11" w:rsidRPr="007B79CA" w14:paraId="6145D7C8" w14:textId="77777777" w:rsidTr="00EB4F9B">
        <w:trPr>
          <w:trHeight w:val="290"/>
        </w:trPr>
        <w:tc>
          <w:tcPr>
            <w:tcW w:w="2620" w:type="dxa"/>
            <w:tcBorders>
              <w:top w:val="nil"/>
              <w:left w:val="nil"/>
              <w:bottom w:val="nil"/>
              <w:right w:val="nil"/>
            </w:tcBorders>
            <w:shd w:val="clear" w:color="auto" w:fill="auto"/>
            <w:vAlign w:val="center"/>
            <w:hideMark/>
          </w:tcPr>
          <w:p w14:paraId="2011DFB4" w14:textId="28453188" w:rsidR="00243B11" w:rsidRPr="007B79CA" w:rsidRDefault="00243B11" w:rsidP="00243B11">
            <w:proofErr w:type="spellStart"/>
            <w:r>
              <w:t>Trên</w:t>
            </w:r>
            <w:proofErr w:type="spellEnd"/>
            <w:r>
              <w:t xml:space="preserve"> 500.000</w:t>
            </w:r>
          </w:p>
        </w:tc>
        <w:tc>
          <w:tcPr>
            <w:tcW w:w="2240" w:type="dxa"/>
            <w:tcBorders>
              <w:top w:val="nil"/>
              <w:left w:val="nil"/>
              <w:bottom w:val="nil"/>
              <w:right w:val="nil"/>
            </w:tcBorders>
            <w:shd w:val="clear" w:color="auto" w:fill="auto"/>
            <w:noWrap/>
            <w:vAlign w:val="center"/>
          </w:tcPr>
          <w:p w14:paraId="68BFCC43" w14:textId="0463F728" w:rsidR="00243B11" w:rsidRPr="00AE7479" w:rsidRDefault="00243B11" w:rsidP="00243B11">
            <w:pPr>
              <w:jc w:val="right"/>
              <w:rPr>
                <w:color w:val="FF0000"/>
              </w:rPr>
            </w:pPr>
            <w:r>
              <w:t>3</w:t>
            </w:r>
          </w:p>
        </w:tc>
        <w:tc>
          <w:tcPr>
            <w:tcW w:w="2520" w:type="dxa"/>
            <w:tcBorders>
              <w:top w:val="nil"/>
              <w:left w:val="nil"/>
              <w:bottom w:val="nil"/>
              <w:right w:val="nil"/>
            </w:tcBorders>
            <w:shd w:val="clear" w:color="auto" w:fill="auto"/>
            <w:vAlign w:val="center"/>
          </w:tcPr>
          <w:p w14:paraId="210C184F" w14:textId="3DF98FF9" w:rsidR="00243B11" w:rsidRPr="00AE7479" w:rsidRDefault="00243B11" w:rsidP="00243B11">
            <w:pPr>
              <w:jc w:val="right"/>
              <w:rPr>
                <w:color w:val="FF0000"/>
              </w:rPr>
            </w:pPr>
            <w:r>
              <w:t>366,317,612.48</w:t>
            </w:r>
          </w:p>
        </w:tc>
        <w:tc>
          <w:tcPr>
            <w:tcW w:w="2160" w:type="dxa"/>
            <w:tcBorders>
              <w:top w:val="nil"/>
              <w:left w:val="nil"/>
              <w:bottom w:val="nil"/>
              <w:right w:val="nil"/>
            </w:tcBorders>
            <w:shd w:val="clear" w:color="auto" w:fill="auto"/>
            <w:vAlign w:val="center"/>
          </w:tcPr>
          <w:p w14:paraId="680D4CBD" w14:textId="039C661E" w:rsidR="00243B11" w:rsidRPr="00AE7479" w:rsidRDefault="00243B11" w:rsidP="00243B11">
            <w:pPr>
              <w:jc w:val="right"/>
              <w:rPr>
                <w:color w:val="FF0000"/>
              </w:rPr>
            </w:pPr>
            <w:r>
              <w:t>99.972%</w:t>
            </w:r>
          </w:p>
        </w:tc>
      </w:tr>
      <w:tr w:rsidR="007B79CA" w:rsidRPr="007B79CA" w14:paraId="22B1E46C" w14:textId="77777777" w:rsidTr="004B04F5">
        <w:trPr>
          <w:trHeight w:val="300"/>
        </w:trPr>
        <w:tc>
          <w:tcPr>
            <w:tcW w:w="2620" w:type="dxa"/>
            <w:tcBorders>
              <w:top w:val="nil"/>
              <w:left w:val="nil"/>
              <w:bottom w:val="nil"/>
              <w:right w:val="nil"/>
            </w:tcBorders>
            <w:shd w:val="clear" w:color="auto" w:fill="auto"/>
            <w:vAlign w:val="center"/>
            <w:hideMark/>
          </w:tcPr>
          <w:p w14:paraId="4F740DCA" w14:textId="77777777" w:rsidR="007B3182" w:rsidRPr="007B79CA" w:rsidRDefault="007B3182" w:rsidP="00381192">
            <w:pPr>
              <w:jc w:val="right"/>
            </w:pPr>
          </w:p>
        </w:tc>
        <w:tc>
          <w:tcPr>
            <w:tcW w:w="2240" w:type="dxa"/>
            <w:tcBorders>
              <w:top w:val="nil"/>
              <w:left w:val="nil"/>
              <w:bottom w:val="single" w:sz="8" w:space="0" w:color="auto"/>
              <w:right w:val="nil"/>
            </w:tcBorders>
            <w:shd w:val="clear" w:color="auto" w:fill="auto"/>
            <w:vAlign w:val="center"/>
          </w:tcPr>
          <w:p w14:paraId="3241DB12" w14:textId="070D3253" w:rsidR="007B3182" w:rsidRPr="007B79CA" w:rsidRDefault="007B3182" w:rsidP="00381192">
            <w:pPr>
              <w:jc w:val="center"/>
            </w:pPr>
          </w:p>
        </w:tc>
        <w:tc>
          <w:tcPr>
            <w:tcW w:w="2520" w:type="dxa"/>
            <w:tcBorders>
              <w:top w:val="nil"/>
              <w:left w:val="nil"/>
              <w:bottom w:val="single" w:sz="8" w:space="0" w:color="auto"/>
              <w:right w:val="nil"/>
            </w:tcBorders>
            <w:shd w:val="clear" w:color="auto" w:fill="auto"/>
            <w:vAlign w:val="center"/>
          </w:tcPr>
          <w:p w14:paraId="237E0F77" w14:textId="5A0EFF37" w:rsidR="007B3182" w:rsidRPr="007B79CA" w:rsidRDefault="007B3182" w:rsidP="00381192">
            <w:pPr>
              <w:jc w:val="center"/>
            </w:pPr>
          </w:p>
        </w:tc>
        <w:tc>
          <w:tcPr>
            <w:tcW w:w="2160" w:type="dxa"/>
            <w:tcBorders>
              <w:top w:val="nil"/>
              <w:left w:val="nil"/>
              <w:bottom w:val="single" w:sz="8" w:space="0" w:color="auto"/>
              <w:right w:val="nil"/>
            </w:tcBorders>
            <w:shd w:val="clear" w:color="auto" w:fill="auto"/>
            <w:vAlign w:val="center"/>
          </w:tcPr>
          <w:p w14:paraId="36241E79" w14:textId="3CA452E7" w:rsidR="007B3182" w:rsidRPr="007B79CA" w:rsidRDefault="007B3182" w:rsidP="00381192">
            <w:pPr>
              <w:jc w:val="center"/>
            </w:pPr>
          </w:p>
        </w:tc>
      </w:tr>
      <w:tr w:rsidR="00CA1ED9" w:rsidRPr="007B79CA" w14:paraId="4881D476" w14:textId="77777777" w:rsidTr="004B04F5">
        <w:trPr>
          <w:trHeight w:val="300"/>
        </w:trPr>
        <w:tc>
          <w:tcPr>
            <w:tcW w:w="2620" w:type="dxa"/>
            <w:tcBorders>
              <w:top w:val="nil"/>
              <w:left w:val="nil"/>
              <w:bottom w:val="nil"/>
              <w:right w:val="nil"/>
            </w:tcBorders>
            <w:shd w:val="clear" w:color="auto" w:fill="auto"/>
            <w:vAlign w:val="center"/>
            <w:hideMark/>
          </w:tcPr>
          <w:p w14:paraId="1D94BC42" w14:textId="77777777" w:rsidR="00CA1ED9" w:rsidRPr="007B79CA" w:rsidRDefault="00CA1ED9" w:rsidP="00CA1ED9">
            <w:pPr>
              <w:rPr>
                <w:b/>
                <w:bCs/>
              </w:rPr>
            </w:pPr>
            <w:proofErr w:type="spellStart"/>
            <w:r w:rsidRPr="007B79CA">
              <w:rPr>
                <w:b/>
                <w:bCs/>
              </w:rPr>
              <w:t>Tổng</w:t>
            </w:r>
            <w:proofErr w:type="spellEnd"/>
            <w:r w:rsidRPr="007B79CA">
              <w:rPr>
                <w:b/>
                <w:bCs/>
              </w:rPr>
              <w:t xml:space="preserve"> </w:t>
            </w:r>
            <w:proofErr w:type="spellStart"/>
            <w:r w:rsidRPr="007B79CA">
              <w:rPr>
                <w:b/>
                <w:bCs/>
              </w:rPr>
              <w:t>cộng</w:t>
            </w:r>
            <w:proofErr w:type="spellEnd"/>
          </w:p>
        </w:tc>
        <w:tc>
          <w:tcPr>
            <w:tcW w:w="2240" w:type="dxa"/>
            <w:tcBorders>
              <w:top w:val="nil"/>
              <w:left w:val="nil"/>
              <w:bottom w:val="double" w:sz="6" w:space="0" w:color="auto"/>
              <w:right w:val="nil"/>
            </w:tcBorders>
            <w:shd w:val="clear" w:color="auto" w:fill="auto"/>
            <w:vAlign w:val="center"/>
          </w:tcPr>
          <w:p w14:paraId="6E06EC37" w14:textId="6E3BF938" w:rsidR="00CA1ED9" w:rsidRPr="00CA1ED9" w:rsidRDefault="00CA1ED9" w:rsidP="00CA1ED9">
            <w:pPr>
              <w:jc w:val="right"/>
              <w:rPr>
                <w:b/>
                <w:bCs/>
              </w:rPr>
            </w:pPr>
            <w:r w:rsidRPr="00CA1ED9">
              <w:rPr>
                <w:b/>
                <w:bCs/>
              </w:rPr>
              <w:t>19</w:t>
            </w:r>
          </w:p>
        </w:tc>
        <w:tc>
          <w:tcPr>
            <w:tcW w:w="2520" w:type="dxa"/>
            <w:tcBorders>
              <w:top w:val="nil"/>
              <w:left w:val="nil"/>
              <w:bottom w:val="double" w:sz="6" w:space="0" w:color="auto"/>
              <w:right w:val="nil"/>
            </w:tcBorders>
            <w:shd w:val="clear" w:color="auto" w:fill="auto"/>
            <w:vAlign w:val="center"/>
          </w:tcPr>
          <w:p w14:paraId="1AA0FBAF" w14:textId="39F55E3F" w:rsidR="00CA1ED9" w:rsidRPr="00CA1ED9" w:rsidRDefault="00CA1ED9" w:rsidP="00CA1ED9">
            <w:pPr>
              <w:jc w:val="right"/>
              <w:rPr>
                <w:b/>
                <w:bCs/>
              </w:rPr>
            </w:pPr>
            <w:r w:rsidRPr="00CA1ED9">
              <w:rPr>
                <w:b/>
                <w:bCs/>
              </w:rPr>
              <w:t>366,419,612.48</w:t>
            </w:r>
          </w:p>
        </w:tc>
        <w:tc>
          <w:tcPr>
            <w:tcW w:w="2160" w:type="dxa"/>
            <w:tcBorders>
              <w:top w:val="nil"/>
              <w:left w:val="nil"/>
              <w:bottom w:val="double" w:sz="6" w:space="0" w:color="auto"/>
              <w:right w:val="nil"/>
            </w:tcBorders>
            <w:shd w:val="clear" w:color="auto" w:fill="auto"/>
            <w:vAlign w:val="center"/>
          </w:tcPr>
          <w:p w14:paraId="2CE42C3C" w14:textId="07B56A80" w:rsidR="00CA1ED9" w:rsidRPr="00CA1ED9" w:rsidRDefault="00CA1ED9" w:rsidP="00CA1ED9">
            <w:pPr>
              <w:jc w:val="right"/>
              <w:rPr>
                <w:b/>
                <w:bCs/>
              </w:rPr>
            </w:pPr>
            <w:r w:rsidRPr="00CA1ED9">
              <w:rPr>
                <w:b/>
                <w:bCs/>
              </w:rPr>
              <w:t>100.00%</w:t>
            </w:r>
          </w:p>
        </w:tc>
      </w:tr>
    </w:tbl>
    <w:p w14:paraId="216C7BD3" w14:textId="77777777" w:rsidR="007922E7" w:rsidRPr="00381192" w:rsidRDefault="007922E7" w:rsidP="00381192"/>
    <w:p w14:paraId="59D6FF1B" w14:textId="0E9AA52D" w:rsidR="007922E7" w:rsidRPr="00381192" w:rsidRDefault="007B79CA" w:rsidP="007B79CA">
      <w:pPr>
        <w:pStyle w:val="ListParagraph"/>
        <w:numPr>
          <w:ilvl w:val="1"/>
          <w:numId w:val="1"/>
        </w:numPr>
        <w:shd w:val="clear" w:color="auto" w:fill="FFFFFF"/>
        <w:tabs>
          <w:tab w:val="left" w:pos="540"/>
        </w:tabs>
        <w:spacing w:after="0"/>
        <w:rPr>
          <w:rFonts w:ascii="Times New Roman" w:hAnsi="Times New Roman"/>
          <w:b/>
          <w:sz w:val="24"/>
          <w:szCs w:val="24"/>
          <w:lang w:val="nl-NL"/>
        </w:rPr>
      </w:pPr>
      <w:r>
        <w:rPr>
          <w:rFonts w:ascii="Times New Roman" w:hAnsi="Times New Roman"/>
          <w:b/>
          <w:sz w:val="24"/>
          <w:szCs w:val="24"/>
          <w:lang w:val="nl-NL"/>
        </w:rPr>
        <w:t xml:space="preserve"> </w:t>
      </w:r>
      <w:r w:rsidR="007922E7" w:rsidRPr="00381192">
        <w:rPr>
          <w:rFonts w:ascii="Times New Roman" w:hAnsi="Times New Roman"/>
          <w:b/>
          <w:sz w:val="24"/>
          <w:szCs w:val="24"/>
          <w:lang w:val="nl-NL"/>
        </w:rPr>
        <w:t>Chi phí ngầm và giảm giá</w:t>
      </w:r>
    </w:p>
    <w:p w14:paraId="28058427" w14:textId="7C5BFF13" w:rsidR="007922E7" w:rsidRPr="00381192" w:rsidRDefault="00F960DD" w:rsidP="00381192">
      <w:pPr>
        <w:shd w:val="clear" w:color="auto" w:fill="FFFFFF"/>
        <w:tabs>
          <w:tab w:val="left" w:pos="540"/>
        </w:tabs>
        <w:rPr>
          <w:lang w:val="nl-NL"/>
        </w:rPr>
      </w:pPr>
      <w:r>
        <w:rPr>
          <w:lang w:val="nl-NL"/>
        </w:rPr>
        <w:tab/>
      </w:r>
      <w:r w:rsidR="007922E7" w:rsidRPr="00381192">
        <w:rPr>
          <w:lang w:val="nl-NL"/>
        </w:rPr>
        <w:t xml:space="preserve">Để hạn chế vấn đề xung đột về lợi ích và đảm bảo sự chính xác của các khoản mục chi phí của Quỹ, Công ty quy định tất cả các nhân viên của Công ty không được phép nhận các khoản giảm giá bằng tiền và không được thực hiện các khoản chi phí ngầm khi thực hiện các giao dịch của Quỹ với các đối tác cung cấp dịch vụ cho Quỹ.  </w:t>
      </w:r>
    </w:p>
    <w:p w14:paraId="316893C5" w14:textId="70556600" w:rsidR="007922E7" w:rsidRPr="00381192" w:rsidRDefault="00F960DD" w:rsidP="00381192">
      <w:pPr>
        <w:shd w:val="clear" w:color="auto" w:fill="FFFFFF"/>
        <w:tabs>
          <w:tab w:val="left" w:pos="540"/>
        </w:tabs>
        <w:rPr>
          <w:lang w:val="nl-NL"/>
        </w:rPr>
      </w:pPr>
      <w:r>
        <w:rPr>
          <w:lang w:val="nl-NL"/>
        </w:rPr>
        <w:tab/>
      </w:r>
      <w:r w:rsidR="007922E7" w:rsidRPr="00381192">
        <w:rPr>
          <w:lang w:val="nl-NL"/>
        </w:rPr>
        <w:t>Trong kỳ báo cáo, Quỹ không phát sinh các khoản giảm giá bằng tiền hoặc chi phí ngầm liên quan đến các giao dịch của Quỹ với các đối tác cung cấp dịch vụ cho Quỹ.</w:t>
      </w:r>
    </w:p>
    <w:p w14:paraId="2086158B" w14:textId="77777777" w:rsidR="00801AD0" w:rsidRPr="00381192" w:rsidRDefault="00801AD0" w:rsidP="00381192">
      <w:pPr>
        <w:shd w:val="clear" w:color="auto" w:fill="FFFFFF"/>
        <w:tabs>
          <w:tab w:val="left" w:pos="540"/>
        </w:tabs>
        <w:rPr>
          <w:lang w:val="nl-NL"/>
        </w:rPr>
      </w:pPr>
    </w:p>
    <w:p w14:paraId="13F9CAC1" w14:textId="075009CE" w:rsidR="007922E7" w:rsidRPr="00DD4F42" w:rsidRDefault="007B79CA" w:rsidP="007B79CA">
      <w:pPr>
        <w:pStyle w:val="ListParagraph"/>
        <w:numPr>
          <w:ilvl w:val="0"/>
          <w:numId w:val="1"/>
        </w:numPr>
        <w:shd w:val="clear" w:color="auto" w:fill="FFFFFF"/>
        <w:tabs>
          <w:tab w:val="left" w:pos="284"/>
        </w:tabs>
        <w:spacing w:after="0"/>
        <w:ind w:left="426"/>
        <w:rPr>
          <w:rFonts w:ascii="Times New Roman" w:hAnsi="Times New Roman"/>
          <w:b/>
          <w:sz w:val="24"/>
          <w:szCs w:val="24"/>
          <w:lang w:val="nl-NL"/>
        </w:rPr>
      </w:pPr>
      <w:r>
        <w:rPr>
          <w:rFonts w:ascii="Times New Roman" w:hAnsi="Times New Roman"/>
          <w:b/>
          <w:sz w:val="24"/>
          <w:szCs w:val="24"/>
          <w:lang w:val="nl-NL"/>
        </w:rPr>
        <w:t xml:space="preserve"> </w:t>
      </w:r>
      <w:r w:rsidRPr="00DD4F42">
        <w:rPr>
          <w:rFonts w:ascii="Times New Roman" w:hAnsi="Times New Roman"/>
          <w:b/>
          <w:sz w:val="24"/>
          <w:szCs w:val="24"/>
          <w:lang w:val="nl-NL"/>
        </w:rPr>
        <w:t>THÔNG TIN VỀ TRIỂN VỌNG THỊ TRƯỜNG</w:t>
      </w:r>
    </w:p>
    <w:p w14:paraId="0A729061" w14:textId="2E95B9AA" w:rsidR="00F024AD" w:rsidRPr="007B79CA" w:rsidRDefault="00357446" w:rsidP="00F024AD">
      <w:pPr>
        <w:spacing w:before="120"/>
        <w:ind w:firstLine="357"/>
        <w:jc w:val="both"/>
        <w:rPr>
          <w:bCs/>
          <w:lang w:val="nl-NL"/>
        </w:rPr>
      </w:pPr>
      <w:r w:rsidRPr="00DD4F42">
        <w:rPr>
          <w:lang w:val="nl-NL"/>
        </w:rPr>
        <w:tab/>
      </w:r>
      <w:r w:rsidR="00E652E2" w:rsidRPr="00E652E2">
        <w:rPr>
          <w:bCs/>
          <w:lang w:val="nl-NL"/>
        </w:rPr>
        <w:t>Trong kỳ họp thứ 7, Quốc hội khóa XV đã thông qua Nghị Quyết để bầu chọn một số vị trí lãnh đạo quan trọng. Cụ thể, Đại tướng Tô Lâm – Nguyên Bộ trưởng Bộ Công An được bầu làm Chủ tịch nước và ông Trần Thanh Mẫn được bầu làm Chủ tịch Quốc hội nước Cộng hòa Xã hội chủ nghĩa Việt Nam nhiệm kỳ 2021-2026. Với việc bổ nhiệm trên, Việt Nam hiện đã có đầy đủ 4 vị trí lãnh đạo chủ chốt, là nền tảng cho sự ổn định và sự liền mạch trong việc ban hành &amp; thực thi chính sách của Chính phủ, từ đó hỗ trợ cho các hoạt động điều hành tài khóa, tiền tệ trở nên hiệu quả hơn. Mặt khác, giải ngân đầu tư công trong 5 tháng đầu năm ước tính giảm 4,7% so với cùng kỳ. Mức giảm này có thể đến một phần từ sự gián đoạn trong hoạt động triển khai khi một số vị trí lãnh đạo quan trọng của chính phủ và các địa phương ở cấp tỉnh, thành phố có sự thay đổi trong thời gian vừa qua. Ngoài ra, việc tiền Đồng mất giá 4,8% từ đầu năm cũng khiến cho các nhà thầu nước ngoài trì hoãn hoạt động giải ngân. Chúng tôi dự đoán sẽ chưa có sự bứt tốc rõ rệt trong ngắn hạn đối với hoạt động đầu tư công nhưng về cơ bản các vướng mắc lớn đã được giải quyết. Do đó chúng tôi tiếp tục lạc quan về kết quả giải ngân sẽ có nhiều cải thiện vào giai đoạn cuối năm, đặc biệt đến từ việc đẩy mạnh tín dụng của NHNN. Ngân hàng Nhà nước đã đưa ra hướng dẫn nhằm thúc đẩy tăng trưởng tín dụng . Theo đó, các Ngân hàng Thương mại được khuyến khích triển khai các các giải pháp phù hợp để đạt mục tiêu tăng trưởng tín dụng toàn hệ thống đến hết Quý 2 ở mức 5-6% và hướng tới giảm 1-2% lãi suất cho vay.</w:t>
      </w:r>
    </w:p>
    <w:p w14:paraId="1A3A086E" w14:textId="77777777" w:rsidR="00EA7CFB" w:rsidRPr="00381192" w:rsidRDefault="00EA7CFB" w:rsidP="007B79CA">
      <w:pPr>
        <w:shd w:val="clear" w:color="auto" w:fill="FFFFFF"/>
        <w:tabs>
          <w:tab w:val="left" w:pos="540"/>
        </w:tabs>
        <w:jc w:val="both"/>
        <w:rPr>
          <w:lang w:val="nl-NL"/>
        </w:rPr>
      </w:pPr>
    </w:p>
    <w:p w14:paraId="1CA14C2B" w14:textId="3EEF6522" w:rsidR="007922E7" w:rsidRPr="007B79CA" w:rsidRDefault="007B79CA" w:rsidP="007B79CA">
      <w:pPr>
        <w:pStyle w:val="ListParagraph"/>
        <w:numPr>
          <w:ilvl w:val="0"/>
          <w:numId w:val="1"/>
        </w:numPr>
        <w:shd w:val="clear" w:color="auto" w:fill="FFFFFF"/>
        <w:tabs>
          <w:tab w:val="left" w:pos="540"/>
        </w:tabs>
        <w:spacing w:after="0"/>
        <w:ind w:left="714" w:hanging="357"/>
        <w:rPr>
          <w:rFonts w:ascii="Times New Roman" w:hAnsi="Times New Roman"/>
          <w:b/>
          <w:sz w:val="24"/>
          <w:szCs w:val="24"/>
        </w:rPr>
      </w:pPr>
      <w:r>
        <w:rPr>
          <w:b/>
          <w:lang w:val="nl-NL"/>
        </w:rPr>
        <w:t xml:space="preserve"> </w:t>
      </w:r>
      <w:r w:rsidRPr="007B79CA">
        <w:rPr>
          <w:rFonts w:ascii="Times New Roman" w:hAnsi="Times New Roman"/>
          <w:b/>
          <w:sz w:val="24"/>
          <w:szCs w:val="24"/>
          <w:lang w:val="nl-NL"/>
        </w:rPr>
        <w:t>THÔNG TIN KHÁC</w:t>
      </w:r>
    </w:p>
    <w:p w14:paraId="72F3DACB" w14:textId="489779D4" w:rsidR="007922E7" w:rsidRPr="00381192" w:rsidRDefault="007B79CA" w:rsidP="007B79CA">
      <w:pPr>
        <w:shd w:val="clear" w:color="auto" w:fill="FFFFFF"/>
        <w:tabs>
          <w:tab w:val="left" w:pos="540"/>
        </w:tabs>
        <w:spacing w:before="120"/>
        <w:rPr>
          <w:lang w:val="nl-NL"/>
        </w:rPr>
      </w:pPr>
      <w:r>
        <w:rPr>
          <w:lang w:val="nl-NL"/>
        </w:rPr>
        <w:tab/>
      </w:r>
      <w:r w:rsidR="007922E7" w:rsidRPr="00381192">
        <w:rPr>
          <w:lang w:val="nl-NL"/>
        </w:rPr>
        <w:t>Thông tin về từng nhân sự điều hành quỹ, Ban đại diện quỹ, và Ban điều hành Công ty quản lý Quỹ như sau:</w:t>
      </w:r>
    </w:p>
    <w:p w14:paraId="101DA166" w14:textId="77777777" w:rsidR="007922E7" w:rsidRPr="00381192" w:rsidRDefault="007922E7" w:rsidP="00381192">
      <w:pPr>
        <w:shd w:val="clear" w:color="auto" w:fill="FFFFFF"/>
        <w:tabs>
          <w:tab w:val="left" w:pos="540"/>
        </w:tabs>
        <w:ind w:right="37"/>
        <w:rPr>
          <w:lang w:val="nl-NL"/>
        </w:rPr>
      </w:pPr>
    </w:p>
    <w:tbl>
      <w:tblPr>
        <w:tblStyle w:val="TableGrid"/>
        <w:tblW w:w="9588" w:type="dxa"/>
        <w:tblInd w:w="-95" w:type="dxa"/>
        <w:tblLook w:val="04A0" w:firstRow="1" w:lastRow="0" w:firstColumn="1" w:lastColumn="0" w:noHBand="0" w:noVBand="1"/>
      </w:tblPr>
      <w:tblGrid>
        <w:gridCol w:w="1650"/>
        <w:gridCol w:w="1590"/>
        <w:gridCol w:w="1710"/>
        <w:gridCol w:w="1260"/>
        <w:gridCol w:w="3378"/>
      </w:tblGrid>
      <w:tr w:rsidR="009175E1" w:rsidRPr="00381192" w14:paraId="686CAEFC" w14:textId="77777777" w:rsidTr="00ED573E">
        <w:trPr>
          <w:tblHeader/>
        </w:trPr>
        <w:tc>
          <w:tcPr>
            <w:tcW w:w="1650" w:type="dxa"/>
          </w:tcPr>
          <w:p w14:paraId="5BC57F13" w14:textId="77777777" w:rsidR="007922E7" w:rsidRPr="00381192" w:rsidRDefault="007922E7" w:rsidP="00381192">
            <w:pPr>
              <w:tabs>
                <w:tab w:val="left" w:pos="540"/>
              </w:tabs>
              <w:rPr>
                <w:b/>
                <w:lang w:val="nl-NL"/>
              </w:rPr>
            </w:pPr>
          </w:p>
        </w:tc>
        <w:tc>
          <w:tcPr>
            <w:tcW w:w="1590" w:type="dxa"/>
          </w:tcPr>
          <w:p w14:paraId="42A8DE82" w14:textId="77777777" w:rsidR="007922E7" w:rsidRPr="00381192" w:rsidRDefault="007922E7" w:rsidP="00B03AA3">
            <w:pPr>
              <w:tabs>
                <w:tab w:val="left" w:pos="540"/>
              </w:tabs>
              <w:jc w:val="center"/>
              <w:rPr>
                <w:b/>
                <w:lang w:val="nl-NL"/>
              </w:rPr>
            </w:pPr>
            <w:r w:rsidRPr="00381192">
              <w:rPr>
                <w:b/>
                <w:lang w:val="nl-NL"/>
              </w:rPr>
              <w:t>Tên</w:t>
            </w:r>
          </w:p>
        </w:tc>
        <w:tc>
          <w:tcPr>
            <w:tcW w:w="1710" w:type="dxa"/>
          </w:tcPr>
          <w:p w14:paraId="636CFC90" w14:textId="77777777" w:rsidR="007922E7" w:rsidRPr="00381192" w:rsidRDefault="007922E7" w:rsidP="00B03AA3">
            <w:pPr>
              <w:tabs>
                <w:tab w:val="left" w:pos="540"/>
              </w:tabs>
              <w:jc w:val="center"/>
              <w:rPr>
                <w:b/>
                <w:lang w:val="nl-NL"/>
              </w:rPr>
            </w:pPr>
            <w:r w:rsidRPr="00381192">
              <w:rPr>
                <w:b/>
                <w:lang w:val="nl-NL"/>
              </w:rPr>
              <w:t>Chức vụ</w:t>
            </w:r>
          </w:p>
        </w:tc>
        <w:tc>
          <w:tcPr>
            <w:tcW w:w="1260" w:type="dxa"/>
          </w:tcPr>
          <w:p w14:paraId="67220A42" w14:textId="77777777" w:rsidR="007922E7" w:rsidRPr="00381192" w:rsidRDefault="007922E7" w:rsidP="00B03AA3">
            <w:pPr>
              <w:tabs>
                <w:tab w:val="left" w:pos="540"/>
              </w:tabs>
              <w:jc w:val="center"/>
              <w:rPr>
                <w:b/>
                <w:lang w:val="nl-NL"/>
              </w:rPr>
            </w:pPr>
            <w:r w:rsidRPr="00381192">
              <w:rPr>
                <w:b/>
                <w:lang w:val="nl-NL"/>
              </w:rPr>
              <w:t>Bằng cấp</w:t>
            </w:r>
          </w:p>
        </w:tc>
        <w:tc>
          <w:tcPr>
            <w:tcW w:w="3378" w:type="dxa"/>
          </w:tcPr>
          <w:p w14:paraId="1FF08009" w14:textId="77777777" w:rsidR="007922E7" w:rsidRPr="00381192" w:rsidRDefault="007922E7" w:rsidP="00B03AA3">
            <w:pPr>
              <w:tabs>
                <w:tab w:val="left" w:pos="540"/>
              </w:tabs>
              <w:jc w:val="center"/>
              <w:rPr>
                <w:b/>
                <w:lang w:val="nl-NL"/>
              </w:rPr>
            </w:pPr>
            <w:r w:rsidRPr="00381192">
              <w:rPr>
                <w:b/>
                <w:lang w:val="nl-NL"/>
              </w:rPr>
              <w:t>Quá trình công tác</w:t>
            </w:r>
          </w:p>
        </w:tc>
      </w:tr>
      <w:tr w:rsidR="00FA5816" w:rsidRPr="00381192" w14:paraId="1C0DFD7D" w14:textId="77777777" w:rsidTr="00ED573E">
        <w:tc>
          <w:tcPr>
            <w:tcW w:w="1650" w:type="dxa"/>
            <w:vMerge w:val="restart"/>
            <w:vAlign w:val="center"/>
          </w:tcPr>
          <w:p w14:paraId="2C81F1F5" w14:textId="77777777" w:rsidR="00FA5816" w:rsidRPr="00381192" w:rsidRDefault="00FA5816" w:rsidP="00FA5816">
            <w:pPr>
              <w:tabs>
                <w:tab w:val="left" w:pos="540"/>
              </w:tabs>
              <w:rPr>
                <w:lang w:val="nl-NL"/>
              </w:rPr>
            </w:pPr>
            <w:r w:rsidRPr="00381192">
              <w:rPr>
                <w:lang w:val="nl-NL"/>
              </w:rPr>
              <w:t xml:space="preserve">Nhân sự điều hành Quỹ </w:t>
            </w:r>
          </w:p>
        </w:tc>
        <w:tc>
          <w:tcPr>
            <w:tcW w:w="1590" w:type="dxa"/>
          </w:tcPr>
          <w:p w14:paraId="102C19E0" w14:textId="7A14C616" w:rsidR="00FA5816" w:rsidRPr="00381192" w:rsidRDefault="00FA5816" w:rsidP="00FA5816">
            <w:pPr>
              <w:tabs>
                <w:tab w:val="left" w:pos="540"/>
              </w:tabs>
              <w:rPr>
                <w:lang w:val="nl-NL"/>
              </w:rPr>
            </w:pPr>
            <w:r w:rsidRPr="00381192">
              <w:rPr>
                <w:lang w:val="nl-NL"/>
              </w:rPr>
              <w:t>Lương Thị Mỹ Hạnh</w:t>
            </w:r>
          </w:p>
        </w:tc>
        <w:tc>
          <w:tcPr>
            <w:tcW w:w="1710" w:type="dxa"/>
          </w:tcPr>
          <w:p w14:paraId="06E96000" w14:textId="45B9E26E" w:rsidR="00FA5816" w:rsidRPr="00381192" w:rsidRDefault="00FA5816" w:rsidP="00FA5816">
            <w:pPr>
              <w:tabs>
                <w:tab w:val="left" w:pos="540"/>
              </w:tabs>
              <w:rPr>
                <w:lang w:val="nl-NL"/>
              </w:rPr>
            </w:pPr>
            <w:r w:rsidRPr="00381192">
              <w:rPr>
                <w:lang w:val="nl-NL"/>
              </w:rPr>
              <w:t>Giám đốc quản lý tài sản , khối trong nước</w:t>
            </w:r>
          </w:p>
        </w:tc>
        <w:tc>
          <w:tcPr>
            <w:tcW w:w="1260" w:type="dxa"/>
          </w:tcPr>
          <w:p w14:paraId="42148743" w14:textId="65F097A8" w:rsidR="00FA5816" w:rsidRPr="00381192" w:rsidRDefault="00FA5816" w:rsidP="00FA5816">
            <w:pPr>
              <w:tabs>
                <w:tab w:val="left" w:pos="540"/>
              </w:tabs>
              <w:rPr>
                <w:lang w:val="nl-NL"/>
              </w:rPr>
            </w:pPr>
            <w:r w:rsidRPr="00381192">
              <w:rPr>
                <w:lang w:val="vi-VN"/>
              </w:rPr>
              <w:t>Thạc sỹ Kinh tế</w:t>
            </w:r>
          </w:p>
        </w:tc>
        <w:tc>
          <w:tcPr>
            <w:tcW w:w="3378" w:type="dxa"/>
          </w:tcPr>
          <w:p w14:paraId="6F525909" w14:textId="77777777" w:rsidR="00FA5816" w:rsidRPr="00381192" w:rsidRDefault="00FA5816" w:rsidP="00FA5816">
            <w:pPr>
              <w:rPr>
                <w:lang w:val="nl-NL"/>
              </w:rPr>
            </w:pPr>
            <w:r w:rsidRPr="00381192">
              <w:t>-</w:t>
            </w:r>
            <w:r w:rsidRPr="00381192">
              <w:rPr>
                <w:lang w:val="nl-NL"/>
              </w:rPr>
              <w:t>Từ 2010 đến 12/03/2021: Phó tổng giám đốc – Khối đầu tư nghiên cứu Công ty CP quản lý quỹ đầu tư Việt Nam.</w:t>
            </w:r>
          </w:p>
          <w:p w14:paraId="2895F613" w14:textId="452E996B" w:rsidR="00FA5816" w:rsidRPr="00381192" w:rsidRDefault="00FA5816" w:rsidP="00FA5816">
            <w:pPr>
              <w:tabs>
                <w:tab w:val="left" w:pos="540"/>
              </w:tabs>
              <w:ind w:right="72"/>
              <w:rPr>
                <w:lang w:val="nl-NL"/>
              </w:rPr>
            </w:pPr>
            <w:r w:rsidRPr="00381192">
              <w:rPr>
                <w:lang w:val="nl-NL"/>
              </w:rPr>
              <w:t>-Từ 12/03/2021 đến nay là Giám đốc Quản lý tài sản, khối trong nước Công ty Cổ Phần Quản lý Quỹ Đầu tư Dragon Capital Việt Nam</w:t>
            </w:r>
          </w:p>
        </w:tc>
      </w:tr>
      <w:tr w:rsidR="00FA5816" w:rsidRPr="00381192" w14:paraId="4FCEE9E0" w14:textId="77777777" w:rsidTr="00ED573E">
        <w:tc>
          <w:tcPr>
            <w:tcW w:w="1650" w:type="dxa"/>
            <w:vMerge/>
          </w:tcPr>
          <w:p w14:paraId="5FC25BEE" w14:textId="77777777" w:rsidR="00FA5816" w:rsidRPr="00381192" w:rsidRDefault="00FA5816" w:rsidP="00FA5816">
            <w:pPr>
              <w:tabs>
                <w:tab w:val="left" w:pos="540"/>
              </w:tabs>
              <w:rPr>
                <w:lang w:val="nl-NL"/>
              </w:rPr>
            </w:pPr>
          </w:p>
        </w:tc>
        <w:tc>
          <w:tcPr>
            <w:tcW w:w="1590" w:type="dxa"/>
          </w:tcPr>
          <w:p w14:paraId="3E4DAA27" w14:textId="0BC204FF" w:rsidR="00FA5816" w:rsidRPr="00381192" w:rsidRDefault="00FA5816" w:rsidP="00FA5816">
            <w:pPr>
              <w:tabs>
                <w:tab w:val="left" w:pos="540"/>
              </w:tabs>
              <w:rPr>
                <w:lang w:val="nl-NL"/>
              </w:rPr>
            </w:pPr>
            <w:r w:rsidRPr="00EB55CF">
              <w:rPr>
                <w:lang w:val="nl-NL"/>
              </w:rPr>
              <w:t>Nguyễn Sang Lộc</w:t>
            </w:r>
          </w:p>
        </w:tc>
        <w:tc>
          <w:tcPr>
            <w:tcW w:w="1710" w:type="dxa"/>
          </w:tcPr>
          <w:p w14:paraId="44857B33" w14:textId="02C5AB7C" w:rsidR="00FA5816" w:rsidRPr="00381192" w:rsidRDefault="00FA5816" w:rsidP="00FA5816">
            <w:pPr>
              <w:tabs>
                <w:tab w:val="left" w:pos="540"/>
              </w:tabs>
              <w:rPr>
                <w:lang w:val="nl-NL"/>
              </w:rPr>
            </w:pPr>
            <w:r w:rsidRPr="00EB55CF">
              <w:rPr>
                <w:lang w:val="vi-VN"/>
              </w:rPr>
              <w:t>Trưởng phòng quản lý danh mục đầu tư</w:t>
            </w:r>
          </w:p>
        </w:tc>
        <w:tc>
          <w:tcPr>
            <w:tcW w:w="1260" w:type="dxa"/>
          </w:tcPr>
          <w:p w14:paraId="4FD435FC" w14:textId="48A3B3C1" w:rsidR="00FA5816" w:rsidRPr="00381192" w:rsidRDefault="00FA5816" w:rsidP="00FA5816">
            <w:pPr>
              <w:tabs>
                <w:tab w:val="left" w:pos="540"/>
              </w:tabs>
            </w:pPr>
            <w:r w:rsidRPr="00EB55CF">
              <w:rPr>
                <w:lang w:val="nl-NL"/>
              </w:rPr>
              <w:t>Cử nhân Tài chính</w:t>
            </w:r>
          </w:p>
        </w:tc>
        <w:tc>
          <w:tcPr>
            <w:tcW w:w="3378" w:type="dxa"/>
          </w:tcPr>
          <w:p w14:paraId="1E3BF374" w14:textId="77777777" w:rsidR="00FA5816" w:rsidRPr="00EB55CF" w:rsidRDefault="00FA5816" w:rsidP="00FA5816">
            <w:pPr>
              <w:rPr>
                <w:lang w:val="nl-NL"/>
              </w:rPr>
            </w:pPr>
            <w:r w:rsidRPr="00EB55CF">
              <w:rPr>
                <w:lang w:val="nl-NL"/>
              </w:rPr>
              <w:t>-</w:t>
            </w:r>
            <w:r>
              <w:rPr>
                <w:lang w:val="nl-NL"/>
              </w:rPr>
              <w:t xml:space="preserve"> </w:t>
            </w:r>
            <w:r w:rsidRPr="00EB55CF">
              <w:rPr>
                <w:lang w:val="nl-NL"/>
              </w:rPr>
              <w:t>Từ 16/04/2016 đến 31/12/2016: Chuyên viên nghiên cứu cấp cao – Công ty CP quản lý quỹ đầu tư Việt Nam.</w:t>
            </w:r>
          </w:p>
          <w:p w14:paraId="7CF75B44" w14:textId="77777777" w:rsidR="00FA5816" w:rsidRPr="00EB55CF" w:rsidRDefault="00FA5816" w:rsidP="00FA5816">
            <w:pPr>
              <w:rPr>
                <w:lang w:val="nl-NL"/>
              </w:rPr>
            </w:pPr>
            <w:r w:rsidRPr="00EB55CF">
              <w:rPr>
                <w:lang w:val="nl-NL"/>
              </w:rPr>
              <w:t>-</w:t>
            </w:r>
            <w:r>
              <w:rPr>
                <w:lang w:val="nl-NL"/>
              </w:rPr>
              <w:t xml:space="preserve"> Từ </w:t>
            </w:r>
            <w:r w:rsidRPr="00EB55CF">
              <w:rPr>
                <w:lang w:val="nl-NL"/>
              </w:rPr>
              <w:t>1/1/2017 đến 31/12/2020: Trưởng phòng quản lý danh mục đầu tư – Công ty CP quản lý quỹ đầu tư Việt Nam.</w:t>
            </w:r>
          </w:p>
          <w:p w14:paraId="708595C0" w14:textId="38752D66" w:rsidR="00FA5816" w:rsidRPr="00381192" w:rsidRDefault="00FA5816" w:rsidP="00FA5816">
            <w:pPr>
              <w:tabs>
                <w:tab w:val="left" w:pos="540"/>
              </w:tabs>
              <w:ind w:right="72"/>
              <w:rPr>
                <w:lang w:val="nl-NL"/>
              </w:rPr>
            </w:pPr>
            <w:r w:rsidRPr="00EB55CF">
              <w:rPr>
                <w:lang w:val="nl-NL"/>
              </w:rPr>
              <w:t>-</w:t>
            </w:r>
            <w:r>
              <w:rPr>
                <w:lang w:val="nl-NL"/>
              </w:rPr>
              <w:t xml:space="preserve"> </w:t>
            </w:r>
            <w:r w:rsidRPr="00EB55CF">
              <w:rPr>
                <w:lang w:val="nl-NL"/>
              </w:rPr>
              <w:t>Từ 01/01/2021 đến nay: Trưởng phòng quản lý danh mục đầu tư – Công ty CP quản lý quỹ đầu tư Dragon Capital Việt Nam</w:t>
            </w:r>
          </w:p>
        </w:tc>
      </w:tr>
      <w:tr w:rsidR="00EF0919" w:rsidRPr="00381192" w14:paraId="1DF7EBF5" w14:textId="77777777" w:rsidTr="00ED573E">
        <w:trPr>
          <w:trHeight w:val="70"/>
        </w:trPr>
        <w:tc>
          <w:tcPr>
            <w:tcW w:w="1650" w:type="dxa"/>
            <w:vMerge w:val="restart"/>
            <w:vAlign w:val="center"/>
          </w:tcPr>
          <w:p w14:paraId="31EF6A0E" w14:textId="77777777" w:rsidR="00EF0919" w:rsidRPr="00381192" w:rsidRDefault="00EF0919" w:rsidP="00381192">
            <w:pPr>
              <w:tabs>
                <w:tab w:val="left" w:pos="540"/>
              </w:tabs>
              <w:rPr>
                <w:lang w:val="nl-NL"/>
              </w:rPr>
            </w:pPr>
            <w:bookmarkStart w:id="0" w:name="_Hlk117096374"/>
            <w:r w:rsidRPr="00381192">
              <w:rPr>
                <w:lang w:val="nl-NL"/>
              </w:rPr>
              <w:t>Ban đại diện Quỹ</w:t>
            </w:r>
          </w:p>
        </w:tc>
        <w:tc>
          <w:tcPr>
            <w:tcW w:w="1590" w:type="dxa"/>
          </w:tcPr>
          <w:p w14:paraId="48C477B2" w14:textId="37AB0157" w:rsidR="00EF0919" w:rsidRPr="00381192" w:rsidRDefault="00C50C93" w:rsidP="00381192">
            <w:pPr>
              <w:tabs>
                <w:tab w:val="left" w:pos="540"/>
              </w:tabs>
              <w:rPr>
                <w:lang w:val="nl-NL"/>
              </w:rPr>
            </w:pPr>
            <w:r>
              <w:rPr>
                <w:lang w:val="nl-NL"/>
              </w:rPr>
              <w:t>Phạm Phú Khôi</w:t>
            </w:r>
          </w:p>
        </w:tc>
        <w:tc>
          <w:tcPr>
            <w:tcW w:w="1710" w:type="dxa"/>
          </w:tcPr>
          <w:p w14:paraId="3430D4FC" w14:textId="77777777" w:rsidR="00EF0919" w:rsidRPr="00381192" w:rsidRDefault="00EF0919" w:rsidP="00381192">
            <w:pPr>
              <w:tabs>
                <w:tab w:val="left" w:pos="540"/>
              </w:tabs>
              <w:rPr>
                <w:lang w:val="nl-NL"/>
              </w:rPr>
            </w:pPr>
            <w:r w:rsidRPr="00381192">
              <w:rPr>
                <w:lang w:val="nl-NL"/>
              </w:rPr>
              <w:t>Chủ tịch</w:t>
            </w:r>
          </w:p>
        </w:tc>
        <w:tc>
          <w:tcPr>
            <w:tcW w:w="1260" w:type="dxa"/>
          </w:tcPr>
          <w:p w14:paraId="5067A1E9" w14:textId="6FFD2741" w:rsidR="00EF0919" w:rsidRPr="00381192" w:rsidRDefault="00C50C93" w:rsidP="00381192">
            <w:pPr>
              <w:tabs>
                <w:tab w:val="left" w:pos="540"/>
              </w:tabs>
              <w:rPr>
                <w:lang w:val="vi-VN"/>
              </w:rPr>
            </w:pPr>
            <w:proofErr w:type="spellStart"/>
            <w:r>
              <w:t>Thạc</w:t>
            </w:r>
            <w:proofErr w:type="spellEnd"/>
            <w:r>
              <w:t xml:space="preserve"> </w:t>
            </w:r>
            <w:proofErr w:type="spellStart"/>
            <w:r>
              <w:t>sĩ</w:t>
            </w:r>
            <w:proofErr w:type="spellEnd"/>
            <w:r>
              <w:t xml:space="preserve">, Chuyên </w:t>
            </w:r>
            <w:proofErr w:type="spellStart"/>
            <w:r>
              <w:t>gia</w:t>
            </w:r>
            <w:proofErr w:type="spellEnd"/>
            <w:r>
              <w:t xml:space="preserve"> Tài </w:t>
            </w:r>
            <w:proofErr w:type="spellStart"/>
            <w:r>
              <w:t>chính</w:t>
            </w:r>
            <w:proofErr w:type="spellEnd"/>
            <w:r>
              <w:t xml:space="preserve"> Ngân </w:t>
            </w:r>
            <w:proofErr w:type="spellStart"/>
            <w:r>
              <w:t>hàng</w:t>
            </w:r>
            <w:proofErr w:type="spellEnd"/>
          </w:p>
        </w:tc>
        <w:tc>
          <w:tcPr>
            <w:tcW w:w="3378" w:type="dxa"/>
          </w:tcPr>
          <w:p w14:paraId="6B647E29" w14:textId="565D32C4" w:rsidR="00C50C93" w:rsidRDefault="00900EA1" w:rsidP="00C50C93">
            <w:pPr>
              <w:tabs>
                <w:tab w:val="left" w:pos="540"/>
              </w:tabs>
              <w:ind w:right="72"/>
            </w:pPr>
            <w:r>
              <w:t xml:space="preserve">- </w:t>
            </w:r>
            <w:r w:rsidR="00C50C93">
              <w:t xml:space="preserve">01/1987 </w:t>
            </w:r>
            <w:r w:rsidR="00C72FA4">
              <w:t>–</w:t>
            </w:r>
            <w:r w:rsidR="00C50C93">
              <w:t xml:space="preserve"> </w:t>
            </w:r>
            <w:r w:rsidR="00C72FA4">
              <w:t xml:space="preserve">08/1997: </w:t>
            </w:r>
            <w:proofErr w:type="spellStart"/>
            <w:r w:rsidR="00C72FA4">
              <w:t>Giám</w:t>
            </w:r>
            <w:proofErr w:type="spellEnd"/>
            <w:r w:rsidR="00C72FA4">
              <w:t xml:space="preserve"> </w:t>
            </w:r>
            <w:proofErr w:type="spellStart"/>
            <w:r w:rsidR="00C72FA4">
              <w:t>đốc</w:t>
            </w:r>
            <w:proofErr w:type="spellEnd"/>
            <w:r w:rsidR="00C72FA4">
              <w:t xml:space="preserve"> </w:t>
            </w:r>
            <w:proofErr w:type="spellStart"/>
            <w:r w:rsidR="00C72FA4">
              <w:t>khu</w:t>
            </w:r>
            <w:proofErr w:type="spellEnd"/>
            <w:r w:rsidR="00C72FA4">
              <w:t xml:space="preserve"> </w:t>
            </w:r>
            <w:proofErr w:type="spellStart"/>
            <w:r w:rsidR="00C72FA4">
              <w:t>vực</w:t>
            </w:r>
            <w:proofErr w:type="spellEnd"/>
            <w:r w:rsidR="00C72FA4">
              <w:t xml:space="preserve"> </w:t>
            </w:r>
            <w:r w:rsidR="000A1BBE">
              <w:t xml:space="preserve">Đông Bắc Á </w:t>
            </w:r>
            <w:proofErr w:type="spellStart"/>
            <w:r w:rsidR="00C72FA4">
              <w:t>Tổng</w:t>
            </w:r>
            <w:proofErr w:type="spellEnd"/>
            <w:r w:rsidR="00C72FA4">
              <w:t xml:space="preserve"> Công ty </w:t>
            </w:r>
            <w:proofErr w:type="spellStart"/>
            <w:r w:rsidR="00C72FA4">
              <w:t>Hàng</w:t>
            </w:r>
            <w:proofErr w:type="spellEnd"/>
            <w:r w:rsidR="00C72FA4">
              <w:t xml:space="preserve"> </w:t>
            </w:r>
            <w:proofErr w:type="spellStart"/>
            <w:r w:rsidR="00C72FA4">
              <w:t>Không</w:t>
            </w:r>
            <w:proofErr w:type="spellEnd"/>
            <w:r w:rsidR="00C72FA4">
              <w:t xml:space="preserve"> Việt Nam </w:t>
            </w:r>
            <w:r w:rsidR="000A1BBE">
              <w:t>–</w:t>
            </w:r>
            <w:r w:rsidR="00C72FA4">
              <w:t xml:space="preserve"> CTCP</w:t>
            </w:r>
          </w:p>
          <w:p w14:paraId="6B3941B4" w14:textId="5A3E6897" w:rsidR="000A1BBE" w:rsidRDefault="000A1BBE" w:rsidP="00C50C93">
            <w:pPr>
              <w:tabs>
                <w:tab w:val="left" w:pos="540"/>
              </w:tabs>
              <w:ind w:right="72"/>
            </w:pPr>
            <w:r>
              <w:t xml:space="preserve">- 11/1999 – 06/2002: </w:t>
            </w:r>
            <w:r w:rsidR="00E77290">
              <w:t xml:space="preserve">Chuyên </w:t>
            </w:r>
            <w:proofErr w:type="spellStart"/>
            <w:r w:rsidR="00E77290">
              <w:t>viên</w:t>
            </w:r>
            <w:proofErr w:type="spellEnd"/>
            <w:r w:rsidR="00E77290">
              <w:t xml:space="preserve"> </w:t>
            </w:r>
            <w:proofErr w:type="spellStart"/>
            <w:r w:rsidR="00E77290">
              <w:t>đầu</w:t>
            </w:r>
            <w:proofErr w:type="spellEnd"/>
            <w:r w:rsidR="00E77290">
              <w:t xml:space="preserve"> </w:t>
            </w:r>
            <w:proofErr w:type="spellStart"/>
            <w:r w:rsidR="00E77290">
              <w:t>tư</w:t>
            </w:r>
            <w:proofErr w:type="spellEnd"/>
            <w:r w:rsidR="00E77290">
              <w:t xml:space="preserve">, Ngân </w:t>
            </w:r>
            <w:proofErr w:type="spellStart"/>
            <w:r w:rsidR="00E77290">
              <w:t>hàng</w:t>
            </w:r>
            <w:proofErr w:type="spellEnd"/>
            <w:r w:rsidR="00E77290">
              <w:t xml:space="preserve"> </w:t>
            </w:r>
            <w:proofErr w:type="spellStart"/>
            <w:r w:rsidR="00E77290">
              <w:t>đầu</w:t>
            </w:r>
            <w:proofErr w:type="spellEnd"/>
            <w:r w:rsidR="00E77290">
              <w:t xml:space="preserve"> </w:t>
            </w:r>
            <w:proofErr w:type="spellStart"/>
            <w:r w:rsidR="00E77290">
              <w:t>tư</w:t>
            </w:r>
            <w:proofErr w:type="spellEnd"/>
            <w:r w:rsidR="00E77290">
              <w:t xml:space="preserve"> Barclays – London, Hong Kong</w:t>
            </w:r>
          </w:p>
          <w:p w14:paraId="440214E7" w14:textId="06783A66" w:rsidR="00E77290" w:rsidRDefault="00E77290" w:rsidP="00C50C93">
            <w:pPr>
              <w:tabs>
                <w:tab w:val="left" w:pos="540"/>
              </w:tabs>
              <w:ind w:right="72"/>
            </w:pPr>
            <w:r>
              <w:t xml:space="preserve">- </w:t>
            </w:r>
            <w:r w:rsidR="00C20DEB">
              <w:t xml:space="preserve">06/2002 – 09/2007: </w:t>
            </w:r>
            <w:proofErr w:type="spellStart"/>
            <w:r w:rsidR="00C20DEB">
              <w:t>Giám</w:t>
            </w:r>
            <w:proofErr w:type="spellEnd"/>
            <w:r w:rsidR="00C20DEB">
              <w:t xml:space="preserve"> </w:t>
            </w:r>
            <w:proofErr w:type="spellStart"/>
            <w:r w:rsidR="00C20DEB">
              <w:t>đốc</w:t>
            </w:r>
            <w:proofErr w:type="spellEnd"/>
            <w:r w:rsidR="00C20DEB">
              <w:t xml:space="preserve"> </w:t>
            </w:r>
            <w:proofErr w:type="spellStart"/>
            <w:r w:rsidR="00C20DEB">
              <w:t>đầu</w:t>
            </w:r>
            <w:proofErr w:type="spellEnd"/>
            <w:r w:rsidR="00C20DEB">
              <w:t xml:space="preserve"> </w:t>
            </w:r>
            <w:proofErr w:type="spellStart"/>
            <w:r w:rsidR="00C20DEB">
              <w:t>tư</w:t>
            </w:r>
            <w:proofErr w:type="spellEnd"/>
            <w:r w:rsidR="002E47D2">
              <w:t xml:space="preserve"> </w:t>
            </w:r>
            <w:proofErr w:type="spellStart"/>
            <w:r w:rsidR="002E47D2" w:rsidRPr="002E47D2">
              <w:t>giao</w:t>
            </w:r>
            <w:proofErr w:type="spellEnd"/>
            <w:r w:rsidR="002E47D2" w:rsidRPr="002E47D2">
              <w:t xml:space="preserve"> </w:t>
            </w:r>
            <w:proofErr w:type="spellStart"/>
            <w:r w:rsidR="002E47D2" w:rsidRPr="002E47D2">
              <w:t>dịch</w:t>
            </w:r>
            <w:proofErr w:type="spellEnd"/>
            <w:r w:rsidR="002E47D2" w:rsidRPr="002E47D2">
              <w:t xml:space="preserve"> </w:t>
            </w:r>
            <w:proofErr w:type="spellStart"/>
            <w:r w:rsidR="002E47D2" w:rsidRPr="002E47D2">
              <w:t>tín</w:t>
            </w:r>
            <w:proofErr w:type="spellEnd"/>
            <w:r w:rsidR="002E47D2" w:rsidRPr="002E47D2">
              <w:t xml:space="preserve"> </w:t>
            </w:r>
            <w:proofErr w:type="spellStart"/>
            <w:r w:rsidR="002E47D2" w:rsidRPr="002E47D2">
              <w:t>dụng</w:t>
            </w:r>
            <w:proofErr w:type="spellEnd"/>
            <w:r w:rsidR="002E47D2" w:rsidRPr="002E47D2">
              <w:t xml:space="preserve"> </w:t>
            </w:r>
            <w:proofErr w:type="spellStart"/>
            <w:r w:rsidR="002E47D2" w:rsidRPr="002E47D2">
              <w:t>quốc</w:t>
            </w:r>
            <w:proofErr w:type="spellEnd"/>
            <w:r w:rsidR="002E47D2" w:rsidRPr="002E47D2">
              <w:t xml:space="preserve"> </w:t>
            </w:r>
            <w:proofErr w:type="spellStart"/>
            <w:r w:rsidR="002E47D2" w:rsidRPr="002E47D2">
              <w:t>tế</w:t>
            </w:r>
            <w:proofErr w:type="spellEnd"/>
            <w:r w:rsidR="002E47D2" w:rsidRPr="002E47D2">
              <w:t xml:space="preserve"> </w:t>
            </w:r>
            <w:proofErr w:type="spellStart"/>
            <w:r w:rsidR="002E47D2" w:rsidRPr="002E47D2">
              <w:t>khu</w:t>
            </w:r>
            <w:proofErr w:type="spellEnd"/>
            <w:r w:rsidR="002E47D2" w:rsidRPr="002E47D2">
              <w:t xml:space="preserve"> </w:t>
            </w:r>
            <w:proofErr w:type="spellStart"/>
            <w:r w:rsidR="002E47D2" w:rsidRPr="002E47D2">
              <w:t>vực</w:t>
            </w:r>
            <w:proofErr w:type="spellEnd"/>
            <w:r w:rsidR="002E47D2" w:rsidRPr="002E47D2">
              <w:t xml:space="preserve"> </w:t>
            </w:r>
            <w:proofErr w:type="spellStart"/>
            <w:r w:rsidR="002E47D2" w:rsidRPr="002E47D2">
              <w:t>châu</w:t>
            </w:r>
            <w:proofErr w:type="spellEnd"/>
            <w:r w:rsidR="002E47D2" w:rsidRPr="002E47D2">
              <w:t xml:space="preserve"> Á</w:t>
            </w:r>
            <w:r w:rsidR="002E47D2">
              <w:t xml:space="preserve">, </w:t>
            </w:r>
            <w:r w:rsidR="009B6C59" w:rsidRPr="009B6C59">
              <w:t xml:space="preserve">Ngân </w:t>
            </w:r>
            <w:proofErr w:type="spellStart"/>
            <w:r w:rsidR="009B6C59" w:rsidRPr="009B6C59">
              <w:t>hàng</w:t>
            </w:r>
            <w:proofErr w:type="spellEnd"/>
            <w:r w:rsidR="009B6C59" w:rsidRPr="009B6C59">
              <w:t xml:space="preserve"> Standard Chartered, Singapore</w:t>
            </w:r>
          </w:p>
          <w:p w14:paraId="39BA3FC4" w14:textId="5AFB8BB6" w:rsidR="009B6C59" w:rsidRDefault="009B6C59" w:rsidP="00C50C93">
            <w:pPr>
              <w:tabs>
                <w:tab w:val="left" w:pos="540"/>
              </w:tabs>
              <w:ind w:right="72"/>
            </w:pPr>
            <w:r>
              <w:t xml:space="preserve">- 09/2007 – 05/2012: </w:t>
            </w:r>
            <w:proofErr w:type="spellStart"/>
            <w:r w:rsidR="00C82B5D" w:rsidRPr="00C82B5D">
              <w:t>Giám</w:t>
            </w:r>
            <w:proofErr w:type="spellEnd"/>
            <w:r w:rsidR="00C82B5D" w:rsidRPr="00C82B5D">
              <w:t xml:space="preserve"> </w:t>
            </w:r>
            <w:proofErr w:type="spellStart"/>
            <w:r w:rsidR="00C82B5D" w:rsidRPr="00C82B5D">
              <w:t>đốc</w:t>
            </w:r>
            <w:proofErr w:type="spellEnd"/>
            <w:r w:rsidR="00C82B5D" w:rsidRPr="00C82B5D">
              <w:t xml:space="preserve"> Ngân </w:t>
            </w:r>
            <w:proofErr w:type="spellStart"/>
            <w:r w:rsidR="00C82B5D" w:rsidRPr="00C82B5D">
              <w:t>hàng</w:t>
            </w:r>
            <w:proofErr w:type="spellEnd"/>
            <w:r w:rsidR="00C82B5D" w:rsidRPr="00C82B5D">
              <w:t xml:space="preserve"> </w:t>
            </w:r>
            <w:proofErr w:type="spellStart"/>
            <w:r w:rsidR="00C82B5D" w:rsidRPr="00C82B5D">
              <w:t>Đầu</w:t>
            </w:r>
            <w:proofErr w:type="spellEnd"/>
            <w:r w:rsidR="00C82B5D" w:rsidRPr="00C82B5D">
              <w:t xml:space="preserve"> </w:t>
            </w:r>
            <w:proofErr w:type="spellStart"/>
            <w:r w:rsidR="00C82B5D" w:rsidRPr="00C82B5D">
              <w:t>tư</w:t>
            </w:r>
            <w:proofErr w:type="spellEnd"/>
            <w:r w:rsidR="00C82B5D" w:rsidRPr="00C82B5D">
              <w:t xml:space="preserve"> </w:t>
            </w:r>
            <w:proofErr w:type="spellStart"/>
            <w:r w:rsidR="00C82B5D" w:rsidRPr="00C82B5D">
              <w:t>khu</w:t>
            </w:r>
            <w:proofErr w:type="spellEnd"/>
            <w:r w:rsidR="00C82B5D" w:rsidRPr="00C82B5D">
              <w:t xml:space="preserve"> </w:t>
            </w:r>
            <w:proofErr w:type="spellStart"/>
            <w:r w:rsidR="00C82B5D" w:rsidRPr="00C82B5D">
              <w:t>vực</w:t>
            </w:r>
            <w:proofErr w:type="spellEnd"/>
            <w:r w:rsidR="00C82B5D" w:rsidRPr="00C82B5D">
              <w:t xml:space="preserve"> Việt Nam </w:t>
            </w:r>
            <w:r w:rsidR="0036013E" w:rsidRPr="0036013E">
              <w:t xml:space="preserve">Ngân </w:t>
            </w:r>
            <w:proofErr w:type="spellStart"/>
            <w:r w:rsidR="0036013E" w:rsidRPr="0036013E">
              <w:t>hàng</w:t>
            </w:r>
            <w:proofErr w:type="spellEnd"/>
            <w:r w:rsidR="0036013E" w:rsidRPr="0036013E">
              <w:t xml:space="preserve"> America Merrill Lynch, Singapore</w:t>
            </w:r>
          </w:p>
          <w:p w14:paraId="594A684E" w14:textId="523C6099" w:rsidR="00341866" w:rsidRDefault="00341866" w:rsidP="00C50C93">
            <w:pPr>
              <w:tabs>
                <w:tab w:val="left" w:pos="540"/>
              </w:tabs>
              <w:ind w:right="72"/>
            </w:pPr>
            <w:r>
              <w:t xml:space="preserve">- 05/2012 – 06/2015: </w:t>
            </w:r>
            <w:r w:rsidR="00935435" w:rsidRPr="00935435">
              <w:t xml:space="preserve">Thành </w:t>
            </w:r>
            <w:proofErr w:type="spellStart"/>
            <w:r w:rsidR="00935435" w:rsidRPr="00935435">
              <w:t>viên</w:t>
            </w:r>
            <w:proofErr w:type="spellEnd"/>
            <w:r w:rsidR="00935435" w:rsidRPr="00935435">
              <w:t xml:space="preserve"> HĐTV</w:t>
            </w:r>
            <w:r w:rsidR="00935435">
              <w:t>,</w:t>
            </w:r>
            <w:r w:rsidR="00935435" w:rsidRPr="00935435">
              <w:t xml:space="preserve"> </w:t>
            </w:r>
            <w:proofErr w:type="spellStart"/>
            <w:r w:rsidR="00935435" w:rsidRPr="00935435">
              <w:t>Tổng</w:t>
            </w:r>
            <w:proofErr w:type="spellEnd"/>
            <w:r w:rsidR="00935435" w:rsidRPr="00935435">
              <w:t xml:space="preserve"> </w:t>
            </w:r>
            <w:proofErr w:type="spellStart"/>
            <w:r w:rsidR="00935435" w:rsidRPr="00935435">
              <w:t>Giám</w:t>
            </w:r>
            <w:proofErr w:type="spellEnd"/>
            <w:r w:rsidR="00935435" w:rsidRPr="00935435">
              <w:t xml:space="preserve"> </w:t>
            </w:r>
            <w:proofErr w:type="spellStart"/>
            <w:r w:rsidR="00935435" w:rsidRPr="00935435">
              <w:t>đốc</w:t>
            </w:r>
            <w:proofErr w:type="spellEnd"/>
            <w:r w:rsidR="009126FD">
              <w:t xml:space="preserve"> </w:t>
            </w:r>
            <w:r w:rsidR="009126FD" w:rsidRPr="009126FD">
              <w:t xml:space="preserve">Công ty TNHH </w:t>
            </w:r>
            <w:proofErr w:type="spellStart"/>
            <w:r w:rsidR="009126FD" w:rsidRPr="009126FD">
              <w:t>chứng</w:t>
            </w:r>
            <w:proofErr w:type="spellEnd"/>
            <w:r w:rsidR="009126FD" w:rsidRPr="009126FD">
              <w:t xml:space="preserve"> </w:t>
            </w:r>
            <w:proofErr w:type="spellStart"/>
            <w:r w:rsidR="009126FD" w:rsidRPr="009126FD">
              <w:t>khoán</w:t>
            </w:r>
            <w:proofErr w:type="spellEnd"/>
            <w:r w:rsidR="009126FD" w:rsidRPr="009126FD">
              <w:t xml:space="preserve"> ACB</w:t>
            </w:r>
          </w:p>
          <w:p w14:paraId="7258E20B" w14:textId="5AC91FC2" w:rsidR="00C30624" w:rsidRDefault="00C30624" w:rsidP="00C50C93">
            <w:pPr>
              <w:tabs>
                <w:tab w:val="left" w:pos="540"/>
              </w:tabs>
              <w:ind w:right="72"/>
            </w:pPr>
            <w:r>
              <w:t xml:space="preserve">- 07/2015 – 04/2023: </w:t>
            </w:r>
            <w:proofErr w:type="spellStart"/>
            <w:r w:rsidR="00571150" w:rsidRPr="00571150">
              <w:t>Phó</w:t>
            </w:r>
            <w:proofErr w:type="spellEnd"/>
            <w:r w:rsidR="00571150" w:rsidRPr="00571150">
              <w:t xml:space="preserve"> </w:t>
            </w:r>
            <w:proofErr w:type="spellStart"/>
            <w:r w:rsidR="00571150" w:rsidRPr="00571150">
              <w:t>Tổng</w:t>
            </w:r>
            <w:proofErr w:type="spellEnd"/>
            <w:r w:rsidR="00571150" w:rsidRPr="00571150">
              <w:t xml:space="preserve"> </w:t>
            </w:r>
            <w:proofErr w:type="spellStart"/>
            <w:r w:rsidR="00571150" w:rsidRPr="00571150">
              <w:t>Giám</w:t>
            </w:r>
            <w:proofErr w:type="spellEnd"/>
            <w:r w:rsidR="00571150" w:rsidRPr="00571150">
              <w:t xml:space="preserve"> </w:t>
            </w:r>
            <w:proofErr w:type="spellStart"/>
            <w:r w:rsidR="00571150" w:rsidRPr="00571150">
              <w:t>đốc</w:t>
            </w:r>
            <w:proofErr w:type="spellEnd"/>
            <w:r w:rsidR="00571150">
              <w:t>,</w:t>
            </w:r>
            <w:r w:rsidR="00571150" w:rsidRPr="00571150">
              <w:t xml:space="preserve"> </w:t>
            </w:r>
            <w:proofErr w:type="spellStart"/>
            <w:r w:rsidR="00571150" w:rsidRPr="00571150">
              <w:t>Giám</w:t>
            </w:r>
            <w:proofErr w:type="spellEnd"/>
            <w:r w:rsidR="00571150" w:rsidRPr="00571150">
              <w:t xml:space="preserve"> </w:t>
            </w:r>
            <w:proofErr w:type="spellStart"/>
            <w:r w:rsidR="00571150" w:rsidRPr="00571150">
              <w:t>đốc</w:t>
            </w:r>
            <w:proofErr w:type="spellEnd"/>
            <w:r w:rsidR="00571150" w:rsidRPr="00571150">
              <w:t xml:space="preserve"> </w:t>
            </w:r>
            <w:proofErr w:type="spellStart"/>
            <w:r w:rsidR="00571150" w:rsidRPr="00571150">
              <w:t>Khối</w:t>
            </w:r>
            <w:proofErr w:type="spellEnd"/>
            <w:r w:rsidR="00571150" w:rsidRPr="00571150">
              <w:t xml:space="preserve"> Thị </w:t>
            </w:r>
            <w:proofErr w:type="spellStart"/>
            <w:r w:rsidR="00571150" w:rsidRPr="00571150">
              <w:t>trường</w:t>
            </w:r>
            <w:proofErr w:type="spellEnd"/>
            <w:r w:rsidR="00571150" w:rsidRPr="00571150">
              <w:t xml:space="preserve"> </w:t>
            </w:r>
            <w:proofErr w:type="spellStart"/>
            <w:r w:rsidR="00571150" w:rsidRPr="00571150">
              <w:t>tài</w:t>
            </w:r>
            <w:proofErr w:type="spellEnd"/>
            <w:r w:rsidR="00571150" w:rsidRPr="00571150">
              <w:t xml:space="preserve"> </w:t>
            </w:r>
            <w:proofErr w:type="spellStart"/>
            <w:r w:rsidR="00571150" w:rsidRPr="00571150">
              <w:t>chính</w:t>
            </w:r>
            <w:proofErr w:type="spellEnd"/>
            <w:r w:rsidR="00571150">
              <w:t xml:space="preserve"> </w:t>
            </w:r>
            <w:r w:rsidR="005C3888" w:rsidRPr="005C3888">
              <w:t xml:space="preserve">Ngân </w:t>
            </w:r>
            <w:proofErr w:type="spellStart"/>
            <w:r w:rsidR="005C3888" w:rsidRPr="005C3888">
              <w:t>hàng</w:t>
            </w:r>
            <w:proofErr w:type="spellEnd"/>
            <w:r w:rsidR="005C3888" w:rsidRPr="005C3888">
              <w:t xml:space="preserve"> TMCP Việt Nam Thịnh Vượng</w:t>
            </w:r>
          </w:p>
          <w:p w14:paraId="1741E6F0" w14:textId="18FCEF32" w:rsidR="005C3888" w:rsidRDefault="005C3888" w:rsidP="00C50C93">
            <w:pPr>
              <w:tabs>
                <w:tab w:val="left" w:pos="540"/>
              </w:tabs>
              <w:ind w:right="72"/>
            </w:pPr>
            <w:r>
              <w:lastRenderedPageBreak/>
              <w:t xml:space="preserve">- 10/2015 – nay: </w:t>
            </w:r>
            <w:r w:rsidR="00E508AC" w:rsidRPr="00E508AC">
              <w:t xml:space="preserve">Thành </w:t>
            </w:r>
            <w:proofErr w:type="spellStart"/>
            <w:r w:rsidR="00E508AC" w:rsidRPr="00E508AC">
              <w:t>viên</w:t>
            </w:r>
            <w:proofErr w:type="spellEnd"/>
            <w:r w:rsidR="00E508AC" w:rsidRPr="00E508AC">
              <w:t xml:space="preserve"> HĐTV</w:t>
            </w:r>
            <w:r w:rsidR="00713263">
              <w:t xml:space="preserve"> </w:t>
            </w:r>
            <w:r w:rsidR="00713263" w:rsidRPr="00713263">
              <w:t xml:space="preserve">Công ty TNHH </w:t>
            </w:r>
            <w:proofErr w:type="spellStart"/>
            <w:r w:rsidR="00713263" w:rsidRPr="00713263">
              <w:t>Sagittarican</w:t>
            </w:r>
            <w:proofErr w:type="spellEnd"/>
          </w:p>
          <w:p w14:paraId="1BCEE4A2" w14:textId="5EE48276" w:rsidR="00713263" w:rsidRDefault="00713263" w:rsidP="00C50C93">
            <w:pPr>
              <w:tabs>
                <w:tab w:val="left" w:pos="540"/>
              </w:tabs>
              <w:ind w:right="72"/>
            </w:pPr>
            <w:r>
              <w:t xml:space="preserve">- 02/2022 </w:t>
            </w:r>
            <w:r w:rsidR="00E9458C">
              <w:t>–</w:t>
            </w:r>
            <w:r>
              <w:t xml:space="preserve"> </w:t>
            </w:r>
            <w:r w:rsidR="00E9458C">
              <w:t xml:space="preserve">09/2022: </w:t>
            </w:r>
            <w:proofErr w:type="spellStart"/>
            <w:r w:rsidR="00700893" w:rsidRPr="00700893">
              <w:t>Chủ</w:t>
            </w:r>
            <w:proofErr w:type="spellEnd"/>
            <w:r w:rsidR="00700893" w:rsidRPr="00700893">
              <w:t xml:space="preserve"> </w:t>
            </w:r>
            <w:proofErr w:type="spellStart"/>
            <w:r w:rsidR="00700893" w:rsidRPr="00700893">
              <w:t>tịch</w:t>
            </w:r>
            <w:proofErr w:type="spellEnd"/>
            <w:r w:rsidR="00700893" w:rsidRPr="00700893">
              <w:t xml:space="preserve"> HĐQT</w:t>
            </w:r>
            <w:r w:rsidR="004D6CC8">
              <w:t xml:space="preserve"> </w:t>
            </w:r>
            <w:r w:rsidR="004D6CC8" w:rsidRPr="004D6CC8">
              <w:t xml:space="preserve">Công ty CP </w:t>
            </w:r>
            <w:proofErr w:type="spellStart"/>
            <w:r w:rsidR="004D6CC8" w:rsidRPr="004D6CC8">
              <w:t>Chứng</w:t>
            </w:r>
            <w:proofErr w:type="spellEnd"/>
            <w:r w:rsidR="004D6CC8" w:rsidRPr="004D6CC8">
              <w:t xml:space="preserve"> </w:t>
            </w:r>
            <w:proofErr w:type="spellStart"/>
            <w:r w:rsidR="004D6CC8" w:rsidRPr="004D6CC8">
              <w:t>Khoán</w:t>
            </w:r>
            <w:proofErr w:type="spellEnd"/>
            <w:r w:rsidR="004D6CC8" w:rsidRPr="004D6CC8">
              <w:t xml:space="preserve"> </w:t>
            </w:r>
            <w:proofErr w:type="spellStart"/>
            <w:r w:rsidR="004D6CC8" w:rsidRPr="004D6CC8">
              <w:t>VPBank</w:t>
            </w:r>
            <w:proofErr w:type="spellEnd"/>
          </w:p>
          <w:p w14:paraId="314C25FF" w14:textId="27E2F236" w:rsidR="004D6CC8" w:rsidRPr="00900EA1" w:rsidRDefault="004D6CC8" w:rsidP="00C50C93">
            <w:pPr>
              <w:tabs>
                <w:tab w:val="left" w:pos="540"/>
              </w:tabs>
              <w:ind w:right="72"/>
            </w:pPr>
            <w:r>
              <w:t xml:space="preserve">- 06/2022 – nay: </w:t>
            </w:r>
            <w:proofErr w:type="spellStart"/>
            <w:r w:rsidR="00710707" w:rsidRPr="00710707">
              <w:t>Chủ</w:t>
            </w:r>
            <w:proofErr w:type="spellEnd"/>
            <w:r w:rsidR="00710707" w:rsidRPr="00710707">
              <w:t xml:space="preserve"> </w:t>
            </w:r>
            <w:proofErr w:type="spellStart"/>
            <w:r w:rsidR="00710707" w:rsidRPr="00710707">
              <w:t>tịch</w:t>
            </w:r>
            <w:proofErr w:type="spellEnd"/>
            <w:r w:rsidR="00710707" w:rsidRPr="00710707">
              <w:t xml:space="preserve"> HĐQT</w:t>
            </w:r>
            <w:r w:rsidR="00BE4520">
              <w:t xml:space="preserve"> </w:t>
            </w:r>
            <w:r w:rsidR="00BE4520" w:rsidRPr="00BE4520">
              <w:t xml:space="preserve">Công ty </w:t>
            </w:r>
            <w:proofErr w:type="spellStart"/>
            <w:r w:rsidR="00BE4520" w:rsidRPr="00BE4520">
              <w:t>cổ</w:t>
            </w:r>
            <w:proofErr w:type="spellEnd"/>
            <w:r w:rsidR="00BE4520" w:rsidRPr="00BE4520">
              <w:t xml:space="preserve"> </w:t>
            </w:r>
            <w:proofErr w:type="spellStart"/>
            <w:r w:rsidR="00BE4520" w:rsidRPr="00BE4520">
              <w:t>phần</w:t>
            </w:r>
            <w:proofErr w:type="spellEnd"/>
            <w:r w:rsidR="00BE4520" w:rsidRPr="00BE4520">
              <w:t xml:space="preserve"> </w:t>
            </w:r>
            <w:proofErr w:type="spellStart"/>
            <w:r w:rsidR="00BE4520" w:rsidRPr="00BE4520">
              <w:t>Xếp</w:t>
            </w:r>
            <w:proofErr w:type="spellEnd"/>
            <w:r w:rsidR="00BE4520" w:rsidRPr="00BE4520">
              <w:t xml:space="preserve"> </w:t>
            </w:r>
            <w:proofErr w:type="spellStart"/>
            <w:r w:rsidR="00BE4520" w:rsidRPr="00BE4520">
              <w:t>hạng</w:t>
            </w:r>
            <w:proofErr w:type="spellEnd"/>
            <w:r w:rsidR="00BE4520" w:rsidRPr="00BE4520">
              <w:t xml:space="preserve"> </w:t>
            </w:r>
            <w:proofErr w:type="spellStart"/>
            <w:r w:rsidR="00BE4520" w:rsidRPr="00BE4520">
              <w:t>tín</w:t>
            </w:r>
            <w:proofErr w:type="spellEnd"/>
            <w:r w:rsidR="00BE4520" w:rsidRPr="00BE4520">
              <w:t xml:space="preserve"> </w:t>
            </w:r>
            <w:proofErr w:type="spellStart"/>
            <w:r w:rsidR="00BE4520" w:rsidRPr="00BE4520">
              <w:t>nhiệm</w:t>
            </w:r>
            <w:proofErr w:type="spellEnd"/>
            <w:r w:rsidR="00BE4520" w:rsidRPr="00BE4520">
              <w:t xml:space="preserve"> </w:t>
            </w:r>
            <w:proofErr w:type="spellStart"/>
            <w:r w:rsidR="00BE4520" w:rsidRPr="00BE4520">
              <w:t>đầu</w:t>
            </w:r>
            <w:proofErr w:type="spellEnd"/>
            <w:r w:rsidR="00BE4520" w:rsidRPr="00BE4520">
              <w:t xml:space="preserve"> </w:t>
            </w:r>
            <w:proofErr w:type="spellStart"/>
            <w:r w:rsidR="00BE4520" w:rsidRPr="00BE4520">
              <w:t>tư</w:t>
            </w:r>
            <w:proofErr w:type="spellEnd"/>
            <w:r w:rsidR="00BE4520" w:rsidRPr="00BE4520">
              <w:t xml:space="preserve"> Việt Nam</w:t>
            </w:r>
          </w:p>
          <w:p w14:paraId="55223FD7" w14:textId="3B206FEE" w:rsidR="00900EA1" w:rsidRPr="00900EA1" w:rsidRDefault="00900EA1" w:rsidP="00381192">
            <w:pPr>
              <w:tabs>
                <w:tab w:val="left" w:pos="540"/>
              </w:tabs>
              <w:ind w:right="72"/>
            </w:pPr>
          </w:p>
        </w:tc>
      </w:tr>
      <w:tr w:rsidR="00FA5816" w:rsidRPr="00381192" w14:paraId="591A56D9" w14:textId="77777777" w:rsidTr="00ED573E">
        <w:tc>
          <w:tcPr>
            <w:tcW w:w="1650" w:type="dxa"/>
            <w:vMerge/>
            <w:vAlign w:val="center"/>
          </w:tcPr>
          <w:p w14:paraId="083E48E2" w14:textId="77777777" w:rsidR="00FA5816" w:rsidRPr="00381192" w:rsidRDefault="00FA5816" w:rsidP="00FA5816">
            <w:pPr>
              <w:tabs>
                <w:tab w:val="left" w:pos="540"/>
              </w:tabs>
              <w:rPr>
                <w:lang w:val="nl-NL"/>
              </w:rPr>
            </w:pPr>
          </w:p>
        </w:tc>
        <w:tc>
          <w:tcPr>
            <w:tcW w:w="1590" w:type="dxa"/>
          </w:tcPr>
          <w:p w14:paraId="587EC5CA" w14:textId="1BA3EC16" w:rsidR="00FA5816" w:rsidRPr="00381192" w:rsidRDefault="00FA5816" w:rsidP="00FA5816">
            <w:pPr>
              <w:tabs>
                <w:tab w:val="left" w:pos="540"/>
              </w:tabs>
              <w:rPr>
                <w:lang w:val="nl-NL"/>
              </w:rPr>
            </w:pPr>
            <w:r w:rsidRPr="00381192">
              <w:rPr>
                <w:lang w:val="nl-NL"/>
              </w:rPr>
              <w:t>Vương Thị Hoàng Yến</w:t>
            </w:r>
          </w:p>
        </w:tc>
        <w:tc>
          <w:tcPr>
            <w:tcW w:w="1710" w:type="dxa"/>
          </w:tcPr>
          <w:p w14:paraId="1276BF5C" w14:textId="20DA8CAD" w:rsidR="00FA5816" w:rsidRPr="00381192" w:rsidRDefault="00FA5816" w:rsidP="00FA5816">
            <w:pPr>
              <w:tabs>
                <w:tab w:val="left" w:pos="540"/>
              </w:tabs>
              <w:rPr>
                <w:lang w:val="nl-NL"/>
              </w:rPr>
            </w:pPr>
            <w:r w:rsidRPr="00381192">
              <w:rPr>
                <w:lang w:val="nl-NL"/>
              </w:rPr>
              <w:t>Thành viên</w:t>
            </w:r>
          </w:p>
        </w:tc>
        <w:tc>
          <w:tcPr>
            <w:tcW w:w="1260" w:type="dxa"/>
          </w:tcPr>
          <w:p w14:paraId="7097F241" w14:textId="4F7BAF4D" w:rsidR="00FA5816" w:rsidRPr="00381192" w:rsidRDefault="00FA5816" w:rsidP="00FA5816">
            <w:pPr>
              <w:tabs>
                <w:tab w:val="left" w:pos="540"/>
              </w:tabs>
              <w:rPr>
                <w:lang w:val="nl-NL"/>
              </w:rPr>
            </w:pPr>
            <w:r w:rsidRPr="00381192">
              <w:rPr>
                <w:lang w:val="vi-VN"/>
              </w:rPr>
              <w:t>Cử nhân Kế toán – Kiểm toán</w:t>
            </w:r>
          </w:p>
        </w:tc>
        <w:tc>
          <w:tcPr>
            <w:tcW w:w="3378" w:type="dxa"/>
          </w:tcPr>
          <w:p w14:paraId="0D810376" w14:textId="77777777" w:rsidR="008439CA" w:rsidRPr="008439CA" w:rsidRDefault="008439CA" w:rsidP="008439CA">
            <w:pPr>
              <w:ind w:right="72"/>
              <w:rPr>
                <w:lang w:val="nl-NL"/>
              </w:rPr>
            </w:pPr>
            <w:r w:rsidRPr="008439CA">
              <w:rPr>
                <w:lang w:val="nl-NL"/>
              </w:rPr>
              <w:t>- 8/2004 - 11/2007: Kế toán trưởng Công Ty TNHH Dệt - Thương Mại - Dịch Vụ Minh Thắng</w:t>
            </w:r>
          </w:p>
          <w:p w14:paraId="296E6D0E" w14:textId="77777777" w:rsidR="008439CA" w:rsidRPr="008439CA" w:rsidRDefault="008439CA" w:rsidP="008439CA">
            <w:pPr>
              <w:ind w:right="72"/>
              <w:rPr>
                <w:lang w:val="nl-NL"/>
              </w:rPr>
            </w:pPr>
            <w:r w:rsidRPr="008439CA">
              <w:rPr>
                <w:lang w:val="nl-NL"/>
              </w:rPr>
              <w:t>- 12/2007 – 4/2012:Kiểm toán viên, trưởng phòng kiểm toán Công ty TNHH Kiểm toán AS.</w:t>
            </w:r>
          </w:p>
          <w:p w14:paraId="0C5A8BDA" w14:textId="77777777" w:rsidR="008439CA" w:rsidRPr="008439CA" w:rsidRDefault="008439CA" w:rsidP="008439CA">
            <w:pPr>
              <w:ind w:right="72"/>
              <w:rPr>
                <w:lang w:val="nl-NL"/>
              </w:rPr>
            </w:pPr>
            <w:r w:rsidRPr="008439CA">
              <w:rPr>
                <w:lang w:val="nl-NL"/>
              </w:rPr>
              <w:t>- Từ 9/2012-5/2013: Giám đốc kiểm toán Công ty Hợp danh kiểm toán FA</w:t>
            </w:r>
          </w:p>
          <w:p w14:paraId="08B3F4E7" w14:textId="77777777" w:rsidR="008439CA" w:rsidRPr="008439CA" w:rsidRDefault="008439CA" w:rsidP="008439CA">
            <w:pPr>
              <w:ind w:right="72"/>
              <w:rPr>
                <w:lang w:val="nl-NL"/>
              </w:rPr>
            </w:pPr>
            <w:r w:rsidRPr="008439CA">
              <w:rPr>
                <w:lang w:val="nl-NL"/>
              </w:rPr>
              <w:t>- Từ 2013 đến 09/2016: Giám đốc kiểm toán Công ty TNHH kiểm toán Đại Tín.</w:t>
            </w:r>
          </w:p>
          <w:p w14:paraId="7AC6F910" w14:textId="77777777" w:rsidR="008439CA" w:rsidRPr="008439CA" w:rsidRDefault="008439CA" w:rsidP="008439CA">
            <w:pPr>
              <w:ind w:right="72"/>
              <w:rPr>
                <w:lang w:val="nl-NL"/>
              </w:rPr>
            </w:pPr>
            <w:r w:rsidRPr="008439CA">
              <w:rPr>
                <w:lang w:val="nl-NL"/>
              </w:rPr>
              <w:t>- Từ 10/2016 đến 12/2019: Giám đốc kiểm toán Chi nhánh Công ty TNHH Kiểm toán Đại Tín</w:t>
            </w:r>
          </w:p>
          <w:p w14:paraId="03E73CF6" w14:textId="3E4DCF07" w:rsidR="00FA5816" w:rsidRPr="00381192" w:rsidRDefault="008439CA" w:rsidP="008439CA">
            <w:pPr>
              <w:ind w:right="72"/>
              <w:rPr>
                <w:lang w:val="nl-NL"/>
              </w:rPr>
            </w:pPr>
            <w:r w:rsidRPr="008439CA">
              <w:rPr>
                <w:lang w:val="nl-NL"/>
              </w:rPr>
              <w:t>- Từ 01/2020 đến nay: Giám đốc nghiệp vụ Công ty TNHH Kiểm toán Chuẩn Vàng.</w:t>
            </w:r>
          </w:p>
        </w:tc>
      </w:tr>
      <w:tr w:rsidR="00FA5816" w:rsidRPr="00381192" w14:paraId="30918CFC" w14:textId="77777777" w:rsidTr="00ED573E">
        <w:tc>
          <w:tcPr>
            <w:tcW w:w="1650" w:type="dxa"/>
            <w:vMerge/>
            <w:vAlign w:val="center"/>
          </w:tcPr>
          <w:p w14:paraId="6282A67C" w14:textId="77777777" w:rsidR="00FA5816" w:rsidRPr="00381192" w:rsidRDefault="00FA5816" w:rsidP="00FA5816">
            <w:pPr>
              <w:tabs>
                <w:tab w:val="left" w:pos="540"/>
              </w:tabs>
              <w:rPr>
                <w:lang w:val="nl-NL"/>
              </w:rPr>
            </w:pPr>
          </w:p>
        </w:tc>
        <w:tc>
          <w:tcPr>
            <w:tcW w:w="1590" w:type="dxa"/>
          </w:tcPr>
          <w:p w14:paraId="4939D337" w14:textId="3066A97E" w:rsidR="00FA5816" w:rsidRPr="00381192" w:rsidRDefault="00FA5816" w:rsidP="00FA5816">
            <w:pPr>
              <w:tabs>
                <w:tab w:val="left" w:pos="540"/>
              </w:tabs>
              <w:rPr>
                <w:lang w:val="nl-NL"/>
              </w:rPr>
            </w:pPr>
            <w:r>
              <w:rPr>
                <w:lang w:val="nl-NL"/>
              </w:rPr>
              <w:t>Đặng Việt Hưng</w:t>
            </w:r>
          </w:p>
        </w:tc>
        <w:tc>
          <w:tcPr>
            <w:tcW w:w="1710" w:type="dxa"/>
          </w:tcPr>
          <w:p w14:paraId="4A68BB99" w14:textId="0A07242A" w:rsidR="00FA5816" w:rsidRPr="00381192" w:rsidRDefault="00FA5816" w:rsidP="00FA5816">
            <w:pPr>
              <w:tabs>
                <w:tab w:val="left" w:pos="540"/>
              </w:tabs>
              <w:rPr>
                <w:lang w:val="nl-NL"/>
              </w:rPr>
            </w:pPr>
            <w:r w:rsidRPr="00381192">
              <w:rPr>
                <w:lang w:val="nl-NL"/>
              </w:rPr>
              <w:t>Thành viên</w:t>
            </w:r>
          </w:p>
        </w:tc>
        <w:tc>
          <w:tcPr>
            <w:tcW w:w="1260" w:type="dxa"/>
            <w:shd w:val="clear" w:color="auto" w:fill="auto"/>
          </w:tcPr>
          <w:p w14:paraId="44710247" w14:textId="77777777" w:rsidR="00FA5816" w:rsidRPr="00381192" w:rsidRDefault="00FA5816" w:rsidP="00FA5816">
            <w:pPr>
              <w:rPr>
                <w:lang w:val="nl-NL"/>
              </w:rPr>
            </w:pPr>
            <w:r w:rsidRPr="00381192">
              <w:rPr>
                <w:lang w:val="nl-NL"/>
              </w:rPr>
              <w:t>Cử nhân luật</w:t>
            </w:r>
          </w:p>
          <w:p w14:paraId="2EF1B586" w14:textId="3E7141AC" w:rsidR="00FA5816" w:rsidRPr="00381192" w:rsidRDefault="00FA5816" w:rsidP="00FA5816">
            <w:pPr>
              <w:tabs>
                <w:tab w:val="left" w:pos="540"/>
              </w:tabs>
            </w:pPr>
            <w:r w:rsidRPr="00381192">
              <w:rPr>
                <w:lang w:val="nl-NL"/>
              </w:rPr>
              <w:t>Luật sư</w:t>
            </w:r>
          </w:p>
        </w:tc>
        <w:tc>
          <w:tcPr>
            <w:tcW w:w="3378" w:type="dxa"/>
            <w:shd w:val="clear" w:color="auto" w:fill="auto"/>
          </w:tcPr>
          <w:p w14:paraId="5785426B" w14:textId="77777777" w:rsidR="00FA5816" w:rsidRDefault="00FA5816" w:rsidP="00FA5816">
            <w:pPr>
              <w:ind w:right="72"/>
              <w:rPr>
                <w:lang w:val="nl-NL"/>
              </w:rPr>
            </w:pPr>
            <w:r>
              <w:rPr>
                <w:lang w:val="nl-NL"/>
              </w:rPr>
              <w:t xml:space="preserve">- 10/2014 – 06/2016: Trợ lý pháp lý Bộ phận chuyên môn Công ty </w:t>
            </w:r>
            <w:r w:rsidRPr="000825BC">
              <w:rPr>
                <w:lang w:val="nl-NL"/>
              </w:rPr>
              <w:t>Luật TNHH Phương Bắc và Cộng Sự</w:t>
            </w:r>
          </w:p>
          <w:p w14:paraId="2E51DCF0" w14:textId="77777777" w:rsidR="00FA5816" w:rsidRDefault="00FA5816" w:rsidP="00FA5816">
            <w:pPr>
              <w:ind w:right="72"/>
              <w:rPr>
                <w:lang w:val="nl-NL"/>
              </w:rPr>
            </w:pPr>
            <w:r>
              <w:rPr>
                <w:lang w:val="nl-NL"/>
              </w:rPr>
              <w:t xml:space="preserve">- 07/2016-09/2019: Cộng sự Bộ phận chuyên môn </w:t>
            </w:r>
            <w:r w:rsidRPr="000825BC">
              <w:rPr>
                <w:lang w:val="nl-NL"/>
              </w:rPr>
              <w:t>Công ty Luật TNHH RHTLaw Taylor Wessing Việt Nam</w:t>
            </w:r>
          </w:p>
          <w:p w14:paraId="03E70422" w14:textId="26667BA2" w:rsidR="00DD4F42" w:rsidRDefault="00DD4F42" w:rsidP="00DD4F42">
            <w:pPr>
              <w:ind w:right="72"/>
              <w:rPr>
                <w:lang w:val="nl-NL"/>
              </w:rPr>
            </w:pPr>
            <w:r>
              <w:rPr>
                <w:lang w:val="nl-NL"/>
              </w:rPr>
              <w:t xml:space="preserve">- </w:t>
            </w:r>
            <w:r w:rsidRPr="00DD4F42">
              <w:rPr>
                <w:lang w:val="nl-NL"/>
              </w:rPr>
              <w:t>01/2018 – 10/2018</w:t>
            </w:r>
            <w:r>
              <w:rPr>
                <w:lang w:val="nl-NL"/>
              </w:rPr>
              <w:t xml:space="preserve">: </w:t>
            </w:r>
            <w:r w:rsidRPr="00DD4F42">
              <w:rPr>
                <w:lang w:val="nl-NL"/>
              </w:rPr>
              <w:t>Chuyên viên pháp chế (biệt phái)</w:t>
            </w:r>
            <w:r>
              <w:rPr>
                <w:lang w:val="nl-NL"/>
              </w:rPr>
              <w:t xml:space="preserve"> tại </w:t>
            </w:r>
            <w:r w:rsidRPr="00DD4F42">
              <w:rPr>
                <w:lang w:val="nl-NL"/>
              </w:rPr>
              <w:t>Công ty TNHH Colgate – Palmolive (Vietnam) (CPVN)</w:t>
            </w:r>
          </w:p>
          <w:p w14:paraId="1595A367" w14:textId="77777777" w:rsidR="00FA5816" w:rsidRDefault="00FA5816" w:rsidP="00FA5816">
            <w:pPr>
              <w:ind w:right="72"/>
              <w:rPr>
                <w:lang w:val="nl-NL"/>
              </w:rPr>
            </w:pPr>
            <w:r>
              <w:rPr>
                <w:lang w:val="nl-NL"/>
              </w:rPr>
              <w:t xml:space="preserve">- 10/2019-03/2022: Luật sư Cộng sự </w:t>
            </w:r>
            <w:r w:rsidRPr="000825BC">
              <w:rPr>
                <w:lang w:val="nl-NL"/>
              </w:rPr>
              <w:t>Công ty Luật TNHH RHTLaw Vietnam</w:t>
            </w:r>
          </w:p>
          <w:p w14:paraId="09CDA076" w14:textId="28AA7372" w:rsidR="00FA5816" w:rsidRPr="00381192" w:rsidRDefault="00FA5816" w:rsidP="00FA5816">
            <w:pPr>
              <w:ind w:right="72"/>
              <w:rPr>
                <w:lang w:val="nl-NL"/>
              </w:rPr>
            </w:pPr>
            <w:r>
              <w:rPr>
                <w:lang w:val="nl-NL"/>
              </w:rPr>
              <w:t xml:space="preserve">- 04/2022 đến nay: Chuyên viên Pháp lý và Tuân thủ </w:t>
            </w:r>
            <w:r w:rsidRPr="000825BC">
              <w:rPr>
                <w:lang w:val="nl-NL"/>
              </w:rPr>
              <w:t>Công ty CP QLQ Dragon Capital Vietnam (DCVFM)</w:t>
            </w:r>
          </w:p>
        </w:tc>
      </w:tr>
      <w:bookmarkEnd w:id="0"/>
      <w:tr w:rsidR="004B6D50" w:rsidRPr="00381192" w14:paraId="412AD8C6" w14:textId="77777777" w:rsidTr="00ED573E">
        <w:trPr>
          <w:trHeight w:val="188"/>
        </w:trPr>
        <w:tc>
          <w:tcPr>
            <w:tcW w:w="1650" w:type="dxa"/>
            <w:vAlign w:val="center"/>
          </w:tcPr>
          <w:p w14:paraId="5ADA6946" w14:textId="77777777" w:rsidR="004B6D50" w:rsidRPr="00381192" w:rsidRDefault="004B6D50" w:rsidP="004B6D50">
            <w:pPr>
              <w:tabs>
                <w:tab w:val="left" w:pos="540"/>
              </w:tabs>
              <w:rPr>
                <w:lang w:val="nl-NL"/>
              </w:rPr>
            </w:pPr>
            <w:r w:rsidRPr="00381192">
              <w:rPr>
                <w:lang w:val="nl-NL"/>
              </w:rPr>
              <w:lastRenderedPageBreak/>
              <w:t>Ban điều hành Công ty Quản lý quỹ</w:t>
            </w:r>
          </w:p>
        </w:tc>
        <w:tc>
          <w:tcPr>
            <w:tcW w:w="1590" w:type="dxa"/>
          </w:tcPr>
          <w:p w14:paraId="08059872" w14:textId="3612080D" w:rsidR="004B6D50" w:rsidRPr="00381192" w:rsidRDefault="004B6D50" w:rsidP="004B6D50">
            <w:pPr>
              <w:tabs>
                <w:tab w:val="left" w:pos="540"/>
              </w:tabs>
              <w:rPr>
                <w:lang w:val="nl-NL"/>
              </w:rPr>
            </w:pPr>
            <w:r w:rsidRPr="00381192">
              <w:rPr>
                <w:lang w:val="nl-NL"/>
              </w:rPr>
              <w:t>Beat Schurch</w:t>
            </w:r>
          </w:p>
        </w:tc>
        <w:tc>
          <w:tcPr>
            <w:tcW w:w="1710" w:type="dxa"/>
          </w:tcPr>
          <w:p w14:paraId="59B6041C" w14:textId="5A992F7D" w:rsidR="004B6D50" w:rsidRPr="00381192" w:rsidRDefault="004B6D50" w:rsidP="004B6D50">
            <w:pPr>
              <w:tabs>
                <w:tab w:val="left" w:pos="540"/>
              </w:tabs>
              <w:rPr>
                <w:lang w:val="nl-NL"/>
              </w:rPr>
            </w:pPr>
            <w:r w:rsidRPr="00381192">
              <w:rPr>
                <w:lang w:val="nl-NL"/>
              </w:rPr>
              <w:t>Tổng Giám đốc</w:t>
            </w:r>
          </w:p>
        </w:tc>
        <w:tc>
          <w:tcPr>
            <w:tcW w:w="1260" w:type="dxa"/>
          </w:tcPr>
          <w:p w14:paraId="36C896F1" w14:textId="7175679C" w:rsidR="004B6D50" w:rsidRPr="00381192" w:rsidRDefault="004B6D50" w:rsidP="004B6D50">
            <w:pPr>
              <w:tabs>
                <w:tab w:val="left" w:pos="540"/>
              </w:tabs>
              <w:rPr>
                <w:lang w:val="nl-NL"/>
              </w:rPr>
            </w:pPr>
            <w:r w:rsidRPr="00381192">
              <w:rPr>
                <w:lang w:val="nl-NL"/>
              </w:rPr>
              <w:t>Thạc sỹ Kinh tế</w:t>
            </w:r>
          </w:p>
        </w:tc>
        <w:tc>
          <w:tcPr>
            <w:tcW w:w="3378" w:type="dxa"/>
          </w:tcPr>
          <w:p w14:paraId="7B9D5FEF" w14:textId="77777777" w:rsidR="004B6D50" w:rsidRPr="00BF0F6D" w:rsidRDefault="004B6D50" w:rsidP="004B6D50">
            <w:r w:rsidRPr="00BF0F6D">
              <w:t xml:space="preserve">- </w:t>
            </w:r>
            <w:r>
              <w:t>0</w:t>
            </w:r>
            <w:r w:rsidRPr="00BF0F6D">
              <w:t xml:space="preserve">8/1996 - </w:t>
            </w:r>
            <w:r>
              <w:t>0</w:t>
            </w:r>
            <w:r w:rsidRPr="00BF0F6D">
              <w:t xml:space="preserve">7/2002: DKSH Vietnam, </w:t>
            </w:r>
            <w:proofErr w:type="spellStart"/>
            <w:r w:rsidRPr="00BF0F6D">
              <w:t>Giám</w:t>
            </w:r>
            <w:proofErr w:type="spellEnd"/>
            <w:r w:rsidRPr="00BF0F6D">
              <w:t xml:space="preserve"> </w:t>
            </w:r>
            <w:proofErr w:type="spellStart"/>
            <w:r w:rsidRPr="00BF0F6D">
              <w:t>đốc</w:t>
            </w:r>
            <w:proofErr w:type="spellEnd"/>
            <w:r w:rsidRPr="00BF0F6D">
              <w:t xml:space="preserve"> </w:t>
            </w:r>
            <w:proofErr w:type="spellStart"/>
            <w:r w:rsidRPr="00BF0F6D">
              <w:t>phụ</w:t>
            </w:r>
            <w:proofErr w:type="spellEnd"/>
            <w:r w:rsidRPr="00BF0F6D">
              <w:t xml:space="preserve"> </w:t>
            </w:r>
            <w:proofErr w:type="spellStart"/>
            <w:r w:rsidRPr="00BF0F6D">
              <w:t>trách</w:t>
            </w:r>
            <w:proofErr w:type="spellEnd"/>
            <w:r w:rsidRPr="00BF0F6D">
              <w:t xml:space="preserve"> </w:t>
            </w:r>
            <w:proofErr w:type="spellStart"/>
            <w:r w:rsidRPr="00BF0F6D">
              <w:t>thị</w:t>
            </w:r>
            <w:proofErr w:type="spellEnd"/>
            <w:r w:rsidRPr="00BF0F6D">
              <w:t xml:space="preserve"> </w:t>
            </w:r>
            <w:proofErr w:type="spellStart"/>
            <w:r w:rsidRPr="00BF0F6D">
              <w:t>trường</w:t>
            </w:r>
            <w:proofErr w:type="spellEnd"/>
            <w:r w:rsidRPr="00BF0F6D">
              <w:t xml:space="preserve"> Việt Nam, </w:t>
            </w:r>
            <w:proofErr w:type="spellStart"/>
            <w:r w:rsidRPr="00BF0F6D">
              <w:t>Campuchia</w:t>
            </w:r>
            <w:proofErr w:type="spellEnd"/>
          </w:p>
          <w:p w14:paraId="5F76602A" w14:textId="77777777" w:rsidR="004B6D50" w:rsidRPr="00BF0F6D" w:rsidRDefault="004B6D50" w:rsidP="004B6D50">
            <w:r w:rsidRPr="00BF0F6D">
              <w:t xml:space="preserve">- 12/2002 - </w:t>
            </w:r>
            <w:r>
              <w:t>0</w:t>
            </w:r>
            <w:r w:rsidRPr="00BF0F6D">
              <w:t xml:space="preserve">2/2004: </w:t>
            </w:r>
            <w:proofErr w:type="spellStart"/>
            <w:r w:rsidRPr="00BF0F6D">
              <w:t>Lanamatic</w:t>
            </w:r>
            <w:proofErr w:type="spellEnd"/>
            <w:r w:rsidRPr="00BF0F6D">
              <w:t xml:space="preserve"> Asia, </w:t>
            </w:r>
            <w:proofErr w:type="spellStart"/>
            <w:r w:rsidRPr="00BF0F6D">
              <w:t>Đại</w:t>
            </w:r>
            <w:proofErr w:type="spellEnd"/>
            <w:r w:rsidRPr="00BF0F6D">
              <w:t xml:space="preserve"> </w:t>
            </w:r>
            <w:proofErr w:type="spellStart"/>
            <w:r w:rsidRPr="00BF0F6D">
              <w:t>diện</w:t>
            </w:r>
            <w:proofErr w:type="spellEnd"/>
            <w:r w:rsidRPr="00BF0F6D">
              <w:t xml:space="preserve"> </w:t>
            </w:r>
            <w:proofErr w:type="spellStart"/>
            <w:r w:rsidRPr="00BF0F6D">
              <w:t>thường</w:t>
            </w:r>
            <w:proofErr w:type="spellEnd"/>
            <w:r w:rsidRPr="00BF0F6D">
              <w:t xml:space="preserve"> </w:t>
            </w:r>
            <w:proofErr w:type="spellStart"/>
            <w:r w:rsidRPr="00BF0F6D">
              <w:t>trú</w:t>
            </w:r>
            <w:proofErr w:type="spellEnd"/>
            <w:r w:rsidRPr="00BF0F6D">
              <w:t xml:space="preserve"> </w:t>
            </w:r>
            <w:proofErr w:type="spellStart"/>
            <w:r w:rsidRPr="00BF0F6D">
              <w:t>tại</w:t>
            </w:r>
            <w:proofErr w:type="spellEnd"/>
            <w:r w:rsidRPr="00BF0F6D">
              <w:t xml:space="preserve"> Thái Lan</w:t>
            </w:r>
          </w:p>
          <w:p w14:paraId="5B540D56" w14:textId="77777777" w:rsidR="004B6D50" w:rsidRPr="00BF0F6D" w:rsidRDefault="004B6D50" w:rsidP="004B6D50">
            <w:r w:rsidRPr="00BF0F6D">
              <w:t xml:space="preserve">- </w:t>
            </w:r>
            <w:r>
              <w:t>0</w:t>
            </w:r>
            <w:r w:rsidRPr="00BF0F6D">
              <w:t xml:space="preserve">3/2004 - </w:t>
            </w:r>
            <w:r>
              <w:t>0</w:t>
            </w:r>
            <w:r w:rsidRPr="00BF0F6D">
              <w:t xml:space="preserve">8/2006: </w:t>
            </w:r>
            <w:proofErr w:type="spellStart"/>
            <w:r w:rsidRPr="00BF0F6D">
              <w:t>Synovate</w:t>
            </w:r>
            <w:proofErr w:type="spellEnd"/>
            <w:r w:rsidRPr="00BF0F6D">
              <w:t xml:space="preserve"> Thailand, </w:t>
            </w:r>
            <w:proofErr w:type="spellStart"/>
            <w:r w:rsidRPr="00BF0F6D">
              <w:t>Trưởng</w:t>
            </w:r>
            <w:proofErr w:type="spellEnd"/>
            <w:r w:rsidRPr="00BF0F6D">
              <w:t xml:space="preserve"> </w:t>
            </w:r>
            <w:proofErr w:type="spellStart"/>
            <w:r w:rsidRPr="00BF0F6D">
              <w:t>bộ</w:t>
            </w:r>
            <w:proofErr w:type="spellEnd"/>
            <w:r w:rsidRPr="00BF0F6D">
              <w:t xml:space="preserve"> </w:t>
            </w:r>
            <w:proofErr w:type="spellStart"/>
            <w:r w:rsidRPr="00BF0F6D">
              <w:t>phận</w:t>
            </w:r>
            <w:proofErr w:type="spellEnd"/>
            <w:r w:rsidRPr="00BF0F6D">
              <w:t xml:space="preserve"> </w:t>
            </w:r>
            <w:proofErr w:type="spellStart"/>
            <w:r w:rsidRPr="00BF0F6D">
              <w:t>tư</w:t>
            </w:r>
            <w:proofErr w:type="spellEnd"/>
            <w:r w:rsidRPr="00BF0F6D">
              <w:t xml:space="preserve"> </w:t>
            </w:r>
            <w:proofErr w:type="spellStart"/>
            <w:r w:rsidRPr="00BF0F6D">
              <w:t>vấn</w:t>
            </w:r>
            <w:proofErr w:type="spellEnd"/>
            <w:r w:rsidRPr="00BF0F6D">
              <w:t xml:space="preserve"> </w:t>
            </w:r>
            <w:proofErr w:type="spellStart"/>
            <w:r w:rsidRPr="00BF0F6D">
              <w:t>kinh</w:t>
            </w:r>
            <w:proofErr w:type="spellEnd"/>
            <w:r w:rsidRPr="00BF0F6D">
              <w:t xml:space="preserve"> </w:t>
            </w:r>
            <w:proofErr w:type="spellStart"/>
            <w:r w:rsidRPr="00BF0F6D">
              <w:t>doanh</w:t>
            </w:r>
            <w:proofErr w:type="spellEnd"/>
          </w:p>
          <w:p w14:paraId="42909387" w14:textId="77777777" w:rsidR="004B6D50" w:rsidRPr="00BF0F6D" w:rsidRDefault="004B6D50" w:rsidP="004B6D50">
            <w:r w:rsidRPr="00BF0F6D">
              <w:t xml:space="preserve">- </w:t>
            </w:r>
            <w:r>
              <w:t>0</w:t>
            </w:r>
            <w:r w:rsidRPr="00BF0F6D">
              <w:t xml:space="preserve">9/2006 - </w:t>
            </w:r>
            <w:r>
              <w:t>0</w:t>
            </w:r>
            <w:r w:rsidRPr="00BF0F6D">
              <w:t xml:space="preserve">3/2009: Indochina Capital Vietnam: </w:t>
            </w:r>
            <w:proofErr w:type="spellStart"/>
            <w:r w:rsidRPr="00BF0F6D">
              <w:t>Giám</w:t>
            </w:r>
            <w:proofErr w:type="spellEnd"/>
            <w:r w:rsidRPr="00BF0F6D">
              <w:t xml:space="preserve"> </w:t>
            </w:r>
            <w:proofErr w:type="spellStart"/>
            <w:r w:rsidRPr="00BF0F6D">
              <w:t>đốc</w:t>
            </w:r>
            <w:proofErr w:type="spellEnd"/>
            <w:r w:rsidRPr="00BF0F6D">
              <w:t xml:space="preserve"> Tài </w:t>
            </w:r>
            <w:proofErr w:type="spellStart"/>
            <w:r w:rsidRPr="00BF0F6D">
              <w:t>chính</w:t>
            </w:r>
            <w:proofErr w:type="spellEnd"/>
          </w:p>
          <w:p w14:paraId="3F78827A" w14:textId="77777777" w:rsidR="004B6D50" w:rsidRPr="00BF0F6D" w:rsidRDefault="004B6D50" w:rsidP="004B6D50">
            <w:r w:rsidRPr="00BF0F6D">
              <w:t xml:space="preserve">- </w:t>
            </w:r>
            <w:r>
              <w:t>0</w:t>
            </w:r>
            <w:r w:rsidRPr="00BF0F6D">
              <w:t xml:space="preserve">4/2009 - </w:t>
            </w:r>
            <w:r>
              <w:t>0</w:t>
            </w:r>
            <w:r w:rsidRPr="00BF0F6D">
              <w:t xml:space="preserve">1/2010: Indochina Capital Vietnam: </w:t>
            </w:r>
            <w:proofErr w:type="spellStart"/>
            <w:r w:rsidRPr="00BF0F6D">
              <w:t>Giám</w:t>
            </w:r>
            <w:proofErr w:type="spellEnd"/>
            <w:r w:rsidRPr="00BF0F6D">
              <w:t xml:space="preserve"> </w:t>
            </w:r>
            <w:proofErr w:type="spellStart"/>
            <w:r w:rsidRPr="00BF0F6D">
              <w:t>đốc</w:t>
            </w:r>
            <w:proofErr w:type="spellEnd"/>
            <w:r w:rsidRPr="00BF0F6D">
              <w:t xml:space="preserve"> </w:t>
            </w:r>
            <w:proofErr w:type="spellStart"/>
            <w:r w:rsidRPr="00BF0F6D">
              <w:t>điều</w:t>
            </w:r>
            <w:proofErr w:type="spellEnd"/>
            <w:r w:rsidRPr="00BF0F6D">
              <w:t xml:space="preserve"> </w:t>
            </w:r>
            <w:proofErr w:type="spellStart"/>
            <w:r w:rsidRPr="00BF0F6D">
              <w:t>hành</w:t>
            </w:r>
            <w:proofErr w:type="spellEnd"/>
            <w:r w:rsidRPr="00BF0F6D">
              <w:t xml:space="preserve">, </w:t>
            </w:r>
            <w:proofErr w:type="spellStart"/>
            <w:r w:rsidRPr="00BF0F6D">
              <w:t>bộ</w:t>
            </w:r>
            <w:proofErr w:type="spellEnd"/>
            <w:r w:rsidRPr="00BF0F6D">
              <w:t xml:space="preserve"> </w:t>
            </w:r>
            <w:proofErr w:type="spellStart"/>
            <w:r w:rsidRPr="00BF0F6D">
              <w:t>phận</w:t>
            </w:r>
            <w:proofErr w:type="spellEnd"/>
            <w:r w:rsidRPr="00BF0F6D">
              <w:t xml:space="preserve"> </w:t>
            </w:r>
            <w:proofErr w:type="spellStart"/>
            <w:r w:rsidRPr="00BF0F6D">
              <w:t>Vốn</w:t>
            </w:r>
            <w:proofErr w:type="spellEnd"/>
            <w:r w:rsidRPr="00BF0F6D">
              <w:t xml:space="preserve"> </w:t>
            </w:r>
            <w:proofErr w:type="spellStart"/>
            <w:r w:rsidRPr="00BF0F6D">
              <w:t>cổ</w:t>
            </w:r>
            <w:proofErr w:type="spellEnd"/>
            <w:r w:rsidRPr="00BF0F6D">
              <w:t xml:space="preserve"> </w:t>
            </w:r>
            <w:proofErr w:type="spellStart"/>
            <w:r w:rsidRPr="00BF0F6D">
              <w:t>phần</w:t>
            </w:r>
            <w:proofErr w:type="spellEnd"/>
          </w:p>
          <w:p w14:paraId="0D325365" w14:textId="77777777" w:rsidR="004B6D50" w:rsidRPr="00BF0F6D" w:rsidRDefault="004B6D50" w:rsidP="004B6D50">
            <w:r w:rsidRPr="00BF0F6D">
              <w:t xml:space="preserve">- </w:t>
            </w:r>
            <w:r>
              <w:t>0</w:t>
            </w:r>
            <w:r w:rsidRPr="00BF0F6D">
              <w:t xml:space="preserve">3/2010 - </w:t>
            </w:r>
            <w:r>
              <w:t>0</w:t>
            </w:r>
            <w:r w:rsidRPr="00BF0F6D">
              <w:t xml:space="preserve">3/2011: Dragon Capital Group: </w:t>
            </w:r>
            <w:proofErr w:type="spellStart"/>
            <w:r w:rsidRPr="00BF0F6D">
              <w:t>Giám</w:t>
            </w:r>
            <w:proofErr w:type="spellEnd"/>
            <w:r w:rsidRPr="00BF0F6D">
              <w:t xml:space="preserve"> </w:t>
            </w:r>
            <w:proofErr w:type="spellStart"/>
            <w:r w:rsidRPr="00BF0F6D">
              <w:t>đốc</w:t>
            </w:r>
            <w:proofErr w:type="spellEnd"/>
            <w:r w:rsidRPr="00BF0F6D">
              <w:t xml:space="preserve">, </w:t>
            </w:r>
            <w:proofErr w:type="spellStart"/>
            <w:r w:rsidRPr="00BF0F6D">
              <w:t>phụ</w:t>
            </w:r>
            <w:proofErr w:type="spellEnd"/>
            <w:r w:rsidRPr="00BF0F6D">
              <w:t xml:space="preserve"> </w:t>
            </w:r>
            <w:proofErr w:type="spellStart"/>
            <w:r w:rsidRPr="00BF0F6D">
              <w:t>trách</w:t>
            </w:r>
            <w:proofErr w:type="spellEnd"/>
            <w:r w:rsidRPr="00BF0F6D">
              <w:t xml:space="preserve"> </w:t>
            </w:r>
            <w:proofErr w:type="spellStart"/>
            <w:r w:rsidRPr="00BF0F6D">
              <w:t>vận</w:t>
            </w:r>
            <w:proofErr w:type="spellEnd"/>
            <w:r w:rsidRPr="00BF0F6D">
              <w:t xml:space="preserve"> </w:t>
            </w:r>
            <w:proofErr w:type="spellStart"/>
            <w:r w:rsidRPr="00BF0F6D">
              <w:t>hành</w:t>
            </w:r>
            <w:proofErr w:type="spellEnd"/>
          </w:p>
          <w:p w14:paraId="5EB611B2" w14:textId="77777777" w:rsidR="004B6D50" w:rsidRPr="00BF0F6D" w:rsidRDefault="004B6D50" w:rsidP="004B6D50">
            <w:r w:rsidRPr="00BF0F6D">
              <w:t xml:space="preserve">- </w:t>
            </w:r>
            <w:r>
              <w:t>0</w:t>
            </w:r>
            <w:r w:rsidRPr="00BF0F6D">
              <w:t>4/2011 - 12/</w:t>
            </w:r>
            <w:r>
              <w:t>2</w:t>
            </w:r>
            <w:r w:rsidRPr="00BF0F6D">
              <w:t xml:space="preserve">016: VPĐD Dragon Capital Group Ltd </w:t>
            </w:r>
            <w:proofErr w:type="spellStart"/>
            <w:r w:rsidRPr="00BF0F6D">
              <w:t>tại</w:t>
            </w:r>
            <w:proofErr w:type="spellEnd"/>
            <w:r w:rsidRPr="00BF0F6D">
              <w:t xml:space="preserve"> </w:t>
            </w:r>
            <w:proofErr w:type="spellStart"/>
            <w:r w:rsidRPr="00BF0F6D">
              <w:t>Tp</w:t>
            </w:r>
            <w:proofErr w:type="spellEnd"/>
            <w:r w:rsidRPr="00BF0F6D">
              <w:t xml:space="preserve"> HCM: </w:t>
            </w:r>
            <w:proofErr w:type="spellStart"/>
            <w:r w:rsidRPr="00BF0F6D">
              <w:t>Trưởng</w:t>
            </w:r>
            <w:proofErr w:type="spellEnd"/>
            <w:r w:rsidRPr="00BF0F6D">
              <w:t xml:space="preserve"> </w:t>
            </w:r>
            <w:proofErr w:type="spellStart"/>
            <w:r w:rsidRPr="00BF0F6D">
              <w:t>Đại</w:t>
            </w:r>
            <w:proofErr w:type="spellEnd"/>
            <w:r w:rsidRPr="00BF0F6D">
              <w:t xml:space="preserve"> </w:t>
            </w:r>
            <w:proofErr w:type="spellStart"/>
            <w:r w:rsidRPr="00BF0F6D">
              <w:t>diện</w:t>
            </w:r>
            <w:proofErr w:type="spellEnd"/>
          </w:p>
          <w:p w14:paraId="09D1C8DC" w14:textId="77777777" w:rsidR="004B6D50" w:rsidRPr="00BF0F6D" w:rsidRDefault="004B6D50" w:rsidP="004B6D50">
            <w:r w:rsidRPr="00BF0F6D">
              <w:t xml:space="preserve">- 12/2016 - 12/2020: VPĐD Dragon Capital Management (HK) Ltd </w:t>
            </w:r>
            <w:proofErr w:type="spellStart"/>
            <w:r w:rsidRPr="00BF0F6D">
              <w:t>tại</w:t>
            </w:r>
            <w:proofErr w:type="spellEnd"/>
            <w:r w:rsidRPr="00BF0F6D">
              <w:t xml:space="preserve"> </w:t>
            </w:r>
            <w:proofErr w:type="spellStart"/>
            <w:r w:rsidRPr="00BF0F6D">
              <w:t>Tp</w:t>
            </w:r>
            <w:proofErr w:type="spellEnd"/>
            <w:r w:rsidRPr="00BF0F6D">
              <w:t xml:space="preserve"> HCMC: </w:t>
            </w:r>
            <w:proofErr w:type="spellStart"/>
            <w:r w:rsidRPr="00BF0F6D">
              <w:t>Trưởng</w:t>
            </w:r>
            <w:proofErr w:type="spellEnd"/>
            <w:r w:rsidRPr="00BF0F6D">
              <w:t xml:space="preserve"> </w:t>
            </w:r>
            <w:proofErr w:type="spellStart"/>
            <w:r w:rsidRPr="00BF0F6D">
              <w:t>đại</w:t>
            </w:r>
            <w:proofErr w:type="spellEnd"/>
            <w:r w:rsidRPr="00BF0F6D">
              <w:t xml:space="preserve"> </w:t>
            </w:r>
            <w:proofErr w:type="spellStart"/>
            <w:r w:rsidRPr="00BF0F6D">
              <w:t>diện</w:t>
            </w:r>
            <w:proofErr w:type="spellEnd"/>
          </w:p>
          <w:p w14:paraId="48535D30" w14:textId="501368AD" w:rsidR="004B6D50" w:rsidRPr="00381192" w:rsidRDefault="004B6D50" w:rsidP="004B6D50">
            <w:pPr>
              <w:tabs>
                <w:tab w:val="left" w:pos="540"/>
              </w:tabs>
              <w:ind w:right="72"/>
              <w:rPr>
                <w:lang w:val="nl-NL"/>
              </w:rPr>
            </w:pPr>
            <w:r w:rsidRPr="00BF0F6D">
              <w:t xml:space="preserve">- 12/2020 - nay: </w:t>
            </w:r>
            <w:proofErr w:type="spellStart"/>
            <w:r w:rsidRPr="00BF0F6D">
              <w:t>Tổng</w:t>
            </w:r>
            <w:proofErr w:type="spellEnd"/>
            <w:r w:rsidRPr="00BF0F6D">
              <w:t xml:space="preserve"> </w:t>
            </w:r>
            <w:proofErr w:type="spellStart"/>
            <w:r w:rsidRPr="00BF0F6D">
              <w:t>Giám</w:t>
            </w:r>
            <w:proofErr w:type="spellEnd"/>
            <w:r w:rsidRPr="00BF0F6D">
              <w:t xml:space="preserve"> </w:t>
            </w:r>
            <w:proofErr w:type="spellStart"/>
            <w:r w:rsidRPr="00BF0F6D">
              <w:t>đốc</w:t>
            </w:r>
            <w:proofErr w:type="spellEnd"/>
            <w:r w:rsidRPr="00BF0F6D">
              <w:t xml:space="preserve">, </w:t>
            </w:r>
            <w:proofErr w:type="spellStart"/>
            <w:r w:rsidRPr="00BF0F6D">
              <w:t>công</w:t>
            </w:r>
            <w:proofErr w:type="spellEnd"/>
            <w:r w:rsidRPr="00BF0F6D">
              <w:t xml:space="preserve"> ty CP Quản </w:t>
            </w:r>
            <w:proofErr w:type="spellStart"/>
            <w:r w:rsidRPr="00BF0F6D">
              <w:t>lý</w:t>
            </w:r>
            <w:proofErr w:type="spellEnd"/>
            <w:r w:rsidRPr="00BF0F6D">
              <w:t xml:space="preserve"> </w:t>
            </w:r>
            <w:proofErr w:type="spellStart"/>
            <w:r w:rsidRPr="00BF0F6D">
              <w:t>quỹ</w:t>
            </w:r>
            <w:proofErr w:type="spellEnd"/>
            <w:r w:rsidRPr="00BF0F6D">
              <w:t xml:space="preserve"> </w:t>
            </w:r>
            <w:proofErr w:type="spellStart"/>
            <w:r w:rsidRPr="00BF0F6D">
              <w:t>đầu</w:t>
            </w:r>
            <w:proofErr w:type="spellEnd"/>
            <w:r w:rsidRPr="00BF0F6D">
              <w:t xml:space="preserve"> </w:t>
            </w:r>
            <w:proofErr w:type="spellStart"/>
            <w:r w:rsidRPr="00BF0F6D">
              <w:t>tư</w:t>
            </w:r>
            <w:proofErr w:type="spellEnd"/>
            <w:r w:rsidRPr="00BF0F6D">
              <w:t xml:space="preserve"> Dragon Capital Việt Nam</w:t>
            </w:r>
          </w:p>
        </w:tc>
      </w:tr>
    </w:tbl>
    <w:p w14:paraId="6A075403" w14:textId="77777777" w:rsidR="00AA0652" w:rsidRPr="00381192" w:rsidRDefault="00AA0652" w:rsidP="00381192">
      <w:pPr>
        <w:keepNext/>
      </w:pPr>
    </w:p>
    <w:p w14:paraId="07D5E62C" w14:textId="77777777" w:rsidR="00C11686" w:rsidRDefault="007B79CA" w:rsidP="00ED573E">
      <w:pPr>
        <w:keepNext/>
        <w:tabs>
          <w:tab w:val="center" w:pos="6237"/>
        </w:tabs>
        <w:rPr>
          <w:i/>
          <w:iCs/>
        </w:rPr>
      </w:pPr>
      <w:r>
        <w:rPr>
          <w:i/>
          <w:iCs/>
        </w:rPr>
        <w:tab/>
      </w:r>
    </w:p>
    <w:p w14:paraId="5680AE4D" w14:textId="35589CB4" w:rsidR="007B79CA" w:rsidRPr="00BB748B" w:rsidRDefault="00C11686" w:rsidP="00ED573E">
      <w:pPr>
        <w:keepNext/>
        <w:tabs>
          <w:tab w:val="center" w:pos="6237"/>
        </w:tabs>
        <w:rPr>
          <w:i/>
          <w:iCs/>
        </w:rPr>
      </w:pPr>
      <w:r>
        <w:rPr>
          <w:i/>
          <w:iCs/>
        </w:rPr>
        <w:tab/>
      </w:r>
      <w:r w:rsidR="007B79CA" w:rsidRPr="00BB748B">
        <w:rPr>
          <w:i/>
          <w:iCs/>
        </w:rPr>
        <w:t xml:space="preserve">Tp. </w:t>
      </w:r>
      <w:proofErr w:type="spellStart"/>
      <w:r w:rsidR="007B79CA" w:rsidRPr="00BB748B">
        <w:rPr>
          <w:i/>
          <w:iCs/>
        </w:rPr>
        <w:t>Hồ</w:t>
      </w:r>
      <w:proofErr w:type="spellEnd"/>
      <w:r w:rsidR="007B79CA" w:rsidRPr="00BB748B">
        <w:rPr>
          <w:i/>
          <w:iCs/>
        </w:rPr>
        <w:t xml:space="preserve"> Chí Minh, </w:t>
      </w:r>
      <w:proofErr w:type="spellStart"/>
      <w:r w:rsidR="007B79CA" w:rsidRPr="00BB748B">
        <w:rPr>
          <w:i/>
          <w:iCs/>
        </w:rPr>
        <w:t>ngày</w:t>
      </w:r>
      <w:proofErr w:type="spellEnd"/>
      <w:r w:rsidR="007B79CA" w:rsidRPr="00BB748B">
        <w:rPr>
          <w:i/>
          <w:iCs/>
        </w:rPr>
        <w:t xml:space="preserve"> </w:t>
      </w:r>
      <w:r w:rsidR="00FA5816">
        <w:rPr>
          <w:i/>
          <w:iCs/>
        </w:rPr>
        <w:t>1</w:t>
      </w:r>
      <w:r w:rsidR="00E72903">
        <w:rPr>
          <w:i/>
          <w:iCs/>
        </w:rPr>
        <w:t>7</w:t>
      </w:r>
      <w:r w:rsidR="007B79CA" w:rsidRPr="00BB748B">
        <w:rPr>
          <w:i/>
          <w:iCs/>
        </w:rPr>
        <w:t xml:space="preserve"> </w:t>
      </w:r>
      <w:proofErr w:type="spellStart"/>
      <w:r w:rsidR="007B79CA" w:rsidRPr="00BB748B">
        <w:rPr>
          <w:i/>
          <w:iCs/>
        </w:rPr>
        <w:t>tháng</w:t>
      </w:r>
      <w:proofErr w:type="spellEnd"/>
      <w:r w:rsidR="007B79CA" w:rsidRPr="00BB748B">
        <w:rPr>
          <w:i/>
          <w:iCs/>
        </w:rPr>
        <w:t xml:space="preserve"> </w:t>
      </w:r>
      <w:r w:rsidR="00E744EE">
        <w:rPr>
          <w:i/>
          <w:iCs/>
        </w:rPr>
        <w:t>0</w:t>
      </w:r>
      <w:r w:rsidR="00AA1D45">
        <w:rPr>
          <w:i/>
          <w:iCs/>
        </w:rPr>
        <w:t>7</w:t>
      </w:r>
      <w:r w:rsidR="007B79CA" w:rsidRPr="00BB748B">
        <w:rPr>
          <w:i/>
          <w:iCs/>
        </w:rPr>
        <w:t xml:space="preserve"> </w:t>
      </w:r>
      <w:proofErr w:type="spellStart"/>
      <w:r w:rsidR="007B79CA" w:rsidRPr="00BB748B">
        <w:rPr>
          <w:i/>
          <w:iCs/>
        </w:rPr>
        <w:t>năm</w:t>
      </w:r>
      <w:proofErr w:type="spellEnd"/>
      <w:r w:rsidR="007B79CA" w:rsidRPr="00BB748B">
        <w:rPr>
          <w:i/>
          <w:iCs/>
        </w:rPr>
        <w:t xml:space="preserve"> 202</w:t>
      </w:r>
      <w:r w:rsidR="00E744EE">
        <w:rPr>
          <w:i/>
          <w:iCs/>
        </w:rPr>
        <w:t>4</w:t>
      </w:r>
    </w:p>
    <w:p w14:paraId="4F32D27E" w14:textId="1AB4719A" w:rsidR="007B79CA" w:rsidRPr="00211983" w:rsidRDefault="007B79CA" w:rsidP="0071439C">
      <w:pPr>
        <w:pStyle w:val="Default"/>
        <w:tabs>
          <w:tab w:val="center" w:pos="6237"/>
        </w:tabs>
        <w:rPr>
          <w:color w:val="auto"/>
        </w:rPr>
      </w:pPr>
      <w:r>
        <w:rPr>
          <w:color w:val="auto"/>
        </w:rPr>
        <w:tab/>
      </w:r>
    </w:p>
    <w:p w14:paraId="0A6FF406" w14:textId="03F13E42" w:rsidR="00ED573E" w:rsidRDefault="00ED573E" w:rsidP="00ED573E">
      <w:pPr>
        <w:pStyle w:val="Default"/>
        <w:rPr>
          <w:color w:val="auto"/>
        </w:rPr>
      </w:pPr>
    </w:p>
    <w:p w14:paraId="2A2E4434" w14:textId="77777777" w:rsidR="008E7CF4" w:rsidRDefault="008E7CF4" w:rsidP="00ED573E">
      <w:pPr>
        <w:pStyle w:val="Default"/>
        <w:rPr>
          <w:color w:val="auto"/>
        </w:rPr>
      </w:pPr>
    </w:p>
    <w:p w14:paraId="2883A095" w14:textId="77777777" w:rsidR="00C11686" w:rsidRDefault="00C11686" w:rsidP="00ED573E">
      <w:pPr>
        <w:pStyle w:val="Default"/>
        <w:rPr>
          <w:color w:val="auto"/>
        </w:rPr>
      </w:pPr>
    </w:p>
    <w:p w14:paraId="58EE26AB" w14:textId="77777777" w:rsidR="00ED573E" w:rsidRPr="00211983" w:rsidRDefault="00ED573E" w:rsidP="00ED573E">
      <w:pPr>
        <w:pStyle w:val="Default"/>
        <w:rPr>
          <w:color w:val="auto"/>
        </w:rPr>
      </w:pPr>
    </w:p>
    <w:p w14:paraId="2FDCFBDA" w14:textId="14BF331A" w:rsidR="002C4E2E" w:rsidRDefault="007B79CA" w:rsidP="00ED573E">
      <w:pPr>
        <w:pStyle w:val="Default"/>
        <w:tabs>
          <w:tab w:val="center" w:pos="6237"/>
        </w:tabs>
        <w:outlineLvl w:val="0"/>
        <w:rPr>
          <w:color w:val="auto"/>
        </w:rPr>
      </w:pPr>
      <w:r>
        <w:rPr>
          <w:color w:val="auto"/>
        </w:rPr>
        <w:tab/>
      </w:r>
      <w:r w:rsidR="00235FDF">
        <w:rPr>
          <w:b/>
          <w:color w:val="auto"/>
        </w:rPr>
        <w:t>LÊ HOÀNG ANH</w:t>
      </w:r>
      <w:r w:rsidRPr="00211983" w:rsidDel="004233FB">
        <w:rPr>
          <w:color w:val="auto"/>
        </w:rPr>
        <w:t xml:space="preserve"> </w:t>
      </w:r>
    </w:p>
    <w:p w14:paraId="48B3D762" w14:textId="4F660915" w:rsidR="0071439C" w:rsidRPr="00ED573E" w:rsidRDefault="0071439C" w:rsidP="00ED573E">
      <w:pPr>
        <w:pStyle w:val="Default"/>
        <w:tabs>
          <w:tab w:val="center" w:pos="6237"/>
        </w:tabs>
        <w:outlineLvl w:val="0"/>
        <w:rPr>
          <w:color w:val="auto"/>
        </w:rPr>
      </w:pPr>
      <w:r>
        <w:rPr>
          <w:color w:val="auto"/>
        </w:rPr>
        <w:tab/>
      </w:r>
      <w:r w:rsidRPr="00235FDF">
        <w:rPr>
          <w:b/>
          <w:bCs/>
          <w:color w:val="auto"/>
        </w:rPr>
        <w:t xml:space="preserve">Quyền </w:t>
      </w:r>
      <w:r w:rsidRPr="00BB748B">
        <w:rPr>
          <w:b/>
          <w:lang w:val="nl-NL"/>
        </w:rPr>
        <w:t>Giám đốc</w:t>
      </w:r>
      <w:r>
        <w:rPr>
          <w:b/>
          <w:lang w:val="nl-NL"/>
        </w:rPr>
        <w:t xml:space="preserve">, bộ phận </w:t>
      </w:r>
      <w:r w:rsidRPr="00BB748B">
        <w:rPr>
          <w:b/>
          <w:lang w:val="nl-NL"/>
        </w:rPr>
        <w:t>nghiệp vụ hỗ trợ đầu tư</w:t>
      </w:r>
    </w:p>
    <w:sectPr w:rsidR="0071439C" w:rsidRPr="00ED573E" w:rsidSect="00054461">
      <w:footerReference w:type="default" r:id="rId12"/>
      <w:pgSz w:w="11906" w:h="16838" w:code="9"/>
      <w:pgMar w:top="1440" w:right="1440" w:bottom="127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29B2FB" w14:textId="77777777" w:rsidR="006F325C" w:rsidRDefault="006F325C" w:rsidP="009E08DA">
      <w:r>
        <w:separator/>
      </w:r>
    </w:p>
  </w:endnote>
  <w:endnote w:type="continuationSeparator" w:id="0">
    <w:p w14:paraId="36BD00AE" w14:textId="77777777" w:rsidR="006F325C" w:rsidRDefault="006F325C" w:rsidP="009E0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Palatino">
    <w:altName w:val="Book Antiqua"/>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37443108"/>
      <w:docPartObj>
        <w:docPartGallery w:val="Page Numbers (Bottom of Page)"/>
        <w:docPartUnique/>
      </w:docPartObj>
    </w:sdtPr>
    <w:sdtEndPr>
      <w:rPr>
        <w:noProof/>
      </w:rPr>
    </w:sdtEndPr>
    <w:sdtContent>
      <w:p w14:paraId="4B8F6CE3" w14:textId="3B8A6713" w:rsidR="00801AD0" w:rsidRDefault="00801AD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D513C2D" w14:textId="77777777" w:rsidR="00801AD0" w:rsidRDefault="00801A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154AAF" w14:textId="77777777" w:rsidR="006F325C" w:rsidRDefault="006F325C" w:rsidP="009E08DA">
      <w:r>
        <w:separator/>
      </w:r>
    </w:p>
  </w:footnote>
  <w:footnote w:type="continuationSeparator" w:id="0">
    <w:p w14:paraId="4F7FCBF1" w14:textId="77777777" w:rsidR="006F325C" w:rsidRDefault="006F325C" w:rsidP="009E08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D043DA"/>
    <w:multiLevelType w:val="hybridMultilevel"/>
    <w:tmpl w:val="DD64E642"/>
    <w:lvl w:ilvl="0" w:tplc="FAEE0FF0">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0F4B62D8"/>
    <w:multiLevelType w:val="hybridMultilevel"/>
    <w:tmpl w:val="FF5E621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1B5413EF"/>
    <w:multiLevelType w:val="multilevel"/>
    <w:tmpl w:val="21B479FE"/>
    <w:lvl w:ilvl="0">
      <w:start w:val="1"/>
      <w:numFmt w:val="decimal"/>
      <w:lvlText w:val="%1."/>
      <w:lvlJc w:val="left"/>
      <w:pPr>
        <w:ind w:left="720" w:hanging="360"/>
      </w:pPr>
      <w:rPr>
        <w:rFonts w:ascii="Times New Roman" w:eastAsia="Calibri" w:hAnsi="Times New Roman" w:cs="Times New Roman"/>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B063769"/>
    <w:multiLevelType w:val="hybridMultilevel"/>
    <w:tmpl w:val="FF5E621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5E49742C"/>
    <w:multiLevelType w:val="hybridMultilevel"/>
    <w:tmpl w:val="73F61A80"/>
    <w:lvl w:ilvl="0" w:tplc="057259FE">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B380E7E"/>
    <w:multiLevelType w:val="hybridMultilevel"/>
    <w:tmpl w:val="15B2B360"/>
    <w:lvl w:ilvl="0" w:tplc="F3F2387A">
      <w:start w:val="5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DA2419A"/>
    <w:multiLevelType w:val="hybridMultilevel"/>
    <w:tmpl w:val="A0F0893E"/>
    <w:lvl w:ilvl="0" w:tplc="E638B1B2">
      <w:start w:val="10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C354A87"/>
    <w:multiLevelType w:val="hybridMultilevel"/>
    <w:tmpl w:val="6874989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D917D5A"/>
    <w:multiLevelType w:val="hybridMultilevel"/>
    <w:tmpl w:val="9F109880"/>
    <w:lvl w:ilvl="0" w:tplc="D5605222">
      <w:start w:val="1"/>
      <w:numFmt w:val="lowerRoman"/>
      <w:lvlText w:val="%1."/>
      <w:lvlJc w:val="right"/>
      <w:pPr>
        <w:ind w:left="1287" w:hanging="360"/>
      </w:pPr>
      <w:rPr>
        <w:rFonts w:ascii="Times New Roman" w:hAnsi="Times New Roman" w:cs="Times New Roman"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9" w15:restartNumberingAfterBreak="0">
    <w:nsid w:val="7DC241BB"/>
    <w:multiLevelType w:val="hybridMultilevel"/>
    <w:tmpl w:val="5A443C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31945187">
    <w:abstractNumId w:val="2"/>
  </w:num>
  <w:num w:numId="2" w16cid:durableId="1252473465">
    <w:abstractNumId w:val="4"/>
  </w:num>
  <w:num w:numId="3" w16cid:durableId="1397046393">
    <w:abstractNumId w:val="9"/>
  </w:num>
  <w:num w:numId="4" w16cid:durableId="186987785">
    <w:abstractNumId w:val="7"/>
  </w:num>
  <w:num w:numId="5" w16cid:durableId="10151545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80194393">
    <w:abstractNumId w:val="1"/>
  </w:num>
  <w:num w:numId="7" w16cid:durableId="53820052">
    <w:abstractNumId w:val="3"/>
  </w:num>
  <w:num w:numId="8" w16cid:durableId="348024945">
    <w:abstractNumId w:val="6"/>
  </w:num>
  <w:num w:numId="9" w16cid:durableId="176887368">
    <w:abstractNumId w:val="5"/>
  </w:num>
  <w:num w:numId="10" w16cid:durableId="308099108">
    <w:abstractNumId w:val="8"/>
  </w:num>
  <w:num w:numId="11" w16cid:durableId="4093537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22E7"/>
    <w:rsid w:val="00000563"/>
    <w:rsid w:val="0000085F"/>
    <w:rsid w:val="000010BB"/>
    <w:rsid w:val="0000574C"/>
    <w:rsid w:val="000057B5"/>
    <w:rsid w:val="00013805"/>
    <w:rsid w:val="00016021"/>
    <w:rsid w:val="000179F6"/>
    <w:rsid w:val="0002505A"/>
    <w:rsid w:val="00026120"/>
    <w:rsid w:val="0004383E"/>
    <w:rsid w:val="00044533"/>
    <w:rsid w:val="00045220"/>
    <w:rsid w:val="0004527D"/>
    <w:rsid w:val="00054461"/>
    <w:rsid w:val="00054C1B"/>
    <w:rsid w:val="00061519"/>
    <w:rsid w:val="00062C7E"/>
    <w:rsid w:val="00063CCF"/>
    <w:rsid w:val="00076FC6"/>
    <w:rsid w:val="00077D6E"/>
    <w:rsid w:val="000825BC"/>
    <w:rsid w:val="000826C8"/>
    <w:rsid w:val="00083442"/>
    <w:rsid w:val="000846BD"/>
    <w:rsid w:val="00085FA0"/>
    <w:rsid w:val="000900B0"/>
    <w:rsid w:val="00092961"/>
    <w:rsid w:val="0009340B"/>
    <w:rsid w:val="00095C23"/>
    <w:rsid w:val="0009713D"/>
    <w:rsid w:val="000A1BBE"/>
    <w:rsid w:val="000A3738"/>
    <w:rsid w:val="000A6D39"/>
    <w:rsid w:val="000B1E3F"/>
    <w:rsid w:val="000C7991"/>
    <w:rsid w:val="000D692A"/>
    <w:rsid w:val="000D6BB4"/>
    <w:rsid w:val="000E34B6"/>
    <w:rsid w:val="000F064B"/>
    <w:rsid w:val="000F31ED"/>
    <w:rsid w:val="000F731F"/>
    <w:rsid w:val="001001C4"/>
    <w:rsid w:val="00103CA1"/>
    <w:rsid w:val="00106E97"/>
    <w:rsid w:val="00115C3A"/>
    <w:rsid w:val="001213E7"/>
    <w:rsid w:val="00123AF4"/>
    <w:rsid w:val="00127328"/>
    <w:rsid w:val="00132E34"/>
    <w:rsid w:val="00132E37"/>
    <w:rsid w:val="00133F59"/>
    <w:rsid w:val="00145DFC"/>
    <w:rsid w:val="00150DC3"/>
    <w:rsid w:val="0015389B"/>
    <w:rsid w:val="00155EAA"/>
    <w:rsid w:val="00162991"/>
    <w:rsid w:val="00165305"/>
    <w:rsid w:val="0017452D"/>
    <w:rsid w:val="00180FA1"/>
    <w:rsid w:val="00182612"/>
    <w:rsid w:val="00191481"/>
    <w:rsid w:val="001A3514"/>
    <w:rsid w:val="001C1DAE"/>
    <w:rsid w:val="001C2728"/>
    <w:rsid w:val="001C2C01"/>
    <w:rsid w:val="001C5B84"/>
    <w:rsid w:val="001E13B3"/>
    <w:rsid w:val="001E2D27"/>
    <w:rsid w:val="001E776D"/>
    <w:rsid w:val="001F07F3"/>
    <w:rsid w:val="0020082B"/>
    <w:rsid w:val="00201F6D"/>
    <w:rsid w:val="00205F11"/>
    <w:rsid w:val="002101E4"/>
    <w:rsid w:val="00211FE2"/>
    <w:rsid w:val="00216F7A"/>
    <w:rsid w:val="00217041"/>
    <w:rsid w:val="00221CCF"/>
    <w:rsid w:val="00224C7F"/>
    <w:rsid w:val="00225E6A"/>
    <w:rsid w:val="002328F1"/>
    <w:rsid w:val="00232A77"/>
    <w:rsid w:val="0023416E"/>
    <w:rsid w:val="00234470"/>
    <w:rsid w:val="00235FDF"/>
    <w:rsid w:val="00243B11"/>
    <w:rsid w:val="00245FCC"/>
    <w:rsid w:val="00246777"/>
    <w:rsid w:val="00260A0F"/>
    <w:rsid w:val="00273D26"/>
    <w:rsid w:val="00281381"/>
    <w:rsid w:val="00284775"/>
    <w:rsid w:val="00290722"/>
    <w:rsid w:val="002A1000"/>
    <w:rsid w:val="002A27D4"/>
    <w:rsid w:val="002A5782"/>
    <w:rsid w:val="002C3C86"/>
    <w:rsid w:val="002C4E2E"/>
    <w:rsid w:val="002C4EBB"/>
    <w:rsid w:val="002D1C31"/>
    <w:rsid w:val="002D2C65"/>
    <w:rsid w:val="002D4030"/>
    <w:rsid w:val="002D5E34"/>
    <w:rsid w:val="002E4662"/>
    <w:rsid w:val="002E47D2"/>
    <w:rsid w:val="002F08DD"/>
    <w:rsid w:val="002F2C23"/>
    <w:rsid w:val="002F4C37"/>
    <w:rsid w:val="002F54A2"/>
    <w:rsid w:val="00301CD7"/>
    <w:rsid w:val="00303902"/>
    <w:rsid w:val="00305B04"/>
    <w:rsid w:val="003114E2"/>
    <w:rsid w:val="00313A22"/>
    <w:rsid w:val="00314932"/>
    <w:rsid w:val="0032337C"/>
    <w:rsid w:val="003233A2"/>
    <w:rsid w:val="00326F7F"/>
    <w:rsid w:val="00335704"/>
    <w:rsid w:val="00341866"/>
    <w:rsid w:val="00343303"/>
    <w:rsid w:val="00344C2B"/>
    <w:rsid w:val="00350584"/>
    <w:rsid w:val="0035291E"/>
    <w:rsid w:val="00355147"/>
    <w:rsid w:val="00357446"/>
    <w:rsid w:val="00357F4B"/>
    <w:rsid w:val="0036013E"/>
    <w:rsid w:val="00362E35"/>
    <w:rsid w:val="00366417"/>
    <w:rsid w:val="00370224"/>
    <w:rsid w:val="003703EF"/>
    <w:rsid w:val="00372BE6"/>
    <w:rsid w:val="00375C22"/>
    <w:rsid w:val="00381192"/>
    <w:rsid w:val="003823F5"/>
    <w:rsid w:val="003824C0"/>
    <w:rsid w:val="003917B9"/>
    <w:rsid w:val="00391A9D"/>
    <w:rsid w:val="00393BB8"/>
    <w:rsid w:val="00394081"/>
    <w:rsid w:val="003A6AC9"/>
    <w:rsid w:val="003A6CEB"/>
    <w:rsid w:val="003B076F"/>
    <w:rsid w:val="003B1338"/>
    <w:rsid w:val="003B4340"/>
    <w:rsid w:val="003B4575"/>
    <w:rsid w:val="003B5B66"/>
    <w:rsid w:val="003B7FF2"/>
    <w:rsid w:val="003C127F"/>
    <w:rsid w:val="003C168A"/>
    <w:rsid w:val="003C4E01"/>
    <w:rsid w:val="003C64F6"/>
    <w:rsid w:val="003D1990"/>
    <w:rsid w:val="003D3446"/>
    <w:rsid w:val="003D3A48"/>
    <w:rsid w:val="003D621F"/>
    <w:rsid w:val="003E42C4"/>
    <w:rsid w:val="003F180A"/>
    <w:rsid w:val="003F5927"/>
    <w:rsid w:val="003F72E3"/>
    <w:rsid w:val="00400B5F"/>
    <w:rsid w:val="00401466"/>
    <w:rsid w:val="00414B53"/>
    <w:rsid w:val="0041508F"/>
    <w:rsid w:val="00415854"/>
    <w:rsid w:val="00422180"/>
    <w:rsid w:val="00422EA1"/>
    <w:rsid w:val="00423FAC"/>
    <w:rsid w:val="00427E65"/>
    <w:rsid w:val="00443969"/>
    <w:rsid w:val="00443CA4"/>
    <w:rsid w:val="00447ACC"/>
    <w:rsid w:val="0045686A"/>
    <w:rsid w:val="00466EFA"/>
    <w:rsid w:val="0047074A"/>
    <w:rsid w:val="004709E4"/>
    <w:rsid w:val="00472D9B"/>
    <w:rsid w:val="004763E1"/>
    <w:rsid w:val="0048172C"/>
    <w:rsid w:val="004832B2"/>
    <w:rsid w:val="00494C16"/>
    <w:rsid w:val="0049506B"/>
    <w:rsid w:val="00497421"/>
    <w:rsid w:val="004A1D4B"/>
    <w:rsid w:val="004A2EC0"/>
    <w:rsid w:val="004A59CA"/>
    <w:rsid w:val="004B04F5"/>
    <w:rsid w:val="004B6B2D"/>
    <w:rsid w:val="004B6D50"/>
    <w:rsid w:val="004C0245"/>
    <w:rsid w:val="004C273B"/>
    <w:rsid w:val="004C57E9"/>
    <w:rsid w:val="004C6173"/>
    <w:rsid w:val="004D6CC8"/>
    <w:rsid w:val="004E057F"/>
    <w:rsid w:val="004E2C72"/>
    <w:rsid w:val="004E4306"/>
    <w:rsid w:val="004E485F"/>
    <w:rsid w:val="004E48B9"/>
    <w:rsid w:val="004E5119"/>
    <w:rsid w:val="00504B45"/>
    <w:rsid w:val="00507CB0"/>
    <w:rsid w:val="005125AA"/>
    <w:rsid w:val="00512A70"/>
    <w:rsid w:val="00513BB8"/>
    <w:rsid w:val="0052097E"/>
    <w:rsid w:val="00522644"/>
    <w:rsid w:val="00524347"/>
    <w:rsid w:val="0055083F"/>
    <w:rsid w:val="00551626"/>
    <w:rsid w:val="00564954"/>
    <w:rsid w:val="00566C62"/>
    <w:rsid w:val="005705B6"/>
    <w:rsid w:val="00570AE7"/>
    <w:rsid w:val="00571150"/>
    <w:rsid w:val="005737A9"/>
    <w:rsid w:val="00574C75"/>
    <w:rsid w:val="005758C8"/>
    <w:rsid w:val="00577F44"/>
    <w:rsid w:val="005919F0"/>
    <w:rsid w:val="005A2EBA"/>
    <w:rsid w:val="005A47FE"/>
    <w:rsid w:val="005A4F97"/>
    <w:rsid w:val="005C3888"/>
    <w:rsid w:val="005D009D"/>
    <w:rsid w:val="005D3085"/>
    <w:rsid w:val="005D7C2B"/>
    <w:rsid w:val="005E2B42"/>
    <w:rsid w:val="00601A76"/>
    <w:rsid w:val="0060509C"/>
    <w:rsid w:val="00606881"/>
    <w:rsid w:val="00610ABE"/>
    <w:rsid w:val="00611736"/>
    <w:rsid w:val="00612134"/>
    <w:rsid w:val="0061305F"/>
    <w:rsid w:val="00615659"/>
    <w:rsid w:val="006278E7"/>
    <w:rsid w:val="006301E3"/>
    <w:rsid w:val="0063080C"/>
    <w:rsid w:val="00631B56"/>
    <w:rsid w:val="00633C58"/>
    <w:rsid w:val="00634700"/>
    <w:rsid w:val="00635182"/>
    <w:rsid w:val="00635748"/>
    <w:rsid w:val="006369A2"/>
    <w:rsid w:val="00640481"/>
    <w:rsid w:val="00640814"/>
    <w:rsid w:val="00641486"/>
    <w:rsid w:val="00641C75"/>
    <w:rsid w:val="0064405E"/>
    <w:rsid w:val="006468CA"/>
    <w:rsid w:val="00646E4D"/>
    <w:rsid w:val="00652F7A"/>
    <w:rsid w:val="006566D2"/>
    <w:rsid w:val="00656A91"/>
    <w:rsid w:val="00661138"/>
    <w:rsid w:val="0066150B"/>
    <w:rsid w:val="006721C1"/>
    <w:rsid w:val="00673CA4"/>
    <w:rsid w:val="00677BFB"/>
    <w:rsid w:val="00680C93"/>
    <w:rsid w:val="00686949"/>
    <w:rsid w:val="00694208"/>
    <w:rsid w:val="006954EB"/>
    <w:rsid w:val="006A7748"/>
    <w:rsid w:val="006A7BE7"/>
    <w:rsid w:val="006B10BE"/>
    <w:rsid w:val="006B3E49"/>
    <w:rsid w:val="006B4CC5"/>
    <w:rsid w:val="006B6AFD"/>
    <w:rsid w:val="006B7B82"/>
    <w:rsid w:val="006C3786"/>
    <w:rsid w:val="006D2397"/>
    <w:rsid w:val="006D4216"/>
    <w:rsid w:val="006D61AC"/>
    <w:rsid w:val="006E2102"/>
    <w:rsid w:val="006E6A60"/>
    <w:rsid w:val="006F325C"/>
    <w:rsid w:val="00700893"/>
    <w:rsid w:val="00700BC5"/>
    <w:rsid w:val="00710707"/>
    <w:rsid w:val="00711565"/>
    <w:rsid w:val="00713263"/>
    <w:rsid w:val="00714057"/>
    <w:rsid w:val="0071439C"/>
    <w:rsid w:val="007159DC"/>
    <w:rsid w:val="0072017D"/>
    <w:rsid w:val="007205D3"/>
    <w:rsid w:val="0072697A"/>
    <w:rsid w:val="00730F8E"/>
    <w:rsid w:val="00736671"/>
    <w:rsid w:val="00741A23"/>
    <w:rsid w:val="00745CEF"/>
    <w:rsid w:val="0075113D"/>
    <w:rsid w:val="00753013"/>
    <w:rsid w:val="007568F7"/>
    <w:rsid w:val="00760C3B"/>
    <w:rsid w:val="00763158"/>
    <w:rsid w:val="007632DB"/>
    <w:rsid w:val="00766F38"/>
    <w:rsid w:val="0077137C"/>
    <w:rsid w:val="00771D89"/>
    <w:rsid w:val="00774FA6"/>
    <w:rsid w:val="007813CC"/>
    <w:rsid w:val="0078651A"/>
    <w:rsid w:val="007868ED"/>
    <w:rsid w:val="00787EB7"/>
    <w:rsid w:val="00790118"/>
    <w:rsid w:val="00790868"/>
    <w:rsid w:val="007922E7"/>
    <w:rsid w:val="007A021F"/>
    <w:rsid w:val="007A40F7"/>
    <w:rsid w:val="007B3182"/>
    <w:rsid w:val="007B4116"/>
    <w:rsid w:val="007B4293"/>
    <w:rsid w:val="007B6C32"/>
    <w:rsid w:val="007B79CA"/>
    <w:rsid w:val="007B7C79"/>
    <w:rsid w:val="007C2B6B"/>
    <w:rsid w:val="007C33B4"/>
    <w:rsid w:val="007C4131"/>
    <w:rsid w:val="007E39E8"/>
    <w:rsid w:val="007E6DBC"/>
    <w:rsid w:val="007E73C0"/>
    <w:rsid w:val="007F3301"/>
    <w:rsid w:val="007F690B"/>
    <w:rsid w:val="00801AD0"/>
    <w:rsid w:val="00816F3B"/>
    <w:rsid w:val="008203CF"/>
    <w:rsid w:val="008229CF"/>
    <w:rsid w:val="00825F04"/>
    <w:rsid w:val="00833532"/>
    <w:rsid w:val="0083560F"/>
    <w:rsid w:val="00837933"/>
    <w:rsid w:val="008400C4"/>
    <w:rsid w:val="008439CA"/>
    <w:rsid w:val="00846D93"/>
    <w:rsid w:val="0085519C"/>
    <w:rsid w:val="00855ED7"/>
    <w:rsid w:val="0085752F"/>
    <w:rsid w:val="00863DB0"/>
    <w:rsid w:val="008666E5"/>
    <w:rsid w:val="00874EDE"/>
    <w:rsid w:val="00876B8C"/>
    <w:rsid w:val="00876C4D"/>
    <w:rsid w:val="00880384"/>
    <w:rsid w:val="0088508B"/>
    <w:rsid w:val="0088512C"/>
    <w:rsid w:val="008902ED"/>
    <w:rsid w:val="00890F99"/>
    <w:rsid w:val="008A0CBE"/>
    <w:rsid w:val="008A144D"/>
    <w:rsid w:val="008A6F5B"/>
    <w:rsid w:val="008C15B1"/>
    <w:rsid w:val="008C5367"/>
    <w:rsid w:val="008C53A1"/>
    <w:rsid w:val="008D6B90"/>
    <w:rsid w:val="008E01F5"/>
    <w:rsid w:val="008E530F"/>
    <w:rsid w:val="008E7CF4"/>
    <w:rsid w:val="008F4EB5"/>
    <w:rsid w:val="008F56E6"/>
    <w:rsid w:val="008F6ABE"/>
    <w:rsid w:val="00900EA1"/>
    <w:rsid w:val="009126FD"/>
    <w:rsid w:val="00915D8B"/>
    <w:rsid w:val="00915E9D"/>
    <w:rsid w:val="00917523"/>
    <w:rsid w:val="009175E1"/>
    <w:rsid w:val="00923204"/>
    <w:rsid w:val="00927FD6"/>
    <w:rsid w:val="00930CC2"/>
    <w:rsid w:val="00931DC9"/>
    <w:rsid w:val="00935435"/>
    <w:rsid w:val="00943AA4"/>
    <w:rsid w:val="00947AA4"/>
    <w:rsid w:val="00947D5C"/>
    <w:rsid w:val="00951531"/>
    <w:rsid w:val="00952125"/>
    <w:rsid w:val="00952CF9"/>
    <w:rsid w:val="00955C41"/>
    <w:rsid w:val="00960BB3"/>
    <w:rsid w:val="00965189"/>
    <w:rsid w:val="00965A22"/>
    <w:rsid w:val="00970C91"/>
    <w:rsid w:val="00976497"/>
    <w:rsid w:val="009765BC"/>
    <w:rsid w:val="00977D57"/>
    <w:rsid w:val="00982A28"/>
    <w:rsid w:val="0098351D"/>
    <w:rsid w:val="00984386"/>
    <w:rsid w:val="00985570"/>
    <w:rsid w:val="00987DBC"/>
    <w:rsid w:val="009906F0"/>
    <w:rsid w:val="009976DE"/>
    <w:rsid w:val="00997CEE"/>
    <w:rsid w:val="009A1922"/>
    <w:rsid w:val="009A21A9"/>
    <w:rsid w:val="009B6C59"/>
    <w:rsid w:val="009C59AA"/>
    <w:rsid w:val="009C5D47"/>
    <w:rsid w:val="009D0A95"/>
    <w:rsid w:val="009D2B2F"/>
    <w:rsid w:val="009D6654"/>
    <w:rsid w:val="009E08DA"/>
    <w:rsid w:val="009E0959"/>
    <w:rsid w:val="009F39D7"/>
    <w:rsid w:val="009F6241"/>
    <w:rsid w:val="009F64D9"/>
    <w:rsid w:val="00A014E9"/>
    <w:rsid w:val="00A0768E"/>
    <w:rsid w:val="00A079A4"/>
    <w:rsid w:val="00A158B6"/>
    <w:rsid w:val="00A165B1"/>
    <w:rsid w:val="00A259C5"/>
    <w:rsid w:val="00A32F2E"/>
    <w:rsid w:val="00A40E97"/>
    <w:rsid w:val="00A43DCB"/>
    <w:rsid w:val="00A44DD4"/>
    <w:rsid w:val="00A5374F"/>
    <w:rsid w:val="00A60D3F"/>
    <w:rsid w:val="00A62508"/>
    <w:rsid w:val="00A62A25"/>
    <w:rsid w:val="00A63DAA"/>
    <w:rsid w:val="00A70582"/>
    <w:rsid w:val="00A7347E"/>
    <w:rsid w:val="00A77411"/>
    <w:rsid w:val="00A90ED9"/>
    <w:rsid w:val="00AA0652"/>
    <w:rsid w:val="00AA17DC"/>
    <w:rsid w:val="00AA1D45"/>
    <w:rsid w:val="00AA697D"/>
    <w:rsid w:val="00AB1933"/>
    <w:rsid w:val="00AB1B20"/>
    <w:rsid w:val="00AB2D8E"/>
    <w:rsid w:val="00AC4732"/>
    <w:rsid w:val="00AC6276"/>
    <w:rsid w:val="00AC62A5"/>
    <w:rsid w:val="00AD0261"/>
    <w:rsid w:val="00AD2F2A"/>
    <w:rsid w:val="00AD433D"/>
    <w:rsid w:val="00AE076C"/>
    <w:rsid w:val="00AE7479"/>
    <w:rsid w:val="00AE7C4B"/>
    <w:rsid w:val="00B026FA"/>
    <w:rsid w:val="00B03AA3"/>
    <w:rsid w:val="00B04518"/>
    <w:rsid w:val="00B14506"/>
    <w:rsid w:val="00B1474F"/>
    <w:rsid w:val="00B302A5"/>
    <w:rsid w:val="00B325D5"/>
    <w:rsid w:val="00B33435"/>
    <w:rsid w:val="00B36300"/>
    <w:rsid w:val="00B40E38"/>
    <w:rsid w:val="00B41348"/>
    <w:rsid w:val="00B536F6"/>
    <w:rsid w:val="00B575FE"/>
    <w:rsid w:val="00B70B3C"/>
    <w:rsid w:val="00B73A3C"/>
    <w:rsid w:val="00B86917"/>
    <w:rsid w:val="00B876F1"/>
    <w:rsid w:val="00B94969"/>
    <w:rsid w:val="00B96C11"/>
    <w:rsid w:val="00BA6B8D"/>
    <w:rsid w:val="00BA72BE"/>
    <w:rsid w:val="00BB0830"/>
    <w:rsid w:val="00BB3F38"/>
    <w:rsid w:val="00BB7F48"/>
    <w:rsid w:val="00BC08D7"/>
    <w:rsid w:val="00BC138C"/>
    <w:rsid w:val="00BC34A9"/>
    <w:rsid w:val="00BC498D"/>
    <w:rsid w:val="00BC6612"/>
    <w:rsid w:val="00BC730D"/>
    <w:rsid w:val="00BD2B1F"/>
    <w:rsid w:val="00BD6B09"/>
    <w:rsid w:val="00BE0858"/>
    <w:rsid w:val="00BE0E4F"/>
    <w:rsid w:val="00BE4520"/>
    <w:rsid w:val="00BF0151"/>
    <w:rsid w:val="00BF5C66"/>
    <w:rsid w:val="00C01975"/>
    <w:rsid w:val="00C11686"/>
    <w:rsid w:val="00C158B1"/>
    <w:rsid w:val="00C16F01"/>
    <w:rsid w:val="00C17629"/>
    <w:rsid w:val="00C17DF3"/>
    <w:rsid w:val="00C20DEB"/>
    <w:rsid w:val="00C249C0"/>
    <w:rsid w:val="00C30624"/>
    <w:rsid w:val="00C3063B"/>
    <w:rsid w:val="00C321CD"/>
    <w:rsid w:val="00C40991"/>
    <w:rsid w:val="00C50C93"/>
    <w:rsid w:val="00C636CC"/>
    <w:rsid w:val="00C6530D"/>
    <w:rsid w:val="00C70AFC"/>
    <w:rsid w:val="00C72FA4"/>
    <w:rsid w:val="00C7418D"/>
    <w:rsid w:val="00C74D06"/>
    <w:rsid w:val="00C76708"/>
    <w:rsid w:val="00C821E7"/>
    <w:rsid w:val="00C82B5D"/>
    <w:rsid w:val="00C900F8"/>
    <w:rsid w:val="00C91B38"/>
    <w:rsid w:val="00C92907"/>
    <w:rsid w:val="00CA1ED9"/>
    <w:rsid w:val="00CA22F1"/>
    <w:rsid w:val="00CA2A0D"/>
    <w:rsid w:val="00CA5492"/>
    <w:rsid w:val="00CA7D0B"/>
    <w:rsid w:val="00CB3005"/>
    <w:rsid w:val="00CB3C83"/>
    <w:rsid w:val="00CC65CC"/>
    <w:rsid w:val="00CD253A"/>
    <w:rsid w:val="00CD362E"/>
    <w:rsid w:val="00CD5705"/>
    <w:rsid w:val="00CD6FCF"/>
    <w:rsid w:val="00CE0A8C"/>
    <w:rsid w:val="00CF0381"/>
    <w:rsid w:val="00CF1886"/>
    <w:rsid w:val="00CF23FF"/>
    <w:rsid w:val="00D0281F"/>
    <w:rsid w:val="00D063DE"/>
    <w:rsid w:val="00D06A42"/>
    <w:rsid w:val="00D1455E"/>
    <w:rsid w:val="00D16C10"/>
    <w:rsid w:val="00D30ADD"/>
    <w:rsid w:val="00D40256"/>
    <w:rsid w:val="00D54944"/>
    <w:rsid w:val="00D60E70"/>
    <w:rsid w:val="00D6644C"/>
    <w:rsid w:val="00D80368"/>
    <w:rsid w:val="00D811DD"/>
    <w:rsid w:val="00D8248A"/>
    <w:rsid w:val="00D8731D"/>
    <w:rsid w:val="00D942A6"/>
    <w:rsid w:val="00DB0A2F"/>
    <w:rsid w:val="00DB35EC"/>
    <w:rsid w:val="00DB645B"/>
    <w:rsid w:val="00DC0104"/>
    <w:rsid w:val="00DC2030"/>
    <w:rsid w:val="00DC4E5D"/>
    <w:rsid w:val="00DC73C8"/>
    <w:rsid w:val="00DD0130"/>
    <w:rsid w:val="00DD2067"/>
    <w:rsid w:val="00DD2C3A"/>
    <w:rsid w:val="00DD4F42"/>
    <w:rsid w:val="00DD55E9"/>
    <w:rsid w:val="00DD5A7E"/>
    <w:rsid w:val="00DE1585"/>
    <w:rsid w:val="00DE4A4E"/>
    <w:rsid w:val="00DF5A8A"/>
    <w:rsid w:val="00DF69D3"/>
    <w:rsid w:val="00E056B3"/>
    <w:rsid w:val="00E2771F"/>
    <w:rsid w:val="00E36EF2"/>
    <w:rsid w:val="00E5006D"/>
    <w:rsid w:val="00E508AC"/>
    <w:rsid w:val="00E50B2C"/>
    <w:rsid w:val="00E571F6"/>
    <w:rsid w:val="00E60D44"/>
    <w:rsid w:val="00E652E2"/>
    <w:rsid w:val="00E65CA4"/>
    <w:rsid w:val="00E667C2"/>
    <w:rsid w:val="00E72903"/>
    <w:rsid w:val="00E744EE"/>
    <w:rsid w:val="00E77290"/>
    <w:rsid w:val="00E77E76"/>
    <w:rsid w:val="00E83790"/>
    <w:rsid w:val="00E85D11"/>
    <w:rsid w:val="00E92F45"/>
    <w:rsid w:val="00E9458C"/>
    <w:rsid w:val="00E96DA8"/>
    <w:rsid w:val="00E971AB"/>
    <w:rsid w:val="00EA455C"/>
    <w:rsid w:val="00EA67BD"/>
    <w:rsid w:val="00EA6961"/>
    <w:rsid w:val="00EA7CFB"/>
    <w:rsid w:val="00EB0289"/>
    <w:rsid w:val="00EB3F6B"/>
    <w:rsid w:val="00EB55CF"/>
    <w:rsid w:val="00EC092C"/>
    <w:rsid w:val="00EC58DB"/>
    <w:rsid w:val="00EC5981"/>
    <w:rsid w:val="00EC5A72"/>
    <w:rsid w:val="00ED536C"/>
    <w:rsid w:val="00ED573E"/>
    <w:rsid w:val="00EE5D88"/>
    <w:rsid w:val="00EF0919"/>
    <w:rsid w:val="00EF4210"/>
    <w:rsid w:val="00F024AD"/>
    <w:rsid w:val="00F067EE"/>
    <w:rsid w:val="00F07F1E"/>
    <w:rsid w:val="00F13047"/>
    <w:rsid w:val="00F14F90"/>
    <w:rsid w:val="00F15DDB"/>
    <w:rsid w:val="00F35467"/>
    <w:rsid w:val="00F36407"/>
    <w:rsid w:val="00F5023B"/>
    <w:rsid w:val="00F55D5B"/>
    <w:rsid w:val="00F573D0"/>
    <w:rsid w:val="00F60ADD"/>
    <w:rsid w:val="00F64B38"/>
    <w:rsid w:val="00F66BA5"/>
    <w:rsid w:val="00F73FE7"/>
    <w:rsid w:val="00F74F01"/>
    <w:rsid w:val="00F77B73"/>
    <w:rsid w:val="00F83AD2"/>
    <w:rsid w:val="00F91298"/>
    <w:rsid w:val="00F913D0"/>
    <w:rsid w:val="00F92A71"/>
    <w:rsid w:val="00F95ABD"/>
    <w:rsid w:val="00F960DD"/>
    <w:rsid w:val="00FA4847"/>
    <w:rsid w:val="00FA5816"/>
    <w:rsid w:val="00FA7DF9"/>
    <w:rsid w:val="00FB0B17"/>
    <w:rsid w:val="00FB4E6B"/>
    <w:rsid w:val="00FB6DC1"/>
    <w:rsid w:val="00FC020A"/>
    <w:rsid w:val="00FC0F78"/>
    <w:rsid w:val="00FC3E40"/>
    <w:rsid w:val="00FD049D"/>
    <w:rsid w:val="00FF11BD"/>
    <w:rsid w:val="00FF4D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0AAA6A"/>
  <w15:chartTrackingRefBased/>
  <w15:docId w15:val="{545AC184-D22E-4593-BA29-0B41FD510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023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922E7"/>
    <w:pPr>
      <w:keepLines/>
      <w:overflowPunct w:val="0"/>
      <w:autoSpaceDE w:val="0"/>
      <w:autoSpaceDN w:val="0"/>
      <w:adjustRightInd w:val="0"/>
      <w:spacing w:after="0" w:line="240" w:lineRule="auto"/>
      <w:jc w:val="both"/>
      <w:textAlignment w:val="baseline"/>
    </w:pPr>
    <w:rPr>
      <w:rFonts w:ascii="Tms Rmn" w:eastAsia="Times New Roman" w:hAnsi="Tms Rm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922E7"/>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ListParagraph">
    <w:name w:val="List Paragraph"/>
    <w:basedOn w:val="Normal"/>
    <w:uiPriority w:val="34"/>
    <w:qFormat/>
    <w:rsid w:val="007922E7"/>
    <w:pPr>
      <w:spacing w:after="200" w:line="276" w:lineRule="auto"/>
      <w:ind w:left="720"/>
      <w:contextualSpacing/>
    </w:pPr>
    <w:rPr>
      <w:rFonts w:ascii="Calibri" w:eastAsia="Calibri" w:hAnsi="Calibri"/>
      <w:sz w:val="22"/>
      <w:szCs w:val="22"/>
    </w:rPr>
  </w:style>
  <w:style w:type="paragraph" w:customStyle="1" w:styleId="main">
    <w:name w:val="main"/>
    <w:basedOn w:val="Normal"/>
    <w:rsid w:val="007922E7"/>
    <w:pPr>
      <w:keepLines/>
      <w:tabs>
        <w:tab w:val="left" w:pos="300"/>
        <w:tab w:val="left" w:pos="540"/>
        <w:tab w:val="left" w:pos="840"/>
        <w:tab w:val="center" w:pos="5103"/>
        <w:tab w:val="decimal" w:pos="7000"/>
        <w:tab w:val="decimal" w:pos="8440"/>
      </w:tabs>
      <w:ind w:right="440"/>
      <w:jc w:val="both"/>
    </w:pPr>
    <w:rPr>
      <w:rFonts w:ascii="Palatino" w:eastAsia="SimSun" w:hAnsi="Palatino" w:cs="Angsana New"/>
      <w:sz w:val="20"/>
      <w:szCs w:val="20"/>
      <w:lang w:val="en-GB"/>
    </w:rPr>
  </w:style>
  <w:style w:type="paragraph" w:styleId="BalloonText">
    <w:name w:val="Balloon Text"/>
    <w:basedOn w:val="Normal"/>
    <w:link w:val="BalloonTextChar"/>
    <w:uiPriority w:val="99"/>
    <w:semiHidden/>
    <w:unhideWhenUsed/>
    <w:rsid w:val="00EF4210"/>
    <w:pPr>
      <w:keepLines/>
      <w:overflowPunct w:val="0"/>
      <w:autoSpaceDE w:val="0"/>
      <w:autoSpaceDN w:val="0"/>
      <w:adjustRightInd w:val="0"/>
      <w:jc w:val="both"/>
      <w:textAlignment w:val="baseline"/>
    </w:pPr>
    <w:rPr>
      <w:rFonts w:ascii="Segoe UI" w:hAnsi="Segoe UI" w:cs="Segoe UI"/>
      <w:sz w:val="18"/>
      <w:szCs w:val="18"/>
      <w:lang w:val="en-GB"/>
    </w:rPr>
  </w:style>
  <w:style w:type="character" w:customStyle="1" w:styleId="BalloonTextChar">
    <w:name w:val="Balloon Text Char"/>
    <w:basedOn w:val="DefaultParagraphFont"/>
    <w:link w:val="BalloonText"/>
    <w:uiPriority w:val="99"/>
    <w:semiHidden/>
    <w:rsid w:val="00EF4210"/>
    <w:rPr>
      <w:rFonts w:ascii="Segoe UI" w:eastAsia="Times New Roman" w:hAnsi="Segoe UI" w:cs="Segoe UI"/>
      <w:sz w:val="18"/>
      <w:szCs w:val="18"/>
      <w:lang w:val="en-GB"/>
    </w:rPr>
  </w:style>
  <w:style w:type="paragraph" w:styleId="NoSpacing">
    <w:name w:val="No Spacing"/>
    <w:uiPriority w:val="1"/>
    <w:qFormat/>
    <w:rsid w:val="00234470"/>
    <w:pPr>
      <w:keepLines/>
      <w:overflowPunct w:val="0"/>
      <w:autoSpaceDE w:val="0"/>
      <w:autoSpaceDN w:val="0"/>
      <w:adjustRightInd w:val="0"/>
      <w:spacing w:after="0" w:line="240" w:lineRule="auto"/>
      <w:jc w:val="both"/>
      <w:textAlignment w:val="baseline"/>
    </w:pPr>
    <w:rPr>
      <w:rFonts w:ascii="Times New Roman" w:eastAsia="Times New Roman" w:hAnsi="Times New Roman" w:cs="Times New Roman"/>
      <w:szCs w:val="20"/>
      <w:lang w:val="en-GB"/>
    </w:rPr>
  </w:style>
  <w:style w:type="character" w:styleId="CommentReference">
    <w:name w:val="annotation reference"/>
    <w:basedOn w:val="DefaultParagraphFont"/>
    <w:uiPriority w:val="99"/>
    <w:semiHidden/>
    <w:unhideWhenUsed/>
    <w:rsid w:val="000C7991"/>
    <w:rPr>
      <w:sz w:val="16"/>
      <w:szCs w:val="16"/>
    </w:rPr>
  </w:style>
  <w:style w:type="paragraph" w:styleId="CommentText">
    <w:name w:val="annotation text"/>
    <w:basedOn w:val="Normal"/>
    <w:link w:val="CommentTextChar"/>
    <w:uiPriority w:val="99"/>
    <w:semiHidden/>
    <w:unhideWhenUsed/>
    <w:rsid w:val="000C7991"/>
    <w:pPr>
      <w:keepLines/>
      <w:overflowPunct w:val="0"/>
      <w:autoSpaceDE w:val="0"/>
      <w:autoSpaceDN w:val="0"/>
      <w:adjustRightInd w:val="0"/>
      <w:jc w:val="both"/>
      <w:textAlignment w:val="baseline"/>
    </w:pPr>
    <w:rPr>
      <w:sz w:val="20"/>
      <w:szCs w:val="20"/>
      <w:lang w:val="en-GB"/>
    </w:rPr>
  </w:style>
  <w:style w:type="character" w:customStyle="1" w:styleId="CommentTextChar">
    <w:name w:val="Comment Text Char"/>
    <w:basedOn w:val="DefaultParagraphFont"/>
    <w:link w:val="CommentText"/>
    <w:uiPriority w:val="99"/>
    <w:semiHidden/>
    <w:rsid w:val="000C7991"/>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0C7991"/>
    <w:rPr>
      <w:b/>
      <w:bCs/>
    </w:rPr>
  </w:style>
  <w:style w:type="character" w:customStyle="1" w:styleId="CommentSubjectChar">
    <w:name w:val="Comment Subject Char"/>
    <w:basedOn w:val="CommentTextChar"/>
    <w:link w:val="CommentSubject"/>
    <w:uiPriority w:val="99"/>
    <w:semiHidden/>
    <w:rsid w:val="000C7991"/>
    <w:rPr>
      <w:rFonts w:ascii="Times New Roman" w:eastAsia="Times New Roman" w:hAnsi="Times New Roman" w:cs="Times New Roman"/>
      <w:b/>
      <w:bCs/>
      <w:sz w:val="20"/>
      <w:szCs w:val="20"/>
      <w:lang w:val="en-GB"/>
    </w:rPr>
  </w:style>
  <w:style w:type="paragraph" w:styleId="NormalWeb">
    <w:name w:val="Normal (Web)"/>
    <w:basedOn w:val="Normal"/>
    <w:uiPriority w:val="99"/>
    <w:unhideWhenUsed/>
    <w:rsid w:val="009E08DA"/>
    <w:pPr>
      <w:spacing w:before="100" w:beforeAutospacing="1" w:after="100" w:afterAutospacing="1"/>
    </w:pPr>
    <w:rPr>
      <w:rFonts w:eastAsiaTheme="minorEastAsia"/>
    </w:rPr>
  </w:style>
  <w:style w:type="paragraph" w:styleId="Header">
    <w:name w:val="header"/>
    <w:basedOn w:val="Normal"/>
    <w:link w:val="HeaderChar"/>
    <w:uiPriority w:val="99"/>
    <w:unhideWhenUsed/>
    <w:rsid w:val="009E08DA"/>
    <w:pPr>
      <w:keepLines/>
      <w:tabs>
        <w:tab w:val="center" w:pos="4680"/>
        <w:tab w:val="right" w:pos="9360"/>
      </w:tabs>
      <w:overflowPunct w:val="0"/>
      <w:autoSpaceDE w:val="0"/>
      <w:autoSpaceDN w:val="0"/>
      <w:adjustRightInd w:val="0"/>
      <w:jc w:val="both"/>
      <w:textAlignment w:val="baseline"/>
    </w:pPr>
    <w:rPr>
      <w:sz w:val="22"/>
      <w:szCs w:val="20"/>
      <w:lang w:val="en-GB"/>
    </w:rPr>
  </w:style>
  <w:style w:type="character" w:customStyle="1" w:styleId="HeaderChar">
    <w:name w:val="Header Char"/>
    <w:basedOn w:val="DefaultParagraphFont"/>
    <w:link w:val="Header"/>
    <w:uiPriority w:val="99"/>
    <w:rsid w:val="009E08DA"/>
    <w:rPr>
      <w:rFonts w:ascii="Times New Roman" w:eastAsia="Times New Roman" w:hAnsi="Times New Roman" w:cs="Times New Roman"/>
      <w:szCs w:val="20"/>
      <w:lang w:val="en-GB"/>
    </w:rPr>
  </w:style>
  <w:style w:type="paragraph" w:styleId="Footer">
    <w:name w:val="footer"/>
    <w:basedOn w:val="Normal"/>
    <w:link w:val="FooterChar"/>
    <w:uiPriority w:val="99"/>
    <w:unhideWhenUsed/>
    <w:rsid w:val="009E08DA"/>
    <w:pPr>
      <w:keepLines/>
      <w:tabs>
        <w:tab w:val="center" w:pos="4680"/>
        <w:tab w:val="right" w:pos="9360"/>
      </w:tabs>
      <w:overflowPunct w:val="0"/>
      <w:autoSpaceDE w:val="0"/>
      <w:autoSpaceDN w:val="0"/>
      <w:adjustRightInd w:val="0"/>
      <w:jc w:val="both"/>
      <w:textAlignment w:val="baseline"/>
    </w:pPr>
    <w:rPr>
      <w:sz w:val="22"/>
      <w:szCs w:val="20"/>
      <w:lang w:val="en-GB"/>
    </w:rPr>
  </w:style>
  <w:style w:type="character" w:customStyle="1" w:styleId="FooterChar">
    <w:name w:val="Footer Char"/>
    <w:basedOn w:val="DefaultParagraphFont"/>
    <w:link w:val="Footer"/>
    <w:uiPriority w:val="99"/>
    <w:rsid w:val="009E08DA"/>
    <w:rPr>
      <w:rFonts w:ascii="Times New Roman" w:eastAsia="Times New Roman" w:hAnsi="Times New Roman" w:cs="Times New Roman"/>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5885">
      <w:bodyDiv w:val="1"/>
      <w:marLeft w:val="0"/>
      <w:marRight w:val="0"/>
      <w:marTop w:val="0"/>
      <w:marBottom w:val="0"/>
      <w:divBdr>
        <w:top w:val="none" w:sz="0" w:space="0" w:color="auto"/>
        <w:left w:val="none" w:sz="0" w:space="0" w:color="auto"/>
        <w:bottom w:val="none" w:sz="0" w:space="0" w:color="auto"/>
        <w:right w:val="none" w:sz="0" w:space="0" w:color="auto"/>
      </w:divBdr>
    </w:div>
    <w:div w:id="16395534">
      <w:bodyDiv w:val="1"/>
      <w:marLeft w:val="0"/>
      <w:marRight w:val="0"/>
      <w:marTop w:val="0"/>
      <w:marBottom w:val="0"/>
      <w:divBdr>
        <w:top w:val="none" w:sz="0" w:space="0" w:color="auto"/>
        <w:left w:val="none" w:sz="0" w:space="0" w:color="auto"/>
        <w:bottom w:val="none" w:sz="0" w:space="0" w:color="auto"/>
        <w:right w:val="none" w:sz="0" w:space="0" w:color="auto"/>
      </w:divBdr>
    </w:div>
    <w:div w:id="37706952">
      <w:bodyDiv w:val="1"/>
      <w:marLeft w:val="0"/>
      <w:marRight w:val="0"/>
      <w:marTop w:val="0"/>
      <w:marBottom w:val="0"/>
      <w:divBdr>
        <w:top w:val="none" w:sz="0" w:space="0" w:color="auto"/>
        <w:left w:val="none" w:sz="0" w:space="0" w:color="auto"/>
        <w:bottom w:val="none" w:sz="0" w:space="0" w:color="auto"/>
        <w:right w:val="none" w:sz="0" w:space="0" w:color="auto"/>
      </w:divBdr>
    </w:div>
    <w:div w:id="42562184">
      <w:bodyDiv w:val="1"/>
      <w:marLeft w:val="0"/>
      <w:marRight w:val="0"/>
      <w:marTop w:val="0"/>
      <w:marBottom w:val="0"/>
      <w:divBdr>
        <w:top w:val="none" w:sz="0" w:space="0" w:color="auto"/>
        <w:left w:val="none" w:sz="0" w:space="0" w:color="auto"/>
        <w:bottom w:val="none" w:sz="0" w:space="0" w:color="auto"/>
        <w:right w:val="none" w:sz="0" w:space="0" w:color="auto"/>
      </w:divBdr>
    </w:div>
    <w:div w:id="101415693">
      <w:bodyDiv w:val="1"/>
      <w:marLeft w:val="0"/>
      <w:marRight w:val="0"/>
      <w:marTop w:val="0"/>
      <w:marBottom w:val="0"/>
      <w:divBdr>
        <w:top w:val="none" w:sz="0" w:space="0" w:color="auto"/>
        <w:left w:val="none" w:sz="0" w:space="0" w:color="auto"/>
        <w:bottom w:val="none" w:sz="0" w:space="0" w:color="auto"/>
        <w:right w:val="none" w:sz="0" w:space="0" w:color="auto"/>
      </w:divBdr>
    </w:div>
    <w:div w:id="110831274">
      <w:bodyDiv w:val="1"/>
      <w:marLeft w:val="0"/>
      <w:marRight w:val="0"/>
      <w:marTop w:val="0"/>
      <w:marBottom w:val="0"/>
      <w:divBdr>
        <w:top w:val="none" w:sz="0" w:space="0" w:color="auto"/>
        <w:left w:val="none" w:sz="0" w:space="0" w:color="auto"/>
        <w:bottom w:val="none" w:sz="0" w:space="0" w:color="auto"/>
        <w:right w:val="none" w:sz="0" w:space="0" w:color="auto"/>
      </w:divBdr>
    </w:div>
    <w:div w:id="111487319">
      <w:bodyDiv w:val="1"/>
      <w:marLeft w:val="0"/>
      <w:marRight w:val="0"/>
      <w:marTop w:val="0"/>
      <w:marBottom w:val="0"/>
      <w:divBdr>
        <w:top w:val="none" w:sz="0" w:space="0" w:color="auto"/>
        <w:left w:val="none" w:sz="0" w:space="0" w:color="auto"/>
        <w:bottom w:val="none" w:sz="0" w:space="0" w:color="auto"/>
        <w:right w:val="none" w:sz="0" w:space="0" w:color="auto"/>
      </w:divBdr>
    </w:div>
    <w:div w:id="121848061">
      <w:bodyDiv w:val="1"/>
      <w:marLeft w:val="0"/>
      <w:marRight w:val="0"/>
      <w:marTop w:val="0"/>
      <w:marBottom w:val="0"/>
      <w:divBdr>
        <w:top w:val="none" w:sz="0" w:space="0" w:color="auto"/>
        <w:left w:val="none" w:sz="0" w:space="0" w:color="auto"/>
        <w:bottom w:val="none" w:sz="0" w:space="0" w:color="auto"/>
        <w:right w:val="none" w:sz="0" w:space="0" w:color="auto"/>
      </w:divBdr>
    </w:div>
    <w:div w:id="140081450">
      <w:bodyDiv w:val="1"/>
      <w:marLeft w:val="0"/>
      <w:marRight w:val="0"/>
      <w:marTop w:val="0"/>
      <w:marBottom w:val="0"/>
      <w:divBdr>
        <w:top w:val="none" w:sz="0" w:space="0" w:color="auto"/>
        <w:left w:val="none" w:sz="0" w:space="0" w:color="auto"/>
        <w:bottom w:val="none" w:sz="0" w:space="0" w:color="auto"/>
        <w:right w:val="none" w:sz="0" w:space="0" w:color="auto"/>
      </w:divBdr>
    </w:div>
    <w:div w:id="168447674">
      <w:bodyDiv w:val="1"/>
      <w:marLeft w:val="0"/>
      <w:marRight w:val="0"/>
      <w:marTop w:val="0"/>
      <w:marBottom w:val="0"/>
      <w:divBdr>
        <w:top w:val="none" w:sz="0" w:space="0" w:color="auto"/>
        <w:left w:val="none" w:sz="0" w:space="0" w:color="auto"/>
        <w:bottom w:val="none" w:sz="0" w:space="0" w:color="auto"/>
        <w:right w:val="none" w:sz="0" w:space="0" w:color="auto"/>
      </w:divBdr>
    </w:div>
    <w:div w:id="201595167">
      <w:bodyDiv w:val="1"/>
      <w:marLeft w:val="0"/>
      <w:marRight w:val="0"/>
      <w:marTop w:val="0"/>
      <w:marBottom w:val="0"/>
      <w:divBdr>
        <w:top w:val="none" w:sz="0" w:space="0" w:color="auto"/>
        <w:left w:val="none" w:sz="0" w:space="0" w:color="auto"/>
        <w:bottom w:val="none" w:sz="0" w:space="0" w:color="auto"/>
        <w:right w:val="none" w:sz="0" w:space="0" w:color="auto"/>
      </w:divBdr>
    </w:div>
    <w:div w:id="217783684">
      <w:bodyDiv w:val="1"/>
      <w:marLeft w:val="0"/>
      <w:marRight w:val="0"/>
      <w:marTop w:val="0"/>
      <w:marBottom w:val="0"/>
      <w:divBdr>
        <w:top w:val="none" w:sz="0" w:space="0" w:color="auto"/>
        <w:left w:val="none" w:sz="0" w:space="0" w:color="auto"/>
        <w:bottom w:val="none" w:sz="0" w:space="0" w:color="auto"/>
        <w:right w:val="none" w:sz="0" w:space="0" w:color="auto"/>
      </w:divBdr>
    </w:div>
    <w:div w:id="218588417">
      <w:bodyDiv w:val="1"/>
      <w:marLeft w:val="0"/>
      <w:marRight w:val="0"/>
      <w:marTop w:val="0"/>
      <w:marBottom w:val="0"/>
      <w:divBdr>
        <w:top w:val="none" w:sz="0" w:space="0" w:color="auto"/>
        <w:left w:val="none" w:sz="0" w:space="0" w:color="auto"/>
        <w:bottom w:val="none" w:sz="0" w:space="0" w:color="auto"/>
        <w:right w:val="none" w:sz="0" w:space="0" w:color="auto"/>
      </w:divBdr>
    </w:div>
    <w:div w:id="222647133">
      <w:bodyDiv w:val="1"/>
      <w:marLeft w:val="0"/>
      <w:marRight w:val="0"/>
      <w:marTop w:val="0"/>
      <w:marBottom w:val="0"/>
      <w:divBdr>
        <w:top w:val="none" w:sz="0" w:space="0" w:color="auto"/>
        <w:left w:val="none" w:sz="0" w:space="0" w:color="auto"/>
        <w:bottom w:val="none" w:sz="0" w:space="0" w:color="auto"/>
        <w:right w:val="none" w:sz="0" w:space="0" w:color="auto"/>
      </w:divBdr>
    </w:div>
    <w:div w:id="224266008">
      <w:bodyDiv w:val="1"/>
      <w:marLeft w:val="0"/>
      <w:marRight w:val="0"/>
      <w:marTop w:val="0"/>
      <w:marBottom w:val="0"/>
      <w:divBdr>
        <w:top w:val="none" w:sz="0" w:space="0" w:color="auto"/>
        <w:left w:val="none" w:sz="0" w:space="0" w:color="auto"/>
        <w:bottom w:val="none" w:sz="0" w:space="0" w:color="auto"/>
        <w:right w:val="none" w:sz="0" w:space="0" w:color="auto"/>
      </w:divBdr>
    </w:div>
    <w:div w:id="225260049">
      <w:bodyDiv w:val="1"/>
      <w:marLeft w:val="0"/>
      <w:marRight w:val="0"/>
      <w:marTop w:val="0"/>
      <w:marBottom w:val="0"/>
      <w:divBdr>
        <w:top w:val="none" w:sz="0" w:space="0" w:color="auto"/>
        <w:left w:val="none" w:sz="0" w:space="0" w:color="auto"/>
        <w:bottom w:val="none" w:sz="0" w:space="0" w:color="auto"/>
        <w:right w:val="none" w:sz="0" w:space="0" w:color="auto"/>
      </w:divBdr>
    </w:div>
    <w:div w:id="234752377">
      <w:bodyDiv w:val="1"/>
      <w:marLeft w:val="0"/>
      <w:marRight w:val="0"/>
      <w:marTop w:val="0"/>
      <w:marBottom w:val="0"/>
      <w:divBdr>
        <w:top w:val="none" w:sz="0" w:space="0" w:color="auto"/>
        <w:left w:val="none" w:sz="0" w:space="0" w:color="auto"/>
        <w:bottom w:val="none" w:sz="0" w:space="0" w:color="auto"/>
        <w:right w:val="none" w:sz="0" w:space="0" w:color="auto"/>
      </w:divBdr>
    </w:div>
    <w:div w:id="251551229">
      <w:bodyDiv w:val="1"/>
      <w:marLeft w:val="0"/>
      <w:marRight w:val="0"/>
      <w:marTop w:val="0"/>
      <w:marBottom w:val="0"/>
      <w:divBdr>
        <w:top w:val="none" w:sz="0" w:space="0" w:color="auto"/>
        <w:left w:val="none" w:sz="0" w:space="0" w:color="auto"/>
        <w:bottom w:val="none" w:sz="0" w:space="0" w:color="auto"/>
        <w:right w:val="none" w:sz="0" w:space="0" w:color="auto"/>
      </w:divBdr>
    </w:div>
    <w:div w:id="257955206">
      <w:bodyDiv w:val="1"/>
      <w:marLeft w:val="0"/>
      <w:marRight w:val="0"/>
      <w:marTop w:val="0"/>
      <w:marBottom w:val="0"/>
      <w:divBdr>
        <w:top w:val="none" w:sz="0" w:space="0" w:color="auto"/>
        <w:left w:val="none" w:sz="0" w:space="0" w:color="auto"/>
        <w:bottom w:val="none" w:sz="0" w:space="0" w:color="auto"/>
        <w:right w:val="none" w:sz="0" w:space="0" w:color="auto"/>
      </w:divBdr>
    </w:div>
    <w:div w:id="285890126">
      <w:bodyDiv w:val="1"/>
      <w:marLeft w:val="0"/>
      <w:marRight w:val="0"/>
      <w:marTop w:val="0"/>
      <w:marBottom w:val="0"/>
      <w:divBdr>
        <w:top w:val="none" w:sz="0" w:space="0" w:color="auto"/>
        <w:left w:val="none" w:sz="0" w:space="0" w:color="auto"/>
        <w:bottom w:val="none" w:sz="0" w:space="0" w:color="auto"/>
        <w:right w:val="none" w:sz="0" w:space="0" w:color="auto"/>
      </w:divBdr>
    </w:div>
    <w:div w:id="290787018">
      <w:bodyDiv w:val="1"/>
      <w:marLeft w:val="0"/>
      <w:marRight w:val="0"/>
      <w:marTop w:val="0"/>
      <w:marBottom w:val="0"/>
      <w:divBdr>
        <w:top w:val="none" w:sz="0" w:space="0" w:color="auto"/>
        <w:left w:val="none" w:sz="0" w:space="0" w:color="auto"/>
        <w:bottom w:val="none" w:sz="0" w:space="0" w:color="auto"/>
        <w:right w:val="none" w:sz="0" w:space="0" w:color="auto"/>
      </w:divBdr>
    </w:div>
    <w:div w:id="300548519">
      <w:bodyDiv w:val="1"/>
      <w:marLeft w:val="0"/>
      <w:marRight w:val="0"/>
      <w:marTop w:val="0"/>
      <w:marBottom w:val="0"/>
      <w:divBdr>
        <w:top w:val="none" w:sz="0" w:space="0" w:color="auto"/>
        <w:left w:val="none" w:sz="0" w:space="0" w:color="auto"/>
        <w:bottom w:val="none" w:sz="0" w:space="0" w:color="auto"/>
        <w:right w:val="none" w:sz="0" w:space="0" w:color="auto"/>
      </w:divBdr>
    </w:div>
    <w:div w:id="305204378">
      <w:bodyDiv w:val="1"/>
      <w:marLeft w:val="0"/>
      <w:marRight w:val="0"/>
      <w:marTop w:val="0"/>
      <w:marBottom w:val="0"/>
      <w:divBdr>
        <w:top w:val="none" w:sz="0" w:space="0" w:color="auto"/>
        <w:left w:val="none" w:sz="0" w:space="0" w:color="auto"/>
        <w:bottom w:val="none" w:sz="0" w:space="0" w:color="auto"/>
        <w:right w:val="none" w:sz="0" w:space="0" w:color="auto"/>
      </w:divBdr>
    </w:div>
    <w:div w:id="342319589">
      <w:bodyDiv w:val="1"/>
      <w:marLeft w:val="0"/>
      <w:marRight w:val="0"/>
      <w:marTop w:val="0"/>
      <w:marBottom w:val="0"/>
      <w:divBdr>
        <w:top w:val="none" w:sz="0" w:space="0" w:color="auto"/>
        <w:left w:val="none" w:sz="0" w:space="0" w:color="auto"/>
        <w:bottom w:val="none" w:sz="0" w:space="0" w:color="auto"/>
        <w:right w:val="none" w:sz="0" w:space="0" w:color="auto"/>
      </w:divBdr>
    </w:div>
    <w:div w:id="355888988">
      <w:bodyDiv w:val="1"/>
      <w:marLeft w:val="0"/>
      <w:marRight w:val="0"/>
      <w:marTop w:val="0"/>
      <w:marBottom w:val="0"/>
      <w:divBdr>
        <w:top w:val="none" w:sz="0" w:space="0" w:color="auto"/>
        <w:left w:val="none" w:sz="0" w:space="0" w:color="auto"/>
        <w:bottom w:val="none" w:sz="0" w:space="0" w:color="auto"/>
        <w:right w:val="none" w:sz="0" w:space="0" w:color="auto"/>
      </w:divBdr>
    </w:div>
    <w:div w:id="369769857">
      <w:bodyDiv w:val="1"/>
      <w:marLeft w:val="0"/>
      <w:marRight w:val="0"/>
      <w:marTop w:val="0"/>
      <w:marBottom w:val="0"/>
      <w:divBdr>
        <w:top w:val="none" w:sz="0" w:space="0" w:color="auto"/>
        <w:left w:val="none" w:sz="0" w:space="0" w:color="auto"/>
        <w:bottom w:val="none" w:sz="0" w:space="0" w:color="auto"/>
        <w:right w:val="none" w:sz="0" w:space="0" w:color="auto"/>
      </w:divBdr>
    </w:div>
    <w:div w:id="384454615">
      <w:bodyDiv w:val="1"/>
      <w:marLeft w:val="0"/>
      <w:marRight w:val="0"/>
      <w:marTop w:val="0"/>
      <w:marBottom w:val="0"/>
      <w:divBdr>
        <w:top w:val="none" w:sz="0" w:space="0" w:color="auto"/>
        <w:left w:val="none" w:sz="0" w:space="0" w:color="auto"/>
        <w:bottom w:val="none" w:sz="0" w:space="0" w:color="auto"/>
        <w:right w:val="none" w:sz="0" w:space="0" w:color="auto"/>
      </w:divBdr>
    </w:div>
    <w:div w:id="399450438">
      <w:bodyDiv w:val="1"/>
      <w:marLeft w:val="0"/>
      <w:marRight w:val="0"/>
      <w:marTop w:val="0"/>
      <w:marBottom w:val="0"/>
      <w:divBdr>
        <w:top w:val="none" w:sz="0" w:space="0" w:color="auto"/>
        <w:left w:val="none" w:sz="0" w:space="0" w:color="auto"/>
        <w:bottom w:val="none" w:sz="0" w:space="0" w:color="auto"/>
        <w:right w:val="none" w:sz="0" w:space="0" w:color="auto"/>
      </w:divBdr>
    </w:div>
    <w:div w:id="406536980">
      <w:bodyDiv w:val="1"/>
      <w:marLeft w:val="0"/>
      <w:marRight w:val="0"/>
      <w:marTop w:val="0"/>
      <w:marBottom w:val="0"/>
      <w:divBdr>
        <w:top w:val="none" w:sz="0" w:space="0" w:color="auto"/>
        <w:left w:val="none" w:sz="0" w:space="0" w:color="auto"/>
        <w:bottom w:val="none" w:sz="0" w:space="0" w:color="auto"/>
        <w:right w:val="none" w:sz="0" w:space="0" w:color="auto"/>
      </w:divBdr>
    </w:div>
    <w:div w:id="407194722">
      <w:bodyDiv w:val="1"/>
      <w:marLeft w:val="0"/>
      <w:marRight w:val="0"/>
      <w:marTop w:val="0"/>
      <w:marBottom w:val="0"/>
      <w:divBdr>
        <w:top w:val="none" w:sz="0" w:space="0" w:color="auto"/>
        <w:left w:val="none" w:sz="0" w:space="0" w:color="auto"/>
        <w:bottom w:val="none" w:sz="0" w:space="0" w:color="auto"/>
        <w:right w:val="none" w:sz="0" w:space="0" w:color="auto"/>
      </w:divBdr>
    </w:div>
    <w:div w:id="414865756">
      <w:bodyDiv w:val="1"/>
      <w:marLeft w:val="0"/>
      <w:marRight w:val="0"/>
      <w:marTop w:val="0"/>
      <w:marBottom w:val="0"/>
      <w:divBdr>
        <w:top w:val="none" w:sz="0" w:space="0" w:color="auto"/>
        <w:left w:val="none" w:sz="0" w:space="0" w:color="auto"/>
        <w:bottom w:val="none" w:sz="0" w:space="0" w:color="auto"/>
        <w:right w:val="none" w:sz="0" w:space="0" w:color="auto"/>
      </w:divBdr>
    </w:div>
    <w:div w:id="415371605">
      <w:bodyDiv w:val="1"/>
      <w:marLeft w:val="0"/>
      <w:marRight w:val="0"/>
      <w:marTop w:val="0"/>
      <w:marBottom w:val="0"/>
      <w:divBdr>
        <w:top w:val="none" w:sz="0" w:space="0" w:color="auto"/>
        <w:left w:val="none" w:sz="0" w:space="0" w:color="auto"/>
        <w:bottom w:val="none" w:sz="0" w:space="0" w:color="auto"/>
        <w:right w:val="none" w:sz="0" w:space="0" w:color="auto"/>
      </w:divBdr>
    </w:div>
    <w:div w:id="417676856">
      <w:bodyDiv w:val="1"/>
      <w:marLeft w:val="0"/>
      <w:marRight w:val="0"/>
      <w:marTop w:val="0"/>
      <w:marBottom w:val="0"/>
      <w:divBdr>
        <w:top w:val="none" w:sz="0" w:space="0" w:color="auto"/>
        <w:left w:val="none" w:sz="0" w:space="0" w:color="auto"/>
        <w:bottom w:val="none" w:sz="0" w:space="0" w:color="auto"/>
        <w:right w:val="none" w:sz="0" w:space="0" w:color="auto"/>
      </w:divBdr>
    </w:div>
    <w:div w:id="418912107">
      <w:bodyDiv w:val="1"/>
      <w:marLeft w:val="0"/>
      <w:marRight w:val="0"/>
      <w:marTop w:val="0"/>
      <w:marBottom w:val="0"/>
      <w:divBdr>
        <w:top w:val="none" w:sz="0" w:space="0" w:color="auto"/>
        <w:left w:val="none" w:sz="0" w:space="0" w:color="auto"/>
        <w:bottom w:val="none" w:sz="0" w:space="0" w:color="auto"/>
        <w:right w:val="none" w:sz="0" w:space="0" w:color="auto"/>
      </w:divBdr>
    </w:div>
    <w:div w:id="447503619">
      <w:bodyDiv w:val="1"/>
      <w:marLeft w:val="0"/>
      <w:marRight w:val="0"/>
      <w:marTop w:val="0"/>
      <w:marBottom w:val="0"/>
      <w:divBdr>
        <w:top w:val="none" w:sz="0" w:space="0" w:color="auto"/>
        <w:left w:val="none" w:sz="0" w:space="0" w:color="auto"/>
        <w:bottom w:val="none" w:sz="0" w:space="0" w:color="auto"/>
        <w:right w:val="none" w:sz="0" w:space="0" w:color="auto"/>
      </w:divBdr>
    </w:div>
    <w:div w:id="451434979">
      <w:bodyDiv w:val="1"/>
      <w:marLeft w:val="0"/>
      <w:marRight w:val="0"/>
      <w:marTop w:val="0"/>
      <w:marBottom w:val="0"/>
      <w:divBdr>
        <w:top w:val="none" w:sz="0" w:space="0" w:color="auto"/>
        <w:left w:val="none" w:sz="0" w:space="0" w:color="auto"/>
        <w:bottom w:val="none" w:sz="0" w:space="0" w:color="auto"/>
        <w:right w:val="none" w:sz="0" w:space="0" w:color="auto"/>
      </w:divBdr>
    </w:div>
    <w:div w:id="458571783">
      <w:bodyDiv w:val="1"/>
      <w:marLeft w:val="0"/>
      <w:marRight w:val="0"/>
      <w:marTop w:val="0"/>
      <w:marBottom w:val="0"/>
      <w:divBdr>
        <w:top w:val="none" w:sz="0" w:space="0" w:color="auto"/>
        <w:left w:val="none" w:sz="0" w:space="0" w:color="auto"/>
        <w:bottom w:val="none" w:sz="0" w:space="0" w:color="auto"/>
        <w:right w:val="none" w:sz="0" w:space="0" w:color="auto"/>
      </w:divBdr>
    </w:div>
    <w:div w:id="462500382">
      <w:bodyDiv w:val="1"/>
      <w:marLeft w:val="0"/>
      <w:marRight w:val="0"/>
      <w:marTop w:val="0"/>
      <w:marBottom w:val="0"/>
      <w:divBdr>
        <w:top w:val="none" w:sz="0" w:space="0" w:color="auto"/>
        <w:left w:val="none" w:sz="0" w:space="0" w:color="auto"/>
        <w:bottom w:val="none" w:sz="0" w:space="0" w:color="auto"/>
        <w:right w:val="none" w:sz="0" w:space="0" w:color="auto"/>
      </w:divBdr>
    </w:div>
    <w:div w:id="466818096">
      <w:bodyDiv w:val="1"/>
      <w:marLeft w:val="0"/>
      <w:marRight w:val="0"/>
      <w:marTop w:val="0"/>
      <w:marBottom w:val="0"/>
      <w:divBdr>
        <w:top w:val="none" w:sz="0" w:space="0" w:color="auto"/>
        <w:left w:val="none" w:sz="0" w:space="0" w:color="auto"/>
        <w:bottom w:val="none" w:sz="0" w:space="0" w:color="auto"/>
        <w:right w:val="none" w:sz="0" w:space="0" w:color="auto"/>
      </w:divBdr>
    </w:div>
    <w:div w:id="471213724">
      <w:bodyDiv w:val="1"/>
      <w:marLeft w:val="0"/>
      <w:marRight w:val="0"/>
      <w:marTop w:val="0"/>
      <w:marBottom w:val="0"/>
      <w:divBdr>
        <w:top w:val="none" w:sz="0" w:space="0" w:color="auto"/>
        <w:left w:val="none" w:sz="0" w:space="0" w:color="auto"/>
        <w:bottom w:val="none" w:sz="0" w:space="0" w:color="auto"/>
        <w:right w:val="none" w:sz="0" w:space="0" w:color="auto"/>
      </w:divBdr>
    </w:div>
    <w:div w:id="472217731">
      <w:bodyDiv w:val="1"/>
      <w:marLeft w:val="0"/>
      <w:marRight w:val="0"/>
      <w:marTop w:val="0"/>
      <w:marBottom w:val="0"/>
      <w:divBdr>
        <w:top w:val="none" w:sz="0" w:space="0" w:color="auto"/>
        <w:left w:val="none" w:sz="0" w:space="0" w:color="auto"/>
        <w:bottom w:val="none" w:sz="0" w:space="0" w:color="auto"/>
        <w:right w:val="none" w:sz="0" w:space="0" w:color="auto"/>
      </w:divBdr>
    </w:div>
    <w:div w:id="498470999">
      <w:bodyDiv w:val="1"/>
      <w:marLeft w:val="0"/>
      <w:marRight w:val="0"/>
      <w:marTop w:val="0"/>
      <w:marBottom w:val="0"/>
      <w:divBdr>
        <w:top w:val="none" w:sz="0" w:space="0" w:color="auto"/>
        <w:left w:val="none" w:sz="0" w:space="0" w:color="auto"/>
        <w:bottom w:val="none" w:sz="0" w:space="0" w:color="auto"/>
        <w:right w:val="none" w:sz="0" w:space="0" w:color="auto"/>
      </w:divBdr>
    </w:div>
    <w:div w:id="615212878">
      <w:bodyDiv w:val="1"/>
      <w:marLeft w:val="0"/>
      <w:marRight w:val="0"/>
      <w:marTop w:val="0"/>
      <w:marBottom w:val="0"/>
      <w:divBdr>
        <w:top w:val="none" w:sz="0" w:space="0" w:color="auto"/>
        <w:left w:val="none" w:sz="0" w:space="0" w:color="auto"/>
        <w:bottom w:val="none" w:sz="0" w:space="0" w:color="auto"/>
        <w:right w:val="none" w:sz="0" w:space="0" w:color="auto"/>
      </w:divBdr>
    </w:div>
    <w:div w:id="651257762">
      <w:bodyDiv w:val="1"/>
      <w:marLeft w:val="0"/>
      <w:marRight w:val="0"/>
      <w:marTop w:val="0"/>
      <w:marBottom w:val="0"/>
      <w:divBdr>
        <w:top w:val="none" w:sz="0" w:space="0" w:color="auto"/>
        <w:left w:val="none" w:sz="0" w:space="0" w:color="auto"/>
        <w:bottom w:val="none" w:sz="0" w:space="0" w:color="auto"/>
        <w:right w:val="none" w:sz="0" w:space="0" w:color="auto"/>
      </w:divBdr>
    </w:div>
    <w:div w:id="690376093">
      <w:bodyDiv w:val="1"/>
      <w:marLeft w:val="0"/>
      <w:marRight w:val="0"/>
      <w:marTop w:val="0"/>
      <w:marBottom w:val="0"/>
      <w:divBdr>
        <w:top w:val="none" w:sz="0" w:space="0" w:color="auto"/>
        <w:left w:val="none" w:sz="0" w:space="0" w:color="auto"/>
        <w:bottom w:val="none" w:sz="0" w:space="0" w:color="auto"/>
        <w:right w:val="none" w:sz="0" w:space="0" w:color="auto"/>
      </w:divBdr>
    </w:div>
    <w:div w:id="701832251">
      <w:bodyDiv w:val="1"/>
      <w:marLeft w:val="0"/>
      <w:marRight w:val="0"/>
      <w:marTop w:val="0"/>
      <w:marBottom w:val="0"/>
      <w:divBdr>
        <w:top w:val="none" w:sz="0" w:space="0" w:color="auto"/>
        <w:left w:val="none" w:sz="0" w:space="0" w:color="auto"/>
        <w:bottom w:val="none" w:sz="0" w:space="0" w:color="auto"/>
        <w:right w:val="none" w:sz="0" w:space="0" w:color="auto"/>
      </w:divBdr>
    </w:div>
    <w:div w:id="746802242">
      <w:bodyDiv w:val="1"/>
      <w:marLeft w:val="0"/>
      <w:marRight w:val="0"/>
      <w:marTop w:val="0"/>
      <w:marBottom w:val="0"/>
      <w:divBdr>
        <w:top w:val="none" w:sz="0" w:space="0" w:color="auto"/>
        <w:left w:val="none" w:sz="0" w:space="0" w:color="auto"/>
        <w:bottom w:val="none" w:sz="0" w:space="0" w:color="auto"/>
        <w:right w:val="none" w:sz="0" w:space="0" w:color="auto"/>
      </w:divBdr>
    </w:div>
    <w:div w:id="787940150">
      <w:bodyDiv w:val="1"/>
      <w:marLeft w:val="0"/>
      <w:marRight w:val="0"/>
      <w:marTop w:val="0"/>
      <w:marBottom w:val="0"/>
      <w:divBdr>
        <w:top w:val="none" w:sz="0" w:space="0" w:color="auto"/>
        <w:left w:val="none" w:sz="0" w:space="0" w:color="auto"/>
        <w:bottom w:val="none" w:sz="0" w:space="0" w:color="auto"/>
        <w:right w:val="none" w:sz="0" w:space="0" w:color="auto"/>
      </w:divBdr>
    </w:div>
    <w:div w:id="792869312">
      <w:bodyDiv w:val="1"/>
      <w:marLeft w:val="0"/>
      <w:marRight w:val="0"/>
      <w:marTop w:val="0"/>
      <w:marBottom w:val="0"/>
      <w:divBdr>
        <w:top w:val="none" w:sz="0" w:space="0" w:color="auto"/>
        <w:left w:val="none" w:sz="0" w:space="0" w:color="auto"/>
        <w:bottom w:val="none" w:sz="0" w:space="0" w:color="auto"/>
        <w:right w:val="none" w:sz="0" w:space="0" w:color="auto"/>
      </w:divBdr>
    </w:div>
    <w:div w:id="802235534">
      <w:bodyDiv w:val="1"/>
      <w:marLeft w:val="0"/>
      <w:marRight w:val="0"/>
      <w:marTop w:val="0"/>
      <w:marBottom w:val="0"/>
      <w:divBdr>
        <w:top w:val="none" w:sz="0" w:space="0" w:color="auto"/>
        <w:left w:val="none" w:sz="0" w:space="0" w:color="auto"/>
        <w:bottom w:val="none" w:sz="0" w:space="0" w:color="auto"/>
        <w:right w:val="none" w:sz="0" w:space="0" w:color="auto"/>
      </w:divBdr>
    </w:div>
    <w:div w:id="815143966">
      <w:bodyDiv w:val="1"/>
      <w:marLeft w:val="0"/>
      <w:marRight w:val="0"/>
      <w:marTop w:val="0"/>
      <w:marBottom w:val="0"/>
      <w:divBdr>
        <w:top w:val="none" w:sz="0" w:space="0" w:color="auto"/>
        <w:left w:val="none" w:sz="0" w:space="0" w:color="auto"/>
        <w:bottom w:val="none" w:sz="0" w:space="0" w:color="auto"/>
        <w:right w:val="none" w:sz="0" w:space="0" w:color="auto"/>
      </w:divBdr>
    </w:div>
    <w:div w:id="839547373">
      <w:bodyDiv w:val="1"/>
      <w:marLeft w:val="0"/>
      <w:marRight w:val="0"/>
      <w:marTop w:val="0"/>
      <w:marBottom w:val="0"/>
      <w:divBdr>
        <w:top w:val="none" w:sz="0" w:space="0" w:color="auto"/>
        <w:left w:val="none" w:sz="0" w:space="0" w:color="auto"/>
        <w:bottom w:val="none" w:sz="0" w:space="0" w:color="auto"/>
        <w:right w:val="none" w:sz="0" w:space="0" w:color="auto"/>
      </w:divBdr>
    </w:div>
    <w:div w:id="841896991">
      <w:bodyDiv w:val="1"/>
      <w:marLeft w:val="0"/>
      <w:marRight w:val="0"/>
      <w:marTop w:val="0"/>
      <w:marBottom w:val="0"/>
      <w:divBdr>
        <w:top w:val="none" w:sz="0" w:space="0" w:color="auto"/>
        <w:left w:val="none" w:sz="0" w:space="0" w:color="auto"/>
        <w:bottom w:val="none" w:sz="0" w:space="0" w:color="auto"/>
        <w:right w:val="none" w:sz="0" w:space="0" w:color="auto"/>
      </w:divBdr>
    </w:div>
    <w:div w:id="843321961">
      <w:bodyDiv w:val="1"/>
      <w:marLeft w:val="0"/>
      <w:marRight w:val="0"/>
      <w:marTop w:val="0"/>
      <w:marBottom w:val="0"/>
      <w:divBdr>
        <w:top w:val="none" w:sz="0" w:space="0" w:color="auto"/>
        <w:left w:val="none" w:sz="0" w:space="0" w:color="auto"/>
        <w:bottom w:val="none" w:sz="0" w:space="0" w:color="auto"/>
        <w:right w:val="none" w:sz="0" w:space="0" w:color="auto"/>
      </w:divBdr>
    </w:div>
    <w:div w:id="867372949">
      <w:bodyDiv w:val="1"/>
      <w:marLeft w:val="0"/>
      <w:marRight w:val="0"/>
      <w:marTop w:val="0"/>
      <w:marBottom w:val="0"/>
      <w:divBdr>
        <w:top w:val="none" w:sz="0" w:space="0" w:color="auto"/>
        <w:left w:val="none" w:sz="0" w:space="0" w:color="auto"/>
        <w:bottom w:val="none" w:sz="0" w:space="0" w:color="auto"/>
        <w:right w:val="none" w:sz="0" w:space="0" w:color="auto"/>
      </w:divBdr>
    </w:div>
    <w:div w:id="882865282">
      <w:bodyDiv w:val="1"/>
      <w:marLeft w:val="0"/>
      <w:marRight w:val="0"/>
      <w:marTop w:val="0"/>
      <w:marBottom w:val="0"/>
      <w:divBdr>
        <w:top w:val="none" w:sz="0" w:space="0" w:color="auto"/>
        <w:left w:val="none" w:sz="0" w:space="0" w:color="auto"/>
        <w:bottom w:val="none" w:sz="0" w:space="0" w:color="auto"/>
        <w:right w:val="none" w:sz="0" w:space="0" w:color="auto"/>
      </w:divBdr>
    </w:div>
    <w:div w:id="885678638">
      <w:bodyDiv w:val="1"/>
      <w:marLeft w:val="0"/>
      <w:marRight w:val="0"/>
      <w:marTop w:val="0"/>
      <w:marBottom w:val="0"/>
      <w:divBdr>
        <w:top w:val="none" w:sz="0" w:space="0" w:color="auto"/>
        <w:left w:val="none" w:sz="0" w:space="0" w:color="auto"/>
        <w:bottom w:val="none" w:sz="0" w:space="0" w:color="auto"/>
        <w:right w:val="none" w:sz="0" w:space="0" w:color="auto"/>
      </w:divBdr>
    </w:div>
    <w:div w:id="887103609">
      <w:bodyDiv w:val="1"/>
      <w:marLeft w:val="0"/>
      <w:marRight w:val="0"/>
      <w:marTop w:val="0"/>
      <w:marBottom w:val="0"/>
      <w:divBdr>
        <w:top w:val="none" w:sz="0" w:space="0" w:color="auto"/>
        <w:left w:val="none" w:sz="0" w:space="0" w:color="auto"/>
        <w:bottom w:val="none" w:sz="0" w:space="0" w:color="auto"/>
        <w:right w:val="none" w:sz="0" w:space="0" w:color="auto"/>
      </w:divBdr>
    </w:div>
    <w:div w:id="978534274">
      <w:bodyDiv w:val="1"/>
      <w:marLeft w:val="0"/>
      <w:marRight w:val="0"/>
      <w:marTop w:val="0"/>
      <w:marBottom w:val="0"/>
      <w:divBdr>
        <w:top w:val="none" w:sz="0" w:space="0" w:color="auto"/>
        <w:left w:val="none" w:sz="0" w:space="0" w:color="auto"/>
        <w:bottom w:val="none" w:sz="0" w:space="0" w:color="auto"/>
        <w:right w:val="none" w:sz="0" w:space="0" w:color="auto"/>
      </w:divBdr>
    </w:div>
    <w:div w:id="983584181">
      <w:bodyDiv w:val="1"/>
      <w:marLeft w:val="0"/>
      <w:marRight w:val="0"/>
      <w:marTop w:val="0"/>
      <w:marBottom w:val="0"/>
      <w:divBdr>
        <w:top w:val="none" w:sz="0" w:space="0" w:color="auto"/>
        <w:left w:val="none" w:sz="0" w:space="0" w:color="auto"/>
        <w:bottom w:val="none" w:sz="0" w:space="0" w:color="auto"/>
        <w:right w:val="none" w:sz="0" w:space="0" w:color="auto"/>
      </w:divBdr>
    </w:div>
    <w:div w:id="1007948519">
      <w:bodyDiv w:val="1"/>
      <w:marLeft w:val="0"/>
      <w:marRight w:val="0"/>
      <w:marTop w:val="0"/>
      <w:marBottom w:val="0"/>
      <w:divBdr>
        <w:top w:val="none" w:sz="0" w:space="0" w:color="auto"/>
        <w:left w:val="none" w:sz="0" w:space="0" w:color="auto"/>
        <w:bottom w:val="none" w:sz="0" w:space="0" w:color="auto"/>
        <w:right w:val="none" w:sz="0" w:space="0" w:color="auto"/>
      </w:divBdr>
    </w:div>
    <w:div w:id="1019046061">
      <w:bodyDiv w:val="1"/>
      <w:marLeft w:val="0"/>
      <w:marRight w:val="0"/>
      <w:marTop w:val="0"/>
      <w:marBottom w:val="0"/>
      <w:divBdr>
        <w:top w:val="none" w:sz="0" w:space="0" w:color="auto"/>
        <w:left w:val="none" w:sz="0" w:space="0" w:color="auto"/>
        <w:bottom w:val="none" w:sz="0" w:space="0" w:color="auto"/>
        <w:right w:val="none" w:sz="0" w:space="0" w:color="auto"/>
      </w:divBdr>
    </w:div>
    <w:div w:id="1027875356">
      <w:bodyDiv w:val="1"/>
      <w:marLeft w:val="0"/>
      <w:marRight w:val="0"/>
      <w:marTop w:val="0"/>
      <w:marBottom w:val="0"/>
      <w:divBdr>
        <w:top w:val="none" w:sz="0" w:space="0" w:color="auto"/>
        <w:left w:val="none" w:sz="0" w:space="0" w:color="auto"/>
        <w:bottom w:val="none" w:sz="0" w:space="0" w:color="auto"/>
        <w:right w:val="none" w:sz="0" w:space="0" w:color="auto"/>
      </w:divBdr>
    </w:div>
    <w:div w:id="1043750076">
      <w:bodyDiv w:val="1"/>
      <w:marLeft w:val="0"/>
      <w:marRight w:val="0"/>
      <w:marTop w:val="0"/>
      <w:marBottom w:val="0"/>
      <w:divBdr>
        <w:top w:val="none" w:sz="0" w:space="0" w:color="auto"/>
        <w:left w:val="none" w:sz="0" w:space="0" w:color="auto"/>
        <w:bottom w:val="none" w:sz="0" w:space="0" w:color="auto"/>
        <w:right w:val="none" w:sz="0" w:space="0" w:color="auto"/>
      </w:divBdr>
    </w:div>
    <w:div w:id="1046877107">
      <w:bodyDiv w:val="1"/>
      <w:marLeft w:val="0"/>
      <w:marRight w:val="0"/>
      <w:marTop w:val="0"/>
      <w:marBottom w:val="0"/>
      <w:divBdr>
        <w:top w:val="none" w:sz="0" w:space="0" w:color="auto"/>
        <w:left w:val="none" w:sz="0" w:space="0" w:color="auto"/>
        <w:bottom w:val="none" w:sz="0" w:space="0" w:color="auto"/>
        <w:right w:val="none" w:sz="0" w:space="0" w:color="auto"/>
      </w:divBdr>
    </w:div>
    <w:div w:id="1047493500">
      <w:bodyDiv w:val="1"/>
      <w:marLeft w:val="0"/>
      <w:marRight w:val="0"/>
      <w:marTop w:val="0"/>
      <w:marBottom w:val="0"/>
      <w:divBdr>
        <w:top w:val="none" w:sz="0" w:space="0" w:color="auto"/>
        <w:left w:val="none" w:sz="0" w:space="0" w:color="auto"/>
        <w:bottom w:val="none" w:sz="0" w:space="0" w:color="auto"/>
        <w:right w:val="none" w:sz="0" w:space="0" w:color="auto"/>
      </w:divBdr>
    </w:div>
    <w:div w:id="1058241555">
      <w:bodyDiv w:val="1"/>
      <w:marLeft w:val="0"/>
      <w:marRight w:val="0"/>
      <w:marTop w:val="0"/>
      <w:marBottom w:val="0"/>
      <w:divBdr>
        <w:top w:val="none" w:sz="0" w:space="0" w:color="auto"/>
        <w:left w:val="none" w:sz="0" w:space="0" w:color="auto"/>
        <w:bottom w:val="none" w:sz="0" w:space="0" w:color="auto"/>
        <w:right w:val="none" w:sz="0" w:space="0" w:color="auto"/>
      </w:divBdr>
    </w:div>
    <w:div w:id="1066761038">
      <w:bodyDiv w:val="1"/>
      <w:marLeft w:val="0"/>
      <w:marRight w:val="0"/>
      <w:marTop w:val="0"/>
      <w:marBottom w:val="0"/>
      <w:divBdr>
        <w:top w:val="none" w:sz="0" w:space="0" w:color="auto"/>
        <w:left w:val="none" w:sz="0" w:space="0" w:color="auto"/>
        <w:bottom w:val="none" w:sz="0" w:space="0" w:color="auto"/>
        <w:right w:val="none" w:sz="0" w:space="0" w:color="auto"/>
      </w:divBdr>
    </w:div>
    <w:div w:id="1067343388">
      <w:bodyDiv w:val="1"/>
      <w:marLeft w:val="0"/>
      <w:marRight w:val="0"/>
      <w:marTop w:val="0"/>
      <w:marBottom w:val="0"/>
      <w:divBdr>
        <w:top w:val="none" w:sz="0" w:space="0" w:color="auto"/>
        <w:left w:val="none" w:sz="0" w:space="0" w:color="auto"/>
        <w:bottom w:val="none" w:sz="0" w:space="0" w:color="auto"/>
        <w:right w:val="none" w:sz="0" w:space="0" w:color="auto"/>
      </w:divBdr>
    </w:div>
    <w:div w:id="1096563466">
      <w:bodyDiv w:val="1"/>
      <w:marLeft w:val="0"/>
      <w:marRight w:val="0"/>
      <w:marTop w:val="0"/>
      <w:marBottom w:val="0"/>
      <w:divBdr>
        <w:top w:val="none" w:sz="0" w:space="0" w:color="auto"/>
        <w:left w:val="none" w:sz="0" w:space="0" w:color="auto"/>
        <w:bottom w:val="none" w:sz="0" w:space="0" w:color="auto"/>
        <w:right w:val="none" w:sz="0" w:space="0" w:color="auto"/>
      </w:divBdr>
    </w:div>
    <w:div w:id="1105808112">
      <w:bodyDiv w:val="1"/>
      <w:marLeft w:val="0"/>
      <w:marRight w:val="0"/>
      <w:marTop w:val="0"/>
      <w:marBottom w:val="0"/>
      <w:divBdr>
        <w:top w:val="none" w:sz="0" w:space="0" w:color="auto"/>
        <w:left w:val="none" w:sz="0" w:space="0" w:color="auto"/>
        <w:bottom w:val="none" w:sz="0" w:space="0" w:color="auto"/>
        <w:right w:val="none" w:sz="0" w:space="0" w:color="auto"/>
      </w:divBdr>
    </w:div>
    <w:div w:id="1112824645">
      <w:bodyDiv w:val="1"/>
      <w:marLeft w:val="0"/>
      <w:marRight w:val="0"/>
      <w:marTop w:val="0"/>
      <w:marBottom w:val="0"/>
      <w:divBdr>
        <w:top w:val="none" w:sz="0" w:space="0" w:color="auto"/>
        <w:left w:val="none" w:sz="0" w:space="0" w:color="auto"/>
        <w:bottom w:val="none" w:sz="0" w:space="0" w:color="auto"/>
        <w:right w:val="none" w:sz="0" w:space="0" w:color="auto"/>
      </w:divBdr>
    </w:div>
    <w:div w:id="1137650027">
      <w:bodyDiv w:val="1"/>
      <w:marLeft w:val="0"/>
      <w:marRight w:val="0"/>
      <w:marTop w:val="0"/>
      <w:marBottom w:val="0"/>
      <w:divBdr>
        <w:top w:val="none" w:sz="0" w:space="0" w:color="auto"/>
        <w:left w:val="none" w:sz="0" w:space="0" w:color="auto"/>
        <w:bottom w:val="none" w:sz="0" w:space="0" w:color="auto"/>
        <w:right w:val="none" w:sz="0" w:space="0" w:color="auto"/>
      </w:divBdr>
    </w:div>
    <w:div w:id="1139227446">
      <w:bodyDiv w:val="1"/>
      <w:marLeft w:val="0"/>
      <w:marRight w:val="0"/>
      <w:marTop w:val="0"/>
      <w:marBottom w:val="0"/>
      <w:divBdr>
        <w:top w:val="none" w:sz="0" w:space="0" w:color="auto"/>
        <w:left w:val="none" w:sz="0" w:space="0" w:color="auto"/>
        <w:bottom w:val="none" w:sz="0" w:space="0" w:color="auto"/>
        <w:right w:val="none" w:sz="0" w:space="0" w:color="auto"/>
      </w:divBdr>
    </w:div>
    <w:div w:id="1155073213">
      <w:bodyDiv w:val="1"/>
      <w:marLeft w:val="0"/>
      <w:marRight w:val="0"/>
      <w:marTop w:val="0"/>
      <w:marBottom w:val="0"/>
      <w:divBdr>
        <w:top w:val="none" w:sz="0" w:space="0" w:color="auto"/>
        <w:left w:val="none" w:sz="0" w:space="0" w:color="auto"/>
        <w:bottom w:val="none" w:sz="0" w:space="0" w:color="auto"/>
        <w:right w:val="none" w:sz="0" w:space="0" w:color="auto"/>
      </w:divBdr>
    </w:div>
    <w:div w:id="1165631461">
      <w:bodyDiv w:val="1"/>
      <w:marLeft w:val="0"/>
      <w:marRight w:val="0"/>
      <w:marTop w:val="0"/>
      <w:marBottom w:val="0"/>
      <w:divBdr>
        <w:top w:val="none" w:sz="0" w:space="0" w:color="auto"/>
        <w:left w:val="none" w:sz="0" w:space="0" w:color="auto"/>
        <w:bottom w:val="none" w:sz="0" w:space="0" w:color="auto"/>
        <w:right w:val="none" w:sz="0" w:space="0" w:color="auto"/>
      </w:divBdr>
    </w:div>
    <w:div w:id="1172063089">
      <w:bodyDiv w:val="1"/>
      <w:marLeft w:val="0"/>
      <w:marRight w:val="0"/>
      <w:marTop w:val="0"/>
      <w:marBottom w:val="0"/>
      <w:divBdr>
        <w:top w:val="none" w:sz="0" w:space="0" w:color="auto"/>
        <w:left w:val="none" w:sz="0" w:space="0" w:color="auto"/>
        <w:bottom w:val="none" w:sz="0" w:space="0" w:color="auto"/>
        <w:right w:val="none" w:sz="0" w:space="0" w:color="auto"/>
      </w:divBdr>
    </w:div>
    <w:div w:id="1172574034">
      <w:bodyDiv w:val="1"/>
      <w:marLeft w:val="0"/>
      <w:marRight w:val="0"/>
      <w:marTop w:val="0"/>
      <w:marBottom w:val="0"/>
      <w:divBdr>
        <w:top w:val="none" w:sz="0" w:space="0" w:color="auto"/>
        <w:left w:val="none" w:sz="0" w:space="0" w:color="auto"/>
        <w:bottom w:val="none" w:sz="0" w:space="0" w:color="auto"/>
        <w:right w:val="none" w:sz="0" w:space="0" w:color="auto"/>
      </w:divBdr>
    </w:div>
    <w:div w:id="1176534935">
      <w:bodyDiv w:val="1"/>
      <w:marLeft w:val="0"/>
      <w:marRight w:val="0"/>
      <w:marTop w:val="0"/>
      <w:marBottom w:val="0"/>
      <w:divBdr>
        <w:top w:val="none" w:sz="0" w:space="0" w:color="auto"/>
        <w:left w:val="none" w:sz="0" w:space="0" w:color="auto"/>
        <w:bottom w:val="none" w:sz="0" w:space="0" w:color="auto"/>
        <w:right w:val="none" w:sz="0" w:space="0" w:color="auto"/>
      </w:divBdr>
    </w:div>
    <w:div w:id="1206136297">
      <w:bodyDiv w:val="1"/>
      <w:marLeft w:val="0"/>
      <w:marRight w:val="0"/>
      <w:marTop w:val="0"/>
      <w:marBottom w:val="0"/>
      <w:divBdr>
        <w:top w:val="none" w:sz="0" w:space="0" w:color="auto"/>
        <w:left w:val="none" w:sz="0" w:space="0" w:color="auto"/>
        <w:bottom w:val="none" w:sz="0" w:space="0" w:color="auto"/>
        <w:right w:val="none" w:sz="0" w:space="0" w:color="auto"/>
      </w:divBdr>
    </w:div>
    <w:div w:id="1209490559">
      <w:bodyDiv w:val="1"/>
      <w:marLeft w:val="0"/>
      <w:marRight w:val="0"/>
      <w:marTop w:val="0"/>
      <w:marBottom w:val="0"/>
      <w:divBdr>
        <w:top w:val="none" w:sz="0" w:space="0" w:color="auto"/>
        <w:left w:val="none" w:sz="0" w:space="0" w:color="auto"/>
        <w:bottom w:val="none" w:sz="0" w:space="0" w:color="auto"/>
        <w:right w:val="none" w:sz="0" w:space="0" w:color="auto"/>
      </w:divBdr>
    </w:div>
    <w:div w:id="1210461250">
      <w:bodyDiv w:val="1"/>
      <w:marLeft w:val="0"/>
      <w:marRight w:val="0"/>
      <w:marTop w:val="0"/>
      <w:marBottom w:val="0"/>
      <w:divBdr>
        <w:top w:val="none" w:sz="0" w:space="0" w:color="auto"/>
        <w:left w:val="none" w:sz="0" w:space="0" w:color="auto"/>
        <w:bottom w:val="none" w:sz="0" w:space="0" w:color="auto"/>
        <w:right w:val="none" w:sz="0" w:space="0" w:color="auto"/>
      </w:divBdr>
    </w:div>
    <w:div w:id="1220093751">
      <w:bodyDiv w:val="1"/>
      <w:marLeft w:val="0"/>
      <w:marRight w:val="0"/>
      <w:marTop w:val="0"/>
      <w:marBottom w:val="0"/>
      <w:divBdr>
        <w:top w:val="none" w:sz="0" w:space="0" w:color="auto"/>
        <w:left w:val="none" w:sz="0" w:space="0" w:color="auto"/>
        <w:bottom w:val="none" w:sz="0" w:space="0" w:color="auto"/>
        <w:right w:val="none" w:sz="0" w:space="0" w:color="auto"/>
      </w:divBdr>
    </w:div>
    <w:div w:id="1224679698">
      <w:bodyDiv w:val="1"/>
      <w:marLeft w:val="0"/>
      <w:marRight w:val="0"/>
      <w:marTop w:val="0"/>
      <w:marBottom w:val="0"/>
      <w:divBdr>
        <w:top w:val="none" w:sz="0" w:space="0" w:color="auto"/>
        <w:left w:val="none" w:sz="0" w:space="0" w:color="auto"/>
        <w:bottom w:val="none" w:sz="0" w:space="0" w:color="auto"/>
        <w:right w:val="none" w:sz="0" w:space="0" w:color="auto"/>
      </w:divBdr>
    </w:div>
    <w:div w:id="1243106800">
      <w:bodyDiv w:val="1"/>
      <w:marLeft w:val="0"/>
      <w:marRight w:val="0"/>
      <w:marTop w:val="0"/>
      <w:marBottom w:val="0"/>
      <w:divBdr>
        <w:top w:val="none" w:sz="0" w:space="0" w:color="auto"/>
        <w:left w:val="none" w:sz="0" w:space="0" w:color="auto"/>
        <w:bottom w:val="none" w:sz="0" w:space="0" w:color="auto"/>
        <w:right w:val="none" w:sz="0" w:space="0" w:color="auto"/>
      </w:divBdr>
    </w:div>
    <w:div w:id="1287270298">
      <w:bodyDiv w:val="1"/>
      <w:marLeft w:val="0"/>
      <w:marRight w:val="0"/>
      <w:marTop w:val="0"/>
      <w:marBottom w:val="0"/>
      <w:divBdr>
        <w:top w:val="none" w:sz="0" w:space="0" w:color="auto"/>
        <w:left w:val="none" w:sz="0" w:space="0" w:color="auto"/>
        <w:bottom w:val="none" w:sz="0" w:space="0" w:color="auto"/>
        <w:right w:val="none" w:sz="0" w:space="0" w:color="auto"/>
      </w:divBdr>
    </w:div>
    <w:div w:id="1288968524">
      <w:bodyDiv w:val="1"/>
      <w:marLeft w:val="0"/>
      <w:marRight w:val="0"/>
      <w:marTop w:val="0"/>
      <w:marBottom w:val="0"/>
      <w:divBdr>
        <w:top w:val="none" w:sz="0" w:space="0" w:color="auto"/>
        <w:left w:val="none" w:sz="0" w:space="0" w:color="auto"/>
        <w:bottom w:val="none" w:sz="0" w:space="0" w:color="auto"/>
        <w:right w:val="none" w:sz="0" w:space="0" w:color="auto"/>
      </w:divBdr>
    </w:div>
    <w:div w:id="1293361850">
      <w:bodyDiv w:val="1"/>
      <w:marLeft w:val="0"/>
      <w:marRight w:val="0"/>
      <w:marTop w:val="0"/>
      <w:marBottom w:val="0"/>
      <w:divBdr>
        <w:top w:val="none" w:sz="0" w:space="0" w:color="auto"/>
        <w:left w:val="none" w:sz="0" w:space="0" w:color="auto"/>
        <w:bottom w:val="none" w:sz="0" w:space="0" w:color="auto"/>
        <w:right w:val="none" w:sz="0" w:space="0" w:color="auto"/>
      </w:divBdr>
    </w:div>
    <w:div w:id="1300261569">
      <w:bodyDiv w:val="1"/>
      <w:marLeft w:val="0"/>
      <w:marRight w:val="0"/>
      <w:marTop w:val="0"/>
      <w:marBottom w:val="0"/>
      <w:divBdr>
        <w:top w:val="none" w:sz="0" w:space="0" w:color="auto"/>
        <w:left w:val="none" w:sz="0" w:space="0" w:color="auto"/>
        <w:bottom w:val="none" w:sz="0" w:space="0" w:color="auto"/>
        <w:right w:val="none" w:sz="0" w:space="0" w:color="auto"/>
      </w:divBdr>
    </w:div>
    <w:div w:id="1308389593">
      <w:bodyDiv w:val="1"/>
      <w:marLeft w:val="0"/>
      <w:marRight w:val="0"/>
      <w:marTop w:val="0"/>
      <w:marBottom w:val="0"/>
      <w:divBdr>
        <w:top w:val="none" w:sz="0" w:space="0" w:color="auto"/>
        <w:left w:val="none" w:sz="0" w:space="0" w:color="auto"/>
        <w:bottom w:val="none" w:sz="0" w:space="0" w:color="auto"/>
        <w:right w:val="none" w:sz="0" w:space="0" w:color="auto"/>
      </w:divBdr>
    </w:div>
    <w:div w:id="1344475351">
      <w:bodyDiv w:val="1"/>
      <w:marLeft w:val="0"/>
      <w:marRight w:val="0"/>
      <w:marTop w:val="0"/>
      <w:marBottom w:val="0"/>
      <w:divBdr>
        <w:top w:val="none" w:sz="0" w:space="0" w:color="auto"/>
        <w:left w:val="none" w:sz="0" w:space="0" w:color="auto"/>
        <w:bottom w:val="none" w:sz="0" w:space="0" w:color="auto"/>
        <w:right w:val="none" w:sz="0" w:space="0" w:color="auto"/>
      </w:divBdr>
    </w:div>
    <w:div w:id="1357854941">
      <w:bodyDiv w:val="1"/>
      <w:marLeft w:val="0"/>
      <w:marRight w:val="0"/>
      <w:marTop w:val="0"/>
      <w:marBottom w:val="0"/>
      <w:divBdr>
        <w:top w:val="none" w:sz="0" w:space="0" w:color="auto"/>
        <w:left w:val="none" w:sz="0" w:space="0" w:color="auto"/>
        <w:bottom w:val="none" w:sz="0" w:space="0" w:color="auto"/>
        <w:right w:val="none" w:sz="0" w:space="0" w:color="auto"/>
      </w:divBdr>
    </w:div>
    <w:div w:id="1359507517">
      <w:bodyDiv w:val="1"/>
      <w:marLeft w:val="0"/>
      <w:marRight w:val="0"/>
      <w:marTop w:val="0"/>
      <w:marBottom w:val="0"/>
      <w:divBdr>
        <w:top w:val="none" w:sz="0" w:space="0" w:color="auto"/>
        <w:left w:val="none" w:sz="0" w:space="0" w:color="auto"/>
        <w:bottom w:val="none" w:sz="0" w:space="0" w:color="auto"/>
        <w:right w:val="none" w:sz="0" w:space="0" w:color="auto"/>
      </w:divBdr>
    </w:div>
    <w:div w:id="1386219777">
      <w:bodyDiv w:val="1"/>
      <w:marLeft w:val="0"/>
      <w:marRight w:val="0"/>
      <w:marTop w:val="0"/>
      <w:marBottom w:val="0"/>
      <w:divBdr>
        <w:top w:val="none" w:sz="0" w:space="0" w:color="auto"/>
        <w:left w:val="none" w:sz="0" w:space="0" w:color="auto"/>
        <w:bottom w:val="none" w:sz="0" w:space="0" w:color="auto"/>
        <w:right w:val="none" w:sz="0" w:space="0" w:color="auto"/>
      </w:divBdr>
    </w:div>
    <w:div w:id="1386946665">
      <w:bodyDiv w:val="1"/>
      <w:marLeft w:val="0"/>
      <w:marRight w:val="0"/>
      <w:marTop w:val="0"/>
      <w:marBottom w:val="0"/>
      <w:divBdr>
        <w:top w:val="none" w:sz="0" w:space="0" w:color="auto"/>
        <w:left w:val="none" w:sz="0" w:space="0" w:color="auto"/>
        <w:bottom w:val="none" w:sz="0" w:space="0" w:color="auto"/>
        <w:right w:val="none" w:sz="0" w:space="0" w:color="auto"/>
      </w:divBdr>
    </w:div>
    <w:div w:id="1424256618">
      <w:bodyDiv w:val="1"/>
      <w:marLeft w:val="0"/>
      <w:marRight w:val="0"/>
      <w:marTop w:val="0"/>
      <w:marBottom w:val="0"/>
      <w:divBdr>
        <w:top w:val="none" w:sz="0" w:space="0" w:color="auto"/>
        <w:left w:val="none" w:sz="0" w:space="0" w:color="auto"/>
        <w:bottom w:val="none" w:sz="0" w:space="0" w:color="auto"/>
        <w:right w:val="none" w:sz="0" w:space="0" w:color="auto"/>
      </w:divBdr>
    </w:div>
    <w:div w:id="1425110594">
      <w:bodyDiv w:val="1"/>
      <w:marLeft w:val="0"/>
      <w:marRight w:val="0"/>
      <w:marTop w:val="0"/>
      <w:marBottom w:val="0"/>
      <w:divBdr>
        <w:top w:val="none" w:sz="0" w:space="0" w:color="auto"/>
        <w:left w:val="none" w:sz="0" w:space="0" w:color="auto"/>
        <w:bottom w:val="none" w:sz="0" w:space="0" w:color="auto"/>
        <w:right w:val="none" w:sz="0" w:space="0" w:color="auto"/>
      </w:divBdr>
    </w:div>
    <w:div w:id="1430278586">
      <w:bodyDiv w:val="1"/>
      <w:marLeft w:val="0"/>
      <w:marRight w:val="0"/>
      <w:marTop w:val="0"/>
      <w:marBottom w:val="0"/>
      <w:divBdr>
        <w:top w:val="none" w:sz="0" w:space="0" w:color="auto"/>
        <w:left w:val="none" w:sz="0" w:space="0" w:color="auto"/>
        <w:bottom w:val="none" w:sz="0" w:space="0" w:color="auto"/>
        <w:right w:val="none" w:sz="0" w:space="0" w:color="auto"/>
      </w:divBdr>
    </w:div>
    <w:div w:id="1430814111">
      <w:bodyDiv w:val="1"/>
      <w:marLeft w:val="0"/>
      <w:marRight w:val="0"/>
      <w:marTop w:val="0"/>
      <w:marBottom w:val="0"/>
      <w:divBdr>
        <w:top w:val="none" w:sz="0" w:space="0" w:color="auto"/>
        <w:left w:val="none" w:sz="0" w:space="0" w:color="auto"/>
        <w:bottom w:val="none" w:sz="0" w:space="0" w:color="auto"/>
        <w:right w:val="none" w:sz="0" w:space="0" w:color="auto"/>
      </w:divBdr>
    </w:div>
    <w:div w:id="1446923611">
      <w:bodyDiv w:val="1"/>
      <w:marLeft w:val="0"/>
      <w:marRight w:val="0"/>
      <w:marTop w:val="0"/>
      <w:marBottom w:val="0"/>
      <w:divBdr>
        <w:top w:val="none" w:sz="0" w:space="0" w:color="auto"/>
        <w:left w:val="none" w:sz="0" w:space="0" w:color="auto"/>
        <w:bottom w:val="none" w:sz="0" w:space="0" w:color="auto"/>
        <w:right w:val="none" w:sz="0" w:space="0" w:color="auto"/>
      </w:divBdr>
    </w:div>
    <w:div w:id="1469396361">
      <w:bodyDiv w:val="1"/>
      <w:marLeft w:val="0"/>
      <w:marRight w:val="0"/>
      <w:marTop w:val="0"/>
      <w:marBottom w:val="0"/>
      <w:divBdr>
        <w:top w:val="none" w:sz="0" w:space="0" w:color="auto"/>
        <w:left w:val="none" w:sz="0" w:space="0" w:color="auto"/>
        <w:bottom w:val="none" w:sz="0" w:space="0" w:color="auto"/>
        <w:right w:val="none" w:sz="0" w:space="0" w:color="auto"/>
      </w:divBdr>
    </w:div>
    <w:div w:id="1478297654">
      <w:bodyDiv w:val="1"/>
      <w:marLeft w:val="0"/>
      <w:marRight w:val="0"/>
      <w:marTop w:val="0"/>
      <w:marBottom w:val="0"/>
      <w:divBdr>
        <w:top w:val="none" w:sz="0" w:space="0" w:color="auto"/>
        <w:left w:val="none" w:sz="0" w:space="0" w:color="auto"/>
        <w:bottom w:val="none" w:sz="0" w:space="0" w:color="auto"/>
        <w:right w:val="none" w:sz="0" w:space="0" w:color="auto"/>
      </w:divBdr>
    </w:div>
    <w:div w:id="1485967685">
      <w:bodyDiv w:val="1"/>
      <w:marLeft w:val="0"/>
      <w:marRight w:val="0"/>
      <w:marTop w:val="0"/>
      <w:marBottom w:val="0"/>
      <w:divBdr>
        <w:top w:val="none" w:sz="0" w:space="0" w:color="auto"/>
        <w:left w:val="none" w:sz="0" w:space="0" w:color="auto"/>
        <w:bottom w:val="none" w:sz="0" w:space="0" w:color="auto"/>
        <w:right w:val="none" w:sz="0" w:space="0" w:color="auto"/>
      </w:divBdr>
    </w:div>
    <w:div w:id="1486625221">
      <w:bodyDiv w:val="1"/>
      <w:marLeft w:val="0"/>
      <w:marRight w:val="0"/>
      <w:marTop w:val="0"/>
      <w:marBottom w:val="0"/>
      <w:divBdr>
        <w:top w:val="none" w:sz="0" w:space="0" w:color="auto"/>
        <w:left w:val="none" w:sz="0" w:space="0" w:color="auto"/>
        <w:bottom w:val="none" w:sz="0" w:space="0" w:color="auto"/>
        <w:right w:val="none" w:sz="0" w:space="0" w:color="auto"/>
      </w:divBdr>
    </w:div>
    <w:div w:id="1495024664">
      <w:bodyDiv w:val="1"/>
      <w:marLeft w:val="0"/>
      <w:marRight w:val="0"/>
      <w:marTop w:val="0"/>
      <w:marBottom w:val="0"/>
      <w:divBdr>
        <w:top w:val="none" w:sz="0" w:space="0" w:color="auto"/>
        <w:left w:val="none" w:sz="0" w:space="0" w:color="auto"/>
        <w:bottom w:val="none" w:sz="0" w:space="0" w:color="auto"/>
        <w:right w:val="none" w:sz="0" w:space="0" w:color="auto"/>
      </w:divBdr>
    </w:div>
    <w:div w:id="1499812207">
      <w:bodyDiv w:val="1"/>
      <w:marLeft w:val="0"/>
      <w:marRight w:val="0"/>
      <w:marTop w:val="0"/>
      <w:marBottom w:val="0"/>
      <w:divBdr>
        <w:top w:val="none" w:sz="0" w:space="0" w:color="auto"/>
        <w:left w:val="none" w:sz="0" w:space="0" w:color="auto"/>
        <w:bottom w:val="none" w:sz="0" w:space="0" w:color="auto"/>
        <w:right w:val="none" w:sz="0" w:space="0" w:color="auto"/>
      </w:divBdr>
    </w:div>
    <w:div w:id="1520201421">
      <w:bodyDiv w:val="1"/>
      <w:marLeft w:val="0"/>
      <w:marRight w:val="0"/>
      <w:marTop w:val="0"/>
      <w:marBottom w:val="0"/>
      <w:divBdr>
        <w:top w:val="none" w:sz="0" w:space="0" w:color="auto"/>
        <w:left w:val="none" w:sz="0" w:space="0" w:color="auto"/>
        <w:bottom w:val="none" w:sz="0" w:space="0" w:color="auto"/>
        <w:right w:val="none" w:sz="0" w:space="0" w:color="auto"/>
      </w:divBdr>
    </w:div>
    <w:div w:id="1552690610">
      <w:bodyDiv w:val="1"/>
      <w:marLeft w:val="0"/>
      <w:marRight w:val="0"/>
      <w:marTop w:val="0"/>
      <w:marBottom w:val="0"/>
      <w:divBdr>
        <w:top w:val="none" w:sz="0" w:space="0" w:color="auto"/>
        <w:left w:val="none" w:sz="0" w:space="0" w:color="auto"/>
        <w:bottom w:val="none" w:sz="0" w:space="0" w:color="auto"/>
        <w:right w:val="none" w:sz="0" w:space="0" w:color="auto"/>
      </w:divBdr>
    </w:div>
    <w:div w:id="1578444318">
      <w:bodyDiv w:val="1"/>
      <w:marLeft w:val="0"/>
      <w:marRight w:val="0"/>
      <w:marTop w:val="0"/>
      <w:marBottom w:val="0"/>
      <w:divBdr>
        <w:top w:val="none" w:sz="0" w:space="0" w:color="auto"/>
        <w:left w:val="none" w:sz="0" w:space="0" w:color="auto"/>
        <w:bottom w:val="none" w:sz="0" w:space="0" w:color="auto"/>
        <w:right w:val="none" w:sz="0" w:space="0" w:color="auto"/>
      </w:divBdr>
    </w:div>
    <w:div w:id="1592666454">
      <w:bodyDiv w:val="1"/>
      <w:marLeft w:val="0"/>
      <w:marRight w:val="0"/>
      <w:marTop w:val="0"/>
      <w:marBottom w:val="0"/>
      <w:divBdr>
        <w:top w:val="none" w:sz="0" w:space="0" w:color="auto"/>
        <w:left w:val="none" w:sz="0" w:space="0" w:color="auto"/>
        <w:bottom w:val="none" w:sz="0" w:space="0" w:color="auto"/>
        <w:right w:val="none" w:sz="0" w:space="0" w:color="auto"/>
      </w:divBdr>
    </w:div>
    <w:div w:id="1604920905">
      <w:bodyDiv w:val="1"/>
      <w:marLeft w:val="0"/>
      <w:marRight w:val="0"/>
      <w:marTop w:val="0"/>
      <w:marBottom w:val="0"/>
      <w:divBdr>
        <w:top w:val="none" w:sz="0" w:space="0" w:color="auto"/>
        <w:left w:val="none" w:sz="0" w:space="0" w:color="auto"/>
        <w:bottom w:val="none" w:sz="0" w:space="0" w:color="auto"/>
        <w:right w:val="none" w:sz="0" w:space="0" w:color="auto"/>
      </w:divBdr>
    </w:div>
    <w:div w:id="1662197832">
      <w:bodyDiv w:val="1"/>
      <w:marLeft w:val="0"/>
      <w:marRight w:val="0"/>
      <w:marTop w:val="0"/>
      <w:marBottom w:val="0"/>
      <w:divBdr>
        <w:top w:val="none" w:sz="0" w:space="0" w:color="auto"/>
        <w:left w:val="none" w:sz="0" w:space="0" w:color="auto"/>
        <w:bottom w:val="none" w:sz="0" w:space="0" w:color="auto"/>
        <w:right w:val="none" w:sz="0" w:space="0" w:color="auto"/>
      </w:divBdr>
    </w:div>
    <w:div w:id="1741555919">
      <w:bodyDiv w:val="1"/>
      <w:marLeft w:val="0"/>
      <w:marRight w:val="0"/>
      <w:marTop w:val="0"/>
      <w:marBottom w:val="0"/>
      <w:divBdr>
        <w:top w:val="none" w:sz="0" w:space="0" w:color="auto"/>
        <w:left w:val="none" w:sz="0" w:space="0" w:color="auto"/>
        <w:bottom w:val="none" w:sz="0" w:space="0" w:color="auto"/>
        <w:right w:val="none" w:sz="0" w:space="0" w:color="auto"/>
      </w:divBdr>
    </w:div>
    <w:div w:id="1759866172">
      <w:bodyDiv w:val="1"/>
      <w:marLeft w:val="0"/>
      <w:marRight w:val="0"/>
      <w:marTop w:val="0"/>
      <w:marBottom w:val="0"/>
      <w:divBdr>
        <w:top w:val="none" w:sz="0" w:space="0" w:color="auto"/>
        <w:left w:val="none" w:sz="0" w:space="0" w:color="auto"/>
        <w:bottom w:val="none" w:sz="0" w:space="0" w:color="auto"/>
        <w:right w:val="none" w:sz="0" w:space="0" w:color="auto"/>
      </w:divBdr>
    </w:div>
    <w:div w:id="1773210467">
      <w:bodyDiv w:val="1"/>
      <w:marLeft w:val="0"/>
      <w:marRight w:val="0"/>
      <w:marTop w:val="0"/>
      <w:marBottom w:val="0"/>
      <w:divBdr>
        <w:top w:val="none" w:sz="0" w:space="0" w:color="auto"/>
        <w:left w:val="none" w:sz="0" w:space="0" w:color="auto"/>
        <w:bottom w:val="none" w:sz="0" w:space="0" w:color="auto"/>
        <w:right w:val="none" w:sz="0" w:space="0" w:color="auto"/>
      </w:divBdr>
    </w:div>
    <w:div w:id="1792018777">
      <w:bodyDiv w:val="1"/>
      <w:marLeft w:val="0"/>
      <w:marRight w:val="0"/>
      <w:marTop w:val="0"/>
      <w:marBottom w:val="0"/>
      <w:divBdr>
        <w:top w:val="none" w:sz="0" w:space="0" w:color="auto"/>
        <w:left w:val="none" w:sz="0" w:space="0" w:color="auto"/>
        <w:bottom w:val="none" w:sz="0" w:space="0" w:color="auto"/>
        <w:right w:val="none" w:sz="0" w:space="0" w:color="auto"/>
      </w:divBdr>
    </w:div>
    <w:div w:id="1799643575">
      <w:bodyDiv w:val="1"/>
      <w:marLeft w:val="0"/>
      <w:marRight w:val="0"/>
      <w:marTop w:val="0"/>
      <w:marBottom w:val="0"/>
      <w:divBdr>
        <w:top w:val="none" w:sz="0" w:space="0" w:color="auto"/>
        <w:left w:val="none" w:sz="0" w:space="0" w:color="auto"/>
        <w:bottom w:val="none" w:sz="0" w:space="0" w:color="auto"/>
        <w:right w:val="none" w:sz="0" w:space="0" w:color="auto"/>
      </w:divBdr>
    </w:div>
    <w:div w:id="1834951515">
      <w:bodyDiv w:val="1"/>
      <w:marLeft w:val="0"/>
      <w:marRight w:val="0"/>
      <w:marTop w:val="0"/>
      <w:marBottom w:val="0"/>
      <w:divBdr>
        <w:top w:val="none" w:sz="0" w:space="0" w:color="auto"/>
        <w:left w:val="none" w:sz="0" w:space="0" w:color="auto"/>
        <w:bottom w:val="none" w:sz="0" w:space="0" w:color="auto"/>
        <w:right w:val="none" w:sz="0" w:space="0" w:color="auto"/>
      </w:divBdr>
    </w:div>
    <w:div w:id="1842693922">
      <w:bodyDiv w:val="1"/>
      <w:marLeft w:val="0"/>
      <w:marRight w:val="0"/>
      <w:marTop w:val="0"/>
      <w:marBottom w:val="0"/>
      <w:divBdr>
        <w:top w:val="none" w:sz="0" w:space="0" w:color="auto"/>
        <w:left w:val="none" w:sz="0" w:space="0" w:color="auto"/>
        <w:bottom w:val="none" w:sz="0" w:space="0" w:color="auto"/>
        <w:right w:val="none" w:sz="0" w:space="0" w:color="auto"/>
      </w:divBdr>
    </w:div>
    <w:div w:id="1856000406">
      <w:bodyDiv w:val="1"/>
      <w:marLeft w:val="0"/>
      <w:marRight w:val="0"/>
      <w:marTop w:val="0"/>
      <w:marBottom w:val="0"/>
      <w:divBdr>
        <w:top w:val="none" w:sz="0" w:space="0" w:color="auto"/>
        <w:left w:val="none" w:sz="0" w:space="0" w:color="auto"/>
        <w:bottom w:val="none" w:sz="0" w:space="0" w:color="auto"/>
        <w:right w:val="none" w:sz="0" w:space="0" w:color="auto"/>
      </w:divBdr>
    </w:div>
    <w:div w:id="1874882213">
      <w:bodyDiv w:val="1"/>
      <w:marLeft w:val="0"/>
      <w:marRight w:val="0"/>
      <w:marTop w:val="0"/>
      <w:marBottom w:val="0"/>
      <w:divBdr>
        <w:top w:val="none" w:sz="0" w:space="0" w:color="auto"/>
        <w:left w:val="none" w:sz="0" w:space="0" w:color="auto"/>
        <w:bottom w:val="none" w:sz="0" w:space="0" w:color="auto"/>
        <w:right w:val="none" w:sz="0" w:space="0" w:color="auto"/>
      </w:divBdr>
    </w:div>
    <w:div w:id="1891072760">
      <w:bodyDiv w:val="1"/>
      <w:marLeft w:val="0"/>
      <w:marRight w:val="0"/>
      <w:marTop w:val="0"/>
      <w:marBottom w:val="0"/>
      <w:divBdr>
        <w:top w:val="none" w:sz="0" w:space="0" w:color="auto"/>
        <w:left w:val="none" w:sz="0" w:space="0" w:color="auto"/>
        <w:bottom w:val="none" w:sz="0" w:space="0" w:color="auto"/>
        <w:right w:val="none" w:sz="0" w:space="0" w:color="auto"/>
      </w:divBdr>
    </w:div>
    <w:div w:id="1895117690">
      <w:bodyDiv w:val="1"/>
      <w:marLeft w:val="0"/>
      <w:marRight w:val="0"/>
      <w:marTop w:val="0"/>
      <w:marBottom w:val="0"/>
      <w:divBdr>
        <w:top w:val="none" w:sz="0" w:space="0" w:color="auto"/>
        <w:left w:val="none" w:sz="0" w:space="0" w:color="auto"/>
        <w:bottom w:val="none" w:sz="0" w:space="0" w:color="auto"/>
        <w:right w:val="none" w:sz="0" w:space="0" w:color="auto"/>
      </w:divBdr>
    </w:div>
    <w:div w:id="1897279524">
      <w:bodyDiv w:val="1"/>
      <w:marLeft w:val="0"/>
      <w:marRight w:val="0"/>
      <w:marTop w:val="0"/>
      <w:marBottom w:val="0"/>
      <w:divBdr>
        <w:top w:val="none" w:sz="0" w:space="0" w:color="auto"/>
        <w:left w:val="none" w:sz="0" w:space="0" w:color="auto"/>
        <w:bottom w:val="none" w:sz="0" w:space="0" w:color="auto"/>
        <w:right w:val="none" w:sz="0" w:space="0" w:color="auto"/>
      </w:divBdr>
    </w:div>
    <w:div w:id="1919099431">
      <w:bodyDiv w:val="1"/>
      <w:marLeft w:val="0"/>
      <w:marRight w:val="0"/>
      <w:marTop w:val="0"/>
      <w:marBottom w:val="0"/>
      <w:divBdr>
        <w:top w:val="none" w:sz="0" w:space="0" w:color="auto"/>
        <w:left w:val="none" w:sz="0" w:space="0" w:color="auto"/>
        <w:bottom w:val="none" w:sz="0" w:space="0" w:color="auto"/>
        <w:right w:val="none" w:sz="0" w:space="0" w:color="auto"/>
      </w:divBdr>
    </w:div>
    <w:div w:id="1922986729">
      <w:bodyDiv w:val="1"/>
      <w:marLeft w:val="0"/>
      <w:marRight w:val="0"/>
      <w:marTop w:val="0"/>
      <w:marBottom w:val="0"/>
      <w:divBdr>
        <w:top w:val="none" w:sz="0" w:space="0" w:color="auto"/>
        <w:left w:val="none" w:sz="0" w:space="0" w:color="auto"/>
        <w:bottom w:val="none" w:sz="0" w:space="0" w:color="auto"/>
        <w:right w:val="none" w:sz="0" w:space="0" w:color="auto"/>
      </w:divBdr>
    </w:div>
    <w:div w:id="1939868519">
      <w:bodyDiv w:val="1"/>
      <w:marLeft w:val="0"/>
      <w:marRight w:val="0"/>
      <w:marTop w:val="0"/>
      <w:marBottom w:val="0"/>
      <w:divBdr>
        <w:top w:val="none" w:sz="0" w:space="0" w:color="auto"/>
        <w:left w:val="none" w:sz="0" w:space="0" w:color="auto"/>
        <w:bottom w:val="none" w:sz="0" w:space="0" w:color="auto"/>
        <w:right w:val="none" w:sz="0" w:space="0" w:color="auto"/>
      </w:divBdr>
    </w:div>
    <w:div w:id="1951815092">
      <w:bodyDiv w:val="1"/>
      <w:marLeft w:val="0"/>
      <w:marRight w:val="0"/>
      <w:marTop w:val="0"/>
      <w:marBottom w:val="0"/>
      <w:divBdr>
        <w:top w:val="none" w:sz="0" w:space="0" w:color="auto"/>
        <w:left w:val="none" w:sz="0" w:space="0" w:color="auto"/>
        <w:bottom w:val="none" w:sz="0" w:space="0" w:color="auto"/>
        <w:right w:val="none" w:sz="0" w:space="0" w:color="auto"/>
      </w:divBdr>
    </w:div>
    <w:div w:id="1962809391">
      <w:bodyDiv w:val="1"/>
      <w:marLeft w:val="0"/>
      <w:marRight w:val="0"/>
      <w:marTop w:val="0"/>
      <w:marBottom w:val="0"/>
      <w:divBdr>
        <w:top w:val="none" w:sz="0" w:space="0" w:color="auto"/>
        <w:left w:val="none" w:sz="0" w:space="0" w:color="auto"/>
        <w:bottom w:val="none" w:sz="0" w:space="0" w:color="auto"/>
        <w:right w:val="none" w:sz="0" w:space="0" w:color="auto"/>
      </w:divBdr>
    </w:div>
    <w:div w:id="2017270154">
      <w:bodyDiv w:val="1"/>
      <w:marLeft w:val="0"/>
      <w:marRight w:val="0"/>
      <w:marTop w:val="0"/>
      <w:marBottom w:val="0"/>
      <w:divBdr>
        <w:top w:val="none" w:sz="0" w:space="0" w:color="auto"/>
        <w:left w:val="none" w:sz="0" w:space="0" w:color="auto"/>
        <w:bottom w:val="none" w:sz="0" w:space="0" w:color="auto"/>
        <w:right w:val="none" w:sz="0" w:space="0" w:color="auto"/>
      </w:divBdr>
    </w:div>
    <w:div w:id="2019699005">
      <w:bodyDiv w:val="1"/>
      <w:marLeft w:val="0"/>
      <w:marRight w:val="0"/>
      <w:marTop w:val="0"/>
      <w:marBottom w:val="0"/>
      <w:divBdr>
        <w:top w:val="none" w:sz="0" w:space="0" w:color="auto"/>
        <w:left w:val="none" w:sz="0" w:space="0" w:color="auto"/>
        <w:bottom w:val="none" w:sz="0" w:space="0" w:color="auto"/>
        <w:right w:val="none" w:sz="0" w:space="0" w:color="auto"/>
      </w:divBdr>
    </w:div>
    <w:div w:id="2063795668">
      <w:bodyDiv w:val="1"/>
      <w:marLeft w:val="0"/>
      <w:marRight w:val="0"/>
      <w:marTop w:val="0"/>
      <w:marBottom w:val="0"/>
      <w:divBdr>
        <w:top w:val="none" w:sz="0" w:space="0" w:color="auto"/>
        <w:left w:val="none" w:sz="0" w:space="0" w:color="auto"/>
        <w:bottom w:val="none" w:sz="0" w:space="0" w:color="auto"/>
        <w:right w:val="none" w:sz="0" w:space="0" w:color="auto"/>
      </w:divBdr>
    </w:div>
    <w:div w:id="2065710028">
      <w:bodyDiv w:val="1"/>
      <w:marLeft w:val="0"/>
      <w:marRight w:val="0"/>
      <w:marTop w:val="0"/>
      <w:marBottom w:val="0"/>
      <w:divBdr>
        <w:top w:val="none" w:sz="0" w:space="0" w:color="auto"/>
        <w:left w:val="none" w:sz="0" w:space="0" w:color="auto"/>
        <w:bottom w:val="none" w:sz="0" w:space="0" w:color="auto"/>
        <w:right w:val="none" w:sz="0" w:space="0" w:color="auto"/>
      </w:divBdr>
    </w:div>
    <w:div w:id="2076510614">
      <w:bodyDiv w:val="1"/>
      <w:marLeft w:val="0"/>
      <w:marRight w:val="0"/>
      <w:marTop w:val="0"/>
      <w:marBottom w:val="0"/>
      <w:divBdr>
        <w:top w:val="none" w:sz="0" w:space="0" w:color="auto"/>
        <w:left w:val="none" w:sz="0" w:space="0" w:color="auto"/>
        <w:bottom w:val="none" w:sz="0" w:space="0" w:color="auto"/>
        <w:right w:val="none" w:sz="0" w:space="0" w:color="auto"/>
      </w:divBdr>
    </w:div>
    <w:div w:id="2097556888">
      <w:bodyDiv w:val="1"/>
      <w:marLeft w:val="0"/>
      <w:marRight w:val="0"/>
      <w:marTop w:val="0"/>
      <w:marBottom w:val="0"/>
      <w:divBdr>
        <w:top w:val="none" w:sz="0" w:space="0" w:color="auto"/>
        <w:left w:val="none" w:sz="0" w:space="0" w:color="auto"/>
        <w:bottom w:val="none" w:sz="0" w:space="0" w:color="auto"/>
        <w:right w:val="none" w:sz="0" w:space="0" w:color="auto"/>
      </w:divBdr>
    </w:div>
    <w:div w:id="2124108962">
      <w:bodyDiv w:val="1"/>
      <w:marLeft w:val="0"/>
      <w:marRight w:val="0"/>
      <w:marTop w:val="0"/>
      <w:marBottom w:val="0"/>
      <w:divBdr>
        <w:top w:val="none" w:sz="0" w:space="0" w:color="auto"/>
        <w:left w:val="none" w:sz="0" w:space="0" w:color="auto"/>
        <w:bottom w:val="none" w:sz="0" w:space="0" w:color="auto"/>
        <w:right w:val="none" w:sz="0" w:space="0" w:color="auto"/>
      </w:divBdr>
    </w:div>
    <w:div w:id="2134329375">
      <w:bodyDiv w:val="1"/>
      <w:marLeft w:val="0"/>
      <w:marRight w:val="0"/>
      <w:marTop w:val="0"/>
      <w:marBottom w:val="0"/>
      <w:divBdr>
        <w:top w:val="none" w:sz="0" w:space="0" w:color="auto"/>
        <w:left w:val="none" w:sz="0" w:space="0" w:color="auto"/>
        <w:bottom w:val="none" w:sz="0" w:space="0" w:color="auto"/>
        <w:right w:val="none" w:sz="0" w:space="0" w:color="auto"/>
      </w:divBdr>
    </w:div>
    <w:div w:id="2136828627">
      <w:bodyDiv w:val="1"/>
      <w:marLeft w:val="0"/>
      <w:marRight w:val="0"/>
      <w:marTop w:val="0"/>
      <w:marBottom w:val="0"/>
      <w:divBdr>
        <w:top w:val="none" w:sz="0" w:space="0" w:color="auto"/>
        <w:left w:val="none" w:sz="0" w:space="0" w:color="auto"/>
        <w:bottom w:val="none" w:sz="0" w:space="0" w:color="auto"/>
        <w:right w:val="none" w:sz="0" w:space="0" w:color="auto"/>
      </w:divBdr>
    </w:div>
    <w:div w:id="2140762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C1DB5E7C50A9945B3041B2C046486F4" ma:contentTypeVersion="14" ma:contentTypeDescription="Create a new document." ma:contentTypeScope="" ma:versionID="02f61455b40d289c479e5ce67a6906ec">
  <xsd:schema xmlns:xsd="http://www.w3.org/2001/XMLSchema" xmlns:xs="http://www.w3.org/2001/XMLSchema" xmlns:p="http://schemas.microsoft.com/office/2006/metadata/properties" xmlns:ns2="4b0ec68f-0f9b-4e66-929f-60cc462616ed" xmlns:ns3="6dd7a203-552b-46f7-87d0-4bf2c379389b" targetNamespace="http://schemas.microsoft.com/office/2006/metadata/properties" ma:root="true" ma:fieldsID="483555bd9f726048171015a810543d2a" ns2:_="" ns3:_="">
    <xsd:import namespace="4b0ec68f-0f9b-4e66-929f-60cc462616ed"/>
    <xsd:import namespace="6dd7a203-552b-46f7-87d0-4bf2c37938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0ec68f-0f9b-4e66-929f-60cc462616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description="" ma:hidden="true" ma:indexed="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0e0afc97-7c6a-4e00-b079-4567eaa0b9c9"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dd7a203-552b-46f7-87d0-4bf2c379389b"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a33bcf1e-3eff-4a73-8c90-ee622eae9f40}" ma:internalName="TaxCatchAll" ma:showField="CatchAllData" ma:web="6dd7a203-552b-46f7-87d0-4bf2c379389b">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6dd7a203-552b-46f7-87d0-4bf2c379389b" xsi:nil="true"/>
    <lcf76f155ced4ddcb4097134ff3c332f xmlns="4b0ec68f-0f9b-4e66-929f-60cc462616ed">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FAF417F-619C-4D3A-84F8-BD6F485E26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0ec68f-0f9b-4e66-929f-60cc462616ed"/>
    <ds:schemaRef ds:uri="6dd7a203-552b-46f7-87d0-4bf2c37938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886D9A9-CF2E-4987-ADCB-F7183A12BA12}">
  <ds:schemaRefs>
    <ds:schemaRef ds:uri="http://schemas.openxmlformats.org/officeDocument/2006/bibliography"/>
  </ds:schemaRefs>
</ds:datastoreItem>
</file>

<file path=customXml/itemProps3.xml><?xml version="1.0" encoding="utf-8"?>
<ds:datastoreItem xmlns:ds="http://schemas.openxmlformats.org/officeDocument/2006/customXml" ds:itemID="{B733A592-15FD-4BF6-A32F-E6A149E03222}">
  <ds:schemaRefs>
    <ds:schemaRef ds:uri="http://schemas.microsoft.com/office/2006/metadata/properties"/>
    <ds:schemaRef ds:uri="http://schemas.microsoft.com/office/infopath/2007/PartnerControls"/>
    <ds:schemaRef ds:uri="6dd7a203-552b-46f7-87d0-4bf2c379389b"/>
    <ds:schemaRef ds:uri="4b0ec68f-0f9b-4e66-929f-60cc462616ed"/>
  </ds:schemaRefs>
</ds:datastoreItem>
</file>

<file path=customXml/itemProps4.xml><?xml version="1.0" encoding="utf-8"?>
<ds:datastoreItem xmlns:ds="http://schemas.openxmlformats.org/officeDocument/2006/customXml" ds:itemID="{151841F7-F0E3-4959-B429-1C34018A0E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8</Pages>
  <Words>1918</Words>
  <Characters>10939</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Minh Ninh Thi Tue</dc:creator>
  <cp:keywords/>
  <dc:description/>
  <cp:lastModifiedBy>Ngoc Nguyen Thu (ISFL)</cp:lastModifiedBy>
  <cp:revision>34</cp:revision>
  <cp:lastPrinted>2023-10-18T08:34:00Z</cp:lastPrinted>
  <dcterms:created xsi:type="dcterms:W3CDTF">2024-07-12T10:48:00Z</dcterms:created>
  <dcterms:modified xsi:type="dcterms:W3CDTF">2024-07-17T04:59:00Z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0x0101000C1DB5E7C50A9945B3041B2C046486F4</vt:lpwstr>
  </property>
  <property fmtid="{D5CDD505-2E9C-101B-9397-08002B2CF9AE}" pid="3" name="Order">
    <vt:r8>17022800</vt:r8>
  </property>
  <property fmtid="{D5CDD505-2E9C-101B-9397-08002B2CF9AE}" pid="4" name="MediaServiceImageTags">
    <vt:lpwstr/>
  </property>
</Properties>
</file>