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D8081" w14:textId="77777777" w:rsidR="00EF4210" w:rsidRPr="00D23AD2" w:rsidRDefault="00EF4210" w:rsidP="004E27B1">
      <w:pPr>
        <w:spacing w:after="140"/>
        <w:jc w:val="center"/>
        <w:rPr>
          <w:b/>
          <w:sz w:val="28"/>
          <w:szCs w:val="28"/>
          <w:lang w:val="nl-NL"/>
        </w:rPr>
      </w:pPr>
      <w:r w:rsidRPr="00D23AD2">
        <w:rPr>
          <w:b/>
          <w:sz w:val="28"/>
          <w:szCs w:val="28"/>
          <w:lang w:val="nl-NL"/>
        </w:rPr>
        <w:t>BÁO CÁO CỦA CÔNG TY QUẢN LÝ QUỸ</w:t>
      </w:r>
    </w:p>
    <w:p w14:paraId="6EF79FA4" w14:textId="3ED30F16" w:rsidR="003D3446" w:rsidRPr="00D23AD2" w:rsidRDefault="006D37C3" w:rsidP="004E27B1">
      <w:pPr>
        <w:spacing w:after="140"/>
        <w:jc w:val="center"/>
        <w:rPr>
          <w:b/>
          <w:sz w:val="28"/>
          <w:szCs w:val="28"/>
          <w:lang w:val="nl-NL"/>
        </w:rPr>
      </w:pPr>
      <w:r>
        <w:rPr>
          <w:b/>
          <w:sz w:val="28"/>
          <w:szCs w:val="28"/>
          <w:lang w:val="nl-NL"/>
        </w:rPr>
        <w:t>Q</w:t>
      </w:r>
      <w:r w:rsidR="00C916C7">
        <w:rPr>
          <w:b/>
          <w:sz w:val="28"/>
          <w:szCs w:val="28"/>
          <w:lang w:val="nl-NL"/>
        </w:rPr>
        <w:t>úy 1</w:t>
      </w:r>
      <w:r w:rsidR="00092961" w:rsidRPr="00D23AD2">
        <w:rPr>
          <w:b/>
          <w:sz w:val="28"/>
          <w:szCs w:val="28"/>
          <w:lang w:val="nl-NL"/>
        </w:rPr>
        <w:t xml:space="preserve"> n</w:t>
      </w:r>
      <w:r w:rsidR="003D3446" w:rsidRPr="00D23AD2">
        <w:rPr>
          <w:b/>
          <w:sz w:val="28"/>
          <w:szCs w:val="28"/>
          <w:lang w:val="nl-NL"/>
        </w:rPr>
        <w:t xml:space="preserve">ăm </w:t>
      </w:r>
      <w:r w:rsidR="00EB0328">
        <w:rPr>
          <w:b/>
          <w:sz w:val="28"/>
          <w:szCs w:val="28"/>
          <w:lang w:val="nl-NL"/>
        </w:rPr>
        <w:t>2024</w:t>
      </w:r>
    </w:p>
    <w:p w14:paraId="283FD975" w14:textId="15EFEE98" w:rsidR="009B6DC5" w:rsidRPr="00D23AD2" w:rsidRDefault="004229B0" w:rsidP="004E27B1">
      <w:pPr>
        <w:spacing w:after="140"/>
        <w:jc w:val="center"/>
        <w:rPr>
          <w:i/>
          <w:sz w:val="28"/>
          <w:szCs w:val="28"/>
          <w:lang w:val="nl-NL"/>
        </w:rPr>
      </w:pPr>
      <w:r>
        <w:rPr>
          <w:i/>
          <w:sz w:val="28"/>
          <w:szCs w:val="28"/>
          <w:lang w:val="nl-NL"/>
        </w:rPr>
        <w:t>Quỹ</w:t>
      </w:r>
      <w:r w:rsidR="009B6DC5" w:rsidRPr="00D23AD2">
        <w:rPr>
          <w:i/>
          <w:sz w:val="28"/>
          <w:szCs w:val="28"/>
          <w:lang w:val="nl-NL"/>
        </w:rPr>
        <w:t xml:space="preserve"> </w:t>
      </w:r>
      <w:r w:rsidR="00463110" w:rsidRPr="00D23AD2">
        <w:rPr>
          <w:i/>
          <w:sz w:val="28"/>
          <w:szCs w:val="28"/>
          <w:lang w:val="nl-NL"/>
        </w:rPr>
        <w:t xml:space="preserve">Hoán đổi danh mục ETF </w:t>
      </w:r>
      <w:r w:rsidR="00C94B13">
        <w:rPr>
          <w:i/>
          <w:sz w:val="28"/>
          <w:szCs w:val="28"/>
          <w:lang w:val="nl-NL"/>
        </w:rPr>
        <w:t>DC</w:t>
      </w:r>
      <w:r w:rsidR="00463110" w:rsidRPr="00D23AD2">
        <w:rPr>
          <w:i/>
          <w:sz w:val="28"/>
          <w:szCs w:val="28"/>
          <w:lang w:val="nl-NL"/>
        </w:rPr>
        <w:t>VFMVN</w:t>
      </w:r>
      <w:r w:rsidR="00C94B13">
        <w:rPr>
          <w:i/>
          <w:sz w:val="28"/>
          <w:szCs w:val="28"/>
          <w:lang w:val="nl-NL"/>
        </w:rPr>
        <w:t xml:space="preserve"> </w:t>
      </w:r>
      <w:r w:rsidR="00DF1D7F">
        <w:rPr>
          <w:i/>
          <w:sz w:val="28"/>
          <w:szCs w:val="28"/>
          <w:lang w:val="nl-NL"/>
        </w:rPr>
        <w:t>D</w:t>
      </w:r>
      <w:r w:rsidR="00C94B13">
        <w:rPr>
          <w:i/>
          <w:sz w:val="28"/>
          <w:szCs w:val="28"/>
          <w:lang w:val="nl-NL"/>
        </w:rPr>
        <w:t>IAMOND</w:t>
      </w:r>
    </w:p>
    <w:p w14:paraId="342EB5B7" w14:textId="59596460" w:rsidR="00D9446C" w:rsidRPr="00D23AD2" w:rsidRDefault="00D9446C" w:rsidP="007922E7">
      <w:pPr>
        <w:spacing w:after="140"/>
        <w:rPr>
          <w:i/>
          <w:sz w:val="28"/>
          <w:szCs w:val="28"/>
          <w:lang w:val="nl-NL"/>
        </w:rPr>
      </w:pPr>
    </w:p>
    <w:p w14:paraId="2CB43B0F" w14:textId="77777777" w:rsidR="007922E7" w:rsidRPr="00D23AD2" w:rsidRDefault="007922E7" w:rsidP="007922E7">
      <w:pPr>
        <w:pStyle w:val="ListParagraph"/>
        <w:numPr>
          <w:ilvl w:val="0"/>
          <w:numId w:val="1"/>
        </w:numPr>
        <w:spacing w:after="140"/>
        <w:ind w:left="0" w:hanging="540"/>
        <w:rPr>
          <w:rFonts w:ascii="Times New Roman" w:hAnsi="Times New Roman"/>
          <w:b/>
          <w:sz w:val="28"/>
          <w:szCs w:val="28"/>
          <w:lang w:val="en-GB"/>
        </w:rPr>
      </w:pPr>
      <w:r w:rsidRPr="00D23AD2">
        <w:rPr>
          <w:rFonts w:ascii="Times New Roman" w:hAnsi="Times New Roman"/>
          <w:b/>
          <w:sz w:val="28"/>
          <w:szCs w:val="28"/>
          <w:lang w:val="nl-NL"/>
        </w:rPr>
        <w:t>Thông tin chung về Quỹ</w:t>
      </w:r>
    </w:p>
    <w:p w14:paraId="194A7842" w14:textId="77777777" w:rsidR="007922E7" w:rsidRPr="00D23AD2" w:rsidRDefault="007922E7" w:rsidP="007922E7">
      <w:pPr>
        <w:pStyle w:val="ListParagraph"/>
        <w:spacing w:after="140"/>
        <w:ind w:left="0"/>
        <w:rPr>
          <w:rFonts w:ascii="Times New Roman" w:hAnsi="Times New Roman"/>
          <w:b/>
          <w:sz w:val="18"/>
          <w:szCs w:val="18"/>
          <w:lang w:val="en-GB"/>
        </w:rPr>
      </w:pPr>
    </w:p>
    <w:p w14:paraId="58F42C3B"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Mục tiêu của Quỹ</w:t>
      </w:r>
    </w:p>
    <w:p w14:paraId="2A51AC60" w14:textId="77777777" w:rsidR="007922E7" w:rsidRPr="00D23AD2" w:rsidRDefault="007922E7" w:rsidP="007922E7">
      <w:pPr>
        <w:shd w:val="clear" w:color="auto" w:fill="FFFFFF"/>
        <w:tabs>
          <w:tab w:val="left" w:pos="540"/>
        </w:tabs>
        <w:spacing w:before="120"/>
        <w:rPr>
          <w:color w:val="000000" w:themeColor="text1"/>
          <w:szCs w:val="22"/>
          <w:lang w:val="nl-NL"/>
        </w:rPr>
      </w:pPr>
      <w:r w:rsidRPr="00D23AD2">
        <w:rPr>
          <w:color w:val="000000" w:themeColor="text1"/>
          <w:szCs w:val="22"/>
          <w:lang w:val="nl-NL"/>
        </w:rPr>
        <w:t>Phù hợp với Giấy chứng nhận đăng ký thành lập Quỹ do UBCKNN cấp, Điều lệ và Bản cáo bạch của Quỹ.</w:t>
      </w:r>
    </w:p>
    <w:p w14:paraId="56CF502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Hiệu quả hoạt động của Quỹ</w:t>
      </w:r>
    </w:p>
    <w:p w14:paraId="6A428B88" w14:textId="4CE05D60" w:rsidR="007922E7" w:rsidRPr="006D37C3" w:rsidRDefault="00B325D5" w:rsidP="007145EC">
      <w:pPr>
        <w:tabs>
          <w:tab w:val="left" w:pos="540"/>
        </w:tabs>
        <w:spacing w:before="120"/>
        <w:rPr>
          <w:szCs w:val="22"/>
          <w:lang w:val="nl-NL"/>
        </w:rPr>
      </w:pPr>
      <w:r w:rsidRPr="006D37C3">
        <w:rPr>
          <w:szCs w:val="22"/>
          <w:lang w:val="nl-NL"/>
        </w:rPr>
        <w:t>K</w:t>
      </w:r>
      <w:r w:rsidR="00566C62" w:rsidRPr="006D37C3">
        <w:rPr>
          <w:szCs w:val="22"/>
          <w:lang w:val="nl-NL"/>
        </w:rPr>
        <w:t>ết thúc ngày</w:t>
      </w:r>
      <w:r w:rsidR="00565C56" w:rsidRPr="006D37C3">
        <w:rPr>
          <w:szCs w:val="22"/>
          <w:lang w:val="nl-NL"/>
        </w:rPr>
        <w:t xml:space="preserve"> 3</w:t>
      </w:r>
      <w:r w:rsidR="002668D1" w:rsidRPr="006D37C3">
        <w:rPr>
          <w:szCs w:val="22"/>
          <w:lang w:val="nl-NL"/>
        </w:rPr>
        <w:t>1</w:t>
      </w:r>
      <w:r w:rsidR="007922E7" w:rsidRPr="006D37C3">
        <w:rPr>
          <w:szCs w:val="22"/>
          <w:lang w:val="nl-NL"/>
        </w:rPr>
        <w:t xml:space="preserve"> tháng </w:t>
      </w:r>
      <w:r w:rsidR="00EB0328" w:rsidRPr="006D37C3">
        <w:rPr>
          <w:szCs w:val="22"/>
          <w:lang w:val="nl-NL"/>
        </w:rPr>
        <w:t>03</w:t>
      </w:r>
      <w:r w:rsidR="00F73FE7" w:rsidRPr="006D37C3">
        <w:rPr>
          <w:szCs w:val="22"/>
          <w:lang w:val="nl-NL"/>
        </w:rPr>
        <w:t xml:space="preserve"> năm 20</w:t>
      </w:r>
      <w:r w:rsidR="00EC3F05" w:rsidRPr="006D37C3">
        <w:rPr>
          <w:szCs w:val="22"/>
          <w:lang w:val="nl-NL"/>
        </w:rPr>
        <w:t>2</w:t>
      </w:r>
      <w:r w:rsidR="00EB0328" w:rsidRPr="006D37C3">
        <w:rPr>
          <w:szCs w:val="22"/>
          <w:lang w:val="nl-NL"/>
        </w:rPr>
        <w:t>4</w:t>
      </w:r>
      <w:r w:rsidR="007922E7" w:rsidRPr="006D37C3">
        <w:rPr>
          <w:szCs w:val="22"/>
          <w:lang w:val="nl-NL"/>
        </w:rPr>
        <w:t xml:space="preserve">, thay đổi giá trị tài sản ròng (NAV) của Quỹ là </w:t>
      </w:r>
      <w:r w:rsidR="00A4781C" w:rsidRPr="006D37C3">
        <w:rPr>
          <w:b/>
          <w:bCs/>
          <w:szCs w:val="22"/>
          <w:lang w:val="nl-NL"/>
        </w:rPr>
        <w:t>-</w:t>
      </w:r>
      <w:r w:rsidR="00063B00" w:rsidRPr="006D37C3">
        <w:rPr>
          <w:b/>
          <w:bCs/>
          <w:szCs w:val="22"/>
          <w:lang w:val="nl-NL"/>
        </w:rPr>
        <w:t>6</w:t>
      </w:r>
      <w:r w:rsidR="006C70CB" w:rsidRPr="006D37C3">
        <w:rPr>
          <w:b/>
          <w:bCs/>
          <w:szCs w:val="22"/>
          <w:lang w:val="nl-NL"/>
        </w:rPr>
        <w:t>.</w:t>
      </w:r>
      <w:r w:rsidR="00063B00" w:rsidRPr="006D37C3">
        <w:rPr>
          <w:b/>
          <w:bCs/>
          <w:szCs w:val="22"/>
          <w:lang w:val="nl-NL"/>
        </w:rPr>
        <w:t>97</w:t>
      </w:r>
      <w:r w:rsidR="007D65FE" w:rsidRPr="006D37C3">
        <w:rPr>
          <w:b/>
          <w:bCs/>
          <w:szCs w:val="22"/>
          <w:lang w:val="nl-NL"/>
        </w:rPr>
        <w:t xml:space="preserve"> </w:t>
      </w:r>
      <w:r w:rsidR="007922E7" w:rsidRPr="006D37C3">
        <w:rPr>
          <w:b/>
          <w:bCs/>
          <w:szCs w:val="22"/>
          <w:lang w:val="nl-NL"/>
        </w:rPr>
        <w:t>%</w:t>
      </w:r>
      <w:r w:rsidR="007922E7" w:rsidRPr="006D37C3">
        <w:rPr>
          <w:szCs w:val="22"/>
          <w:lang w:val="nl-NL"/>
        </w:rPr>
        <w:t xml:space="preserve"> so với giá trị tài sản ròng của quỹ </w:t>
      </w:r>
      <w:r w:rsidR="00C94B13" w:rsidRPr="006D37C3">
        <w:rPr>
          <w:szCs w:val="22"/>
          <w:lang w:val="nl-NL"/>
        </w:rPr>
        <w:t xml:space="preserve">đầu kỳ báo cáo tại ngày </w:t>
      </w:r>
      <w:r w:rsidR="00FC29AD" w:rsidRPr="006D37C3">
        <w:rPr>
          <w:szCs w:val="22"/>
          <w:lang w:val="nl-NL"/>
        </w:rPr>
        <w:t>3</w:t>
      </w:r>
      <w:r w:rsidR="00EB0328" w:rsidRPr="006D37C3">
        <w:rPr>
          <w:szCs w:val="22"/>
          <w:lang w:val="nl-NL"/>
        </w:rPr>
        <w:t>1</w:t>
      </w:r>
      <w:r w:rsidR="00C94B13" w:rsidRPr="006D37C3">
        <w:rPr>
          <w:szCs w:val="22"/>
          <w:lang w:val="nl-NL"/>
        </w:rPr>
        <w:t xml:space="preserve"> tháng </w:t>
      </w:r>
      <w:r w:rsidR="00EB0328" w:rsidRPr="006D37C3">
        <w:rPr>
          <w:szCs w:val="22"/>
          <w:lang w:val="nl-NL"/>
        </w:rPr>
        <w:t>12</w:t>
      </w:r>
      <w:r w:rsidR="00C94B13" w:rsidRPr="006D37C3">
        <w:rPr>
          <w:szCs w:val="22"/>
          <w:lang w:val="nl-NL"/>
        </w:rPr>
        <w:t xml:space="preserve"> năm 202</w:t>
      </w:r>
      <w:r w:rsidR="00A568A1" w:rsidRPr="006D37C3">
        <w:rPr>
          <w:szCs w:val="22"/>
          <w:lang w:val="nl-NL"/>
        </w:rPr>
        <w:t>3</w:t>
      </w:r>
      <w:r w:rsidR="007922E7" w:rsidRPr="006D37C3">
        <w:rPr>
          <w:szCs w:val="22"/>
          <w:lang w:val="nl-NL"/>
        </w:rPr>
        <w:t>; Trong khi</w:t>
      </w:r>
      <w:r w:rsidR="00C94B13" w:rsidRPr="006D37C3">
        <w:rPr>
          <w:szCs w:val="22"/>
          <w:lang w:val="nl-NL"/>
        </w:rPr>
        <w:t xml:space="preserve"> </w:t>
      </w:r>
      <w:r w:rsidR="007922E7" w:rsidRPr="006D37C3">
        <w:rPr>
          <w:szCs w:val="22"/>
          <w:lang w:val="nl-NL"/>
        </w:rPr>
        <w:t xml:space="preserve">giá trị của danh mục của chứng khoán cơ cấu thay đổi là </w:t>
      </w:r>
      <w:r w:rsidR="00063B00" w:rsidRPr="006D37C3">
        <w:rPr>
          <w:szCs w:val="22"/>
          <w:lang w:val="nl-NL"/>
        </w:rPr>
        <w:t>19.38</w:t>
      </w:r>
      <w:r w:rsidR="007922E7" w:rsidRPr="006D37C3">
        <w:rPr>
          <w:szCs w:val="22"/>
          <w:lang w:val="nl-NL"/>
        </w:rPr>
        <w:t xml:space="preserve">%, thay đổi của chỉ số tham chiếu là </w:t>
      </w:r>
      <w:r w:rsidR="00063B00" w:rsidRPr="006D37C3">
        <w:rPr>
          <w:szCs w:val="22"/>
          <w:lang w:val="nl-NL"/>
        </w:rPr>
        <w:t>19.49</w:t>
      </w:r>
      <w:r w:rsidR="007922E7" w:rsidRPr="006D37C3">
        <w:rPr>
          <w:szCs w:val="22"/>
          <w:lang w:val="nl-NL"/>
        </w:rPr>
        <w:t>%.</w:t>
      </w:r>
    </w:p>
    <w:p w14:paraId="2D01A3EF" w14:textId="77777777" w:rsidR="007922E7" w:rsidRPr="006D37C3"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6D37C3">
        <w:rPr>
          <w:rFonts w:ascii="Times New Roman" w:hAnsi="Times New Roman"/>
          <w:b/>
          <w:sz w:val="24"/>
          <w:szCs w:val="24"/>
          <w:lang w:val="nl-NL"/>
        </w:rPr>
        <w:t>Chính sách và chiến lược đầu tư của Quỹ</w:t>
      </w:r>
    </w:p>
    <w:p w14:paraId="32FAD23B" w14:textId="35BC7DF0" w:rsidR="007922E7" w:rsidRPr="00A568A1" w:rsidRDefault="002A54C7" w:rsidP="007922E7">
      <w:pPr>
        <w:shd w:val="clear" w:color="auto" w:fill="FFFFFF"/>
        <w:tabs>
          <w:tab w:val="left" w:pos="540"/>
        </w:tabs>
        <w:spacing w:before="120"/>
        <w:rPr>
          <w:szCs w:val="22"/>
          <w:lang w:val="nl-NL"/>
        </w:rPr>
      </w:pPr>
      <w:r w:rsidRPr="00554E5E">
        <w:rPr>
          <w:rFonts w:ascii="Arial" w:hAnsi="Arial" w:cs="Arial"/>
          <w:bCs/>
          <w:sz w:val="20"/>
          <w:lang w:val="vi-VN"/>
        </w:rPr>
        <w:t xml:space="preserve">Mục tiêu của Quỹ ETF </w:t>
      </w:r>
      <w:r w:rsidR="003D463D" w:rsidRPr="00A568A1">
        <w:rPr>
          <w:rFonts w:ascii="Arial" w:hAnsi="Arial" w:cs="Arial"/>
          <w:bCs/>
          <w:sz w:val="20"/>
          <w:lang w:val="nl-NL"/>
        </w:rPr>
        <w:t>DC</w:t>
      </w:r>
      <w:r w:rsidRPr="00554E5E">
        <w:rPr>
          <w:rFonts w:ascii="Arial" w:hAnsi="Arial" w:cs="Arial"/>
          <w:bCs/>
          <w:sz w:val="20"/>
          <w:lang w:val="vi-VN"/>
        </w:rPr>
        <w:t>VFMVN DIAMOND là mô phỏng gần nhất có thể về biến động (performance) của chỉ số VN DIAMOND</w:t>
      </w:r>
      <w:r w:rsidR="007922E7" w:rsidRPr="00A568A1">
        <w:rPr>
          <w:szCs w:val="22"/>
          <w:lang w:val="nl-NL"/>
        </w:rPr>
        <w:t>.</w:t>
      </w:r>
    </w:p>
    <w:p w14:paraId="5B5FE312" w14:textId="77777777" w:rsidR="007922E7" w:rsidRPr="00A568A1" w:rsidRDefault="007922E7" w:rsidP="007922E7">
      <w:pPr>
        <w:rPr>
          <w:lang w:val="nl-NL"/>
        </w:rPr>
      </w:pPr>
    </w:p>
    <w:p w14:paraId="089707E1" w14:textId="0651981B" w:rsidR="007922E7" w:rsidRPr="00A568A1" w:rsidRDefault="007922E7" w:rsidP="007922E7">
      <w:pPr>
        <w:shd w:val="clear" w:color="auto" w:fill="FFFFFF"/>
        <w:tabs>
          <w:tab w:val="left" w:pos="540"/>
        </w:tabs>
        <w:rPr>
          <w:szCs w:val="22"/>
          <w:lang w:val="nl-NL"/>
        </w:rPr>
      </w:pPr>
      <w:r w:rsidRPr="00A568A1">
        <w:rPr>
          <w:szCs w:val="22"/>
          <w:lang w:val="nl-NL"/>
        </w:rPr>
        <w:t>Quỹ sử dụng chiến lược đầu tư thụ động để thực hiện mục tiêu đầu tư đã định trước.  Khi danh mục chứng khoán của chỉ số tham chiếu có sự thay đổi thì Quỹ sẽ thực hiện điều chỉnh danh mục của Quỹ để phù hợp với danh mục của chỉ số</w:t>
      </w:r>
      <w:r w:rsidR="00226541" w:rsidRPr="00A568A1">
        <w:rPr>
          <w:szCs w:val="22"/>
          <w:lang w:val="nl-NL"/>
        </w:rPr>
        <w:t xml:space="preserve"> tham chiếu </w:t>
      </w:r>
      <w:r w:rsidRPr="00A568A1">
        <w:rPr>
          <w:szCs w:val="22"/>
          <w:lang w:val="nl-NL"/>
        </w:rPr>
        <w:t>về cơ cấu và tỷ trọng tài sản.  Quỹ sẽ hướng đến việc có kết quả tương đồng với chỉ số tham chiếu và không thực hiện chiến lược phòng thủ khi thị trường giảm hay hiện thực hóa lợi nhuận khi thị trường được định giá quá cao.  Việc đầu tư thụ động nhằm giảm thiểu chi phí và mô phỏng gần hơn chỉ số tham chiếu bằng cách duy trì tỷ lệ vòng quay vốn đầu tư thấp hơn so với các quỹ sử dụng chiến lược đầu tư chủ động.</w:t>
      </w:r>
    </w:p>
    <w:p w14:paraId="54C4A279"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Phân loại Quỹ </w:t>
      </w:r>
    </w:p>
    <w:p w14:paraId="1699E0AA" w14:textId="77777777" w:rsidR="007922E7" w:rsidRPr="00D23AD2" w:rsidRDefault="007922E7" w:rsidP="007922E7">
      <w:pPr>
        <w:shd w:val="clear" w:color="auto" w:fill="FFFFFF"/>
        <w:tabs>
          <w:tab w:val="left" w:pos="540"/>
        </w:tabs>
        <w:spacing w:before="120"/>
        <w:rPr>
          <w:lang w:val="nl-NL"/>
        </w:rPr>
      </w:pPr>
      <w:r w:rsidRPr="00D23AD2">
        <w:rPr>
          <w:lang w:val="nl-NL"/>
        </w:rPr>
        <w:t xml:space="preserve">Quỹ </w:t>
      </w:r>
      <w:proofErr w:type="spellStart"/>
      <w:r w:rsidRPr="00D23AD2">
        <w:rPr>
          <w:szCs w:val="22"/>
          <w:lang w:val="fr-FR"/>
        </w:rPr>
        <w:t>thuộc</w:t>
      </w:r>
      <w:proofErr w:type="spellEnd"/>
      <w:r w:rsidRPr="00D23AD2">
        <w:rPr>
          <w:lang w:val="nl-NL"/>
        </w:rPr>
        <w:t xml:space="preserve"> loại quỹ Hoán đổi danh mục.</w:t>
      </w:r>
    </w:p>
    <w:p w14:paraId="1C8B003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Thời gian khuyến cáo đầu tư của Quỹ </w:t>
      </w:r>
    </w:p>
    <w:p w14:paraId="1B9335FD" w14:textId="77777777" w:rsidR="007922E7" w:rsidRPr="00D23AD2" w:rsidRDefault="007922E7" w:rsidP="007922E7">
      <w:pPr>
        <w:shd w:val="clear" w:color="auto" w:fill="FFFFFF"/>
        <w:tabs>
          <w:tab w:val="left" w:pos="540"/>
        </w:tabs>
        <w:spacing w:before="120"/>
        <w:rPr>
          <w:lang w:val="nl-NL"/>
        </w:rPr>
      </w:pPr>
      <w:r w:rsidRPr="00D23AD2">
        <w:rPr>
          <w:lang w:val="nl-NL"/>
        </w:rPr>
        <w:t>Không có.</w:t>
      </w:r>
    </w:p>
    <w:p w14:paraId="615C984C"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Mức độ rủi ro ngắn hạn </w:t>
      </w:r>
    </w:p>
    <w:p w14:paraId="384B7FA4" w14:textId="77777777" w:rsidR="007922E7" w:rsidRPr="00D23AD2" w:rsidRDefault="007922E7" w:rsidP="007922E7">
      <w:pPr>
        <w:shd w:val="clear" w:color="auto" w:fill="FFFFFF"/>
        <w:tabs>
          <w:tab w:val="left" w:pos="540"/>
        </w:tabs>
        <w:spacing w:before="120"/>
        <w:rPr>
          <w:lang w:val="nl-NL"/>
        </w:rPr>
      </w:pPr>
      <w:r w:rsidRPr="00D23AD2">
        <w:rPr>
          <w:lang w:val="nl-NL"/>
        </w:rPr>
        <w:t>Trung bình.</w:t>
      </w:r>
    </w:p>
    <w:p w14:paraId="2782E0C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Thời điểm bắt đầu hoạt động của Quỹ</w:t>
      </w:r>
    </w:p>
    <w:p w14:paraId="62F5AFBE" w14:textId="6A9CB735" w:rsidR="007922E7" w:rsidRPr="00D23AD2" w:rsidRDefault="007922E7" w:rsidP="007922E7">
      <w:pPr>
        <w:shd w:val="clear" w:color="auto" w:fill="FFFFFF"/>
        <w:tabs>
          <w:tab w:val="left" w:pos="540"/>
        </w:tabs>
        <w:spacing w:before="120"/>
        <w:rPr>
          <w:lang w:val="nl-NL"/>
        </w:rPr>
      </w:pPr>
      <w:r w:rsidRPr="00D23AD2">
        <w:rPr>
          <w:lang w:val="nl-NL"/>
        </w:rPr>
        <w:t xml:space="preserve">Quỹ bắt đầu hoạt động từ ngày </w:t>
      </w:r>
      <w:r w:rsidR="00DF1D7F">
        <w:rPr>
          <w:lang w:val="nl-NL"/>
        </w:rPr>
        <w:t>22</w:t>
      </w:r>
      <w:r w:rsidRPr="00D23AD2">
        <w:rPr>
          <w:lang w:val="nl-NL"/>
        </w:rPr>
        <w:t xml:space="preserve"> tháng </w:t>
      </w:r>
      <w:r w:rsidR="00DF1D7F">
        <w:rPr>
          <w:lang w:val="nl-NL"/>
        </w:rPr>
        <w:t>4</w:t>
      </w:r>
      <w:r w:rsidRPr="00D23AD2">
        <w:rPr>
          <w:lang w:val="nl-NL"/>
        </w:rPr>
        <w:t xml:space="preserve"> năm 20</w:t>
      </w:r>
      <w:r w:rsidR="00DF1D7F">
        <w:rPr>
          <w:lang w:val="nl-NL"/>
        </w:rPr>
        <w:t>20</w:t>
      </w:r>
      <w:r w:rsidRPr="00D23AD2">
        <w:rPr>
          <w:lang w:val="nl-NL"/>
        </w:rPr>
        <w:t>.</w:t>
      </w:r>
    </w:p>
    <w:p w14:paraId="46332A6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D23AD2">
        <w:rPr>
          <w:rFonts w:ascii="Times New Roman" w:hAnsi="Times New Roman"/>
          <w:b/>
          <w:sz w:val="24"/>
          <w:szCs w:val="24"/>
          <w:lang w:val="nl-NL"/>
        </w:rPr>
        <w:t>Quy mô Quỹ tại thời điểm báo cáo</w:t>
      </w:r>
      <w:r w:rsidRPr="00D23AD2">
        <w:rPr>
          <w:rFonts w:ascii="Times New Roman" w:hAnsi="Times New Roman"/>
          <w:sz w:val="24"/>
          <w:szCs w:val="24"/>
          <w:lang w:val="nl-NL"/>
        </w:rPr>
        <w:t xml:space="preserve"> </w:t>
      </w:r>
    </w:p>
    <w:p w14:paraId="33EDBE41" w14:textId="4BA165C3" w:rsidR="007922E7" w:rsidRPr="00D23AD2" w:rsidRDefault="007922E7" w:rsidP="007922E7">
      <w:pPr>
        <w:shd w:val="clear" w:color="auto" w:fill="FFFFFF"/>
        <w:tabs>
          <w:tab w:val="left" w:pos="540"/>
        </w:tabs>
        <w:spacing w:before="120"/>
        <w:rPr>
          <w:lang w:val="nl-NL"/>
        </w:rPr>
      </w:pPr>
      <w:r w:rsidRPr="00D23AD2">
        <w:rPr>
          <w:lang w:val="nl-NL"/>
        </w:rPr>
        <w:t>Tại ngày 3</w:t>
      </w:r>
      <w:r w:rsidR="006C70CB">
        <w:rPr>
          <w:lang w:val="nl-NL"/>
        </w:rPr>
        <w:t>1</w:t>
      </w:r>
      <w:r w:rsidRPr="00D23AD2">
        <w:rPr>
          <w:lang w:val="nl-NL"/>
        </w:rPr>
        <w:t xml:space="preserve"> tháng </w:t>
      </w:r>
      <w:r w:rsidR="00752A92">
        <w:rPr>
          <w:lang w:val="nl-NL"/>
        </w:rPr>
        <w:t>03</w:t>
      </w:r>
      <w:r w:rsidR="00F73FE7" w:rsidRPr="00D23AD2">
        <w:rPr>
          <w:lang w:val="nl-NL"/>
        </w:rPr>
        <w:t xml:space="preserve"> năm 20</w:t>
      </w:r>
      <w:r w:rsidR="00EC3F05" w:rsidRPr="00D23AD2">
        <w:rPr>
          <w:lang w:val="nl-NL"/>
        </w:rPr>
        <w:t>2</w:t>
      </w:r>
      <w:r w:rsidR="00752A92">
        <w:rPr>
          <w:lang w:val="nl-NL"/>
        </w:rPr>
        <w:t>4</w:t>
      </w:r>
      <w:r w:rsidRPr="00D23AD2">
        <w:rPr>
          <w:lang w:val="nl-NL"/>
        </w:rPr>
        <w:t>, số lượng chứng chỉ quỹ đang lưu hành là</w:t>
      </w:r>
      <w:r w:rsidR="00705B16" w:rsidRPr="00D23AD2">
        <w:rPr>
          <w:lang w:val="nl-NL"/>
        </w:rPr>
        <w:t xml:space="preserve"> </w:t>
      </w:r>
      <w:r w:rsidR="00EC3F05" w:rsidRPr="00D23AD2">
        <w:rPr>
          <w:lang w:val="nl-NL"/>
        </w:rPr>
        <w:t xml:space="preserve"> </w:t>
      </w:r>
      <w:r w:rsidR="00752A92">
        <w:rPr>
          <w:lang w:val="nl-NL"/>
        </w:rPr>
        <w:t>518</w:t>
      </w:r>
      <w:r w:rsidR="007D65FE">
        <w:rPr>
          <w:lang w:val="nl-NL"/>
        </w:rPr>
        <w:t>,</w:t>
      </w:r>
      <w:r w:rsidR="00752A92">
        <w:rPr>
          <w:lang w:val="nl-NL"/>
        </w:rPr>
        <w:t>3</w:t>
      </w:r>
      <w:r w:rsidR="007D65FE">
        <w:rPr>
          <w:lang w:val="nl-NL"/>
        </w:rPr>
        <w:t>00,000</w:t>
      </w:r>
      <w:r w:rsidRPr="00D23AD2">
        <w:rPr>
          <w:lang w:val="nl-NL"/>
        </w:rPr>
        <w:t xml:space="preserve"> giá trị tài sản ròng của một đơn vị chứng chỉ quỹ là </w:t>
      </w:r>
      <w:r w:rsidR="00EC3F05" w:rsidRPr="00D23AD2">
        <w:rPr>
          <w:lang w:val="nl-NL"/>
        </w:rPr>
        <w:t xml:space="preserve"> </w:t>
      </w:r>
      <w:r w:rsidR="00752A92">
        <w:rPr>
          <w:lang w:val="nl-NL"/>
        </w:rPr>
        <w:t>30,983.46</w:t>
      </w:r>
      <w:r w:rsidR="00EC3F05" w:rsidRPr="00D23AD2">
        <w:rPr>
          <w:lang w:val="nl-NL"/>
        </w:rPr>
        <w:t xml:space="preserve"> </w:t>
      </w:r>
      <w:r w:rsidR="00566C62" w:rsidRPr="00D23AD2">
        <w:rPr>
          <w:lang w:val="nl-NL"/>
        </w:rPr>
        <w:t xml:space="preserve"> </w:t>
      </w:r>
      <w:r w:rsidRPr="00D23AD2">
        <w:rPr>
          <w:lang w:val="nl-NL"/>
        </w:rPr>
        <w:t xml:space="preserve">Đồng Việt Nam.   </w:t>
      </w:r>
    </w:p>
    <w:p w14:paraId="58A1E8D7"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Chỉ số tham chiếu của Quỹ </w:t>
      </w:r>
    </w:p>
    <w:p w14:paraId="566E591F" w14:textId="2FD55A51" w:rsidR="007922E7" w:rsidRPr="00D23AD2" w:rsidRDefault="007922E7" w:rsidP="007922E7">
      <w:pPr>
        <w:shd w:val="clear" w:color="auto" w:fill="FFFFFF"/>
        <w:tabs>
          <w:tab w:val="left" w:pos="540"/>
        </w:tabs>
        <w:spacing w:before="120"/>
        <w:rPr>
          <w:lang w:val="nl-NL"/>
        </w:rPr>
      </w:pPr>
      <w:r w:rsidRPr="00D23AD2">
        <w:rPr>
          <w:lang w:val="nl-NL"/>
        </w:rPr>
        <w:t>Chỉ số tham chiếu của Quỹ chỉ số</w:t>
      </w:r>
      <w:r w:rsidR="00226541">
        <w:rPr>
          <w:lang w:val="nl-NL"/>
        </w:rPr>
        <w:t xml:space="preserve"> VN DIAMOND</w:t>
      </w:r>
      <w:r w:rsidRPr="00D23AD2">
        <w:rPr>
          <w:lang w:val="nl-NL"/>
        </w:rPr>
        <w:t>.</w:t>
      </w:r>
    </w:p>
    <w:p w14:paraId="43684916"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lastRenderedPageBreak/>
        <w:t>Chính sách phân phối lợi nhuận của Quỹ</w:t>
      </w:r>
    </w:p>
    <w:p w14:paraId="12C89B19" w14:textId="048AB173" w:rsidR="007922E7" w:rsidRPr="00D23AD2" w:rsidRDefault="00ED0B29" w:rsidP="007922E7">
      <w:pPr>
        <w:shd w:val="clear" w:color="auto" w:fill="FFFFFF"/>
        <w:tabs>
          <w:tab w:val="left" w:pos="540"/>
        </w:tabs>
        <w:spacing w:before="120"/>
        <w:rPr>
          <w:lang w:val="nl-NL"/>
        </w:rPr>
      </w:pPr>
      <w:r>
        <w:rPr>
          <w:lang w:val="nl-NL"/>
        </w:rPr>
        <w:t xml:space="preserve"> Theo quy định của Điều lệ Quỹ hiện tại, </w:t>
      </w:r>
      <w:r w:rsidR="003D463D">
        <w:rPr>
          <w:lang w:val="nl-NL"/>
        </w:rPr>
        <w:t xml:space="preserve"> </w:t>
      </w:r>
      <w:r w:rsidR="00974C17">
        <w:rPr>
          <w:lang w:val="nl-NL"/>
        </w:rPr>
        <w:t xml:space="preserve">Quỹ ETF </w:t>
      </w:r>
      <w:r w:rsidR="003D463D">
        <w:rPr>
          <w:lang w:val="nl-NL"/>
        </w:rPr>
        <w:t>DC</w:t>
      </w:r>
      <w:r w:rsidR="00974C17">
        <w:rPr>
          <w:lang w:val="nl-NL"/>
        </w:rPr>
        <w:t>VFMVN DIAMOND không phân phối lợi nhuận</w:t>
      </w:r>
      <w:r>
        <w:rPr>
          <w:lang w:val="nl-NL"/>
        </w:rPr>
        <w:t xml:space="preserve"> để hạn chế tối đa chi phí phát sinh cho nhà đầu tư</w:t>
      </w:r>
      <w:r w:rsidR="007922E7" w:rsidRPr="00D23AD2">
        <w:rPr>
          <w:lang w:val="nl-NL"/>
        </w:rPr>
        <w:t>.</w:t>
      </w:r>
      <w:r>
        <w:rPr>
          <w:lang w:val="nl-NL"/>
        </w:rPr>
        <w:t xml:space="preserve"> </w:t>
      </w:r>
      <w:r w:rsidR="00974C17">
        <w:rPr>
          <w:lang w:val="nl-NL"/>
        </w:rPr>
        <w:t>Toàn bộ lợi nhuận của Quỹ phát sinh trong quá trình hoạt động sẽ được</w:t>
      </w:r>
      <w:r>
        <w:rPr>
          <w:lang w:val="nl-NL"/>
        </w:rPr>
        <w:t xml:space="preserve"> tái đầu tư để</w:t>
      </w:r>
      <w:r w:rsidR="00974C17">
        <w:rPr>
          <w:lang w:val="nl-NL"/>
        </w:rPr>
        <w:t xml:space="preserve">  gia tăng giá trị tài sản ròng của Quỹ</w:t>
      </w:r>
      <w:r>
        <w:rPr>
          <w:lang w:val="nl-NL"/>
        </w:rPr>
        <w:t>.</w:t>
      </w:r>
    </w:p>
    <w:p w14:paraId="63AA121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color w:val="000000" w:themeColor="text1"/>
          <w:sz w:val="24"/>
          <w:szCs w:val="24"/>
          <w:lang w:val="nl-NL"/>
        </w:rPr>
      </w:pPr>
      <w:r w:rsidRPr="00D23AD2">
        <w:rPr>
          <w:rFonts w:ascii="Times New Roman" w:hAnsi="Times New Roman"/>
          <w:b/>
          <w:color w:val="000000" w:themeColor="text1"/>
          <w:sz w:val="24"/>
          <w:szCs w:val="24"/>
          <w:lang w:val="nl-NL"/>
        </w:rPr>
        <w:t>Lợi nhuận thuần thực tế phân phối trên một đơn vị Chứng chỉ quỹ Quỹ</w:t>
      </w:r>
      <w:r w:rsidRPr="00D23AD2">
        <w:rPr>
          <w:rFonts w:ascii="Times New Roman" w:hAnsi="Times New Roman"/>
          <w:color w:val="000000" w:themeColor="text1"/>
          <w:sz w:val="24"/>
          <w:szCs w:val="24"/>
          <w:lang w:val="nl-NL"/>
        </w:rPr>
        <w:t xml:space="preserve"> </w:t>
      </w:r>
    </w:p>
    <w:p w14:paraId="0012CE1C" w14:textId="5D2EF18D" w:rsidR="007922E7" w:rsidRPr="00D23AD2" w:rsidRDefault="007922E7" w:rsidP="007922E7">
      <w:proofErr w:type="spellStart"/>
      <w:r w:rsidRPr="00D23AD2">
        <w:t>Không</w:t>
      </w:r>
      <w:proofErr w:type="spellEnd"/>
      <w:r w:rsidRPr="00D23AD2">
        <w:t xml:space="preserve"> </w:t>
      </w:r>
      <w:proofErr w:type="spellStart"/>
      <w:r w:rsidRPr="00D23AD2">
        <w:t>có</w:t>
      </w:r>
      <w:proofErr w:type="spellEnd"/>
      <w:r w:rsidRPr="00D23AD2">
        <w:t>.</w:t>
      </w:r>
    </w:p>
    <w:p w14:paraId="6C79A5D7" w14:textId="77777777" w:rsidR="007922E7" w:rsidRPr="00D23AD2"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D23AD2">
        <w:rPr>
          <w:rFonts w:ascii="Times New Roman" w:hAnsi="Times New Roman"/>
          <w:b/>
          <w:sz w:val="28"/>
          <w:szCs w:val="28"/>
          <w:lang w:val="nl-NL"/>
        </w:rPr>
        <w:t>Số liệu hoạt động</w:t>
      </w:r>
    </w:p>
    <w:p w14:paraId="45C21FBD" w14:textId="77777777" w:rsidR="007922E7" w:rsidRPr="00D23AD2" w:rsidRDefault="007922E7" w:rsidP="007922E7">
      <w:pPr>
        <w:pStyle w:val="ListParagraph"/>
        <w:numPr>
          <w:ilvl w:val="0"/>
          <w:numId w:val="3"/>
        </w:numPr>
        <w:spacing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Cơ cấu tài sản quỹ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315"/>
        <w:gridCol w:w="2305"/>
        <w:gridCol w:w="2305"/>
      </w:tblGrid>
      <w:tr w:rsidR="00752A92" w:rsidRPr="00D23AD2" w14:paraId="1E5C8DE4" w14:textId="23ACF84B" w:rsidTr="00D7296C">
        <w:trPr>
          <w:trHeight w:val="300"/>
        </w:trPr>
        <w:tc>
          <w:tcPr>
            <w:tcW w:w="2425" w:type="dxa"/>
            <w:shd w:val="clear" w:color="auto" w:fill="auto"/>
            <w:vAlign w:val="center"/>
            <w:hideMark/>
          </w:tcPr>
          <w:p w14:paraId="3B1E8229" w14:textId="77777777" w:rsidR="00752A92" w:rsidRPr="00A568A1" w:rsidRDefault="00752A92" w:rsidP="00752A92">
            <w:pPr>
              <w:keepLines w:val="0"/>
              <w:overflowPunct/>
              <w:autoSpaceDE/>
              <w:autoSpaceDN/>
              <w:adjustRightInd/>
              <w:jc w:val="center"/>
              <w:textAlignment w:val="auto"/>
              <w:rPr>
                <w:b/>
                <w:bCs/>
                <w:color w:val="000000"/>
                <w:szCs w:val="22"/>
                <w:lang w:val="nl-NL"/>
              </w:rPr>
            </w:pPr>
            <w:r w:rsidRPr="00A568A1">
              <w:rPr>
                <w:b/>
                <w:bCs/>
                <w:color w:val="000000"/>
                <w:szCs w:val="22"/>
                <w:lang w:val="nl-NL"/>
              </w:rPr>
              <w:t>Cơ cấu tài sản quỹ</w:t>
            </w:r>
          </w:p>
        </w:tc>
        <w:tc>
          <w:tcPr>
            <w:tcW w:w="2315" w:type="dxa"/>
            <w:shd w:val="clear" w:color="auto" w:fill="auto"/>
            <w:vAlign w:val="center"/>
            <w:hideMark/>
          </w:tcPr>
          <w:p w14:paraId="1C742388" w14:textId="7BF83DDD" w:rsidR="00752A92" w:rsidRPr="00D23AD2" w:rsidRDefault="00752A92" w:rsidP="00752A92">
            <w:pPr>
              <w:keepLines w:val="0"/>
              <w:overflowPunct/>
              <w:autoSpaceDE/>
              <w:autoSpaceDN/>
              <w:adjustRightInd/>
              <w:jc w:val="center"/>
              <w:textAlignment w:val="auto"/>
              <w:rPr>
                <w:b/>
                <w:bCs/>
                <w:color w:val="000000"/>
                <w:szCs w:val="22"/>
                <w:lang w:val="en-US"/>
              </w:rPr>
            </w:pPr>
            <w:r>
              <w:rPr>
                <w:b/>
                <w:bCs/>
                <w:color w:val="000000"/>
                <w:szCs w:val="22"/>
                <w:lang w:val="en-US"/>
              </w:rPr>
              <w:t>31/03/2024</w:t>
            </w:r>
          </w:p>
        </w:tc>
        <w:tc>
          <w:tcPr>
            <w:tcW w:w="2305" w:type="dxa"/>
            <w:vAlign w:val="center"/>
          </w:tcPr>
          <w:p w14:paraId="2F3EC370" w14:textId="2626DEE5" w:rsidR="00752A92" w:rsidRDefault="00752A92" w:rsidP="00752A92">
            <w:pPr>
              <w:keepLines w:val="0"/>
              <w:overflowPunct/>
              <w:autoSpaceDE/>
              <w:autoSpaceDN/>
              <w:adjustRightInd/>
              <w:jc w:val="center"/>
              <w:textAlignment w:val="auto"/>
              <w:rPr>
                <w:b/>
                <w:bCs/>
                <w:color w:val="000000"/>
                <w:szCs w:val="22"/>
                <w:lang w:val="en-US"/>
              </w:rPr>
            </w:pPr>
            <w:r>
              <w:rPr>
                <w:b/>
                <w:bCs/>
                <w:color w:val="000000"/>
                <w:szCs w:val="22"/>
                <w:lang w:val="en-US"/>
              </w:rPr>
              <w:t>31/03/2023</w:t>
            </w:r>
          </w:p>
        </w:tc>
        <w:tc>
          <w:tcPr>
            <w:tcW w:w="2305" w:type="dxa"/>
            <w:vAlign w:val="center"/>
          </w:tcPr>
          <w:p w14:paraId="3DBE1982" w14:textId="425C2455" w:rsidR="00752A92" w:rsidRDefault="00752A92" w:rsidP="00752A92">
            <w:pPr>
              <w:keepLines w:val="0"/>
              <w:overflowPunct/>
              <w:autoSpaceDE/>
              <w:autoSpaceDN/>
              <w:adjustRightInd/>
              <w:jc w:val="center"/>
              <w:textAlignment w:val="auto"/>
              <w:rPr>
                <w:b/>
                <w:bCs/>
                <w:color w:val="000000"/>
                <w:szCs w:val="22"/>
                <w:lang w:val="en-US"/>
              </w:rPr>
            </w:pPr>
            <w:r>
              <w:rPr>
                <w:b/>
                <w:bCs/>
                <w:color w:val="000000"/>
                <w:szCs w:val="22"/>
                <w:lang w:val="en-US"/>
              </w:rPr>
              <w:t>31/03/2022</w:t>
            </w:r>
          </w:p>
        </w:tc>
      </w:tr>
      <w:tr w:rsidR="00752A92" w:rsidRPr="00D23AD2" w14:paraId="029E0955" w14:textId="40E555E9" w:rsidTr="00D7296C">
        <w:trPr>
          <w:trHeight w:val="300"/>
        </w:trPr>
        <w:tc>
          <w:tcPr>
            <w:tcW w:w="2425" w:type="dxa"/>
            <w:shd w:val="clear" w:color="auto" w:fill="auto"/>
            <w:vAlign w:val="center"/>
            <w:hideMark/>
          </w:tcPr>
          <w:p w14:paraId="37A08E1F" w14:textId="77777777" w:rsidR="00752A92" w:rsidRPr="00D23AD2" w:rsidRDefault="00752A92" w:rsidP="00752A92">
            <w:pPr>
              <w:keepLines w:val="0"/>
              <w:overflowPunct/>
              <w:autoSpaceDE/>
              <w:autoSpaceDN/>
              <w:adjustRightInd/>
              <w:textAlignment w:val="auto"/>
              <w:rPr>
                <w:color w:val="000000"/>
                <w:szCs w:val="22"/>
                <w:lang w:val="en-US"/>
              </w:rPr>
            </w:pPr>
            <w:r w:rsidRPr="00D23AD2">
              <w:rPr>
                <w:color w:val="000000"/>
                <w:szCs w:val="22"/>
                <w:lang w:val="en-US"/>
              </w:rPr>
              <w:t xml:space="preserve">Danh </w:t>
            </w:r>
            <w:proofErr w:type="spellStart"/>
            <w:r w:rsidRPr="00D23AD2">
              <w:rPr>
                <w:color w:val="000000"/>
                <w:szCs w:val="22"/>
                <w:lang w:val="en-US"/>
              </w:rPr>
              <w:t>mục</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khoán</w:t>
            </w:r>
            <w:proofErr w:type="spellEnd"/>
          </w:p>
        </w:tc>
        <w:tc>
          <w:tcPr>
            <w:tcW w:w="2315" w:type="dxa"/>
            <w:shd w:val="clear" w:color="auto" w:fill="auto"/>
            <w:vAlign w:val="center"/>
          </w:tcPr>
          <w:p w14:paraId="25790AD6" w14:textId="792CF158" w:rsidR="00752A92" w:rsidRPr="00D23AD2" w:rsidRDefault="00752A92" w:rsidP="00752A92">
            <w:pPr>
              <w:keepLines w:val="0"/>
              <w:overflowPunct/>
              <w:autoSpaceDE/>
              <w:autoSpaceDN/>
              <w:adjustRightInd/>
              <w:jc w:val="center"/>
              <w:textAlignment w:val="auto"/>
              <w:rPr>
                <w:color w:val="000000"/>
                <w:szCs w:val="22"/>
                <w:lang w:val="en-US"/>
              </w:rPr>
            </w:pPr>
            <w:r>
              <w:rPr>
                <w:color w:val="000000"/>
                <w:szCs w:val="22"/>
              </w:rPr>
              <w:t>99.32%</w:t>
            </w:r>
          </w:p>
        </w:tc>
        <w:tc>
          <w:tcPr>
            <w:tcW w:w="2305" w:type="dxa"/>
            <w:vAlign w:val="center"/>
          </w:tcPr>
          <w:p w14:paraId="43776103" w14:textId="3A23235B" w:rsidR="00752A92" w:rsidRPr="00D23AD2" w:rsidRDefault="00752A92" w:rsidP="00752A92">
            <w:pPr>
              <w:keepLines w:val="0"/>
              <w:overflowPunct/>
              <w:autoSpaceDE/>
              <w:autoSpaceDN/>
              <w:adjustRightInd/>
              <w:jc w:val="center"/>
              <w:textAlignment w:val="auto"/>
            </w:pPr>
            <w:r>
              <w:rPr>
                <w:color w:val="000000"/>
                <w:szCs w:val="22"/>
              </w:rPr>
              <w:t>99.37%</w:t>
            </w:r>
          </w:p>
        </w:tc>
        <w:tc>
          <w:tcPr>
            <w:tcW w:w="2305" w:type="dxa"/>
            <w:vAlign w:val="center"/>
          </w:tcPr>
          <w:p w14:paraId="391DA2A3" w14:textId="155073FB" w:rsidR="00752A92" w:rsidRPr="00D23AD2" w:rsidRDefault="00752A92" w:rsidP="00752A92">
            <w:pPr>
              <w:keepLines w:val="0"/>
              <w:overflowPunct/>
              <w:autoSpaceDE/>
              <w:autoSpaceDN/>
              <w:adjustRightInd/>
              <w:jc w:val="center"/>
              <w:textAlignment w:val="auto"/>
            </w:pPr>
            <w:r>
              <w:rPr>
                <w:color w:val="000000"/>
                <w:szCs w:val="22"/>
              </w:rPr>
              <w:t>98.80%</w:t>
            </w:r>
          </w:p>
        </w:tc>
      </w:tr>
      <w:tr w:rsidR="00752A92" w:rsidRPr="00D23AD2" w14:paraId="4BFA8AA7" w14:textId="40F51CA2" w:rsidTr="00D7296C">
        <w:trPr>
          <w:trHeight w:val="300"/>
        </w:trPr>
        <w:tc>
          <w:tcPr>
            <w:tcW w:w="2425" w:type="dxa"/>
            <w:shd w:val="clear" w:color="auto" w:fill="auto"/>
            <w:vAlign w:val="center"/>
            <w:hideMark/>
          </w:tcPr>
          <w:p w14:paraId="03D8BD60" w14:textId="77777777" w:rsidR="00752A92" w:rsidRPr="00D23AD2" w:rsidRDefault="00752A92" w:rsidP="00752A92">
            <w:pPr>
              <w:keepLines w:val="0"/>
              <w:overflowPunct/>
              <w:autoSpaceDE/>
              <w:autoSpaceDN/>
              <w:adjustRightInd/>
              <w:textAlignment w:val="auto"/>
              <w:rPr>
                <w:color w:val="000000"/>
                <w:szCs w:val="22"/>
                <w:lang w:val="en-US"/>
              </w:rPr>
            </w:pPr>
            <w:r w:rsidRPr="00D23AD2">
              <w:rPr>
                <w:color w:val="000000"/>
                <w:szCs w:val="22"/>
                <w:lang w:val="en-US"/>
              </w:rPr>
              <w:t xml:space="preserve">Tài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khác</w:t>
            </w:r>
            <w:proofErr w:type="spellEnd"/>
          </w:p>
        </w:tc>
        <w:tc>
          <w:tcPr>
            <w:tcW w:w="2315" w:type="dxa"/>
            <w:shd w:val="clear" w:color="auto" w:fill="auto"/>
            <w:vAlign w:val="center"/>
          </w:tcPr>
          <w:p w14:paraId="2CE5C7E5" w14:textId="5CF4704A" w:rsidR="00752A92" w:rsidRPr="00D23AD2" w:rsidRDefault="00752A92" w:rsidP="00752A92">
            <w:pPr>
              <w:keepLines w:val="0"/>
              <w:overflowPunct/>
              <w:autoSpaceDE/>
              <w:autoSpaceDN/>
              <w:adjustRightInd/>
              <w:jc w:val="center"/>
              <w:textAlignment w:val="auto"/>
              <w:rPr>
                <w:color w:val="000000"/>
                <w:szCs w:val="22"/>
                <w:lang w:val="en-US"/>
              </w:rPr>
            </w:pPr>
            <w:r>
              <w:rPr>
                <w:color w:val="000000"/>
                <w:szCs w:val="22"/>
              </w:rPr>
              <w:t>0.68%</w:t>
            </w:r>
          </w:p>
        </w:tc>
        <w:tc>
          <w:tcPr>
            <w:tcW w:w="2305" w:type="dxa"/>
            <w:vAlign w:val="center"/>
          </w:tcPr>
          <w:p w14:paraId="628E422A" w14:textId="62F9B915" w:rsidR="00752A92" w:rsidRPr="00D23AD2" w:rsidRDefault="00752A92" w:rsidP="00752A92">
            <w:pPr>
              <w:keepLines w:val="0"/>
              <w:overflowPunct/>
              <w:autoSpaceDE/>
              <w:autoSpaceDN/>
              <w:adjustRightInd/>
              <w:jc w:val="center"/>
              <w:textAlignment w:val="auto"/>
            </w:pPr>
            <w:r>
              <w:rPr>
                <w:color w:val="000000"/>
                <w:szCs w:val="22"/>
              </w:rPr>
              <w:t>0.63%</w:t>
            </w:r>
          </w:p>
        </w:tc>
        <w:tc>
          <w:tcPr>
            <w:tcW w:w="2305" w:type="dxa"/>
            <w:vAlign w:val="center"/>
          </w:tcPr>
          <w:p w14:paraId="16584F64" w14:textId="6B83A4D9" w:rsidR="00752A92" w:rsidRPr="00D23AD2" w:rsidRDefault="00752A92" w:rsidP="00752A92">
            <w:pPr>
              <w:keepLines w:val="0"/>
              <w:overflowPunct/>
              <w:autoSpaceDE/>
              <w:autoSpaceDN/>
              <w:adjustRightInd/>
              <w:jc w:val="center"/>
              <w:textAlignment w:val="auto"/>
            </w:pPr>
            <w:r>
              <w:rPr>
                <w:color w:val="000000"/>
                <w:szCs w:val="22"/>
              </w:rPr>
              <w:t>1.20%</w:t>
            </w:r>
          </w:p>
        </w:tc>
      </w:tr>
      <w:tr w:rsidR="00752A92" w:rsidRPr="00D23AD2" w14:paraId="471CDCF2" w14:textId="54EA6F51" w:rsidTr="00D7296C">
        <w:trPr>
          <w:trHeight w:val="315"/>
        </w:trPr>
        <w:tc>
          <w:tcPr>
            <w:tcW w:w="2425" w:type="dxa"/>
            <w:shd w:val="clear" w:color="auto" w:fill="auto"/>
            <w:vAlign w:val="center"/>
            <w:hideMark/>
          </w:tcPr>
          <w:p w14:paraId="2BB6ED10" w14:textId="77777777" w:rsidR="00752A92" w:rsidRPr="00D23AD2" w:rsidRDefault="00752A92" w:rsidP="00752A92">
            <w:pPr>
              <w:keepLines w:val="0"/>
              <w:overflowPunct/>
              <w:autoSpaceDE/>
              <w:autoSpaceDN/>
              <w:adjustRightInd/>
              <w:textAlignment w:val="auto"/>
              <w:rPr>
                <w:b/>
                <w:bCs/>
                <w:color w:val="000000"/>
                <w:szCs w:val="22"/>
                <w:lang w:val="en-US"/>
              </w:rPr>
            </w:pPr>
            <w:proofErr w:type="spellStart"/>
            <w:r w:rsidRPr="00D23AD2">
              <w:rPr>
                <w:b/>
                <w:bCs/>
                <w:color w:val="000000"/>
                <w:szCs w:val="22"/>
                <w:lang w:val="en-US"/>
              </w:rPr>
              <w:t>Cộng</w:t>
            </w:r>
            <w:proofErr w:type="spellEnd"/>
          </w:p>
        </w:tc>
        <w:tc>
          <w:tcPr>
            <w:tcW w:w="2315" w:type="dxa"/>
            <w:shd w:val="clear" w:color="auto" w:fill="auto"/>
            <w:vAlign w:val="center"/>
            <w:hideMark/>
          </w:tcPr>
          <w:p w14:paraId="23B13A62" w14:textId="77777777" w:rsidR="00752A92" w:rsidRPr="00D23AD2" w:rsidRDefault="00752A92" w:rsidP="00752A92">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c>
          <w:tcPr>
            <w:tcW w:w="2305" w:type="dxa"/>
            <w:vAlign w:val="center"/>
          </w:tcPr>
          <w:p w14:paraId="73CE5BA0" w14:textId="30E8157C" w:rsidR="00752A92" w:rsidRPr="00D23AD2" w:rsidRDefault="00752A92" w:rsidP="00752A92">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c>
          <w:tcPr>
            <w:tcW w:w="2305" w:type="dxa"/>
            <w:vAlign w:val="center"/>
          </w:tcPr>
          <w:p w14:paraId="40BD54E9" w14:textId="08AA2903" w:rsidR="00752A92" w:rsidRPr="00D23AD2" w:rsidRDefault="00752A92" w:rsidP="00752A92">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r>
    </w:tbl>
    <w:p w14:paraId="1D8AEDDA" w14:textId="748F3088"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Chi tiết chỉ tiêu hoạt động </w:t>
      </w:r>
    </w:p>
    <w:tbl>
      <w:tblPr>
        <w:tblW w:w="9265" w:type="dxa"/>
        <w:tblLook w:val="04A0" w:firstRow="1" w:lastRow="0" w:firstColumn="1" w:lastColumn="0" w:noHBand="0" w:noVBand="1"/>
      </w:tblPr>
      <w:tblGrid>
        <w:gridCol w:w="2772"/>
        <w:gridCol w:w="1993"/>
        <w:gridCol w:w="2250"/>
        <w:gridCol w:w="2250"/>
      </w:tblGrid>
      <w:tr w:rsidR="00043FCE" w:rsidRPr="00D23AD2" w14:paraId="7D0DF174" w14:textId="6B34DF16" w:rsidTr="00D7296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2F48" w14:textId="77777777" w:rsidR="00043FCE" w:rsidRPr="00D23AD2" w:rsidRDefault="00043FCE" w:rsidP="00043FCE">
            <w:pPr>
              <w:keepLines w:val="0"/>
              <w:overflowPunct/>
              <w:autoSpaceDE/>
              <w:autoSpaceDN/>
              <w:adjustRightInd/>
              <w:jc w:val="center"/>
              <w:textAlignment w:val="auto"/>
              <w:rPr>
                <w:b/>
                <w:bCs/>
                <w:color w:val="000000"/>
                <w:szCs w:val="22"/>
                <w:lang w:val="en-US"/>
              </w:rPr>
            </w:pPr>
            <w:proofErr w:type="spellStart"/>
            <w:r w:rsidRPr="00D23AD2">
              <w:rPr>
                <w:b/>
                <w:bCs/>
                <w:color w:val="000000"/>
                <w:szCs w:val="22"/>
                <w:lang w:val="en-US"/>
              </w:rPr>
              <w:t>Chỉ</w:t>
            </w:r>
            <w:proofErr w:type="spellEnd"/>
            <w:r w:rsidRPr="00D23AD2">
              <w:rPr>
                <w:b/>
                <w:bCs/>
                <w:color w:val="000000"/>
                <w:szCs w:val="22"/>
                <w:lang w:val="en-US"/>
              </w:rPr>
              <w:t xml:space="preserve"> </w:t>
            </w:r>
            <w:proofErr w:type="spellStart"/>
            <w:r w:rsidRPr="00D23AD2">
              <w:rPr>
                <w:b/>
                <w:bCs/>
                <w:color w:val="000000"/>
                <w:szCs w:val="22"/>
                <w:lang w:val="en-US"/>
              </w:rPr>
              <w:t>tiêu</w:t>
            </w:r>
            <w:proofErr w:type="spellEnd"/>
          </w:p>
        </w:tc>
        <w:tc>
          <w:tcPr>
            <w:tcW w:w="1993" w:type="dxa"/>
            <w:tcBorders>
              <w:top w:val="single" w:sz="4" w:space="0" w:color="auto"/>
              <w:left w:val="single" w:sz="4" w:space="0" w:color="auto"/>
              <w:bottom w:val="single" w:sz="4" w:space="0" w:color="auto"/>
              <w:right w:val="single" w:sz="4" w:space="0" w:color="auto"/>
            </w:tcBorders>
          </w:tcPr>
          <w:p w14:paraId="5A438500" w14:textId="6201410F" w:rsidR="00043FCE" w:rsidRDefault="00043FCE" w:rsidP="00043FCE">
            <w:pPr>
              <w:keepLines w:val="0"/>
              <w:overflowPunct/>
              <w:autoSpaceDE/>
              <w:autoSpaceDN/>
              <w:adjustRightInd/>
              <w:jc w:val="center"/>
              <w:textAlignment w:val="auto"/>
              <w:rPr>
                <w:b/>
                <w:bCs/>
                <w:color w:val="000000"/>
                <w:szCs w:val="22"/>
                <w:lang w:val="en-US"/>
              </w:rPr>
            </w:pPr>
            <w:r>
              <w:rPr>
                <w:b/>
                <w:bCs/>
                <w:color w:val="000000"/>
                <w:szCs w:val="22"/>
                <w:lang w:val="en-US"/>
              </w:rPr>
              <w:t>31/03/2024</w:t>
            </w:r>
          </w:p>
        </w:tc>
        <w:tc>
          <w:tcPr>
            <w:tcW w:w="2250" w:type="dxa"/>
            <w:tcBorders>
              <w:top w:val="single" w:sz="4" w:space="0" w:color="auto"/>
              <w:left w:val="single" w:sz="4" w:space="0" w:color="auto"/>
              <w:bottom w:val="single" w:sz="4" w:space="0" w:color="auto"/>
              <w:right w:val="single" w:sz="4" w:space="0" w:color="auto"/>
            </w:tcBorders>
          </w:tcPr>
          <w:p w14:paraId="0CEA28DC" w14:textId="5DA8551D" w:rsidR="00043FCE" w:rsidRDefault="00043FCE" w:rsidP="00043FCE">
            <w:pPr>
              <w:keepLines w:val="0"/>
              <w:overflowPunct/>
              <w:autoSpaceDE/>
              <w:autoSpaceDN/>
              <w:adjustRightInd/>
              <w:jc w:val="center"/>
              <w:textAlignment w:val="auto"/>
              <w:rPr>
                <w:b/>
                <w:bCs/>
                <w:color w:val="000000"/>
                <w:szCs w:val="22"/>
                <w:lang w:val="en-US"/>
              </w:rPr>
            </w:pPr>
            <w:r>
              <w:rPr>
                <w:b/>
                <w:bCs/>
                <w:color w:val="000000"/>
                <w:szCs w:val="22"/>
                <w:lang w:val="en-US"/>
              </w:rPr>
              <w:t>31/03/2023</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6CE8BAF" w14:textId="3C1BF43B" w:rsidR="00043FCE" w:rsidRPr="00D23AD2" w:rsidRDefault="00043FCE" w:rsidP="00043FCE">
            <w:pPr>
              <w:keepLines w:val="0"/>
              <w:overflowPunct/>
              <w:autoSpaceDE/>
              <w:autoSpaceDN/>
              <w:adjustRightInd/>
              <w:jc w:val="center"/>
              <w:textAlignment w:val="auto"/>
              <w:rPr>
                <w:b/>
                <w:bCs/>
                <w:color w:val="000000"/>
                <w:szCs w:val="22"/>
                <w:lang w:val="en-US"/>
              </w:rPr>
            </w:pPr>
            <w:r>
              <w:rPr>
                <w:b/>
                <w:bCs/>
                <w:color w:val="000000"/>
                <w:szCs w:val="22"/>
                <w:lang w:val="en-US"/>
              </w:rPr>
              <w:t>31/03/2022</w:t>
            </w:r>
          </w:p>
        </w:tc>
      </w:tr>
      <w:tr w:rsidR="00043FCE" w:rsidRPr="00D23AD2" w14:paraId="78D728EE" w14:textId="702371B5" w:rsidTr="00D7296C">
        <w:trPr>
          <w:trHeight w:val="719"/>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FD7B" w14:textId="46CC82A3" w:rsidR="00D7296C"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(VND)</w:t>
            </w:r>
          </w:p>
        </w:tc>
        <w:tc>
          <w:tcPr>
            <w:tcW w:w="1993" w:type="dxa"/>
            <w:tcBorders>
              <w:top w:val="single" w:sz="4" w:space="0" w:color="auto"/>
              <w:left w:val="single" w:sz="4" w:space="0" w:color="auto"/>
              <w:bottom w:val="single" w:sz="4" w:space="0" w:color="auto"/>
              <w:right w:val="single" w:sz="4" w:space="0" w:color="auto"/>
            </w:tcBorders>
            <w:vAlign w:val="bottom"/>
          </w:tcPr>
          <w:p w14:paraId="07D4D6CB" w14:textId="77777777" w:rsidR="00AD69C1" w:rsidRDefault="007C46BA" w:rsidP="00CF1388">
            <w:pPr>
              <w:keepLines w:val="0"/>
              <w:overflowPunct/>
              <w:autoSpaceDE/>
              <w:autoSpaceDN/>
              <w:adjustRightInd/>
              <w:jc w:val="right"/>
              <w:textAlignment w:val="auto"/>
              <w:rPr>
                <w:rFonts w:ascii="Tahoma" w:hAnsi="Tahoma" w:cs="Tahoma"/>
                <w:sz w:val="20"/>
              </w:rPr>
            </w:pPr>
            <w:r>
              <w:rPr>
                <w:rFonts w:ascii="Tahoma" w:hAnsi="Tahoma" w:cs="Tahoma"/>
                <w:sz w:val="20"/>
              </w:rPr>
              <w:t>16,058,727,502,246</w:t>
            </w:r>
          </w:p>
          <w:p w14:paraId="4C367546" w14:textId="31078061" w:rsidR="00043FCE" w:rsidRPr="00402BB0" w:rsidRDefault="007C46BA" w:rsidP="00CF1388">
            <w:pPr>
              <w:keepLines w:val="0"/>
              <w:overflowPunct/>
              <w:autoSpaceDE/>
              <w:autoSpaceDN/>
              <w:adjustRightInd/>
              <w:jc w:val="right"/>
              <w:textAlignment w:val="auto"/>
              <w:rPr>
                <w:color w:val="000000"/>
                <w:szCs w:val="22"/>
              </w:rPr>
            </w:pPr>
            <w:r>
              <w:rPr>
                <w:rFonts w:ascii="Tahoma" w:hAnsi="Tahoma" w:cs="Tahoma"/>
                <w:sz w:val="20"/>
              </w:rPr>
              <w:t xml:space="preserve"> </w:t>
            </w:r>
          </w:p>
        </w:tc>
        <w:tc>
          <w:tcPr>
            <w:tcW w:w="2250" w:type="dxa"/>
            <w:tcBorders>
              <w:top w:val="single" w:sz="4" w:space="0" w:color="auto"/>
              <w:left w:val="single" w:sz="4" w:space="0" w:color="auto"/>
              <w:bottom w:val="single" w:sz="4" w:space="0" w:color="auto"/>
              <w:right w:val="single" w:sz="4" w:space="0" w:color="auto"/>
            </w:tcBorders>
            <w:vAlign w:val="bottom"/>
          </w:tcPr>
          <w:p w14:paraId="5270C582" w14:textId="77777777" w:rsidR="00D7296C" w:rsidRDefault="00043FCE" w:rsidP="00CF1388">
            <w:pPr>
              <w:keepLines w:val="0"/>
              <w:overflowPunct/>
              <w:autoSpaceDE/>
              <w:autoSpaceDN/>
              <w:adjustRightInd/>
              <w:jc w:val="right"/>
              <w:textAlignment w:val="auto"/>
              <w:rPr>
                <w:rFonts w:ascii="Tahoma" w:hAnsi="Tahoma" w:cs="Tahoma"/>
                <w:sz w:val="20"/>
              </w:rPr>
            </w:pPr>
            <w:r>
              <w:rPr>
                <w:rFonts w:ascii="Tahoma" w:hAnsi="Tahoma" w:cs="Tahoma"/>
                <w:sz w:val="20"/>
              </w:rPr>
              <w:t>18,444,953,668,093</w:t>
            </w:r>
          </w:p>
          <w:p w14:paraId="1BDB9439" w14:textId="2EBC772A" w:rsidR="00AD69C1" w:rsidRPr="00D7296C" w:rsidRDefault="00AD69C1" w:rsidP="00CF1388">
            <w:pPr>
              <w:keepLines w:val="0"/>
              <w:overflowPunct/>
              <w:autoSpaceDE/>
              <w:autoSpaceDN/>
              <w:adjustRightInd/>
              <w:jc w:val="right"/>
              <w:textAlignment w:val="auto"/>
              <w:rPr>
                <w:rFonts w:ascii="Tahoma" w:hAnsi="Tahoma" w:cs="Tahoma"/>
                <w:sz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4C583" w14:textId="77777777" w:rsidR="00D7296C" w:rsidRDefault="00043FCE" w:rsidP="00CF1388">
            <w:pPr>
              <w:jc w:val="right"/>
              <w:rPr>
                <w:rFonts w:ascii="Tahoma" w:hAnsi="Tahoma" w:cs="Tahoma"/>
                <w:sz w:val="20"/>
              </w:rPr>
            </w:pPr>
            <w:r>
              <w:rPr>
                <w:rFonts w:ascii="Tahoma" w:hAnsi="Tahoma" w:cs="Tahoma"/>
                <w:sz w:val="20"/>
              </w:rPr>
              <w:t>15,486,009,740,868</w:t>
            </w:r>
          </w:p>
          <w:p w14:paraId="79043F75" w14:textId="0F3458D5" w:rsidR="00AD69C1" w:rsidRPr="00D7296C" w:rsidRDefault="00AD69C1" w:rsidP="00CF1388">
            <w:pPr>
              <w:jc w:val="right"/>
              <w:rPr>
                <w:rFonts w:ascii="Tahoma" w:hAnsi="Tahoma" w:cs="Tahoma"/>
                <w:sz w:val="20"/>
              </w:rPr>
            </w:pPr>
          </w:p>
        </w:tc>
      </w:tr>
      <w:tr w:rsidR="00043FCE" w:rsidRPr="00D23AD2" w14:paraId="2A1EAA30" w14:textId="6ED6D068" w:rsidTr="00D7296C">
        <w:trPr>
          <w:trHeight w:val="431"/>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21BA" w14:textId="77777777"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số</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w:t>
            </w:r>
            <w:proofErr w:type="spellStart"/>
            <w:r w:rsidRPr="00D23AD2">
              <w:rPr>
                <w:color w:val="000000"/>
                <w:szCs w:val="22"/>
                <w:lang w:val="en-US"/>
              </w:rPr>
              <w:t>đang</w:t>
            </w:r>
            <w:proofErr w:type="spellEnd"/>
            <w:r w:rsidRPr="00D23AD2">
              <w:rPr>
                <w:color w:val="000000"/>
                <w:szCs w:val="22"/>
                <w:lang w:val="en-US"/>
              </w:rPr>
              <w:t xml:space="preserve"> </w:t>
            </w:r>
            <w:proofErr w:type="spellStart"/>
            <w:r w:rsidRPr="00D23AD2">
              <w:rPr>
                <w:color w:val="000000"/>
                <w:szCs w:val="22"/>
                <w:lang w:val="en-US"/>
              </w:rPr>
              <w:t>lưu</w:t>
            </w:r>
            <w:proofErr w:type="spellEnd"/>
            <w:r w:rsidRPr="00D23AD2">
              <w:rPr>
                <w:color w:val="000000"/>
                <w:szCs w:val="22"/>
                <w:lang w:val="en-US"/>
              </w:rPr>
              <w:t xml:space="preserve"> </w:t>
            </w:r>
            <w:proofErr w:type="spellStart"/>
            <w:r w:rsidRPr="00D23AD2">
              <w:rPr>
                <w:color w:val="000000"/>
                <w:szCs w:val="22"/>
                <w:lang w:val="en-US"/>
              </w:rPr>
              <w:t>hành</w:t>
            </w:r>
            <w:proofErr w:type="spellEnd"/>
            <w:r w:rsidRPr="00D23AD2">
              <w:rPr>
                <w:color w:val="000000"/>
                <w:szCs w:val="22"/>
                <w:lang w:val="en-US"/>
              </w:rPr>
              <w:t xml:space="preserve"> (VND)</w:t>
            </w:r>
          </w:p>
        </w:tc>
        <w:tc>
          <w:tcPr>
            <w:tcW w:w="1993" w:type="dxa"/>
            <w:tcBorders>
              <w:top w:val="single" w:sz="4" w:space="0" w:color="auto"/>
              <w:left w:val="single" w:sz="4" w:space="0" w:color="auto"/>
              <w:bottom w:val="single" w:sz="4" w:space="0" w:color="auto"/>
              <w:right w:val="single" w:sz="4" w:space="0" w:color="auto"/>
            </w:tcBorders>
            <w:vAlign w:val="bottom"/>
          </w:tcPr>
          <w:p w14:paraId="3CFA1D1B" w14:textId="77777777" w:rsidR="00AD69C1" w:rsidRDefault="00AD69C1" w:rsidP="00CF1388">
            <w:pPr>
              <w:keepLines w:val="0"/>
              <w:overflowPunct/>
              <w:autoSpaceDE/>
              <w:autoSpaceDN/>
              <w:adjustRightInd/>
              <w:jc w:val="right"/>
              <w:textAlignment w:val="auto"/>
              <w:rPr>
                <w:rFonts w:ascii="Tahoma" w:hAnsi="Tahoma" w:cs="Tahoma"/>
                <w:sz w:val="20"/>
              </w:rPr>
            </w:pPr>
          </w:p>
          <w:p w14:paraId="0D9D7F21" w14:textId="586F32BB" w:rsidR="00043FCE" w:rsidRPr="00402BB0" w:rsidRDefault="007C46BA" w:rsidP="00CF1388">
            <w:pPr>
              <w:keepLines w:val="0"/>
              <w:overflowPunct/>
              <w:autoSpaceDE/>
              <w:autoSpaceDN/>
              <w:adjustRightInd/>
              <w:jc w:val="right"/>
              <w:textAlignment w:val="auto"/>
              <w:rPr>
                <w:color w:val="000000"/>
                <w:szCs w:val="22"/>
              </w:rPr>
            </w:pPr>
            <w:r>
              <w:rPr>
                <w:rFonts w:ascii="Tahoma" w:hAnsi="Tahoma" w:cs="Tahoma"/>
                <w:sz w:val="20"/>
              </w:rPr>
              <w:t>518,300,000</w:t>
            </w:r>
          </w:p>
          <w:p w14:paraId="41538D15" w14:textId="7C848A8B" w:rsidR="00D7296C" w:rsidRPr="00A037E9" w:rsidRDefault="00D7296C" w:rsidP="00CF1388">
            <w:pPr>
              <w:keepLines w:val="0"/>
              <w:overflowPunct/>
              <w:autoSpaceDE/>
              <w:autoSpaceDN/>
              <w:adjustRightInd/>
              <w:jc w:val="right"/>
              <w:textAlignment w:val="auto"/>
              <w:rPr>
                <w:color w:val="000000"/>
                <w:szCs w:val="22"/>
              </w:rPr>
            </w:pPr>
          </w:p>
        </w:tc>
        <w:tc>
          <w:tcPr>
            <w:tcW w:w="2250" w:type="dxa"/>
            <w:tcBorders>
              <w:top w:val="single" w:sz="4" w:space="0" w:color="auto"/>
              <w:left w:val="single" w:sz="4" w:space="0" w:color="auto"/>
              <w:bottom w:val="single" w:sz="4" w:space="0" w:color="auto"/>
              <w:right w:val="single" w:sz="4" w:space="0" w:color="auto"/>
            </w:tcBorders>
            <w:vAlign w:val="bottom"/>
          </w:tcPr>
          <w:p w14:paraId="751E164F" w14:textId="399DC724" w:rsidR="00043FCE" w:rsidRDefault="00426859" w:rsidP="00CF1388">
            <w:pPr>
              <w:keepLines w:val="0"/>
              <w:overflowPunct/>
              <w:autoSpaceDE/>
              <w:autoSpaceDN/>
              <w:adjustRightInd/>
              <w:jc w:val="right"/>
              <w:textAlignment w:val="auto"/>
              <w:rPr>
                <w:rFonts w:ascii="Tahoma" w:hAnsi="Tahoma" w:cs="Tahoma"/>
                <w:sz w:val="20"/>
              </w:rPr>
            </w:pPr>
            <w:r>
              <w:rPr>
                <w:rFonts w:ascii="Tahoma" w:hAnsi="Tahoma" w:cs="Tahoma"/>
                <w:sz w:val="20"/>
              </w:rPr>
              <w:t xml:space="preserve">      </w:t>
            </w:r>
            <w:r w:rsidR="00043FCE">
              <w:rPr>
                <w:rFonts w:ascii="Tahoma" w:hAnsi="Tahoma" w:cs="Tahoma"/>
                <w:sz w:val="20"/>
              </w:rPr>
              <w:t>823,200,000</w:t>
            </w:r>
          </w:p>
          <w:p w14:paraId="02AD1F9A" w14:textId="18E58040" w:rsidR="00402BB0" w:rsidRPr="00573C16" w:rsidRDefault="00402BB0" w:rsidP="00CF1388">
            <w:pPr>
              <w:keepLines w:val="0"/>
              <w:overflowPunct/>
              <w:autoSpaceDE/>
              <w:autoSpaceDN/>
              <w:adjustRightInd/>
              <w:jc w:val="right"/>
              <w:textAlignment w:val="auto"/>
              <w:rPr>
                <w:color w:val="000000"/>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A885C" w14:textId="77777777" w:rsidR="00043FCE" w:rsidRDefault="00043FCE" w:rsidP="00CF1388">
            <w:pPr>
              <w:keepLines w:val="0"/>
              <w:overflowPunct/>
              <w:autoSpaceDE/>
              <w:autoSpaceDN/>
              <w:adjustRightInd/>
              <w:jc w:val="right"/>
              <w:textAlignment w:val="auto"/>
              <w:rPr>
                <w:rFonts w:ascii="Tahoma" w:hAnsi="Tahoma" w:cs="Tahoma"/>
                <w:sz w:val="20"/>
              </w:rPr>
            </w:pPr>
            <w:r>
              <w:rPr>
                <w:rFonts w:ascii="Tahoma" w:hAnsi="Tahoma" w:cs="Tahoma"/>
                <w:sz w:val="20"/>
              </w:rPr>
              <w:t>517,700,000</w:t>
            </w:r>
          </w:p>
          <w:p w14:paraId="43FCD2BB" w14:textId="3775D870" w:rsidR="00402BB0" w:rsidRPr="00573C16" w:rsidRDefault="00402BB0" w:rsidP="00CF1388">
            <w:pPr>
              <w:keepLines w:val="0"/>
              <w:overflowPunct/>
              <w:autoSpaceDE/>
              <w:autoSpaceDN/>
              <w:adjustRightInd/>
              <w:jc w:val="right"/>
              <w:textAlignment w:val="auto"/>
              <w:rPr>
                <w:color w:val="000000"/>
                <w:szCs w:val="22"/>
              </w:rPr>
            </w:pPr>
          </w:p>
        </w:tc>
      </w:tr>
      <w:tr w:rsidR="00043FCE" w:rsidRPr="00D23AD2" w14:paraId="3DE75AB9" w14:textId="7E59C3FB" w:rsidTr="00D7296C">
        <w:trPr>
          <w:trHeight w:val="773"/>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CB1A" w14:textId="77777777"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một</w:t>
            </w:r>
            <w:proofErr w:type="spellEnd"/>
            <w:r w:rsidRPr="00D23AD2">
              <w:rPr>
                <w:color w:val="000000"/>
                <w:szCs w:val="22"/>
                <w:lang w:val="en-US"/>
              </w:rPr>
              <w:t xml:space="preserve">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(CCQ) (VND)</w:t>
            </w:r>
          </w:p>
        </w:tc>
        <w:tc>
          <w:tcPr>
            <w:tcW w:w="1993" w:type="dxa"/>
            <w:tcBorders>
              <w:top w:val="single" w:sz="4" w:space="0" w:color="auto"/>
              <w:left w:val="single" w:sz="4" w:space="0" w:color="auto"/>
              <w:bottom w:val="single" w:sz="4" w:space="0" w:color="auto"/>
              <w:right w:val="single" w:sz="4" w:space="0" w:color="auto"/>
            </w:tcBorders>
            <w:vAlign w:val="center"/>
          </w:tcPr>
          <w:p w14:paraId="07CDEE4D" w14:textId="77777777" w:rsidR="00D7296C" w:rsidRDefault="00D7296C" w:rsidP="00CF1388">
            <w:pPr>
              <w:keepLines w:val="0"/>
              <w:overflowPunct/>
              <w:autoSpaceDE/>
              <w:autoSpaceDN/>
              <w:adjustRightInd/>
              <w:jc w:val="right"/>
              <w:textAlignment w:val="auto"/>
              <w:rPr>
                <w:color w:val="000000"/>
                <w:szCs w:val="22"/>
              </w:rPr>
            </w:pPr>
          </w:p>
          <w:p w14:paraId="34B2C7DE" w14:textId="5E8AA44C" w:rsidR="007C46BA" w:rsidRDefault="007C46BA" w:rsidP="00CF1388">
            <w:pPr>
              <w:keepLines w:val="0"/>
              <w:overflowPunct/>
              <w:autoSpaceDE/>
              <w:autoSpaceDN/>
              <w:adjustRightInd/>
              <w:jc w:val="right"/>
              <w:textAlignment w:val="auto"/>
              <w:rPr>
                <w:color w:val="000000"/>
                <w:szCs w:val="22"/>
                <w:lang w:val="en-US"/>
              </w:rPr>
            </w:pPr>
            <w:r>
              <w:rPr>
                <w:color w:val="000000"/>
                <w:szCs w:val="22"/>
              </w:rPr>
              <w:t>30,983.46</w:t>
            </w:r>
          </w:p>
          <w:p w14:paraId="7A86FBC4" w14:textId="66C6084B" w:rsidR="00043FCE" w:rsidRDefault="00043FCE" w:rsidP="00CF1388">
            <w:pPr>
              <w:keepLines w:val="0"/>
              <w:overflowPunct/>
              <w:autoSpaceDE/>
              <w:autoSpaceDN/>
              <w:adjustRightInd/>
              <w:jc w:val="right"/>
              <w:textAlignment w:val="auto"/>
              <w:rPr>
                <w:color w:val="000000"/>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501512D1" w14:textId="0F17BCE8" w:rsidR="00043FCE" w:rsidRPr="00A541E2" w:rsidRDefault="00043FCE" w:rsidP="00CF1388">
            <w:pPr>
              <w:keepLines w:val="0"/>
              <w:overflowPunct/>
              <w:autoSpaceDE/>
              <w:autoSpaceDN/>
              <w:adjustRightInd/>
              <w:jc w:val="right"/>
              <w:textAlignment w:val="auto"/>
              <w:rPr>
                <w:color w:val="000000"/>
                <w:szCs w:val="22"/>
              </w:rPr>
            </w:pPr>
            <w:r>
              <w:rPr>
                <w:color w:val="000000"/>
                <w:szCs w:val="22"/>
              </w:rPr>
              <w:t>22,406.40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39236" w14:textId="2D499B14" w:rsidR="00043FCE" w:rsidRPr="00D23AD2" w:rsidRDefault="00043FCE" w:rsidP="00CF1388">
            <w:pPr>
              <w:keepLines w:val="0"/>
              <w:overflowPunct/>
              <w:autoSpaceDE/>
              <w:autoSpaceDN/>
              <w:adjustRightInd/>
              <w:jc w:val="right"/>
              <w:textAlignment w:val="auto"/>
              <w:rPr>
                <w:color w:val="000000"/>
                <w:szCs w:val="22"/>
                <w:lang w:val="en-US"/>
              </w:rPr>
            </w:pPr>
            <w:r>
              <w:rPr>
                <w:color w:val="000000"/>
                <w:szCs w:val="22"/>
              </w:rPr>
              <w:t>29,913.09</w:t>
            </w:r>
          </w:p>
        </w:tc>
      </w:tr>
      <w:tr w:rsidR="00043FCE" w:rsidRPr="00D23AD2" w14:paraId="72A3CF6A" w14:textId="75F5EF04" w:rsidTr="00D7296C">
        <w:trPr>
          <w:trHeight w:val="665"/>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498A" w14:textId="77777777"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1993" w:type="dxa"/>
            <w:tcBorders>
              <w:top w:val="single" w:sz="4" w:space="0" w:color="auto"/>
              <w:left w:val="single" w:sz="4" w:space="0" w:color="auto"/>
              <w:bottom w:val="single" w:sz="4" w:space="0" w:color="auto"/>
              <w:right w:val="single" w:sz="4" w:space="0" w:color="auto"/>
            </w:tcBorders>
            <w:vAlign w:val="center"/>
          </w:tcPr>
          <w:p w14:paraId="3EA1C18A" w14:textId="77777777" w:rsidR="00D7296C" w:rsidRDefault="00D7296C" w:rsidP="00CF1388">
            <w:pPr>
              <w:keepLines w:val="0"/>
              <w:overflowPunct/>
              <w:autoSpaceDE/>
              <w:autoSpaceDN/>
              <w:adjustRightInd/>
              <w:jc w:val="right"/>
              <w:textAlignment w:val="auto"/>
              <w:rPr>
                <w:color w:val="000000"/>
                <w:szCs w:val="22"/>
              </w:rPr>
            </w:pPr>
          </w:p>
          <w:p w14:paraId="04F8136D" w14:textId="033C62AA" w:rsidR="007C46BA" w:rsidRDefault="007C46BA" w:rsidP="00CF1388">
            <w:pPr>
              <w:keepLines w:val="0"/>
              <w:overflowPunct/>
              <w:autoSpaceDE/>
              <w:autoSpaceDN/>
              <w:adjustRightInd/>
              <w:jc w:val="right"/>
              <w:textAlignment w:val="auto"/>
              <w:rPr>
                <w:color w:val="000000"/>
                <w:szCs w:val="22"/>
                <w:lang w:val="en-US"/>
              </w:rPr>
            </w:pPr>
            <w:r>
              <w:rPr>
                <w:color w:val="000000"/>
                <w:szCs w:val="22"/>
              </w:rPr>
              <w:t>31,008.22</w:t>
            </w:r>
          </w:p>
          <w:p w14:paraId="620D92BC" w14:textId="571A8B29" w:rsidR="00043FCE" w:rsidRDefault="00043FCE" w:rsidP="00CF1388">
            <w:pPr>
              <w:keepLines w:val="0"/>
              <w:overflowPunct/>
              <w:autoSpaceDE/>
              <w:autoSpaceDN/>
              <w:adjustRightInd/>
              <w:jc w:val="right"/>
              <w:textAlignment w:val="auto"/>
              <w:rPr>
                <w:color w:val="000000"/>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6447BF10" w14:textId="518250AD" w:rsidR="00043FCE" w:rsidRPr="007C4260" w:rsidRDefault="00043FCE" w:rsidP="00CF1388">
            <w:pPr>
              <w:keepLines w:val="0"/>
              <w:overflowPunct/>
              <w:autoSpaceDE/>
              <w:autoSpaceDN/>
              <w:adjustRightInd/>
              <w:jc w:val="right"/>
              <w:textAlignment w:val="auto"/>
              <w:rPr>
                <w:color w:val="000000"/>
                <w:szCs w:val="22"/>
                <w:lang w:val="en-US"/>
              </w:rPr>
            </w:pPr>
            <w:r>
              <w:rPr>
                <w:color w:val="000000"/>
                <w:szCs w:val="22"/>
              </w:rPr>
              <w:t>24,413.86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22746" w14:textId="1D3E7868" w:rsidR="00043FCE" w:rsidRPr="00D23AD2" w:rsidRDefault="00043FCE" w:rsidP="00CF1388">
            <w:pPr>
              <w:keepLines w:val="0"/>
              <w:overflowPunct/>
              <w:autoSpaceDE/>
              <w:autoSpaceDN/>
              <w:adjustRightInd/>
              <w:jc w:val="right"/>
              <w:textAlignment w:val="auto"/>
              <w:rPr>
                <w:color w:val="000000"/>
                <w:szCs w:val="22"/>
                <w:lang w:val="en-US"/>
              </w:rPr>
            </w:pPr>
            <w:r>
              <w:rPr>
                <w:color w:val="000000"/>
                <w:szCs w:val="22"/>
              </w:rPr>
              <w:t>29,913.09</w:t>
            </w:r>
          </w:p>
        </w:tc>
      </w:tr>
      <w:tr w:rsidR="00043FCE" w:rsidRPr="00D23AD2" w14:paraId="44A3997A" w14:textId="748ED865" w:rsidTr="00D7296C">
        <w:trPr>
          <w:trHeight w:val="557"/>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8FFFC" w14:textId="77777777"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1993" w:type="dxa"/>
            <w:tcBorders>
              <w:top w:val="single" w:sz="4" w:space="0" w:color="auto"/>
              <w:left w:val="single" w:sz="4" w:space="0" w:color="auto"/>
              <w:bottom w:val="single" w:sz="4" w:space="0" w:color="auto"/>
              <w:right w:val="single" w:sz="4" w:space="0" w:color="auto"/>
            </w:tcBorders>
            <w:vAlign w:val="center"/>
          </w:tcPr>
          <w:p w14:paraId="7FB577B6" w14:textId="77777777" w:rsidR="00D7296C" w:rsidRDefault="00D7296C" w:rsidP="00CF1388">
            <w:pPr>
              <w:keepLines w:val="0"/>
              <w:overflowPunct/>
              <w:autoSpaceDE/>
              <w:autoSpaceDN/>
              <w:adjustRightInd/>
              <w:jc w:val="right"/>
              <w:textAlignment w:val="auto"/>
              <w:rPr>
                <w:color w:val="000000"/>
                <w:szCs w:val="22"/>
              </w:rPr>
            </w:pPr>
          </w:p>
          <w:p w14:paraId="79CD2C33" w14:textId="56E73A53" w:rsidR="007C46BA" w:rsidRDefault="007C46BA" w:rsidP="00CF1388">
            <w:pPr>
              <w:keepLines w:val="0"/>
              <w:overflowPunct/>
              <w:autoSpaceDE/>
              <w:autoSpaceDN/>
              <w:adjustRightInd/>
              <w:jc w:val="right"/>
              <w:textAlignment w:val="auto"/>
              <w:rPr>
                <w:color w:val="000000"/>
                <w:szCs w:val="22"/>
                <w:lang w:val="en-US"/>
              </w:rPr>
            </w:pPr>
            <w:r>
              <w:rPr>
                <w:color w:val="000000"/>
                <w:szCs w:val="22"/>
              </w:rPr>
              <w:t>25,952.34</w:t>
            </w:r>
          </w:p>
          <w:p w14:paraId="03D54C46" w14:textId="5BA6F4E6" w:rsidR="00043FCE" w:rsidRDefault="00043FCE" w:rsidP="00CF1388">
            <w:pPr>
              <w:keepLines w:val="0"/>
              <w:overflowPunct/>
              <w:autoSpaceDE/>
              <w:autoSpaceDN/>
              <w:adjustRightInd/>
              <w:jc w:val="right"/>
              <w:textAlignment w:val="auto"/>
              <w:rPr>
                <w:color w:val="000000"/>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6DD0F3BE" w14:textId="45869F40" w:rsidR="00043FCE" w:rsidRPr="007C4260" w:rsidRDefault="00043FCE" w:rsidP="00CF1388">
            <w:pPr>
              <w:keepLines w:val="0"/>
              <w:overflowPunct/>
              <w:autoSpaceDE/>
              <w:autoSpaceDN/>
              <w:adjustRightInd/>
              <w:jc w:val="right"/>
              <w:textAlignment w:val="auto"/>
              <w:rPr>
                <w:color w:val="000000"/>
                <w:szCs w:val="22"/>
                <w:lang w:val="en-US"/>
              </w:rPr>
            </w:pPr>
            <w:r>
              <w:rPr>
                <w:color w:val="000000"/>
                <w:szCs w:val="22"/>
              </w:rPr>
              <w:t>21,759.12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B58D8" w14:textId="77777777" w:rsidR="00D7296C" w:rsidRDefault="00D7296C" w:rsidP="00CF1388">
            <w:pPr>
              <w:keepLines w:val="0"/>
              <w:overflowPunct/>
              <w:autoSpaceDE/>
              <w:autoSpaceDN/>
              <w:adjustRightInd/>
              <w:jc w:val="right"/>
              <w:textAlignment w:val="auto"/>
              <w:rPr>
                <w:color w:val="000000"/>
                <w:szCs w:val="22"/>
              </w:rPr>
            </w:pPr>
          </w:p>
          <w:p w14:paraId="615B3BC4" w14:textId="6FBE8118" w:rsidR="00043FCE" w:rsidRPr="00D00803" w:rsidRDefault="00043FCE" w:rsidP="00CF1388">
            <w:pPr>
              <w:keepLines w:val="0"/>
              <w:overflowPunct/>
              <w:autoSpaceDE/>
              <w:autoSpaceDN/>
              <w:adjustRightInd/>
              <w:jc w:val="right"/>
              <w:textAlignment w:val="auto"/>
              <w:rPr>
                <w:color w:val="000000"/>
                <w:szCs w:val="22"/>
              </w:rPr>
            </w:pPr>
            <w:r w:rsidRPr="00D00803">
              <w:rPr>
                <w:color w:val="000000"/>
                <w:szCs w:val="22"/>
              </w:rPr>
              <w:t>26,614.29</w:t>
            </w:r>
          </w:p>
          <w:p w14:paraId="1E611E5F" w14:textId="58982F4B" w:rsidR="00043FCE" w:rsidRPr="00D23AD2" w:rsidRDefault="00043FCE" w:rsidP="00CF1388">
            <w:pPr>
              <w:keepLines w:val="0"/>
              <w:overflowPunct/>
              <w:autoSpaceDE/>
              <w:autoSpaceDN/>
              <w:adjustRightInd/>
              <w:jc w:val="right"/>
              <w:textAlignment w:val="auto"/>
              <w:rPr>
                <w:color w:val="000000"/>
                <w:szCs w:val="22"/>
                <w:lang w:val="en-US"/>
              </w:rPr>
            </w:pPr>
          </w:p>
        </w:tc>
      </w:tr>
      <w:tr w:rsidR="00043FCE" w:rsidRPr="00D23AD2" w14:paraId="42334279" w14:textId="3F1F4276" w:rsidTr="00D7296C">
        <w:trPr>
          <w:trHeight w:val="90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C2FF" w14:textId="77777777"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tại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1993" w:type="dxa"/>
            <w:tcBorders>
              <w:top w:val="single" w:sz="4" w:space="0" w:color="auto"/>
              <w:left w:val="single" w:sz="4" w:space="0" w:color="auto"/>
              <w:bottom w:val="single" w:sz="4" w:space="0" w:color="auto"/>
              <w:right w:val="single" w:sz="4" w:space="0" w:color="auto"/>
            </w:tcBorders>
            <w:vAlign w:val="bottom"/>
          </w:tcPr>
          <w:p w14:paraId="3E070636" w14:textId="77777777" w:rsidR="007C46BA" w:rsidRPr="00D7296C" w:rsidRDefault="007C46BA" w:rsidP="00CF1388">
            <w:pPr>
              <w:keepLines w:val="0"/>
              <w:overflowPunct/>
              <w:autoSpaceDE/>
              <w:autoSpaceDN/>
              <w:adjustRightInd/>
              <w:jc w:val="right"/>
              <w:textAlignment w:val="auto"/>
              <w:rPr>
                <w:color w:val="000000"/>
                <w:szCs w:val="22"/>
              </w:rPr>
            </w:pPr>
            <w:r w:rsidRPr="00D7296C">
              <w:rPr>
                <w:color w:val="000000"/>
                <w:szCs w:val="22"/>
              </w:rPr>
              <w:t>31,380</w:t>
            </w:r>
          </w:p>
          <w:p w14:paraId="11932600" w14:textId="2479BFAF" w:rsidR="00043FCE" w:rsidRPr="007C4260" w:rsidRDefault="00043FCE" w:rsidP="00CF1388">
            <w:pPr>
              <w:keepLines w:val="0"/>
              <w:overflowPunct/>
              <w:autoSpaceDE/>
              <w:autoSpaceDN/>
              <w:adjustRightInd/>
              <w:jc w:val="right"/>
              <w:textAlignment w:val="auto"/>
              <w:rPr>
                <w:color w:val="000000"/>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6A8C8313" w14:textId="0410C126" w:rsidR="00043FCE" w:rsidRPr="007C4260" w:rsidRDefault="00043FCE" w:rsidP="00CF1388">
            <w:pPr>
              <w:keepLines w:val="0"/>
              <w:overflowPunct/>
              <w:autoSpaceDE/>
              <w:autoSpaceDN/>
              <w:adjustRightInd/>
              <w:jc w:val="right"/>
              <w:textAlignment w:val="auto"/>
              <w:rPr>
                <w:color w:val="000000"/>
                <w:szCs w:val="22"/>
              </w:rPr>
            </w:pPr>
            <w:r>
              <w:rPr>
                <w:color w:val="000000"/>
                <w:szCs w:val="22"/>
              </w:rPr>
              <w:t>22,470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E7459" w14:textId="77777777" w:rsidR="00043FCE" w:rsidRPr="00D00803" w:rsidRDefault="00043FCE" w:rsidP="00CF1388">
            <w:pPr>
              <w:keepLines w:val="0"/>
              <w:overflowPunct/>
              <w:autoSpaceDE/>
              <w:autoSpaceDN/>
              <w:adjustRightInd/>
              <w:jc w:val="right"/>
              <w:textAlignment w:val="auto"/>
              <w:rPr>
                <w:color w:val="000000"/>
                <w:szCs w:val="22"/>
              </w:rPr>
            </w:pPr>
            <w:r w:rsidRPr="00D00803">
              <w:rPr>
                <w:color w:val="000000"/>
                <w:szCs w:val="22"/>
              </w:rPr>
              <w:t>30,080</w:t>
            </w:r>
          </w:p>
          <w:p w14:paraId="699C9D21" w14:textId="0B2A0E26" w:rsidR="00043FCE" w:rsidRPr="007C4260" w:rsidRDefault="00043FCE" w:rsidP="00CF1388">
            <w:pPr>
              <w:keepLines w:val="0"/>
              <w:overflowPunct/>
              <w:autoSpaceDE/>
              <w:autoSpaceDN/>
              <w:adjustRightInd/>
              <w:jc w:val="right"/>
              <w:textAlignment w:val="auto"/>
              <w:rPr>
                <w:color w:val="000000"/>
                <w:szCs w:val="22"/>
                <w:lang w:val="en-US"/>
              </w:rPr>
            </w:pPr>
          </w:p>
        </w:tc>
      </w:tr>
      <w:tr w:rsidR="00043FCE" w:rsidRPr="00D23AD2" w14:paraId="0B1A4ED0" w14:textId="5E9A4C97" w:rsidTr="00D7296C">
        <w:trPr>
          <w:trHeight w:val="782"/>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9ED2E" w14:textId="77777777"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1993" w:type="dxa"/>
            <w:tcBorders>
              <w:top w:val="single" w:sz="4" w:space="0" w:color="auto"/>
              <w:left w:val="single" w:sz="4" w:space="0" w:color="auto"/>
              <w:bottom w:val="single" w:sz="4" w:space="0" w:color="auto"/>
              <w:right w:val="single" w:sz="4" w:space="0" w:color="auto"/>
            </w:tcBorders>
            <w:vAlign w:val="center"/>
          </w:tcPr>
          <w:p w14:paraId="1E90ECB4" w14:textId="74A7EB42" w:rsidR="00043FCE" w:rsidRPr="00792663" w:rsidRDefault="00792663" w:rsidP="00CF1388">
            <w:pPr>
              <w:keepLines w:val="0"/>
              <w:overflowPunct/>
              <w:autoSpaceDE/>
              <w:autoSpaceDN/>
              <w:adjustRightInd/>
              <w:jc w:val="right"/>
              <w:textAlignment w:val="auto"/>
              <w:rPr>
                <w:sz w:val="20"/>
                <w:lang w:val="en-US"/>
              </w:rPr>
            </w:pPr>
            <w:r>
              <w:rPr>
                <w:sz w:val="20"/>
              </w:rPr>
              <w:t>31,380</w:t>
            </w:r>
          </w:p>
        </w:tc>
        <w:tc>
          <w:tcPr>
            <w:tcW w:w="2250" w:type="dxa"/>
            <w:tcBorders>
              <w:top w:val="single" w:sz="4" w:space="0" w:color="auto"/>
              <w:left w:val="single" w:sz="4" w:space="0" w:color="auto"/>
              <w:bottom w:val="single" w:sz="4" w:space="0" w:color="auto"/>
              <w:right w:val="single" w:sz="4" w:space="0" w:color="auto"/>
            </w:tcBorders>
            <w:vAlign w:val="center"/>
          </w:tcPr>
          <w:p w14:paraId="68891637" w14:textId="38522DE2" w:rsidR="00043FCE" w:rsidRPr="007C4260" w:rsidRDefault="00043FCE" w:rsidP="00CF1388">
            <w:pPr>
              <w:keepLines w:val="0"/>
              <w:overflowPunct/>
              <w:autoSpaceDE/>
              <w:autoSpaceDN/>
              <w:adjustRightInd/>
              <w:jc w:val="right"/>
              <w:textAlignment w:val="auto"/>
              <w:rPr>
                <w:color w:val="000000"/>
                <w:szCs w:val="22"/>
              </w:rPr>
            </w:pPr>
            <w:r>
              <w:rPr>
                <w:color w:val="000000"/>
                <w:szCs w:val="22"/>
              </w:rPr>
              <w:t>24,460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3C14A" w14:textId="77777777" w:rsidR="00043FCE" w:rsidRPr="00D00803" w:rsidRDefault="00043FCE" w:rsidP="00CF1388">
            <w:pPr>
              <w:keepLines w:val="0"/>
              <w:overflowPunct/>
              <w:autoSpaceDE/>
              <w:autoSpaceDN/>
              <w:adjustRightInd/>
              <w:jc w:val="right"/>
              <w:textAlignment w:val="auto"/>
              <w:rPr>
                <w:color w:val="000000"/>
                <w:szCs w:val="22"/>
              </w:rPr>
            </w:pPr>
            <w:r w:rsidRPr="00D00803">
              <w:rPr>
                <w:color w:val="000000"/>
                <w:szCs w:val="22"/>
              </w:rPr>
              <w:t>30,080</w:t>
            </w:r>
          </w:p>
          <w:p w14:paraId="1D5CD3A8" w14:textId="43B70FBE" w:rsidR="00043FCE" w:rsidRPr="007C4260" w:rsidRDefault="00043FCE" w:rsidP="00CF1388">
            <w:pPr>
              <w:jc w:val="right"/>
              <w:rPr>
                <w:szCs w:val="22"/>
                <w:lang w:val="en-US"/>
              </w:rPr>
            </w:pPr>
          </w:p>
        </w:tc>
      </w:tr>
      <w:tr w:rsidR="00043FCE" w:rsidRPr="00D23AD2" w14:paraId="4B739E9D" w14:textId="20265F50" w:rsidTr="00D7296C">
        <w:trPr>
          <w:trHeight w:val="80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4A0" w14:textId="77777777"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1993" w:type="dxa"/>
            <w:tcBorders>
              <w:top w:val="single" w:sz="4" w:space="0" w:color="auto"/>
              <w:left w:val="single" w:sz="4" w:space="0" w:color="auto"/>
              <w:bottom w:val="single" w:sz="4" w:space="0" w:color="auto"/>
              <w:right w:val="single" w:sz="4" w:space="0" w:color="auto"/>
            </w:tcBorders>
            <w:vAlign w:val="center"/>
          </w:tcPr>
          <w:p w14:paraId="73188549" w14:textId="27FB3A93" w:rsidR="00043FCE" w:rsidRPr="00792663" w:rsidRDefault="00792663" w:rsidP="00CF1388">
            <w:pPr>
              <w:keepLines w:val="0"/>
              <w:overflowPunct/>
              <w:autoSpaceDE/>
              <w:autoSpaceDN/>
              <w:adjustRightInd/>
              <w:jc w:val="right"/>
              <w:textAlignment w:val="auto"/>
              <w:rPr>
                <w:color w:val="000000"/>
                <w:szCs w:val="22"/>
                <w:lang w:val="en-US"/>
              </w:rPr>
            </w:pPr>
            <w:r>
              <w:rPr>
                <w:color w:val="000000"/>
                <w:szCs w:val="22"/>
              </w:rPr>
              <w:t>26,030</w:t>
            </w:r>
          </w:p>
        </w:tc>
        <w:tc>
          <w:tcPr>
            <w:tcW w:w="2250" w:type="dxa"/>
            <w:tcBorders>
              <w:top w:val="single" w:sz="4" w:space="0" w:color="auto"/>
              <w:left w:val="single" w:sz="4" w:space="0" w:color="auto"/>
              <w:bottom w:val="single" w:sz="4" w:space="0" w:color="auto"/>
              <w:right w:val="single" w:sz="4" w:space="0" w:color="auto"/>
            </w:tcBorders>
            <w:vAlign w:val="center"/>
          </w:tcPr>
          <w:p w14:paraId="4ADFD441" w14:textId="1C7B28D9" w:rsidR="00043FCE" w:rsidRPr="00573C16" w:rsidRDefault="00043FCE" w:rsidP="00CF1388">
            <w:pPr>
              <w:keepLines w:val="0"/>
              <w:overflowPunct/>
              <w:autoSpaceDE/>
              <w:autoSpaceDN/>
              <w:adjustRightInd/>
              <w:jc w:val="right"/>
              <w:textAlignment w:val="auto"/>
              <w:rPr>
                <w:color w:val="000000"/>
                <w:szCs w:val="22"/>
              </w:rPr>
            </w:pPr>
            <w:r>
              <w:rPr>
                <w:color w:val="000000"/>
                <w:szCs w:val="22"/>
              </w:rPr>
              <w:t>21,700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CA48C" w14:textId="77777777" w:rsidR="00043FCE" w:rsidRPr="00D00803" w:rsidRDefault="00043FCE" w:rsidP="00CF1388">
            <w:pPr>
              <w:keepLines w:val="0"/>
              <w:overflowPunct/>
              <w:autoSpaceDE/>
              <w:autoSpaceDN/>
              <w:adjustRightInd/>
              <w:jc w:val="right"/>
              <w:textAlignment w:val="auto"/>
              <w:rPr>
                <w:color w:val="000000"/>
                <w:szCs w:val="22"/>
              </w:rPr>
            </w:pPr>
            <w:r w:rsidRPr="00D00803">
              <w:rPr>
                <w:color w:val="000000"/>
                <w:szCs w:val="22"/>
              </w:rPr>
              <w:t>26,690</w:t>
            </w:r>
          </w:p>
          <w:p w14:paraId="54AB7767" w14:textId="3BDAD510" w:rsidR="00043FCE" w:rsidRPr="00573C16" w:rsidRDefault="00043FCE" w:rsidP="00CF1388">
            <w:pPr>
              <w:jc w:val="right"/>
              <w:rPr>
                <w:szCs w:val="22"/>
                <w:lang w:val="en-US"/>
              </w:rPr>
            </w:pPr>
          </w:p>
        </w:tc>
      </w:tr>
      <w:tr w:rsidR="00043FCE" w:rsidRPr="00D23AD2" w14:paraId="0E504D73" w14:textId="1320886B" w:rsidTr="00D7296C">
        <w:trPr>
          <w:trHeight w:val="521"/>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C3CE" w14:textId="77777777"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tăng</w:t>
            </w:r>
            <w:proofErr w:type="spellEnd"/>
            <w:r w:rsidRPr="00D23AD2">
              <w:rPr>
                <w:color w:val="000000"/>
                <w:szCs w:val="22"/>
                <w:lang w:val="en-US"/>
              </w:rPr>
              <w:t xml:space="preserve"> </w:t>
            </w:r>
            <w:proofErr w:type="spellStart"/>
            <w:r w:rsidRPr="00D23AD2">
              <w:rPr>
                <w:color w:val="000000"/>
                <w:szCs w:val="22"/>
                <w:lang w:val="en-US"/>
              </w:rPr>
              <w:t>trưởng</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w:t>
            </w:r>
          </w:p>
        </w:tc>
        <w:tc>
          <w:tcPr>
            <w:tcW w:w="1993" w:type="dxa"/>
            <w:tcBorders>
              <w:top w:val="single" w:sz="4" w:space="0" w:color="auto"/>
              <w:left w:val="single" w:sz="4" w:space="0" w:color="auto"/>
              <w:bottom w:val="single" w:sz="4" w:space="0" w:color="auto"/>
              <w:right w:val="single" w:sz="4" w:space="0" w:color="auto"/>
            </w:tcBorders>
            <w:vAlign w:val="center"/>
          </w:tcPr>
          <w:p w14:paraId="323B4445" w14:textId="5F8B7CC7" w:rsidR="00043FCE" w:rsidRDefault="00792663" w:rsidP="00CF1388">
            <w:pPr>
              <w:keepLines w:val="0"/>
              <w:overflowPunct/>
              <w:autoSpaceDE/>
              <w:autoSpaceDN/>
              <w:adjustRightInd/>
              <w:jc w:val="right"/>
              <w:textAlignment w:val="auto"/>
              <w:rPr>
                <w:color w:val="000000"/>
                <w:szCs w:val="22"/>
                <w:lang w:val="en-US"/>
              </w:rPr>
            </w:pPr>
            <w:r>
              <w:rPr>
                <w:color w:val="000000"/>
                <w:szCs w:val="22"/>
              </w:rPr>
              <w:t>19.38</w:t>
            </w:r>
            <w:r w:rsidR="00043FCE">
              <w:rPr>
                <w:color w:val="000000"/>
                <w:szCs w:val="22"/>
              </w:rPr>
              <w:t>%</w:t>
            </w:r>
          </w:p>
          <w:p w14:paraId="31B5E182" w14:textId="75577AEF" w:rsidR="00043FCE" w:rsidRDefault="00043FCE" w:rsidP="00CF1388">
            <w:pPr>
              <w:keepLines w:val="0"/>
              <w:overflowPunct/>
              <w:autoSpaceDE/>
              <w:autoSpaceDN/>
              <w:adjustRightInd/>
              <w:jc w:val="right"/>
              <w:textAlignment w:val="auto"/>
              <w:rPr>
                <w:color w:val="000000"/>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05291E59" w14:textId="2CB1719E" w:rsidR="00043FCE" w:rsidRDefault="00043FCE" w:rsidP="00CF1388">
            <w:pPr>
              <w:keepLines w:val="0"/>
              <w:overflowPunct/>
              <w:autoSpaceDE/>
              <w:autoSpaceDN/>
              <w:adjustRightInd/>
              <w:jc w:val="right"/>
              <w:textAlignment w:val="auto"/>
              <w:rPr>
                <w:color w:val="000000"/>
                <w:szCs w:val="22"/>
              </w:rPr>
            </w:pPr>
            <w:r>
              <w:rPr>
                <w:color w:val="000000"/>
                <w:szCs w:val="22"/>
              </w:rPr>
              <w:t>0.33%</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89C7659" w14:textId="46B42168" w:rsidR="00043FCE" w:rsidRPr="00D23AD2" w:rsidRDefault="00043FCE" w:rsidP="00CF1388">
            <w:pPr>
              <w:keepLines w:val="0"/>
              <w:overflowPunct/>
              <w:autoSpaceDE/>
              <w:autoSpaceDN/>
              <w:adjustRightInd/>
              <w:jc w:val="right"/>
              <w:textAlignment w:val="auto"/>
              <w:rPr>
                <w:color w:val="000000"/>
                <w:szCs w:val="22"/>
                <w:lang w:val="en-US"/>
              </w:rPr>
            </w:pPr>
            <w:r>
              <w:rPr>
                <w:color w:val="000000"/>
                <w:szCs w:val="22"/>
              </w:rPr>
              <w:t>6.23%</w:t>
            </w:r>
          </w:p>
        </w:tc>
      </w:tr>
      <w:tr w:rsidR="00043FCE" w:rsidRPr="00D23AD2" w14:paraId="0A7A5F4D" w14:textId="37EF8CD1" w:rsidTr="00D7296C">
        <w:trPr>
          <w:trHeight w:val="120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DB5E" w14:textId="77777777" w:rsidR="00043FCE" w:rsidRPr="00D23AD2" w:rsidRDefault="00043FCE" w:rsidP="00043FCE">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vốn</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(Thay </w:t>
            </w:r>
            <w:proofErr w:type="spellStart"/>
            <w:r w:rsidRPr="00D23AD2">
              <w:rPr>
                <w:i/>
                <w:iCs/>
                <w:color w:val="000000"/>
                <w:szCs w:val="22"/>
                <w:lang w:val="en-US"/>
              </w:rPr>
              <w:t>đổi</w:t>
            </w:r>
            <w:proofErr w:type="spellEnd"/>
            <w:r w:rsidRPr="00D23AD2">
              <w:rPr>
                <w:i/>
                <w:iCs/>
                <w:color w:val="000000"/>
                <w:szCs w:val="22"/>
                <w:lang w:val="en-US"/>
              </w:rPr>
              <w:t xml:space="preserve"> do </w:t>
            </w:r>
            <w:proofErr w:type="spellStart"/>
            <w:r w:rsidRPr="00D23AD2">
              <w:rPr>
                <w:i/>
                <w:iCs/>
                <w:color w:val="000000"/>
                <w:szCs w:val="22"/>
                <w:lang w:val="en-US"/>
              </w:rPr>
              <w:t>biến</w:t>
            </w:r>
            <w:proofErr w:type="spellEnd"/>
            <w:r w:rsidRPr="00D23AD2">
              <w:rPr>
                <w:i/>
                <w:iCs/>
                <w:color w:val="000000"/>
                <w:szCs w:val="22"/>
                <w:lang w:val="en-US"/>
              </w:rPr>
              <w:t xml:space="preserve"> </w:t>
            </w:r>
            <w:proofErr w:type="spellStart"/>
            <w:r w:rsidRPr="00D23AD2">
              <w:rPr>
                <w:i/>
                <w:iCs/>
                <w:color w:val="000000"/>
                <w:szCs w:val="22"/>
                <w:lang w:val="en-US"/>
              </w:rPr>
              <w:t>động</w:t>
            </w:r>
            <w:proofErr w:type="spellEnd"/>
            <w:r w:rsidRPr="00D23AD2">
              <w:rPr>
                <w:i/>
                <w:iCs/>
                <w:color w:val="000000"/>
                <w:szCs w:val="22"/>
                <w:lang w:val="en-US"/>
              </w:rPr>
              <w:t xml:space="preserve"> </w:t>
            </w:r>
            <w:proofErr w:type="spellStart"/>
            <w:r w:rsidRPr="00D23AD2">
              <w:rPr>
                <w:i/>
                <w:iCs/>
                <w:color w:val="000000"/>
                <w:szCs w:val="22"/>
                <w:lang w:val="en-US"/>
              </w:rPr>
              <w:t>giá</w:t>
            </w:r>
            <w:proofErr w:type="spellEnd"/>
            <w:r w:rsidRPr="00D23AD2">
              <w:rPr>
                <w:i/>
                <w:iCs/>
                <w:color w:val="000000"/>
                <w:szCs w:val="22"/>
                <w:lang w:val="en-US"/>
              </w:rPr>
              <w:t>)</w:t>
            </w:r>
          </w:p>
        </w:tc>
        <w:tc>
          <w:tcPr>
            <w:tcW w:w="1993" w:type="dxa"/>
            <w:tcBorders>
              <w:top w:val="single" w:sz="4" w:space="0" w:color="auto"/>
              <w:left w:val="single" w:sz="4" w:space="0" w:color="auto"/>
              <w:bottom w:val="single" w:sz="4" w:space="0" w:color="auto"/>
              <w:right w:val="single" w:sz="4" w:space="0" w:color="auto"/>
            </w:tcBorders>
            <w:vAlign w:val="center"/>
          </w:tcPr>
          <w:p w14:paraId="7BB5C747" w14:textId="371A7B80" w:rsidR="00043FCE" w:rsidRDefault="00792663" w:rsidP="00CF1388">
            <w:pPr>
              <w:keepLines w:val="0"/>
              <w:overflowPunct/>
              <w:autoSpaceDE/>
              <w:autoSpaceDN/>
              <w:adjustRightInd/>
              <w:jc w:val="right"/>
              <w:textAlignment w:val="auto"/>
              <w:rPr>
                <w:color w:val="000000"/>
                <w:szCs w:val="22"/>
                <w:lang w:val="en-US"/>
              </w:rPr>
            </w:pPr>
            <w:r>
              <w:rPr>
                <w:color w:val="000000"/>
                <w:szCs w:val="22"/>
              </w:rPr>
              <w:t>12.71</w:t>
            </w:r>
            <w:r w:rsidR="00043FCE">
              <w:rPr>
                <w:color w:val="000000"/>
                <w:szCs w:val="22"/>
              </w:rPr>
              <w:t>%</w:t>
            </w:r>
          </w:p>
          <w:p w14:paraId="6D8B280C" w14:textId="381407D4" w:rsidR="00043FCE" w:rsidRDefault="00043FCE" w:rsidP="00CF1388">
            <w:pPr>
              <w:keepLines w:val="0"/>
              <w:overflowPunct/>
              <w:autoSpaceDE/>
              <w:autoSpaceDN/>
              <w:adjustRightInd/>
              <w:jc w:val="right"/>
              <w:textAlignment w:val="auto"/>
              <w:rPr>
                <w:color w:val="000000"/>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19A53E0C" w14:textId="73BC42EC" w:rsidR="00043FCE" w:rsidRDefault="00043FCE" w:rsidP="00CF1388">
            <w:pPr>
              <w:keepLines w:val="0"/>
              <w:overflowPunct/>
              <w:autoSpaceDE/>
              <w:autoSpaceDN/>
              <w:adjustRightInd/>
              <w:jc w:val="right"/>
              <w:textAlignment w:val="auto"/>
              <w:rPr>
                <w:color w:val="000000"/>
                <w:szCs w:val="22"/>
              </w:rPr>
            </w:pPr>
            <w:r>
              <w:rPr>
                <w:color w:val="000000"/>
                <w:szCs w:val="22"/>
              </w:rPr>
              <w:t>-0.0</w:t>
            </w:r>
            <w:r w:rsidR="00426859">
              <w:rPr>
                <w:color w:val="000000"/>
                <w:szCs w:val="22"/>
              </w:rPr>
              <w:t>3</w:t>
            </w:r>
            <w:r>
              <w:rPr>
                <w:color w:val="000000"/>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D676D87" w14:textId="4AB07096" w:rsidR="00043FCE" w:rsidRPr="00D23AD2" w:rsidRDefault="00043FCE" w:rsidP="00CF1388">
            <w:pPr>
              <w:keepLines w:val="0"/>
              <w:overflowPunct/>
              <w:autoSpaceDE/>
              <w:autoSpaceDN/>
              <w:adjustRightInd/>
              <w:jc w:val="right"/>
              <w:textAlignment w:val="auto"/>
              <w:rPr>
                <w:color w:val="000000"/>
                <w:szCs w:val="22"/>
                <w:lang w:val="en-US"/>
              </w:rPr>
            </w:pPr>
            <w:r>
              <w:rPr>
                <w:color w:val="000000"/>
                <w:szCs w:val="22"/>
              </w:rPr>
              <w:t>3.45%</w:t>
            </w:r>
          </w:p>
        </w:tc>
      </w:tr>
      <w:tr w:rsidR="00043FCE" w:rsidRPr="00D23AD2" w14:paraId="1BAEF2B9" w14:textId="41C3BEFB" w:rsidTr="00D7296C">
        <w:trPr>
          <w:trHeight w:val="120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043FCE" w:rsidRPr="00D23AD2" w:rsidRDefault="00043FCE" w:rsidP="00043FCE">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lastRenderedPageBreak/>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w:t>
            </w:r>
            <w:proofErr w:type="spellStart"/>
            <w:r w:rsidRPr="00D23AD2">
              <w:rPr>
                <w:i/>
                <w:iCs/>
                <w:color w:val="000000"/>
                <w:szCs w:val="22"/>
                <w:lang w:val="en-US"/>
              </w:rPr>
              <w:t>Tính</w:t>
            </w:r>
            <w:proofErr w:type="spellEnd"/>
            <w:r w:rsidRPr="00D23AD2">
              <w:rPr>
                <w:i/>
                <w:iCs/>
                <w:color w:val="000000"/>
                <w:szCs w:val="22"/>
                <w:lang w:val="en-US"/>
              </w:rPr>
              <w:t xml:space="preserve"> </w:t>
            </w:r>
            <w:proofErr w:type="spellStart"/>
            <w:r w:rsidRPr="00D23AD2">
              <w:rPr>
                <w:i/>
                <w:iCs/>
                <w:color w:val="000000"/>
                <w:szCs w:val="22"/>
                <w:lang w:val="en-US"/>
              </w:rPr>
              <w:t>trên</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w:t>
            </w:r>
            <w:proofErr w:type="spellStart"/>
            <w:r w:rsidRPr="00D23AD2">
              <w:rPr>
                <w:i/>
                <w:iCs/>
                <w:color w:val="000000"/>
                <w:szCs w:val="22"/>
                <w:lang w:val="en-US"/>
              </w:rPr>
              <w:t>đã</w:t>
            </w:r>
            <w:proofErr w:type="spellEnd"/>
            <w:r w:rsidRPr="00D23AD2">
              <w:rPr>
                <w:i/>
                <w:iCs/>
                <w:color w:val="000000"/>
                <w:szCs w:val="22"/>
                <w:lang w:val="en-US"/>
              </w:rPr>
              <w:t xml:space="preserve"> </w:t>
            </w:r>
            <w:proofErr w:type="spellStart"/>
            <w:r w:rsidRPr="00D23AD2">
              <w:rPr>
                <w:i/>
                <w:iCs/>
                <w:color w:val="000000"/>
                <w:szCs w:val="22"/>
                <w:lang w:val="en-US"/>
              </w:rPr>
              <w:t>thực</w:t>
            </w:r>
            <w:proofErr w:type="spellEnd"/>
            <w:r w:rsidRPr="00D23AD2">
              <w:rPr>
                <w:i/>
                <w:iCs/>
                <w:color w:val="000000"/>
                <w:szCs w:val="22"/>
                <w:lang w:val="en-US"/>
              </w:rPr>
              <w:t xml:space="preserve"> </w:t>
            </w:r>
            <w:proofErr w:type="spellStart"/>
            <w:r w:rsidRPr="00D23AD2">
              <w:rPr>
                <w:i/>
                <w:iCs/>
                <w:color w:val="000000"/>
                <w:szCs w:val="22"/>
                <w:lang w:val="en-US"/>
              </w:rPr>
              <w:t>hiện</w:t>
            </w:r>
            <w:proofErr w:type="spellEnd"/>
            <w:r w:rsidRPr="00D23AD2">
              <w:rPr>
                <w:i/>
                <w:iCs/>
                <w:color w:val="000000"/>
                <w:szCs w:val="22"/>
                <w:lang w:val="en-US"/>
              </w:rPr>
              <w:t>)</w:t>
            </w:r>
          </w:p>
        </w:tc>
        <w:tc>
          <w:tcPr>
            <w:tcW w:w="1993" w:type="dxa"/>
            <w:tcBorders>
              <w:top w:val="single" w:sz="4" w:space="0" w:color="auto"/>
              <w:left w:val="single" w:sz="4" w:space="0" w:color="auto"/>
              <w:bottom w:val="single" w:sz="4" w:space="0" w:color="auto"/>
              <w:right w:val="single" w:sz="4" w:space="0" w:color="auto"/>
            </w:tcBorders>
            <w:vAlign w:val="center"/>
          </w:tcPr>
          <w:p w14:paraId="766D1709" w14:textId="6196775F" w:rsidR="00043FCE" w:rsidRPr="00972C70" w:rsidRDefault="00792663" w:rsidP="00CF1388">
            <w:pPr>
              <w:keepLines w:val="0"/>
              <w:overflowPunct/>
              <w:autoSpaceDE/>
              <w:autoSpaceDN/>
              <w:adjustRightInd/>
              <w:jc w:val="right"/>
              <w:textAlignment w:val="auto"/>
              <w:rPr>
                <w:color w:val="000000"/>
                <w:szCs w:val="22"/>
                <w:lang w:val="en-US"/>
              </w:rPr>
            </w:pPr>
            <w:r>
              <w:rPr>
                <w:color w:val="000000"/>
                <w:szCs w:val="22"/>
              </w:rPr>
              <w:t>6.67</w:t>
            </w:r>
            <w:r w:rsidR="00043FCE">
              <w:rPr>
                <w:color w:val="000000"/>
                <w:szCs w:val="22"/>
              </w:rPr>
              <w:t>%</w:t>
            </w:r>
          </w:p>
        </w:tc>
        <w:tc>
          <w:tcPr>
            <w:tcW w:w="2250" w:type="dxa"/>
            <w:tcBorders>
              <w:top w:val="single" w:sz="4" w:space="0" w:color="auto"/>
              <w:left w:val="single" w:sz="4" w:space="0" w:color="auto"/>
              <w:bottom w:val="single" w:sz="4" w:space="0" w:color="auto"/>
              <w:right w:val="single" w:sz="4" w:space="0" w:color="auto"/>
            </w:tcBorders>
            <w:vAlign w:val="center"/>
          </w:tcPr>
          <w:p w14:paraId="7E18C302" w14:textId="2C9662F1" w:rsidR="00043FCE" w:rsidRPr="00972C70" w:rsidRDefault="00043FCE" w:rsidP="00CF1388">
            <w:pPr>
              <w:keepLines w:val="0"/>
              <w:overflowPunct/>
              <w:autoSpaceDE/>
              <w:autoSpaceDN/>
              <w:adjustRightInd/>
              <w:jc w:val="right"/>
              <w:textAlignment w:val="auto"/>
              <w:rPr>
                <w:color w:val="000000"/>
                <w:szCs w:val="22"/>
                <w:lang w:val="en-US"/>
              </w:rPr>
            </w:pPr>
            <w:r>
              <w:rPr>
                <w:color w:val="000000"/>
                <w:szCs w:val="22"/>
              </w:rPr>
              <w:t>0.36%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6C06" w14:textId="6308A885" w:rsidR="00043FCE" w:rsidRPr="00D23AD2" w:rsidRDefault="00043FCE" w:rsidP="00CF1388">
            <w:pPr>
              <w:keepLines w:val="0"/>
              <w:overflowPunct/>
              <w:autoSpaceDE/>
              <w:autoSpaceDN/>
              <w:adjustRightInd/>
              <w:jc w:val="right"/>
              <w:textAlignment w:val="auto"/>
              <w:rPr>
                <w:color w:val="000000"/>
                <w:szCs w:val="22"/>
                <w:lang w:val="en-US"/>
              </w:rPr>
            </w:pPr>
            <w:r>
              <w:rPr>
                <w:color w:val="000000"/>
                <w:szCs w:val="22"/>
              </w:rPr>
              <w:t>2.79%</w:t>
            </w:r>
          </w:p>
        </w:tc>
      </w:tr>
      <w:tr w:rsidR="00043FCE" w:rsidRPr="00D23AD2" w14:paraId="51D7A0F7" w14:textId="5F8ABD4D" w:rsidTr="00D7296C">
        <w:trPr>
          <w:trHeight w:val="60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gộp</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vị CCQ (VND)</w:t>
            </w:r>
          </w:p>
        </w:tc>
        <w:tc>
          <w:tcPr>
            <w:tcW w:w="1993" w:type="dxa"/>
            <w:tcBorders>
              <w:top w:val="single" w:sz="4" w:space="0" w:color="auto"/>
              <w:left w:val="single" w:sz="4" w:space="0" w:color="auto"/>
              <w:bottom w:val="single" w:sz="4" w:space="0" w:color="auto"/>
              <w:right w:val="single" w:sz="4" w:space="0" w:color="auto"/>
            </w:tcBorders>
            <w:vAlign w:val="center"/>
          </w:tcPr>
          <w:p w14:paraId="3F52B5F3" w14:textId="279F1D3B" w:rsidR="00043FCE" w:rsidRPr="00D23AD2" w:rsidRDefault="00043FCE" w:rsidP="00CF1388">
            <w:pPr>
              <w:keepLines w:val="0"/>
              <w:overflowPunct/>
              <w:autoSpaceDE/>
              <w:autoSpaceDN/>
              <w:adjustRightInd/>
              <w:jc w:val="right"/>
              <w:textAlignment w:val="auto"/>
            </w:pPr>
            <w:r>
              <w:rPr>
                <w:color w:val="000000"/>
                <w:szCs w:val="22"/>
              </w:rPr>
              <w:t xml:space="preserve">         </w:t>
            </w:r>
            <w:proofErr w:type="spellStart"/>
            <w:r>
              <w:rPr>
                <w:color w:val="000000"/>
                <w:szCs w:val="22"/>
              </w:rPr>
              <w:t>Không</w:t>
            </w:r>
            <w:proofErr w:type="spellEnd"/>
            <w:r>
              <w:rPr>
                <w:color w:val="000000"/>
                <w:szCs w:val="22"/>
              </w:rPr>
              <w:t xml:space="preserve"> </w:t>
            </w:r>
            <w:proofErr w:type="spellStart"/>
            <w:r>
              <w:rPr>
                <w:color w:val="000000"/>
                <w:szCs w:val="22"/>
              </w:rPr>
              <w:t>có</w:t>
            </w:r>
            <w:proofErr w:type="spellEnd"/>
          </w:p>
        </w:tc>
        <w:tc>
          <w:tcPr>
            <w:tcW w:w="2250" w:type="dxa"/>
            <w:tcBorders>
              <w:top w:val="single" w:sz="4" w:space="0" w:color="auto"/>
              <w:left w:val="single" w:sz="4" w:space="0" w:color="auto"/>
              <w:bottom w:val="single" w:sz="4" w:space="0" w:color="auto"/>
              <w:right w:val="single" w:sz="4" w:space="0" w:color="auto"/>
            </w:tcBorders>
            <w:vAlign w:val="center"/>
          </w:tcPr>
          <w:p w14:paraId="2E703650" w14:textId="5619EB2E" w:rsidR="00043FCE" w:rsidRPr="00573C16" w:rsidRDefault="00043FCE" w:rsidP="00CF1388">
            <w:pPr>
              <w:keepLines w:val="0"/>
              <w:overflowPunct/>
              <w:autoSpaceDE/>
              <w:autoSpaceDN/>
              <w:adjustRightInd/>
              <w:jc w:val="right"/>
              <w:textAlignment w:val="auto"/>
              <w:rPr>
                <w:color w:val="000000"/>
                <w:szCs w:val="22"/>
              </w:rPr>
            </w:pPr>
            <w:proofErr w:type="spellStart"/>
            <w:r>
              <w:t>Không</w:t>
            </w:r>
            <w:proofErr w:type="spellEnd"/>
            <w:r>
              <w:t xml:space="preserve"> </w:t>
            </w:r>
            <w:proofErr w:type="spellStart"/>
            <w:r>
              <w:t>có</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EF10" w14:textId="7109FF83" w:rsidR="00043FCE" w:rsidRPr="00D23AD2" w:rsidRDefault="00043FCE" w:rsidP="00CF1388">
            <w:pPr>
              <w:keepLines w:val="0"/>
              <w:overflowPunct/>
              <w:autoSpaceDE/>
              <w:autoSpaceDN/>
              <w:adjustRightInd/>
              <w:jc w:val="right"/>
              <w:textAlignment w:val="auto"/>
              <w:rPr>
                <w:color w:val="000000"/>
                <w:szCs w:val="22"/>
                <w:lang w:val="en-US"/>
              </w:rPr>
            </w:pPr>
            <w:proofErr w:type="spellStart"/>
            <w:r>
              <w:t>Không</w:t>
            </w:r>
            <w:proofErr w:type="spellEnd"/>
            <w:r>
              <w:t xml:space="preserve"> </w:t>
            </w:r>
            <w:proofErr w:type="spellStart"/>
            <w:r>
              <w:t>có</w:t>
            </w:r>
            <w:proofErr w:type="spellEnd"/>
          </w:p>
        </w:tc>
      </w:tr>
      <w:tr w:rsidR="00043FCE" w:rsidRPr="00D23AD2" w14:paraId="3841D836" w14:textId="09C3701D" w:rsidTr="00D7296C">
        <w:trPr>
          <w:trHeight w:val="600"/>
        </w:trPr>
        <w:tc>
          <w:tcPr>
            <w:tcW w:w="2772"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vị CCQ (VND)</w:t>
            </w:r>
          </w:p>
        </w:tc>
        <w:tc>
          <w:tcPr>
            <w:tcW w:w="1993" w:type="dxa"/>
            <w:tcBorders>
              <w:top w:val="single" w:sz="4" w:space="0" w:color="auto"/>
              <w:left w:val="single" w:sz="4" w:space="0" w:color="auto"/>
              <w:bottom w:val="single" w:sz="4" w:space="0" w:color="auto"/>
              <w:right w:val="single" w:sz="4" w:space="0" w:color="auto"/>
            </w:tcBorders>
            <w:vAlign w:val="center"/>
          </w:tcPr>
          <w:p w14:paraId="1C475C9A" w14:textId="4AE17E66" w:rsidR="00043FCE" w:rsidRPr="00D23AD2" w:rsidRDefault="00043FCE" w:rsidP="00CF1388">
            <w:pPr>
              <w:keepLines w:val="0"/>
              <w:overflowPunct/>
              <w:autoSpaceDE/>
              <w:autoSpaceDN/>
              <w:adjustRightInd/>
              <w:jc w:val="right"/>
              <w:textAlignment w:val="auto"/>
            </w:pPr>
            <w:r>
              <w:rPr>
                <w:color w:val="000000"/>
                <w:szCs w:val="22"/>
              </w:rPr>
              <w:t xml:space="preserve">         </w:t>
            </w:r>
            <w:proofErr w:type="spellStart"/>
            <w:r>
              <w:rPr>
                <w:color w:val="000000"/>
                <w:szCs w:val="22"/>
              </w:rPr>
              <w:t>Không</w:t>
            </w:r>
            <w:proofErr w:type="spellEnd"/>
            <w:r>
              <w:rPr>
                <w:color w:val="000000"/>
                <w:szCs w:val="22"/>
              </w:rPr>
              <w:t xml:space="preserve"> </w:t>
            </w:r>
            <w:proofErr w:type="spellStart"/>
            <w:r>
              <w:rPr>
                <w:color w:val="000000"/>
                <w:szCs w:val="22"/>
              </w:rPr>
              <w:t>có</w:t>
            </w:r>
            <w:proofErr w:type="spellEnd"/>
            <w:r>
              <w:rPr>
                <w:color w:val="000000"/>
                <w:szCs w:val="22"/>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14:paraId="397EC446" w14:textId="310231C1" w:rsidR="00043FCE" w:rsidRPr="00573C16" w:rsidRDefault="00043FCE" w:rsidP="00CF1388">
            <w:pPr>
              <w:keepLines w:val="0"/>
              <w:overflowPunct/>
              <w:autoSpaceDE/>
              <w:autoSpaceDN/>
              <w:adjustRightInd/>
              <w:jc w:val="right"/>
              <w:textAlignment w:val="auto"/>
              <w:rPr>
                <w:color w:val="000000"/>
                <w:szCs w:val="22"/>
              </w:rPr>
            </w:pPr>
            <w:proofErr w:type="spellStart"/>
            <w:r>
              <w:t>Không</w:t>
            </w:r>
            <w:proofErr w:type="spellEnd"/>
            <w:r>
              <w:t xml:space="preserve"> </w:t>
            </w:r>
            <w:proofErr w:type="spellStart"/>
            <w:r>
              <w:t>có</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0DC5D" w14:textId="50F7F50D" w:rsidR="00043FCE" w:rsidRPr="00D23AD2" w:rsidRDefault="00043FCE" w:rsidP="00CF1388">
            <w:pPr>
              <w:keepLines w:val="0"/>
              <w:overflowPunct/>
              <w:autoSpaceDE/>
              <w:autoSpaceDN/>
              <w:adjustRightInd/>
              <w:jc w:val="right"/>
              <w:textAlignment w:val="auto"/>
              <w:rPr>
                <w:color w:val="000000"/>
                <w:szCs w:val="22"/>
                <w:lang w:val="en-US"/>
              </w:rPr>
            </w:pPr>
            <w:proofErr w:type="spellStart"/>
            <w:r>
              <w:t>Không</w:t>
            </w:r>
            <w:proofErr w:type="spellEnd"/>
            <w:r>
              <w:t xml:space="preserve"> </w:t>
            </w:r>
            <w:proofErr w:type="spellStart"/>
            <w:r>
              <w:t>có</w:t>
            </w:r>
            <w:proofErr w:type="spellEnd"/>
          </w:p>
        </w:tc>
      </w:tr>
      <w:tr w:rsidR="00043FCE" w:rsidRPr="00D23AD2" w14:paraId="7B3B4C6D" w14:textId="7B2C9C24" w:rsidTr="00D7296C">
        <w:trPr>
          <w:trHeight w:val="600"/>
        </w:trPr>
        <w:tc>
          <w:tcPr>
            <w:tcW w:w="2772" w:type="dxa"/>
            <w:tcBorders>
              <w:top w:val="single" w:sz="4" w:space="0" w:color="auto"/>
              <w:left w:val="single" w:sz="4" w:space="0" w:color="auto"/>
              <w:bottom w:val="single" w:sz="4" w:space="0" w:color="auto"/>
              <w:right w:val="single" w:sz="4" w:space="0" w:color="auto"/>
            </w:tcBorders>
            <w:vAlign w:val="center"/>
            <w:hideMark/>
          </w:tcPr>
          <w:p w14:paraId="6F8633C9" w14:textId="64B45C3E" w:rsidR="00043FCE" w:rsidRPr="00D23AD2" w:rsidRDefault="00043FCE" w:rsidP="00043FCE">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chốt</w:t>
            </w:r>
            <w:proofErr w:type="spellEnd"/>
            <w:r w:rsidRPr="00D23AD2">
              <w:rPr>
                <w:color w:val="000000"/>
                <w:szCs w:val="22"/>
                <w:lang w:val="en-US"/>
              </w:rPr>
              <w:t xml:space="preserve"> </w:t>
            </w:r>
            <w:proofErr w:type="spellStart"/>
            <w:r w:rsidRPr="00D23AD2">
              <w:rPr>
                <w:color w:val="000000"/>
                <w:szCs w:val="22"/>
                <w:lang w:val="en-US"/>
              </w:rPr>
              <w:t>quyền</w:t>
            </w:r>
            <w:proofErr w:type="spellEnd"/>
            <w:r w:rsidRPr="00D23AD2">
              <w:rPr>
                <w:color w:val="000000"/>
                <w:szCs w:val="22"/>
                <w:lang w:val="en-US"/>
              </w:rPr>
              <w:t xml:space="preserve"> (Ex-date of distribution)</w:t>
            </w:r>
          </w:p>
        </w:tc>
        <w:tc>
          <w:tcPr>
            <w:tcW w:w="1993" w:type="dxa"/>
            <w:tcBorders>
              <w:top w:val="single" w:sz="4" w:space="0" w:color="auto"/>
              <w:left w:val="single" w:sz="4" w:space="0" w:color="auto"/>
              <w:bottom w:val="single" w:sz="4" w:space="0" w:color="auto"/>
              <w:right w:val="single" w:sz="4" w:space="0" w:color="auto"/>
            </w:tcBorders>
            <w:vAlign w:val="center"/>
          </w:tcPr>
          <w:p w14:paraId="50204ACF" w14:textId="5A4642BA" w:rsidR="00043FCE" w:rsidRPr="00D23AD2" w:rsidRDefault="00043FCE" w:rsidP="00CF1388">
            <w:pPr>
              <w:keepLines w:val="0"/>
              <w:overflowPunct/>
              <w:autoSpaceDE/>
              <w:autoSpaceDN/>
              <w:adjustRightInd/>
              <w:jc w:val="right"/>
              <w:textAlignment w:val="auto"/>
            </w:pPr>
            <w:r>
              <w:rPr>
                <w:color w:val="000000"/>
                <w:szCs w:val="22"/>
              </w:rPr>
              <w:t xml:space="preserve">          </w:t>
            </w:r>
            <w:proofErr w:type="spellStart"/>
            <w:r>
              <w:rPr>
                <w:color w:val="000000"/>
                <w:szCs w:val="22"/>
              </w:rPr>
              <w:t>Không</w:t>
            </w:r>
            <w:proofErr w:type="spellEnd"/>
            <w:r>
              <w:rPr>
                <w:color w:val="000000"/>
                <w:szCs w:val="22"/>
              </w:rPr>
              <w:t xml:space="preserve"> </w:t>
            </w:r>
            <w:proofErr w:type="spellStart"/>
            <w:r>
              <w:rPr>
                <w:color w:val="000000"/>
                <w:szCs w:val="22"/>
              </w:rPr>
              <w:t>có</w:t>
            </w:r>
            <w:proofErr w:type="spellEnd"/>
          </w:p>
        </w:tc>
        <w:tc>
          <w:tcPr>
            <w:tcW w:w="2250" w:type="dxa"/>
            <w:tcBorders>
              <w:top w:val="single" w:sz="4" w:space="0" w:color="auto"/>
              <w:left w:val="single" w:sz="4" w:space="0" w:color="auto"/>
              <w:bottom w:val="single" w:sz="4" w:space="0" w:color="auto"/>
              <w:right w:val="single" w:sz="4" w:space="0" w:color="auto"/>
            </w:tcBorders>
            <w:vAlign w:val="center"/>
          </w:tcPr>
          <w:p w14:paraId="5FD491F4" w14:textId="0E5B0A7F" w:rsidR="00043FCE" w:rsidRPr="00573C16" w:rsidRDefault="00043FCE" w:rsidP="00CF1388">
            <w:pPr>
              <w:keepLines w:val="0"/>
              <w:overflowPunct/>
              <w:autoSpaceDE/>
              <w:autoSpaceDN/>
              <w:adjustRightInd/>
              <w:jc w:val="right"/>
              <w:textAlignment w:val="auto"/>
              <w:rPr>
                <w:color w:val="000000"/>
                <w:szCs w:val="22"/>
              </w:rPr>
            </w:pPr>
            <w:proofErr w:type="spellStart"/>
            <w:r>
              <w:t>Không</w:t>
            </w:r>
            <w:proofErr w:type="spellEnd"/>
            <w:r>
              <w:t xml:space="preserve"> </w:t>
            </w:r>
            <w:proofErr w:type="spellStart"/>
            <w:r>
              <w:t>có</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DA3E7" w14:textId="2071DD5E" w:rsidR="00043FCE" w:rsidRPr="00D23AD2" w:rsidRDefault="00043FCE" w:rsidP="00CF1388">
            <w:pPr>
              <w:keepLines w:val="0"/>
              <w:overflowPunct/>
              <w:autoSpaceDE/>
              <w:autoSpaceDN/>
              <w:adjustRightInd/>
              <w:jc w:val="right"/>
              <w:textAlignment w:val="auto"/>
              <w:rPr>
                <w:color w:val="000000"/>
                <w:szCs w:val="22"/>
                <w:lang w:val="en-US"/>
              </w:rPr>
            </w:pPr>
            <w:proofErr w:type="spellStart"/>
            <w:r>
              <w:t>Không</w:t>
            </w:r>
            <w:proofErr w:type="spellEnd"/>
            <w:r>
              <w:t xml:space="preserve"> </w:t>
            </w:r>
            <w:proofErr w:type="spellStart"/>
            <w:r>
              <w:t>có</w:t>
            </w:r>
            <w:proofErr w:type="spellEnd"/>
          </w:p>
        </w:tc>
      </w:tr>
      <w:tr w:rsidR="00043FCE" w:rsidRPr="00253EA8" w14:paraId="48E1928A" w14:textId="31C0ADE4" w:rsidTr="00D7296C">
        <w:trPr>
          <w:trHeight w:val="60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FDDCC" w14:textId="77777777" w:rsidR="00043FCE" w:rsidRPr="00253EA8" w:rsidRDefault="00043FCE" w:rsidP="00043FCE">
            <w:pPr>
              <w:keepLines w:val="0"/>
              <w:overflowPunct/>
              <w:autoSpaceDE/>
              <w:autoSpaceDN/>
              <w:adjustRightInd/>
              <w:jc w:val="left"/>
              <w:textAlignment w:val="auto"/>
              <w:rPr>
                <w:color w:val="000000"/>
                <w:szCs w:val="22"/>
                <w:lang w:val="en-US"/>
              </w:rPr>
            </w:pPr>
            <w:proofErr w:type="spellStart"/>
            <w:r w:rsidRPr="00253EA8">
              <w:rPr>
                <w:color w:val="000000"/>
                <w:szCs w:val="22"/>
                <w:lang w:val="en-US"/>
              </w:rPr>
              <w:t>Tỷ</w:t>
            </w:r>
            <w:proofErr w:type="spellEnd"/>
            <w:r w:rsidRPr="00253EA8">
              <w:rPr>
                <w:color w:val="000000"/>
                <w:szCs w:val="22"/>
                <w:lang w:val="en-US"/>
              </w:rPr>
              <w:t xml:space="preserve"> </w:t>
            </w:r>
            <w:proofErr w:type="spellStart"/>
            <w:r w:rsidRPr="00253EA8">
              <w:rPr>
                <w:color w:val="000000"/>
                <w:szCs w:val="22"/>
                <w:lang w:val="en-US"/>
              </w:rPr>
              <w:t>lệ</w:t>
            </w:r>
            <w:proofErr w:type="spellEnd"/>
            <w:r w:rsidRPr="00253EA8">
              <w:rPr>
                <w:color w:val="000000"/>
                <w:szCs w:val="22"/>
                <w:lang w:val="en-US"/>
              </w:rPr>
              <w:t xml:space="preserve"> chi </w:t>
            </w:r>
            <w:proofErr w:type="spellStart"/>
            <w:r w:rsidRPr="00253EA8">
              <w:rPr>
                <w:color w:val="000000"/>
                <w:szCs w:val="22"/>
                <w:lang w:val="en-US"/>
              </w:rPr>
              <w:t>phí</w:t>
            </w:r>
            <w:proofErr w:type="spellEnd"/>
            <w:r w:rsidRPr="00253EA8">
              <w:rPr>
                <w:color w:val="000000"/>
                <w:szCs w:val="22"/>
                <w:lang w:val="en-US"/>
              </w:rPr>
              <w:t xml:space="preserve"> </w:t>
            </w:r>
            <w:proofErr w:type="spellStart"/>
            <w:r w:rsidRPr="00253EA8">
              <w:rPr>
                <w:color w:val="000000"/>
                <w:szCs w:val="22"/>
                <w:lang w:val="en-US"/>
              </w:rPr>
              <w:t>hoạt</w:t>
            </w:r>
            <w:proofErr w:type="spellEnd"/>
            <w:r w:rsidRPr="00253EA8">
              <w:rPr>
                <w:color w:val="000000"/>
                <w:szCs w:val="22"/>
                <w:lang w:val="en-US"/>
              </w:rPr>
              <w:t xml:space="preserve"> </w:t>
            </w:r>
            <w:proofErr w:type="spellStart"/>
            <w:r w:rsidRPr="00253EA8">
              <w:rPr>
                <w:color w:val="000000"/>
                <w:szCs w:val="22"/>
                <w:lang w:val="en-US"/>
              </w:rPr>
              <w:t>động</w:t>
            </w:r>
            <w:proofErr w:type="spellEnd"/>
            <w:r w:rsidRPr="00253EA8">
              <w:rPr>
                <w:color w:val="000000"/>
                <w:szCs w:val="22"/>
                <w:lang w:val="en-US"/>
              </w:rPr>
              <w:t xml:space="preserve"> </w:t>
            </w:r>
            <w:proofErr w:type="spellStart"/>
            <w:r w:rsidRPr="00253EA8">
              <w:rPr>
                <w:color w:val="000000"/>
                <w:szCs w:val="22"/>
                <w:lang w:val="en-US"/>
              </w:rPr>
              <w:t>của</w:t>
            </w:r>
            <w:proofErr w:type="spellEnd"/>
            <w:r w:rsidRPr="00253EA8">
              <w:rPr>
                <w:color w:val="000000"/>
                <w:szCs w:val="22"/>
                <w:lang w:val="en-US"/>
              </w:rPr>
              <w:t xml:space="preserve"> </w:t>
            </w:r>
            <w:proofErr w:type="spellStart"/>
            <w:r w:rsidRPr="00253EA8">
              <w:rPr>
                <w:color w:val="000000"/>
                <w:szCs w:val="22"/>
                <w:lang w:val="en-US"/>
              </w:rPr>
              <w:t>quỹ</w:t>
            </w:r>
            <w:proofErr w:type="spellEnd"/>
            <w:r w:rsidRPr="00253EA8">
              <w:rPr>
                <w:color w:val="000000"/>
                <w:szCs w:val="22"/>
                <w:lang w:val="en-US"/>
              </w:rPr>
              <w:t xml:space="preserve"> (%)</w:t>
            </w:r>
          </w:p>
        </w:tc>
        <w:tc>
          <w:tcPr>
            <w:tcW w:w="1993" w:type="dxa"/>
            <w:tcBorders>
              <w:top w:val="single" w:sz="4" w:space="0" w:color="auto"/>
              <w:left w:val="single" w:sz="4" w:space="0" w:color="auto"/>
              <w:bottom w:val="single" w:sz="4" w:space="0" w:color="auto"/>
              <w:right w:val="single" w:sz="4" w:space="0" w:color="auto"/>
            </w:tcBorders>
            <w:vAlign w:val="center"/>
          </w:tcPr>
          <w:p w14:paraId="720BFA33" w14:textId="7AB29812" w:rsidR="00043FCE" w:rsidRPr="00882D24" w:rsidRDefault="00043FCE" w:rsidP="00CF1388">
            <w:pPr>
              <w:keepLines w:val="0"/>
              <w:overflowPunct/>
              <w:autoSpaceDE/>
              <w:autoSpaceDN/>
              <w:adjustRightInd/>
              <w:jc w:val="right"/>
              <w:textAlignment w:val="auto"/>
              <w:rPr>
                <w:color w:val="000000"/>
                <w:szCs w:val="22"/>
              </w:rPr>
            </w:pPr>
            <w:r w:rsidRPr="00882D24">
              <w:rPr>
                <w:color w:val="000000"/>
                <w:szCs w:val="22"/>
              </w:rPr>
              <w:t>1.04%</w:t>
            </w:r>
          </w:p>
        </w:tc>
        <w:tc>
          <w:tcPr>
            <w:tcW w:w="2250" w:type="dxa"/>
            <w:tcBorders>
              <w:top w:val="single" w:sz="4" w:space="0" w:color="auto"/>
              <w:left w:val="single" w:sz="4" w:space="0" w:color="auto"/>
              <w:bottom w:val="single" w:sz="4" w:space="0" w:color="auto"/>
              <w:right w:val="single" w:sz="4" w:space="0" w:color="auto"/>
            </w:tcBorders>
            <w:vAlign w:val="center"/>
          </w:tcPr>
          <w:p w14:paraId="307C1BEE" w14:textId="5EE2C0A4" w:rsidR="00043FCE" w:rsidRPr="00253EA8" w:rsidRDefault="00043FCE" w:rsidP="00CF1388">
            <w:pPr>
              <w:keepLines w:val="0"/>
              <w:overflowPunct/>
              <w:autoSpaceDE/>
              <w:autoSpaceDN/>
              <w:adjustRightInd/>
              <w:jc w:val="right"/>
              <w:textAlignment w:val="auto"/>
              <w:rPr>
                <w:sz w:val="18"/>
                <w:szCs w:val="18"/>
              </w:rPr>
            </w:pPr>
            <w:r w:rsidRPr="00085BC1">
              <w:rPr>
                <w:color w:val="000000"/>
                <w:szCs w:val="22"/>
              </w:rPr>
              <w:t>1.04%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27D5C10" w14:textId="77777777" w:rsidR="00043FCE" w:rsidRDefault="00043FCE" w:rsidP="00CF1388">
            <w:pPr>
              <w:keepLines w:val="0"/>
              <w:overflowPunct/>
              <w:autoSpaceDE/>
              <w:autoSpaceDN/>
              <w:adjustRightInd/>
              <w:jc w:val="right"/>
              <w:textAlignment w:val="auto"/>
              <w:rPr>
                <w:color w:val="000000"/>
                <w:szCs w:val="22"/>
                <w:lang w:val="en-US"/>
              </w:rPr>
            </w:pPr>
            <w:r>
              <w:rPr>
                <w:color w:val="000000"/>
                <w:szCs w:val="22"/>
              </w:rPr>
              <w:t>1.06%</w:t>
            </w:r>
          </w:p>
          <w:p w14:paraId="091C99AE" w14:textId="3C054D90" w:rsidR="00043FCE" w:rsidRPr="00253EA8" w:rsidRDefault="00043FCE" w:rsidP="00CF1388">
            <w:pPr>
              <w:keepLines w:val="0"/>
              <w:overflowPunct/>
              <w:autoSpaceDE/>
              <w:autoSpaceDN/>
              <w:adjustRightInd/>
              <w:jc w:val="right"/>
              <w:textAlignment w:val="auto"/>
              <w:rPr>
                <w:color w:val="000000"/>
                <w:szCs w:val="22"/>
                <w:lang w:val="en-US"/>
              </w:rPr>
            </w:pPr>
          </w:p>
        </w:tc>
      </w:tr>
      <w:tr w:rsidR="00043FCE" w:rsidRPr="00253EA8" w14:paraId="1329DAD8" w14:textId="583881C6" w:rsidTr="00D7296C">
        <w:trPr>
          <w:trHeight w:val="600"/>
        </w:trPr>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93C6" w14:textId="77777777" w:rsidR="00043FCE" w:rsidRPr="00253EA8" w:rsidRDefault="00043FCE" w:rsidP="00043FCE">
            <w:pPr>
              <w:keepLines w:val="0"/>
              <w:overflowPunct/>
              <w:autoSpaceDE/>
              <w:autoSpaceDN/>
              <w:adjustRightInd/>
              <w:jc w:val="left"/>
              <w:textAlignment w:val="auto"/>
              <w:rPr>
                <w:color w:val="000000"/>
                <w:szCs w:val="22"/>
                <w:lang w:val="en-US"/>
              </w:rPr>
            </w:pPr>
            <w:proofErr w:type="spellStart"/>
            <w:r w:rsidRPr="00253EA8">
              <w:rPr>
                <w:color w:val="000000"/>
                <w:szCs w:val="22"/>
                <w:lang w:val="en-US"/>
              </w:rPr>
              <w:t>Tốc</w:t>
            </w:r>
            <w:proofErr w:type="spellEnd"/>
            <w:r w:rsidRPr="00253EA8">
              <w:rPr>
                <w:color w:val="000000"/>
                <w:szCs w:val="22"/>
                <w:lang w:val="en-US"/>
              </w:rPr>
              <w:t xml:space="preserve"> </w:t>
            </w:r>
            <w:proofErr w:type="spellStart"/>
            <w:r w:rsidRPr="00253EA8">
              <w:rPr>
                <w:color w:val="000000"/>
                <w:szCs w:val="22"/>
                <w:lang w:val="en-US"/>
              </w:rPr>
              <w:t>độ</w:t>
            </w:r>
            <w:proofErr w:type="spellEnd"/>
            <w:r w:rsidRPr="00253EA8">
              <w:rPr>
                <w:color w:val="000000"/>
                <w:szCs w:val="22"/>
                <w:lang w:val="en-US"/>
              </w:rPr>
              <w:t xml:space="preserve"> </w:t>
            </w:r>
            <w:proofErr w:type="spellStart"/>
            <w:r w:rsidRPr="00253EA8">
              <w:rPr>
                <w:color w:val="000000"/>
                <w:szCs w:val="22"/>
                <w:lang w:val="en-US"/>
              </w:rPr>
              <w:t>vòng</w:t>
            </w:r>
            <w:proofErr w:type="spellEnd"/>
            <w:r w:rsidRPr="00253EA8">
              <w:rPr>
                <w:color w:val="000000"/>
                <w:szCs w:val="22"/>
                <w:lang w:val="en-US"/>
              </w:rPr>
              <w:t xml:space="preserve"> quay </w:t>
            </w:r>
            <w:proofErr w:type="spellStart"/>
            <w:r w:rsidRPr="00253EA8">
              <w:rPr>
                <w:color w:val="000000"/>
                <w:szCs w:val="22"/>
                <w:lang w:val="en-US"/>
              </w:rPr>
              <w:t>danh</w:t>
            </w:r>
            <w:proofErr w:type="spellEnd"/>
            <w:r w:rsidRPr="00253EA8">
              <w:rPr>
                <w:color w:val="000000"/>
                <w:szCs w:val="22"/>
                <w:lang w:val="en-US"/>
              </w:rPr>
              <w:t xml:space="preserve"> </w:t>
            </w:r>
            <w:proofErr w:type="spellStart"/>
            <w:r w:rsidRPr="00253EA8">
              <w:rPr>
                <w:color w:val="000000"/>
                <w:szCs w:val="22"/>
                <w:lang w:val="en-US"/>
              </w:rPr>
              <w:t>mục</w:t>
            </w:r>
            <w:proofErr w:type="spellEnd"/>
            <w:r w:rsidRPr="00253EA8">
              <w:rPr>
                <w:color w:val="000000"/>
                <w:szCs w:val="22"/>
                <w:lang w:val="en-US"/>
              </w:rPr>
              <w:t xml:space="preserve"> (%)</w:t>
            </w:r>
          </w:p>
        </w:tc>
        <w:tc>
          <w:tcPr>
            <w:tcW w:w="1993" w:type="dxa"/>
            <w:tcBorders>
              <w:top w:val="single" w:sz="4" w:space="0" w:color="auto"/>
              <w:left w:val="single" w:sz="4" w:space="0" w:color="auto"/>
              <w:bottom w:val="single" w:sz="4" w:space="0" w:color="auto"/>
              <w:right w:val="single" w:sz="4" w:space="0" w:color="auto"/>
            </w:tcBorders>
            <w:vAlign w:val="center"/>
          </w:tcPr>
          <w:p w14:paraId="3082E9EF" w14:textId="77777777" w:rsidR="00043FCE" w:rsidRPr="00882D24" w:rsidRDefault="00043FCE" w:rsidP="00CF1388">
            <w:pPr>
              <w:keepLines w:val="0"/>
              <w:overflowPunct/>
              <w:autoSpaceDE/>
              <w:autoSpaceDN/>
              <w:adjustRightInd/>
              <w:jc w:val="right"/>
              <w:textAlignment w:val="auto"/>
              <w:rPr>
                <w:color w:val="000000"/>
                <w:szCs w:val="22"/>
              </w:rPr>
            </w:pPr>
          </w:p>
          <w:p w14:paraId="6208AE60" w14:textId="442B1CAC" w:rsidR="00043FCE" w:rsidRPr="00882D24" w:rsidRDefault="00426859" w:rsidP="00CF1388">
            <w:pPr>
              <w:keepLines w:val="0"/>
              <w:overflowPunct/>
              <w:autoSpaceDE/>
              <w:autoSpaceDN/>
              <w:adjustRightInd/>
              <w:jc w:val="right"/>
              <w:textAlignment w:val="auto"/>
              <w:rPr>
                <w:color w:val="000000"/>
                <w:szCs w:val="22"/>
              </w:rPr>
            </w:pPr>
            <w:r>
              <w:rPr>
                <w:color w:val="000000"/>
                <w:szCs w:val="22"/>
              </w:rPr>
              <w:t>44.02</w:t>
            </w:r>
            <w:r w:rsidR="00043FCE" w:rsidRPr="00882D24">
              <w:rPr>
                <w:color w:val="000000"/>
                <w:szCs w:val="22"/>
              </w:rPr>
              <w:t>%</w:t>
            </w:r>
          </w:p>
          <w:p w14:paraId="6A3C1524" w14:textId="2C3C847C" w:rsidR="00043FCE" w:rsidRPr="00882D24" w:rsidRDefault="00043FCE" w:rsidP="00CF1388">
            <w:pPr>
              <w:keepLines w:val="0"/>
              <w:overflowPunct/>
              <w:autoSpaceDE/>
              <w:autoSpaceDN/>
              <w:adjustRightInd/>
              <w:jc w:val="right"/>
              <w:textAlignment w:val="auto"/>
              <w:rPr>
                <w:color w:val="000000"/>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0509CA26" w14:textId="07D61DAE" w:rsidR="00043FCE" w:rsidRPr="00253EA8" w:rsidRDefault="00043FCE" w:rsidP="00CF1388">
            <w:pPr>
              <w:keepLines w:val="0"/>
              <w:overflowPunct/>
              <w:autoSpaceDE/>
              <w:autoSpaceDN/>
              <w:adjustRightInd/>
              <w:jc w:val="right"/>
              <w:textAlignment w:val="auto"/>
              <w:rPr>
                <w:sz w:val="18"/>
                <w:szCs w:val="18"/>
              </w:rPr>
            </w:pPr>
            <w:r w:rsidRPr="00085BC1">
              <w:rPr>
                <w:color w:val="000000"/>
                <w:szCs w:val="22"/>
              </w:rPr>
              <w:t>25.20%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899B3EE" w14:textId="77777777" w:rsidR="00043FCE" w:rsidRDefault="00043FCE" w:rsidP="00CF1388">
            <w:pPr>
              <w:keepLines w:val="0"/>
              <w:overflowPunct/>
              <w:autoSpaceDE/>
              <w:autoSpaceDN/>
              <w:adjustRightInd/>
              <w:jc w:val="right"/>
              <w:textAlignment w:val="auto"/>
              <w:rPr>
                <w:color w:val="000000"/>
                <w:szCs w:val="22"/>
                <w:lang w:val="en-US"/>
              </w:rPr>
            </w:pPr>
            <w:r>
              <w:rPr>
                <w:color w:val="000000"/>
                <w:szCs w:val="22"/>
              </w:rPr>
              <w:t>14.21%</w:t>
            </w:r>
          </w:p>
          <w:p w14:paraId="2094CC07" w14:textId="3C3D595A" w:rsidR="00043FCE" w:rsidRPr="00253EA8" w:rsidRDefault="00043FCE" w:rsidP="00CF1388">
            <w:pPr>
              <w:keepLines w:val="0"/>
              <w:overflowPunct/>
              <w:autoSpaceDE/>
              <w:autoSpaceDN/>
              <w:adjustRightInd/>
              <w:jc w:val="right"/>
              <w:textAlignment w:val="auto"/>
              <w:rPr>
                <w:color w:val="000000"/>
                <w:szCs w:val="22"/>
                <w:lang w:val="en-US"/>
              </w:rPr>
            </w:pPr>
          </w:p>
        </w:tc>
      </w:tr>
    </w:tbl>
    <w:p w14:paraId="7EA0AFD1" w14:textId="70BBB091" w:rsidR="00A570AB" w:rsidRPr="00253EA8" w:rsidRDefault="007922E7" w:rsidP="00A570AB">
      <w:pPr>
        <w:pStyle w:val="ListParagraph"/>
        <w:numPr>
          <w:ilvl w:val="0"/>
          <w:numId w:val="3"/>
        </w:numPr>
        <w:spacing w:before="260" w:after="140"/>
        <w:ind w:left="0" w:hanging="540"/>
        <w:rPr>
          <w:rFonts w:ascii="Times New Roman" w:hAnsi="Times New Roman"/>
          <w:b/>
          <w:sz w:val="24"/>
          <w:szCs w:val="24"/>
          <w:lang w:val="nl-NL"/>
        </w:rPr>
      </w:pPr>
      <w:r w:rsidRPr="00253EA8">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D23AD2" w:rsidRPr="00253EA8"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850649" w:rsidRDefault="007922E7" w:rsidP="009876D9">
            <w:pPr>
              <w:tabs>
                <w:tab w:val="left" w:pos="540"/>
              </w:tabs>
              <w:spacing w:before="120"/>
              <w:ind w:left="90"/>
              <w:rPr>
                <w:b/>
                <w:szCs w:val="22"/>
                <w:lang w:val="nl-NL"/>
              </w:rPr>
            </w:pPr>
            <w:r w:rsidRPr="00850649">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850649" w:rsidRDefault="007922E7" w:rsidP="009876D9">
            <w:pPr>
              <w:tabs>
                <w:tab w:val="left" w:pos="540"/>
              </w:tabs>
              <w:spacing w:before="120"/>
              <w:rPr>
                <w:b/>
                <w:szCs w:val="22"/>
                <w:lang w:val="nl-NL"/>
              </w:rPr>
            </w:pPr>
            <w:r w:rsidRPr="00850649">
              <w:rPr>
                <w:b/>
                <w:szCs w:val="22"/>
                <w:lang w:val="nl-NL"/>
              </w:rPr>
              <w:t>Tổng tăng trưởng của NAV/CCQ</w:t>
            </w:r>
          </w:p>
          <w:p w14:paraId="0669B98C" w14:textId="77777777" w:rsidR="007922E7" w:rsidRPr="00850649" w:rsidRDefault="007922E7" w:rsidP="009876D9">
            <w:pPr>
              <w:tabs>
                <w:tab w:val="left" w:pos="540"/>
              </w:tabs>
              <w:spacing w:before="120"/>
              <w:jc w:val="center"/>
              <w:rPr>
                <w:b/>
                <w:szCs w:val="22"/>
                <w:lang w:val="nl-NL"/>
              </w:rPr>
            </w:pPr>
            <w:r w:rsidRPr="00850649">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850649" w:rsidRDefault="007922E7" w:rsidP="009876D9">
            <w:pPr>
              <w:tabs>
                <w:tab w:val="left" w:pos="540"/>
              </w:tabs>
              <w:spacing w:before="120"/>
              <w:ind w:right="90"/>
              <w:rPr>
                <w:b/>
                <w:szCs w:val="22"/>
                <w:lang w:val="nl-NL"/>
              </w:rPr>
            </w:pPr>
            <w:r w:rsidRPr="00850649">
              <w:rPr>
                <w:b/>
                <w:szCs w:val="22"/>
                <w:lang w:val="nl-NL"/>
              </w:rPr>
              <w:t>Tăng trưởng NAV/CCQ hàng năm</w:t>
            </w:r>
          </w:p>
          <w:p w14:paraId="13093432" w14:textId="77777777" w:rsidR="007922E7" w:rsidRPr="00850649" w:rsidRDefault="007922E7" w:rsidP="009876D9">
            <w:pPr>
              <w:tabs>
                <w:tab w:val="left" w:pos="540"/>
              </w:tabs>
              <w:spacing w:before="120"/>
              <w:ind w:right="90"/>
              <w:jc w:val="center"/>
              <w:rPr>
                <w:b/>
                <w:szCs w:val="22"/>
                <w:lang w:val="nl-NL"/>
              </w:rPr>
            </w:pPr>
            <w:r w:rsidRPr="00850649">
              <w:rPr>
                <w:b/>
                <w:szCs w:val="22"/>
                <w:lang w:val="nl-NL"/>
              </w:rPr>
              <w:t>(%)</w:t>
            </w:r>
          </w:p>
        </w:tc>
      </w:tr>
      <w:tr w:rsidR="00E501B6" w:rsidRPr="00253EA8" w14:paraId="5E53268E" w14:textId="77777777" w:rsidTr="00573C1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E501B6" w:rsidRPr="00850649" w:rsidRDefault="00E501B6" w:rsidP="00E501B6">
            <w:pPr>
              <w:tabs>
                <w:tab w:val="left" w:pos="540"/>
              </w:tabs>
              <w:ind w:left="90"/>
              <w:rPr>
                <w:szCs w:val="22"/>
                <w:lang w:val="nl-NL"/>
              </w:rPr>
            </w:pPr>
            <w:r w:rsidRPr="00850649">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1E921D87" w14:textId="4596044B" w:rsidR="00E501B6" w:rsidRPr="00850649" w:rsidRDefault="00E501B6" w:rsidP="00E501B6">
            <w:pPr>
              <w:tabs>
                <w:tab w:val="left" w:pos="540"/>
              </w:tabs>
              <w:ind w:right="91"/>
              <w:jc w:val="center"/>
              <w:rPr>
                <w:color w:val="000000"/>
                <w:szCs w:val="22"/>
              </w:rPr>
            </w:pPr>
            <w:r w:rsidRPr="00850649">
              <w:rPr>
                <w:rFonts w:ascii="Calibri" w:hAnsi="Calibri" w:cs="Calibri"/>
                <w:color w:val="000000"/>
                <w:szCs w:val="22"/>
              </w:rPr>
              <w:t>38.28</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6683835B" w14:textId="64DB0977" w:rsidR="00E501B6" w:rsidRPr="00850649" w:rsidRDefault="00E501B6" w:rsidP="00E501B6">
            <w:pPr>
              <w:tabs>
                <w:tab w:val="left" w:pos="540"/>
              </w:tabs>
              <w:ind w:right="91"/>
              <w:jc w:val="center"/>
              <w:rPr>
                <w:color w:val="000000"/>
                <w:szCs w:val="22"/>
              </w:rPr>
            </w:pPr>
            <w:r w:rsidRPr="00850649">
              <w:rPr>
                <w:rFonts w:ascii="Calibri" w:hAnsi="Calibri" w:cs="Calibri"/>
                <w:color w:val="000000"/>
                <w:szCs w:val="22"/>
              </w:rPr>
              <w:t>38.28</w:t>
            </w:r>
          </w:p>
        </w:tc>
      </w:tr>
      <w:tr w:rsidR="00E501B6" w:rsidRPr="00253EA8" w14:paraId="015A925B" w14:textId="77777777" w:rsidTr="00573C1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E501B6" w:rsidRPr="00850649" w:rsidRDefault="00E501B6" w:rsidP="00E501B6">
            <w:pPr>
              <w:tabs>
                <w:tab w:val="left" w:pos="540"/>
              </w:tabs>
              <w:ind w:left="90"/>
              <w:rPr>
                <w:szCs w:val="22"/>
                <w:lang w:val="nl-NL"/>
              </w:rPr>
            </w:pPr>
            <w:r w:rsidRPr="00850649">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53D6F93C" w14:textId="23631EF5" w:rsidR="00E501B6" w:rsidRPr="00850649" w:rsidRDefault="00E501B6" w:rsidP="00E501B6">
            <w:pPr>
              <w:tabs>
                <w:tab w:val="left" w:pos="540"/>
              </w:tabs>
              <w:ind w:right="91"/>
              <w:jc w:val="center"/>
              <w:rPr>
                <w:color w:val="000000"/>
                <w:szCs w:val="22"/>
              </w:rPr>
            </w:pPr>
            <w:r w:rsidRPr="00850649">
              <w:rPr>
                <w:rFonts w:ascii="Calibri" w:hAnsi="Calibri" w:cs="Calibri"/>
                <w:color w:val="000000"/>
                <w:szCs w:val="22"/>
              </w:rPr>
              <w:t>56.17</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79245194" w14:textId="2DEC00A3" w:rsidR="00E501B6" w:rsidRPr="00850649" w:rsidRDefault="00E501B6" w:rsidP="00E501B6">
            <w:pPr>
              <w:tabs>
                <w:tab w:val="left" w:pos="540"/>
              </w:tabs>
              <w:ind w:right="91"/>
              <w:jc w:val="center"/>
              <w:rPr>
                <w:color w:val="000000"/>
                <w:szCs w:val="22"/>
              </w:rPr>
            </w:pPr>
            <w:r w:rsidRPr="00850649">
              <w:rPr>
                <w:rFonts w:ascii="Calibri" w:hAnsi="Calibri" w:cs="Calibri"/>
                <w:color w:val="000000"/>
                <w:szCs w:val="22"/>
              </w:rPr>
              <w:t>16.01</w:t>
            </w:r>
          </w:p>
        </w:tc>
      </w:tr>
      <w:tr w:rsidR="00E501B6" w:rsidRPr="00253EA8" w14:paraId="521F17EB" w14:textId="77777777" w:rsidTr="00573C1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E501B6" w:rsidRPr="00850649" w:rsidRDefault="00E501B6" w:rsidP="00E501B6">
            <w:pPr>
              <w:tabs>
                <w:tab w:val="left" w:pos="540"/>
              </w:tabs>
              <w:ind w:left="90"/>
              <w:rPr>
                <w:szCs w:val="22"/>
                <w:lang w:val="nl-NL"/>
              </w:rPr>
            </w:pPr>
            <w:r w:rsidRPr="00850649">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7C7C02B" w14:textId="46B280D3" w:rsidR="00E501B6" w:rsidRPr="00850649" w:rsidRDefault="00E501B6" w:rsidP="00E501B6">
            <w:pPr>
              <w:tabs>
                <w:tab w:val="left" w:pos="540"/>
              </w:tabs>
              <w:ind w:right="91"/>
              <w:jc w:val="center"/>
              <w:rPr>
                <w:color w:val="000000"/>
                <w:szCs w:val="22"/>
              </w:rPr>
            </w:pPr>
            <w:r w:rsidRPr="00850649">
              <w:rPr>
                <w:rFonts w:ascii="Calibri" w:hAnsi="Calibri" w:cs="Calibri"/>
                <w:color w:val="000000"/>
                <w:szCs w:val="22"/>
              </w:rPr>
              <w:t>209.83</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052406A2" w14:textId="5D5C3B5A" w:rsidR="00E501B6" w:rsidRPr="00850649" w:rsidRDefault="00E501B6" w:rsidP="00E501B6">
            <w:pPr>
              <w:tabs>
                <w:tab w:val="left" w:pos="540"/>
              </w:tabs>
              <w:jc w:val="center"/>
              <w:rPr>
                <w:color w:val="000000"/>
                <w:szCs w:val="22"/>
              </w:rPr>
            </w:pPr>
            <w:r w:rsidRPr="00850649">
              <w:rPr>
                <w:rFonts w:ascii="Calibri" w:hAnsi="Calibri" w:cs="Calibri"/>
                <w:color w:val="000000"/>
                <w:szCs w:val="22"/>
              </w:rPr>
              <w:t>32.48</w:t>
            </w:r>
          </w:p>
        </w:tc>
      </w:tr>
      <w:tr w:rsidR="00E501B6" w:rsidRPr="00ED0B29" w14:paraId="1DE5C978" w14:textId="77777777" w:rsidTr="00573C1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E501B6" w:rsidRPr="00850649" w:rsidRDefault="00E501B6" w:rsidP="00E501B6">
            <w:pPr>
              <w:tabs>
                <w:tab w:val="left" w:pos="540"/>
              </w:tabs>
              <w:ind w:left="90"/>
              <w:jc w:val="left"/>
              <w:rPr>
                <w:szCs w:val="22"/>
                <w:lang w:val="nl-NL"/>
              </w:rPr>
            </w:pPr>
            <w:r w:rsidRPr="00850649">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580A4C6" w14:textId="4797FD1F" w:rsidR="00E501B6" w:rsidRPr="00850649" w:rsidRDefault="00E501B6" w:rsidP="00E501B6">
            <w:pPr>
              <w:tabs>
                <w:tab w:val="left" w:pos="540"/>
              </w:tabs>
              <w:ind w:right="91"/>
              <w:jc w:val="center"/>
              <w:rPr>
                <w:color w:val="000000"/>
                <w:szCs w:val="22"/>
              </w:rPr>
            </w:pPr>
            <w:r w:rsidRPr="00850649">
              <w:rPr>
                <w:rFonts w:ascii="Calibri" w:hAnsi="Calibri" w:cs="Calibri"/>
                <w:color w:val="000000"/>
                <w:szCs w:val="22"/>
              </w:rPr>
              <w:t>N/A</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233E08D6" w14:textId="37F46429" w:rsidR="00E501B6" w:rsidRPr="00850649" w:rsidRDefault="00E501B6" w:rsidP="00E501B6">
            <w:pPr>
              <w:tabs>
                <w:tab w:val="left" w:pos="540"/>
              </w:tabs>
              <w:ind w:right="91"/>
              <w:jc w:val="center"/>
              <w:rPr>
                <w:color w:val="000000"/>
                <w:szCs w:val="22"/>
              </w:rPr>
            </w:pPr>
            <w:r w:rsidRPr="00850649">
              <w:rPr>
                <w:rFonts w:ascii="Calibri" w:hAnsi="Calibri" w:cs="Calibri"/>
                <w:color w:val="000000"/>
                <w:szCs w:val="22"/>
              </w:rPr>
              <w:t>N/A</w:t>
            </w:r>
          </w:p>
        </w:tc>
      </w:tr>
    </w:tbl>
    <w:p w14:paraId="0B77A500" w14:textId="78F60879" w:rsidR="00A570AB" w:rsidRPr="00EA4317" w:rsidRDefault="007922E7" w:rsidP="00A570AB">
      <w:pPr>
        <w:pStyle w:val="ListParagraph"/>
        <w:numPr>
          <w:ilvl w:val="0"/>
          <w:numId w:val="3"/>
        </w:numPr>
        <w:spacing w:before="260" w:after="140"/>
        <w:ind w:left="0" w:hanging="540"/>
        <w:rPr>
          <w:rFonts w:ascii="Times New Roman" w:hAnsi="Times New Roman"/>
          <w:b/>
          <w:lang w:val="nl-NL"/>
        </w:rPr>
      </w:pPr>
      <w:r w:rsidRPr="00ED0B29">
        <w:rPr>
          <w:rFonts w:ascii="Times New Roman" w:hAnsi="Times New Roman"/>
          <w:b/>
          <w:lang w:val="nl-NL"/>
        </w:rPr>
        <w:t>Tăng trưởng hàng năm</w:t>
      </w:r>
    </w:p>
    <w:tbl>
      <w:tblPr>
        <w:tblW w:w="704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358"/>
        <w:gridCol w:w="1358"/>
      </w:tblGrid>
      <w:tr w:rsidR="00D7296C" w:rsidRPr="00ED0B29" w14:paraId="50D0431A" w14:textId="7EEA4164" w:rsidTr="00D7296C">
        <w:tc>
          <w:tcPr>
            <w:tcW w:w="2108" w:type="pct"/>
            <w:shd w:val="clear" w:color="auto" w:fill="auto"/>
          </w:tcPr>
          <w:p w14:paraId="4C515302" w14:textId="77777777" w:rsidR="00D7296C" w:rsidRPr="00ED0B29" w:rsidRDefault="00D7296C" w:rsidP="001F20E1">
            <w:pPr>
              <w:tabs>
                <w:tab w:val="left" w:pos="540"/>
              </w:tabs>
              <w:spacing w:before="120"/>
              <w:jc w:val="center"/>
              <w:rPr>
                <w:b/>
                <w:szCs w:val="22"/>
                <w:lang w:val="nl-NL"/>
              </w:rPr>
            </w:pPr>
            <w:r w:rsidRPr="00ED0B29">
              <w:rPr>
                <w:b/>
                <w:szCs w:val="22"/>
                <w:lang w:val="nl-NL"/>
              </w:rPr>
              <w:t>Thời kỳ</w:t>
            </w:r>
          </w:p>
        </w:tc>
        <w:tc>
          <w:tcPr>
            <w:tcW w:w="964" w:type="pct"/>
            <w:shd w:val="clear" w:color="auto" w:fill="auto"/>
          </w:tcPr>
          <w:p w14:paraId="66EA5E6C" w14:textId="35ACB04E" w:rsidR="00D7296C" w:rsidRPr="00850649" w:rsidRDefault="00402BB0" w:rsidP="001F20E1">
            <w:pPr>
              <w:tabs>
                <w:tab w:val="left" w:pos="540"/>
              </w:tabs>
              <w:spacing w:before="120"/>
              <w:jc w:val="center"/>
              <w:rPr>
                <w:b/>
                <w:szCs w:val="22"/>
                <w:lang w:val="nl-NL"/>
              </w:rPr>
            </w:pPr>
            <w:r w:rsidRPr="00850649">
              <w:rPr>
                <w:b/>
                <w:szCs w:val="22"/>
                <w:lang w:val="nl-NL"/>
              </w:rPr>
              <w:t>31/03/2024</w:t>
            </w:r>
          </w:p>
        </w:tc>
        <w:tc>
          <w:tcPr>
            <w:tcW w:w="964" w:type="pct"/>
          </w:tcPr>
          <w:p w14:paraId="22B5FE85" w14:textId="6CE5B366" w:rsidR="00D7296C" w:rsidRPr="00850649" w:rsidRDefault="00402BB0" w:rsidP="001F20E1">
            <w:pPr>
              <w:tabs>
                <w:tab w:val="left" w:pos="540"/>
              </w:tabs>
              <w:spacing w:before="120"/>
              <w:jc w:val="center"/>
              <w:rPr>
                <w:b/>
                <w:szCs w:val="22"/>
                <w:lang w:val="nl-NL"/>
              </w:rPr>
            </w:pPr>
            <w:r w:rsidRPr="00850649">
              <w:rPr>
                <w:b/>
                <w:szCs w:val="22"/>
                <w:lang w:val="nl-NL"/>
              </w:rPr>
              <w:t>31/03/2023</w:t>
            </w:r>
          </w:p>
        </w:tc>
        <w:tc>
          <w:tcPr>
            <w:tcW w:w="964" w:type="pct"/>
          </w:tcPr>
          <w:p w14:paraId="432950E1" w14:textId="1F2B8B84" w:rsidR="00D7296C" w:rsidRPr="00850649" w:rsidRDefault="00402BB0" w:rsidP="001F20E1">
            <w:pPr>
              <w:tabs>
                <w:tab w:val="left" w:pos="540"/>
              </w:tabs>
              <w:spacing w:before="120"/>
              <w:jc w:val="center"/>
              <w:rPr>
                <w:b/>
                <w:szCs w:val="22"/>
                <w:lang w:val="nl-NL"/>
              </w:rPr>
            </w:pPr>
            <w:r w:rsidRPr="00850649">
              <w:rPr>
                <w:b/>
                <w:szCs w:val="22"/>
                <w:lang w:val="nl-NL"/>
              </w:rPr>
              <w:t>31/03/2022</w:t>
            </w:r>
          </w:p>
        </w:tc>
      </w:tr>
      <w:tr w:rsidR="00D7296C" w:rsidRPr="00C10D99" w14:paraId="12177FF6" w14:textId="339ABCC6" w:rsidTr="00D7296C">
        <w:tc>
          <w:tcPr>
            <w:tcW w:w="2108" w:type="pct"/>
            <w:shd w:val="clear" w:color="auto" w:fill="auto"/>
          </w:tcPr>
          <w:p w14:paraId="57AC7CA8" w14:textId="77777777" w:rsidR="00D7296C" w:rsidRPr="00ED0B29" w:rsidRDefault="00D7296C" w:rsidP="00E501B6">
            <w:pPr>
              <w:tabs>
                <w:tab w:val="left" w:pos="540"/>
              </w:tabs>
              <w:ind w:left="90"/>
              <w:jc w:val="left"/>
              <w:rPr>
                <w:szCs w:val="22"/>
                <w:lang w:val="nl-NL"/>
              </w:rPr>
            </w:pPr>
            <w:r w:rsidRPr="00ED0B29">
              <w:rPr>
                <w:szCs w:val="22"/>
                <w:lang w:val="nl-NL"/>
              </w:rPr>
              <w:t>Tỷ lệ tăng trưởng (%)/1 đơn vị CCQ</w:t>
            </w:r>
          </w:p>
        </w:tc>
        <w:tc>
          <w:tcPr>
            <w:tcW w:w="964" w:type="pct"/>
            <w:shd w:val="clear" w:color="auto" w:fill="auto"/>
            <w:vAlign w:val="bottom"/>
          </w:tcPr>
          <w:p w14:paraId="0F3711E6" w14:textId="2823906A" w:rsidR="00D7296C" w:rsidRPr="00850649" w:rsidRDefault="00D7296C" w:rsidP="00E501B6">
            <w:pPr>
              <w:tabs>
                <w:tab w:val="left" w:pos="540"/>
              </w:tabs>
              <w:jc w:val="center"/>
              <w:rPr>
                <w:szCs w:val="22"/>
                <w:lang w:val="nl-NL"/>
              </w:rPr>
            </w:pPr>
            <w:r w:rsidRPr="00850649">
              <w:rPr>
                <w:rFonts w:ascii="Calibri" w:hAnsi="Calibri" w:cs="Calibri"/>
                <w:color w:val="000000"/>
                <w:szCs w:val="22"/>
              </w:rPr>
              <w:t>38.28</w:t>
            </w:r>
          </w:p>
        </w:tc>
        <w:tc>
          <w:tcPr>
            <w:tcW w:w="964" w:type="pct"/>
            <w:shd w:val="clear" w:color="auto" w:fill="auto"/>
            <w:vAlign w:val="bottom"/>
          </w:tcPr>
          <w:p w14:paraId="72389029" w14:textId="6C3BCBB0" w:rsidR="00D7296C" w:rsidRPr="00850649" w:rsidRDefault="00D7296C" w:rsidP="00E501B6">
            <w:pPr>
              <w:tabs>
                <w:tab w:val="left" w:pos="540"/>
              </w:tabs>
              <w:jc w:val="center"/>
              <w:rPr>
                <w:szCs w:val="22"/>
                <w:lang w:val="nl-NL"/>
              </w:rPr>
            </w:pPr>
            <w:r w:rsidRPr="00850649">
              <w:rPr>
                <w:rFonts w:ascii="Calibri" w:hAnsi="Calibri" w:cs="Calibri"/>
                <w:color w:val="000000"/>
                <w:szCs w:val="22"/>
              </w:rPr>
              <w:t xml:space="preserve">                                                                                    (25.10)</w:t>
            </w:r>
          </w:p>
        </w:tc>
        <w:tc>
          <w:tcPr>
            <w:tcW w:w="964" w:type="pct"/>
            <w:shd w:val="clear" w:color="auto" w:fill="auto"/>
            <w:vAlign w:val="bottom"/>
          </w:tcPr>
          <w:p w14:paraId="50839765" w14:textId="633293B0" w:rsidR="00D7296C" w:rsidRPr="00850649" w:rsidRDefault="00D7296C" w:rsidP="00E501B6">
            <w:pPr>
              <w:tabs>
                <w:tab w:val="left" w:pos="540"/>
              </w:tabs>
              <w:jc w:val="center"/>
              <w:rPr>
                <w:szCs w:val="22"/>
                <w:lang w:val="nl-NL"/>
              </w:rPr>
            </w:pPr>
            <w:r w:rsidRPr="00850649">
              <w:rPr>
                <w:rFonts w:ascii="Calibri" w:hAnsi="Calibri" w:cs="Calibri"/>
                <w:color w:val="000000"/>
                <w:szCs w:val="22"/>
              </w:rPr>
              <w:t xml:space="preserve">                                                                               50.77 </w:t>
            </w:r>
          </w:p>
        </w:tc>
      </w:tr>
    </w:tbl>
    <w:p w14:paraId="115045F5" w14:textId="77777777" w:rsidR="00D23AD2" w:rsidRPr="00C10D99" w:rsidRDefault="00D23AD2" w:rsidP="007922E7">
      <w:pPr>
        <w:shd w:val="clear" w:color="auto" w:fill="FFFFFF"/>
        <w:tabs>
          <w:tab w:val="left" w:pos="540"/>
        </w:tabs>
        <w:spacing w:before="120"/>
        <w:rPr>
          <w:b/>
          <w:szCs w:val="22"/>
          <w:lang w:val="nl-NL"/>
        </w:rPr>
      </w:pPr>
    </w:p>
    <w:p w14:paraId="691E463D" w14:textId="04873998" w:rsidR="008A0CBE"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C10D99">
        <w:rPr>
          <w:rFonts w:ascii="Times New Roman" w:hAnsi="Times New Roman"/>
          <w:b/>
          <w:sz w:val="28"/>
          <w:szCs w:val="28"/>
          <w:lang w:val="nl-NL"/>
        </w:rPr>
        <w:t>Mô tả thị trường trong kỳ</w:t>
      </w:r>
    </w:p>
    <w:p w14:paraId="326400B4" w14:textId="77777777" w:rsidR="00EB3E0E" w:rsidRPr="00C10D99" w:rsidRDefault="00EB3E0E" w:rsidP="00EB3E0E">
      <w:pPr>
        <w:pStyle w:val="ListParagraph"/>
        <w:shd w:val="clear" w:color="auto" w:fill="FFFFFF"/>
        <w:tabs>
          <w:tab w:val="left" w:pos="540"/>
        </w:tabs>
        <w:spacing w:before="120"/>
        <w:ind w:left="0"/>
        <w:rPr>
          <w:rFonts w:ascii="Times New Roman" w:hAnsi="Times New Roman"/>
          <w:b/>
          <w:sz w:val="28"/>
          <w:szCs w:val="28"/>
          <w:lang w:val="nl-NL"/>
        </w:rPr>
      </w:pPr>
    </w:p>
    <w:p w14:paraId="610291BB" w14:textId="7D176A3D" w:rsidR="00E501B6" w:rsidRPr="00EB3E0E" w:rsidRDefault="00E501B6" w:rsidP="00E501B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r w:rsidRPr="00EB3E0E">
        <w:rPr>
          <w:rFonts w:ascii="Arial" w:eastAsia="Times New Roman" w:hAnsi="Arial" w:cs="Arial"/>
          <w:sz w:val="18"/>
          <w:szCs w:val="18"/>
          <w:lang w:val="nl-NL"/>
        </w:rPr>
        <w:t>VNINDEX tăng 2.5% trong tháng 3, đóng cửa tại mức 1,284.09 điểm, tăng 13.6% so với đầu năm. Thanh khoản trung bình trong quý 1 là hơn 21,360 tỷ đồng, tăng 35.7% so với quý 4 trước đó.</w:t>
      </w:r>
    </w:p>
    <w:p w14:paraId="3A9D9E88" w14:textId="77777777" w:rsidR="00E501B6" w:rsidRPr="00EB3E0E" w:rsidRDefault="00E501B6" w:rsidP="00E501B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r w:rsidRPr="00EB3E0E">
        <w:rPr>
          <w:rFonts w:ascii="Arial" w:eastAsia="Times New Roman" w:hAnsi="Arial" w:cs="Arial"/>
          <w:sz w:val="18"/>
          <w:szCs w:val="18"/>
          <w:lang w:val="nl-NL"/>
        </w:rPr>
        <w:t>Những điểm chính của thị trường trong Q1/2024:</w:t>
      </w:r>
    </w:p>
    <w:p w14:paraId="4BD79AF3" w14:textId="77777777" w:rsidR="00E501B6" w:rsidRPr="00EB3E0E" w:rsidRDefault="00E501B6" w:rsidP="00E501B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r w:rsidRPr="00EB3E0E">
        <w:rPr>
          <w:rFonts w:ascii="Arial" w:eastAsia="Times New Roman" w:hAnsi="Arial" w:cs="Arial"/>
          <w:sz w:val="18"/>
          <w:szCs w:val="18"/>
          <w:lang w:val="nl-NL"/>
        </w:rPr>
        <w:t>i.</w:t>
      </w:r>
      <w:r w:rsidRPr="00EB3E0E">
        <w:rPr>
          <w:rFonts w:ascii="Arial" w:eastAsia="Times New Roman" w:hAnsi="Arial" w:cs="Arial"/>
          <w:sz w:val="18"/>
          <w:szCs w:val="18"/>
          <w:lang w:val="nl-NL"/>
        </w:rPr>
        <w:tab/>
        <w:t>Thanh khoản bình quân mỗi phiên của VN-Index lên mức cao nhất trong hai năm và là tháng tăng thứ ba liên tiếp</w:t>
      </w:r>
    </w:p>
    <w:p w14:paraId="29604A6C" w14:textId="77777777" w:rsidR="00E501B6" w:rsidRPr="00EB3E0E" w:rsidRDefault="00E501B6" w:rsidP="00E501B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r w:rsidRPr="00EB3E0E">
        <w:rPr>
          <w:rFonts w:ascii="Arial" w:eastAsia="Times New Roman" w:hAnsi="Arial" w:cs="Arial"/>
          <w:sz w:val="18"/>
          <w:szCs w:val="18"/>
          <w:lang w:val="nl-NL"/>
        </w:rPr>
        <w:t>ii.</w:t>
      </w:r>
      <w:r w:rsidRPr="00EB3E0E">
        <w:rPr>
          <w:rFonts w:ascii="Arial" w:eastAsia="Times New Roman" w:hAnsi="Arial" w:cs="Arial"/>
          <w:sz w:val="18"/>
          <w:szCs w:val="18"/>
          <w:lang w:val="nl-NL"/>
        </w:rPr>
        <w:tab/>
        <w:t>SSC mở đường giải quyết vấn đề cấp vốn trước. Điều này đã nhận được sự hoan nghênh từ cả Ngân hàng Thế giới và FTSE khi có thể  giảm bớt khó khăn giao dịch và thu hút dòng vốn quốc tế.</w:t>
      </w:r>
    </w:p>
    <w:p w14:paraId="6E13EB85" w14:textId="77777777" w:rsidR="00E501B6" w:rsidRPr="00EB3E0E" w:rsidRDefault="00E501B6" w:rsidP="00E501B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r w:rsidRPr="00EB3E0E">
        <w:rPr>
          <w:rFonts w:ascii="Arial" w:eastAsia="Times New Roman" w:hAnsi="Arial" w:cs="Arial"/>
          <w:sz w:val="18"/>
          <w:szCs w:val="18"/>
          <w:lang w:val="nl-NL"/>
        </w:rPr>
        <w:t>iii.</w:t>
      </w:r>
      <w:r w:rsidRPr="00EB3E0E">
        <w:rPr>
          <w:rFonts w:ascii="Arial" w:eastAsia="Times New Roman" w:hAnsi="Arial" w:cs="Arial"/>
          <w:sz w:val="18"/>
          <w:szCs w:val="18"/>
          <w:lang w:val="nl-NL"/>
        </w:rPr>
        <w:tab/>
        <w:t>Luật Đất đai sửa đổi hâm nóng thị trường bất động sản.</w:t>
      </w:r>
    </w:p>
    <w:p w14:paraId="70B4EEDC" w14:textId="0D3F48CD" w:rsidR="00BE05A6" w:rsidRDefault="00BE05A6" w:rsidP="00BE05A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p>
    <w:p w14:paraId="75F4563C" w14:textId="77777777" w:rsidR="008F7F8C" w:rsidRDefault="008F7F8C" w:rsidP="00BE05A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p>
    <w:p w14:paraId="5C5948AE" w14:textId="77777777" w:rsidR="008F7F8C" w:rsidRDefault="008F7F8C" w:rsidP="00BE05A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p>
    <w:p w14:paraId="686DCE2C" w14:textId="77777777" w:rsidR="008F7F8C" w:rsidRDefault="008F7F8C" w:rsidP="00BE05A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p>
    <w:p w14:paraId="15FE9370" w14:textId="77777777" w:rsidR="008F7F8C" w:rsidRDefault="008F7F8C" w:rsidP="00BE05A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p>
    <w:p w14:paraId="3C1A9717" w14:textId="77777777" w:rsidR="008F7F8C" w:rsidRDefault="008F7F8C" w:rsidP="00BE05A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p>
    <w:p w14:paraId="56D458A3" w14:textId="77777777" w:rsidR="008F7F8C" w:rsidRPr="00253EA8" w:rsidRDefault="008F7F8C" w:rsidP="00BE05A6">
      <w:pPr>
        <w:pStyle w:val="ListParagraph"/>
        <w:shd w:val="clear" w:color="auto" w:fill="FFFFFF"/>
        <w:tabs>
          <w:tab w:val="left" w:pos="540"/>
          <w:tab w:val="left" w:pos="720"/>
        </w:tabs>
        <w:spacing w:before="120"/>
        <w:ind w:left="0"/>
        <w:rPr>
          <w:rFonts w:ascii="Arial" w:eastAsia="Times New Roman" w:hAnsi="Arial" w:cs="Arial"/>
          <w:sz w:val="18"/>
          <w:szCs w:val="18"/>
          <w:lang w:val="nl-NL"/>
        </w:rPr>
      </w:pPr>
    </w:p>
    <w:p w14:paraId="15392900" w14:textId="77777777" w:rsidR="00ED0B29" w:rsidRPr="00573C16" w:rsidRDefault="00ED0B29" w:rsidP="001E6D1D">
      <w:pPr>
        <w:pStyle w:val="ListParagraph"/>
        <w:shd w:val="clear" w:color="auto" w:fill="FFFFFF"/>
        <w:tabs>
          <w:tab w:val="left" w:pos="540"/>
          <w:tab w:val="left" w:pos="720"/>
        </w:tabs>
        <w:spacing w:before="120"/>
        <w:ind w:left="0"/>
        <w:rPr>
          <w:rFonts w:ascii="Times New Roman" w:eastAsia="Times New Roman" w:hAnsi="Times New Roman"/>
          <w:color w:val="000000" w:themeColor="text1"/>
          <w:szCs w:val="20"/>
          <w:lang w:val="nl-NL"/>
        </w:rPr>
      </w:pPr>
    </w:p>
    <w:p w14:paraId="782DC309" w14:textId="571CC481" w:rsidR="00D23AD2" w:rsidRDefault="007922E7" w:rsidP="00D23AD2">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C10D99">
        <w:rPr>
          <w:rFonts w:ascii="Times New Roman" w:hAnsi="Times New Roman"/>
          <w:b/>
          <w:sz w:val="28"/>
          <w:szCs w:val="28"/>
          <w:lang w:val="nl-NL"/>
        </w:rPr>
        <w:lastRenderedPageBreak/>
        <w:t>Chi tiết các chỉ tiêu hoạt động của quỹ</w:t>
      </w:r>
    </w:p>
    <w:p w14:paraId="59756B4C" w14:textId="77777777" w:rsidR="007922E7" w:rsidRPr="00D23AD2"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7777777" w:rsidR="007922E7"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t>Số liệu chi tiết hoạt động của Quỹ</w:t>
      </w:r>
    </w:p>
    <w:p w14:paraId="0B14ABB9" w14:textId="77777777" w:rsidR="00AC1335" w:rsidRPr="00AC1335" w:rsidRDefault="00AC1335" w:rsidP="00AC1335">
      <w:pPr>
        <w:shd w:val="clear" w:color="auto" w:fill="FFFFFF"/>
        <w:tabs>
          <w:tab w:val="left" w:pos="540"/>
        </w:tabs>
        <w:spacing w:before="120"/>
        <w:rPr>
          <w:b/>
          <w:sz w:val="24"/>
          <w:szCs w:val="24"/>
          <w:lang w:val="nl-NL"/>
        </w:rPr>
      </w:pPr>
    </w:p>
    <w:tbl>
      <w:tblPr>
        <w:tblW w:w="10000" w:type="dxa"/>
        <w:tblLook w:val="04A0" w:firstRow="1" w:lastRow="0" w:firstColumn="1" w:lastColumn="0" w:noHBand="0" w:noVBand="1"/>
      </w:tblPr>
      <w:tblGrid>
        <w:gridCol w:w="2500"/>
        <w:gridCol w:w="2500"/>
        <w:gridCol w:w="2500"/>
        <w:gridCol w:w="2500"/>
      </w:tblGrid>
      <w:tr w:rsidR="00D23AD2" w:rsidRPr="00D23AD2"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1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3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gần</w:t>
            </w:r>
            <w:proofErr w:type="spellEnd"/>
            <w:r w:rsidRPr="00D23AD2">
              <w:rPr>
                <w:b/>
                <w:bCs/>
                <w:szCs w:val="22"/>
                <w:lang w:val="en-US"/>
              </w:rPr>
              <w:t xml:space="preserve"> </w:t>
            </w:r>
            <w:proofErr w:type="spellStart"/>
            <w:r w:rsidRPr="00D23AD2">
              <w:rPr>
                <w:b/>
                <w:bCs/>
                <w:szCs w:val="22"/>
                <w:lang w:val="en-US"/>
              </w:rPr>
              <w:t>nhất</w:t>
            </w:r>
            <w:proofErr w:type="spellEnd"/>
            <w:r w:rsidRPr="00D23AD2">
              <w:rPr>
                <w:b/>
                <w:bCs/>
                <w:szCs w:val="22"/>
                <w:lang w:val="en-US"/>
              </w:rPr>
              <w:t xml:space="preserve"> </w:t>
            </w:r>
            <w:proofErr w:type="spellStart"/>
            <w:r w:rsidRPr="00D23AD2">
              <w:rPr>
                <w:b/>
                <w:bCs/>
                <w:szCs w:val="22"/>
                <w:lang w:val="en-US"/>
              </w:rPr>
              <w:t>tính</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t>Từ</w:t>
            </w:r>
            <w:proofErr w:type="spellEnd"/>
            <w:r w:rsidRPr="00D23AD2">
              <w:rPr>
                <w:b/>
                <w:bCs/>
                <w:szCs w:val="22"/>
                <w:lang w:val="en-US"/>
              </w:rPr>
              <w:t xml:space="preserve"> </w:t>
            </w:r>
            <w:proofErr w:type="spellStart"/>
            <w:r w:rsidRPr="00D23AD2">
              <w:rPr>
                <w:b/>
                <w:bCs/>
                <w:szCs w:val="22"/>
                <w:lang w:val="en-US"/>
              </w:rPr>
              <w:t>khi</w:t>
            </w:r>
            <w:proofErr w:type="spellEnd"/>
            <w:r w:rsidRPr="00D23AD2">
              <w:rPr>
                <w:b/>
                <w:bCs/>
                <w:szCs w:val="22"/>
                <w:lang w:val="en-US"/>
              </w:rPr>
              <w:t xml:space="preserve"> </w:t>
            </w:r>
            <w:proofErr w:type="spellStart"/>
            <w:r w:rsidRPr="00D23AD2">
              <w:rPr>
                <w:b/>
                <w:bCs/>
                <w:szCs w:val="22"/>
                <w:lang w:val="en-US"/>
              </w:rPr>
              <w:t>thành</w:t>
            </w:r>
            <w:proofErr w:type="spellEnd"/>
            <w:r w:rsidRPr="00D23AD2">
              <w:rPr>
                <w:b/>
                <w:bCs/>
                <w:szCs w:val="22"/>
                <w:lang w:val="en-US"/>
              </w:rPr>
              <w:t xml:space="preserve"> </w:t>
            </w:r>
            <w:proofErr w:type="spellStart"/>
            <w:r w:rsidRPr="00D23AD2">
              <w:rPr>
                <w:b/>
                <w:bCs/>
                <w:szCs w:val="22"/>
                <w:lang w:val="en-US"/>
              </w:rPr>
              <w:t>lập</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r>
      <w:tr w:rsidR="00792663" w:rsidRPr="00573C16" w14:paraId="42072AE2" w14:textId="77777777" w:rsidTr="00DB320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792663" w:rsidRPr="00D23AD2" w:rsidRDefault="00792663" w:rsidP="00792663">
            <w:pPr>
              <w:keepLines w:val="0"/>
              <w:overflowPunct/>
              <w:autoSpaceDE/>
              <w:autoSpaceDN/>
              <w:adjustRightInd/>
              <w:jc w:val="left"/>
              <w:textAlignment w:val="auto"/>
              <w:rPr>
                <w:szCs w:val="22"/>
                <w:lang w:val="en-US"/>
              </w:rPr>
            </w:pP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thu</w:t>
            </w:r>
            <w:proofErr w:type="spellEnd"/>
            <w:r w:rsidRPr="00D23AD2">
              <w:rPr>
                <w:szCs w:val="22"/>
                <w:lang w:val="en-US"/>
              </w:rPr>
              <w:t xml:space="preserve"> </w:t>
            </w:r>
            <w:proofErr w:type="spellStart"/>
            <w:r w:rsidRPr="00D23AD2">
              <w:rPr>
                <w:szCs w:val="22"/>
                <w:lang w:val="en-US"/>
              </w:rPr>
              <w:t>nhập</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0DC5" w14:textId="41C0BE6A" w:rsidR="00792663" w:rsidRPr="00573C16" w:rsidRDefault="00792663" w:rsidP="00792663">
            <w:pPr>
              <w:keepLines w:val="0"/>
              <w:overflowPunct/>
              <w:autoSpaceDE/>
              <w:autoSpaceDN/>
              <w:adjustRightInd/>
              <w:jc w:val="center"/>
              <w:textAlignment w:val="auto"/>
              <w:rPr>
                <w:szCs w:val="22"/>
                <w:lang w:val="en-US"/>
              </w:rPr>
            </w:pPr>
            <w:r>
              <w:rPr>
                <w:szCs w:val="22"/>
              </w:rPr>
              <w:t>7.16%</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EF0C" w14:textId="66080DC5" w:rsidR="00792663" w:rsidRPr="00573C16" w:rsidRDefault="00792663" w:rsidP="00792663">
            <w:pPr>
              <w:keepLines w:val="0"/>
              <w:overflowPunct/>
              <w:autoSpaceDE/>
              <w:autoSpaceDN/>
              <w:adjustRightInd/>
              <w:jc w:val="center"/>
              <w:textAlignment w:val="auto"/>
              <w:rPr>
                <w:szCs w:val="22"/>
                <w:lang w:val="en-US"/>
              </w:rPr>
            </w:pPr>
            <w:r>
              <w:rPr>
                <w:szCs w:val="22"/>
              </w:rPr>
              <w:t>39.07%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66D7" w14:textId="08EA0CE4" w:rsidR="00792663" w:rsidRPr="00573C16" w:rsidRDefault="00792663" w:rsidP="00792663">
            <w:pPr>
              <w:keepLines w:val="0"/>
              <w:overflowPunct/>
              <w:autoSpaceDE/>
              <w:autoSpaceDN/>
              <w:adjustRightInd/>
              <w:jc w:val="center"/>
              <w:textAlignment w:val="auto"/>
              <w:rPr>
                <w:szCs w:val="22"/>
                <w:lang w:val="en-US"/>
              </w:rPr>
            </w:pPr>
            <w:r>
              <w:rPr>
                <w:szCs w:val="22"/>
              </w:rPr>
              <w:t>95.70%</w:t>
            </w:r>
          </w:p>
        </w:tc>
      </w:tr>
      <w:tr w:rsidR="00792663" w:rsidRPr="00573C16" w14:paraId="2C386863" w14:textId="77777777" w:rsidTr="00DB320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792663" w:rsidRPr="00D23AD2" w:rsidRDefault="00792663" w:rsidP="00792663">
            <w:pPr>
              <w:keepLines w:val="0"/>
              <w:overflowPunct/>
              <w:autoSpaceDE/>
              <w:autoSpaceDN/>
              <w:adjustRightInd/>
              <w:jc w:val="left"/>
              <w:textAlignment w:val="auto"/>
              <w:rPr>
                <w:szCs w:val="22"/>
                <w:lang w:val="en-US"/>
              </w:rPr>
            </w:pP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Vốn</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AFEB" w14:textId="2E9E74EA" w:rsidR="00792663" w:rsidRPr="00573C16" w:rsidRDefault="00792663" w:rsidP="00792663">
            <w:pPr>
              <w:keepLines w:val="0"/>
              <w:overflowPunct/>
              <w:autoSpaceDE/>
              <w:autoSpaceDN/>
              <w:adjustRightInd/>
              <w:jc w:val="center"/>
              <w:textAlignment w:val="auto"/>
              <w:rPr>
                <w:szCs w:val="22"/>
                <w:lang w:val="en-US"/>
              </w:rPr>
            </w:pPr>
            <w:r>
              <w:rPr>
                <w:szCs w:val="22"/>
              </w:rPr>
              <w:t>31.12%</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A8EE" w14:textId="38E01DB4" w:rsidR="00792663" w:rsidRPr="00573C16" w:rsidRDefault="00792663" w:rsidP="00792663">
            <w:pPr>
              <w:keepLines w:val="0"/>
              <w:overflowPunct/>
              <w:autoSpaceDE/>
              <w:autoSpaceDN/>
              <w:adjustRightInd/>
              <w:jc w:val="center"/>
              <w:textAlignment w:val="auto"/>
              <w:rPr>
                <w:szCs w:val="22"/>
                <w:lang w:val="en-US"/>
              </w:rPr>
            </w:pPr>
            <w:r>
              <w:rPr>
                <w:szCs w:val="22"/>
              </w:rPr>
              <w:t>17.09%</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9524" w14:textId="23D462DF" w:rsidR="00792663" w:rsidRPr="00573C16" w:rsidRDefault="00792663" w:rsidP="00792663">
            <w:pPr>
              <w:keepLines w:val="0"/>
              <w:overflowPunct/>
              <w:autoSpaceDE/>
              <w:autoSpaceDN/>
              <w:adjustRightInd/>
              <w:jc w:val="center"/>
              <w:textAlignment w:val="auto"/>
              <w:rPr>
                <w:szCs w:val="22"/>
                <w:lang w:val="en-US"/>
              </w:rPr>
            </w:pPr>
            <w:r>
              <w:rPr>
                <w:szCs w:val="22"/>
              </w:rPr>
              <w:t>114.14%</w:t>
            </w:r>
          </w:p>
        </w:tc>
      </w:tr>
      <w:tr w:rsidR="00792663" w:rsidRPr="00573C16" w14:paraId="05DAE975" w14:textId="77777777" w:rsidTr="00DB320D">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792663" w:rsidRPr="00D23AD2" w:rsidRDefault="00792663" w:rsidP="00792663">
            <w:pPr>
              <w:keepLines w:val="0"/>
              <w:overflowPunct/>
              <w:autoSpaceDE/>
              <w:autoSpaceDN/>
              <w:adjustRightInd/>
              <w:jc w:val="left"/>
              <w:textAlignment w:val="auto"/>
              <w:rPr>
                <w:szCs w:val="22"/>
                <w:lang w:val="en-US"/>
              </w:rPr>
            </w:pPr>
            <w:proofErr w:type="spellStart"/>
            <w:r w:rsidRPr="00D23AD2">
              <w:rPr>
                <w:szCs w:val="22"/>
                <w:lang w:val="en-US"/>
              </w:rPr>
              <w:t>Tổng</w:t>
            </w:r>
            <w:proofErr w:type="spellEnd"/>
            <w:r w:rsidRPr="00D23AD2">
              <w:rPr>
                <w:szCs w:val="22"/>
                <w:lang w:val="en-US"/>
              </w:rPr>
              <w:t xml:space="preserve"> </w:t>
            </w: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1909" w14:textId="64464D57" w:rsidR="00792663" w:rsidRPr="00573C16" w:rsidRDefault="00792663" w:rsidP="00792663">
            <w:pPr>
              <w:keepLines w:val="0"/>
              <w:overflowPunct/>
              <w:autoSpaceDE/>
              <w:autoSpaceDN/>
              <w:adjustRightInd/>
              <w:jc w:val="center"/>
              <w:textAlignment w:val="auto"/>
              <w:rPr>
                <w:szCs w:val="22"/>
                <w:lang w:val="en-US"/>
              </w:rPr>
            </w:pPr>
            <w:r>
              <w:rPr>
                <w:szCs w:val="22"/>
              </w:rPr>
              <w:t>38.28%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71A1A" w14:textId="6439856F" w:rsidR="00792663" w:rsidRPr="00573C16" w:rsidRDefault="00792663" w:rsidP="00792663">
            <w:pPr>
              <w:keepLines w:val="0"/>
              <w:overflowPunct/>
              <w:autoSpaceDE/>
              <w:autoSpaceDN/>
              <w:adjustRightInd/>
              <w:jc w:val="center"/>
              <w:textAlignment w:val="auto"/>
              <w:rPr>
                <w:szCs w:val="22"/>
                <w:lang w:val="en-US"/>
              </w:rPr>
            </w:pPr>
            <w:r>
              <w:rPr>
                <w:szCs w:val="22"/>
              </w:rPr>
              <w:t>56.17%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3B40" w14:textId="38F31146" w:rsidR="00792663" w:rsidRPr="00573C16" w:rsidRDefault="00792663" w:rsidP="00792663">
            <w:pPr>
              <w:keepLines w:val="0"/>
              <w:overflowPunct/>
              <w:autoSpaceDE/>
              <w:autoSpaceDN/>
              <w:adjustRightInd/>
              <w:jc w:val="center"/>
              <w:textAlignment w:val="auto"/>
              <w:rPr>
                <w:szCs w:val="22"/>
                <w:lang w:val="en-US"/>
              </w:rPr>
            </w:pPr>
            <w:r>
              <w:rPr>
                <w:szCs w:val="22"/>
              </w:rPr>
              <w:t>209.83%</w:t>
            </w:r>
          </w:p>
        </w:tc>
      </w:tr>
      <w:tr w:rsidR="00E501B6" w:rsidRPr="00253EA8" w14:paraId="061F109C" w14:textId="77777777" w:rsidTr="00573C16">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E501B6" w:rsidRPr="00253EA8" w:rsidRDefault="00E501B6" w:rsidP="00E501B6">
            <w:pPr>
              <w:keepLines w:val="0"/>
              <w:overflowPunct/>
              <w:autoSpaceDE/>
              <w:autoSpaceDN/>
              <w:adjustRightInd/>
              <w:jc w:val="left"/>
              <w:textAlignment w:val="auto"/>
              <w:rPr>
                <w:szCs w:val="22"/>
                <w:lang w:val="en-US"/>
              </w:rPr>
            </w:pPr>
            <w:proofErr w:type="spellStart"/>
            <w:r w:rsidRPr="00253EA8">
              <w:rPr>
                <w:szCs w:val="22"/>
                <w:lang w:val="en-US"/>
              </w:rPr>
              <w:t>Tăng</w:t>
            </w:r>
            <w:proofErr w:type="spellEnd"/>
            <w:r w:rsidRPr="00253EA8">
              <w:rPr>
                <w:szCs w:val="22"/>
                <w:lang w:val="en-US"/>
              </w:rPr>
              <w:t xml:space="preserve"> </w:t>
            </w:r>
            <w:proofErr w:type="spellStart"/>
            <w:r w:rsidRPr="00253EA8">
              <w:rPr>
                <w:szCs w:val="22"/>
                <w:lang w:val="en-US"/>
              </w:rPr>
              <w:t>trưởng</w:t>
            </w:r>
            <w:proofErr w:type="spellEnd"/>
            <w:r w:rsidRPr="00253EA8">
              <w:rPr>
                <w:szCs w:val="22"/>
                <w:lang w:val="en-US"/>
              </w:rPr>
              <w:t xml:space="preserve"> </w:t>
            </w:r>
            <w:proofErr w:type="spellStart"/>
            <w:r w:rsidRPr="00253EA8">
              <w:rPr>
                <w:szCs w:val="22"/>
                <w:lang w:val="en-US"/>
              </w:rPr>
              <w:t>hàng</w:t>
            </w:r>
            <w:proofErr w:type="spellEnd"/>
            <w:r w:rsidRPr="00253EA8">
              <w:rPr>
                <w:szCs w:val="22"/>
                <w:lang w:val="en-US"/>
              </w:rPr>
              <w:t xml:space="preserve"> </w:t>
            </w:r>
            <w:proofErr w:type="spellStart"/>
            <w:r w:rsidRPr="00253EA8">
              <w:rPr>
                <w:szCs w:val="22"/>
                <w:lang w:val="en-US"/>
              </w:rPr>
              <w:t>năm</w:t>
            </w:r>
            <w:proofErr w:type="spellEnd"/>
            <w:r w:rsidRPr="00253EA8">
              <w:rPr>
                <w:szCs w:val="22"/>
                <w:lang w:val="en-US"/>
              </w:rPr>
              <w:t xml:space="preserve">(%)/1 </w:t>
            </w:r>
            <w:proofErr w:type="spellStart"/>
            <w:r w:rsidRPr="00253EA8">
              <w:rPr>
                <w:szCs w:val="22"/>
                <w:lang w:val="en-US"/>
              </w:rPr>
              <w:t>đơn</w:t>
            </w:r>
            <w:proofErr w:type="spellEnd"/>
            <w:r w:rsidRPr="00253EA8">
              <w:rPr>
                <w:szCs w:val="22"/>
                <w:lang w:val="en-US"/>
              </w:rPr>
              <w:t xml:space="preserve"> vị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02AA2E45" w14:textId="304F17A7" w:rsidR="00E501B6" w:rsidRPr="00EB3E0E" w:rsidRDefault="00E501B6" w:rsidP="00E501B6">
            <w:pPr>
              <w:keepLines w:val="0"/>
              <w:overflowPunct/>
              <w:autoSpaceDE/>
              <w:autoSpaceDN/>
              <w:adjustRightInd/>
              <w:jc w:val="center"/>
              <w:textAlignment w:val="auto"/>
              <w:rPr>
                <w:szCs w:val="22"/>
              </w:rPr>
            </w:pPr>
            <w:r w:rsidRPr="00EB3E0E">
              <w:rPr>
                <w:rFonts w:ascii="Calibri" w:hAnsi="Calibri" w:cs="Calibri"/>
                <w:color w:val="000000"/>
                <w:szCs w:val="22"/>
              </w:rPr>
              <w:t xml:space="preserve">                                                          38.28%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DBD65" w14:textId="5D45B002" w:rsidR="00E501B6" w:rsidRPr="00EB3E0E" w:rsidRDefault="00E501B6" w:rsidP="00E501B6">
            <w:pPr>
              <w:keepLines w:val="0"/>
              <w:overflowPunct/>
              <w:autoSpaceDE/>
              <w:autoSpaceDN/>
              <w:adjustRightInd/>
              <w:jc w:val="center"/>
              <w:textAlignment w:val="auto"/>
              <w:rPr>
                <w:szCs w:val="22"/>
              </w:rPr>
            </w:pPr>
            <w:r w:rsidRPr="00EB3E0E">
              <w:rPr>
                <w:rFonts w:ascii="Calibri" w:hAnsi="Calibri" w:cs="Calibri"/>
                <w:color w:val="000000"/>
                <w:szCs w:val="22"/>
              </w:rPr>
              <w:t xml:space="preserve">                                                                                      16.01%</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7AB9A" w14:textId="2761FA12" w:rsidR="00E501B6" w:rsidRPr="00EB3E0E" w:rsidRDefault="00E501B6" w:rsidP="00E501B6">
            <w:pPr>
              <w:keepLines w:val="0"/>
              <w:overflowPunct/>
              <w:autoSpaceDE/>
              <w:autoSpaceDN/>
              <w:adjustRightInd/>
              <w:jc w:val="center"/>
              <w:textAlignment w:val="auto"/>
              <w:rPr>
                <w:szCs w:val="22"/>
              </w:rPr>
            </w:pPr>
            <w:r w:rsidRPr="00EB3E0E">
              <w:rPr>
                <w:rFonts w:ascii="Calibri" w:hAnsi="Calibri" w:cs="Calibri"/>
                <w:color w:val="000000"/>
                <w:szCs w:val="22"/>
              </w:rPr>
              <w:t xml:space="preserve">                                                                               32.48%</w:t>
            </w:r>
          </w:p>
        </w:tc>
      </w:tr>
      <w:tr w:rsidR="00E501B6" w:rsidRPr="00253EA8" w14:paraId="654D1DB4" w14:textId="77777777" w:rsidTr="00573C16">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E501B6" w:rsidRPr="00253EA8" w:rsidRDefault="00E501B6" w:rsidP="00E501B6">
            <w:pPr>
              <w:keepLines w:val="0"/>
              <w:overflowPunct/>
              <w:autoSpaceDE/>
              <w:autoSpaceDN/>
              <w:adjustRightInd/>
              <w:jc w:val="left"/>
              <w:textAlignment w:val="auto"/>
              <w:rPr>
                <w:szCs w:val="22"/>
                <w:lang w:val="en-US"/>
              </w:rPr>
            </w:pPr>
            <w:proofErr w:type="spellStart"/>
            <w:r w:rsidRPr="00253EA8">
              <w:rPr>
                <w:szCs w:val="22"/>
                <w:lang w:val="en-US"/>
              </w:rPr>
              <w:t>Tăng</w:t>
            </w:r>
            <w:proofErr w:type="spellEnd"/>
            <w:r w:rsidRPr="00253EA8">
              <w:rPr>
                <w:szCs w:val="22"/>
                <w:lang w:val="en-US"/>
              </w:rPr>
              <w:t xml:space="preserve"> </w:t>
            </w:r>
            <w:proofErr w:type="spellStart"/>
            <w:r w:rsidRPr="00253EA8">
              <w:rPr>
                <w:szCs w:val="22"/>
                <w:lang w:val="en-US"/>
              </w:rPr>
              <w:t>trưởng</w:t>
            </w:r>
            <w:proofErr w:type="spellEnd"/>
            <w:r w:rsidRPr="00253EA8">
              <w:rPr>
                <w:szCs w:val="22"/>
                <w:lang w:val="en-US"/>
              </w:rPr>
              <w:t xml:space="preserve"> </w:t>
            </w:r>
            <w:proofErr w:type="spellStart"/>
            <w:r w:rsidRPr="00253EA8">
              <w:rPr>
                <w:szCs w:val="22"/>
                <w:lang w:val="en-US"/>
              </w:rPr>
              <w:t>của</w:t>
            </w:r>
            <w:proofErr w:type="spellEnd"/>
            <w:r w:rsidRPr="00253EA8">
              <w:rPr>
                <w:szCs w:val="22"/>
                <w:lang w:val="en-US"/>
              </w:rPr>
              <w:t xml:space="preserve"> </w:t>
            </w:r>
            <w:proofErr w:type="spellStart"/>
            <w:r w:rsidRPr="00253EA8">
              <w:rPr>
                <w:szCs w:val="22"/>
                <w:lang w:val="en-US"/>
              </w:rPr>
              <w:t>danh</w:t>
            </w:r>
            <w:proofErr w:type="spellEnd"/>
            <w:r w:rsidRPr="00253EA8">
              <w:rPr>
                <w:szCs w:val="22"/>
                <w:lang w:val="en-US"/>
              </w:rPr>
              <w:t xml:space="preserve"> </w:t>
            </w:r>
            <w:proofErr w:type="spellStart"/>
            <w:r w:rsidRPr="00253EA8">
              <w:rPr>
                <w:szCs w:val="22"/>
                <w:lang w:val="en-US"/>
              </w:rPr>
              <w:t>mục</w:t>
            </w:r>
            <w:proofErr w:type="spellEnd"/>
            <w:r w:rsidRPr="00253EA8">
              <w:rPr>
                <w:szCs w:val="22"/>
                <w:lang w:val="en-US"/>
              </w:rPr>
              <w:t xml:space="preserve"> cơ cấu</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FA9D3DA" w14:textId="12229CCF" w:rsidR="00E501B6" w:rsidRPr="00EB3E0E" w:rsidRDefault="00E501B6" w:rsidP="00E501B6">
            <w:pPr>
              <w:keepLines w:val="0"/>
              <w:overflowPunct/>
              <w:autoSpaceDE/>
              <w:autoSpaceDN/>
              <w:adjustRightInd/>
              <w:jc w:val="center"/>
              <w:textAlignment w:val="auto"/>
              <w:rPr>
                <w:szCs w:val="22"/>
              </w:rPr>
            </w:pPr>
            <w:r w:rsidRPr="00EB3E0E">
              <w:rPr>
                <w:rFonts w:ascii="Calibri" w:hAnsi="Calibri" w:cs="Calibri"/>
                <w:color w:val="000000"/>
                <w:szCs w:val="22"/>
              </w:rPr>
              <w:t xml:space="preserve">                                                          38.28%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151CD" w14:textId="660B729B" w:rsidR="00E501B6" w:rsidRPr="00EB3E0E" w:rsidRDefault="00E501B6" w:rsidP="00E501B6">
            <w:pPr>
              <w:keepLines w:val="0"/>
              <w:overflowPunct/>
              <w:autoSpaceDE/>
              <w:autoSpaceDN/>
              <w:adjustRightInd/>
              <w:jc w:val="center"/>
              <w:textAlignment w:val="auto"/>
              <w:rPr>
                <w:szCs w:val="22"/>
              </w:rPr>
            </w:pPr>
            <w:r w:rsidRPr="00EB3E0E">
              <w:rPr>
                <w:rFonts w:ascii="Calibri" w:hAnsi="Calibri" w:cs="Calibri"/>
                <w:color w:val="000000"/>
                <w:szCs w:val="22"/>
              </w:rPr>
              <w:t xml:space="preserve">                                                                                      56.17%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BE5D6" w14:textId="03AFD2F2" w:rsidR="00E501B6" w:rsidRPr="00EB3E0E" w:rsidRDefault="00E501B6" w:rsidP="00E501B6">
            <w:pPr>
              <w:keepLines w:val="0"/>
              <w:overflowPunct/>
              <w:autoSpaceDE/>
              <w:autoSpaceDN/>
              <w:adjustRightInd/>
              <w:jc w:val="center"/>
              <w:textAlignment w:val="auto"/>
              <w:rPr>
                <w:szCs w:val="22"/>
              </w:rPr>
            </w:pPr>
            <w:r w:rsidRPr="00EB3E0E">
              <w:rPr>
                <w:rFonts w:ascii="Calibri" w:hAnsi="Calibri" w:cs="Calibri"/>
                <w:color w:val="000000"/>
                <w:szCs w:val="22"/>
              </w:rPr>
              <w:t xml:space="preserve">                                                                             209.83%</w:t>
            </w:r>
          </w:p>
        </w:tc>
      </w:tr>
      <w:tr w:rsidR="00E501B6" w:rsidRPr="00253EA8" w14:paraId="4703A26A" w14:textId="77777777" w:rsidTr="00573C16">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E501B6" w:rsidRPr="00253EA8" w:rsidRDefault="00E501B6" w:rsidP="00E501B6">
            <w:pPr>
              <w:keepLines w:val="0"/>
              <w:overflowPunct/>
              <w:autoSpaceDE/>
              <w:autoSpaceDN/>
              <w:adjustRightInd/>
              <w:jc w:val="left"/>
              <w:textAlignment w:val="auto"/>
              <w:rPr>
                <w:szCs w:val="22"/>
                <w:lang w:val="en-US"/>
              </w:rPr>
            </w:pPr>
            <w:r w:rsidRPr="00253EA8">
              <w:rPr>
                <w:szCs w:val="22"/>
                <w:lang w:val="en-US"/>
              </w:rPr>
              <w:t xml:space="preserve">Thay </w:t>
            </w:r>
            <w:proofErr w:type="spellStart"/>
            <w:r w:rsidRPr="00253EA8">
              <w:rPr>
                <w:szCs w:val="22"/>
                <w:lang w:val="en-US"/>
              </w:rPr>
              <w:t>đổi</w:t>
            </w:r>
            <w:proofErr w:type="spellEnd"/>
            <w:r w:rsidRPr="00253EA8">
              <w:rPr>
                <w:szCs w:val="22"/>
                <w:lang w:val="en-US"/>
              </w:rPr>
              <w:t xml:space="preserve"> </w:t>
            </w:r>
            <w:proofErr w:type="spellStart"/>
            <w:r w:rsidRPr="00253EA8">
              <w:rPr>
                <w:szCs w:val="22"/>
                <w:lang w:val="en-US"/>
              </w:rPr>
              <w:t>giá</w:t>
            </w:r>
            <w:proofErr w:type="spellEnd"/>
            <w:r w:rsidRPr="00253EA8">
              <w:rPr>
                <w:szCs w:val="22"/>
                <w:lang w:val="en-US"/>
              </w:rPr>
              <w:t xml:space="preserve"> </w:t>
            </w:r>
            <w:proofErr w:type="spellStart"/>
            <w:r w:rsidRPr="00253EA8">
              <w:rPr>
                <w:szCs w:val="22"/>
                <w:lang w:val="en-US"/>
              </w:rPr>
              <w:t>trị</w:t>
            </w:r>
            <w:proofErr w:type="spellEnd"/>
            <w:r w:rsidRPr="00253EA8">
              <w:rPr>
                <w:szCs w:val="22"/>
                <w:lang w:val="en-US"/>
              </w:rPr>
              <w:t xml:space="preserve"> </w:t>
            </w:r>
            <w:proofErr w:type="spellStart"/>
            <w:r w:rsidRPr="00253EA8">
              <w:rPr>
                <w:szCs w:val="22"/>
                <w:lang w:val="en-US"/>
              </w:rPr>
              <w:t>thị</w:t>
            </w:r>
            <w:proofErr w:type="spellEnd"/>
            <w:r w:rsidRPr="00253EA8">
              <w:rPr>
                <w:szCs w:val="22"/>
                <w:lang w:val="en-US"/>
              </w:rPr>
              <w:t xml:space="preserve"> </w:t>
            </w:r>
            <w:proofErr w:type="spellStart"/>
            <w:r w:rsidRPr="00253EA8">
              <w:rPr>
                <w:szCs w:val="22"/>
                <w:lang w:val="en-US"/>
              </w:rPr>
              <w:t>trường</w:t>
            </w:r>
            <w:proofErr w:type="spellEnd"/>
            <w:r w:rsidRPr="00253EA8">
              <w:rPr>
                <w:szCs w:val="22"/>
                <w:lang w:val="en-US"/>
              </w:rPr>
              <w:t xml:space="preserve"> </w:t>
            </w:r>
            <w:proofErr w:type="spellStart"/>
            <w:r w:rsidRPr="00253EA8">
              <w:rPr>
                <w:szCs w:val="22"/>
                <w:lang w:val="en-US"/>
              </w:rPr>
              <w:t>của</w:t>
            </w:r>
            <w:proofErr w:type="spellEnd"/>
            <w:r w:rsidRPr="00253EA8">
              <w:rPr>
                <w:szCs w:val="22"/>
                <w:lang w:val="en-US"/>
              </w:rPr>
              <w:t xml:space="preserve"> 1 </w:t>
            </w:r>
            <w:proofErr w:type="spellStart"/>
            <w:r w:rsidRPr="00253EA8">
              <w:rPr>
                <w:szCs w:val="22"/>
                <w:lang w:val="en-US"/>
              </w:rPr>
              <w:t>đơn</w:t>
            </w:r>
            <w:proofErr w:type="spellEnd"/>
            <w:r w:rsidRPr="00253EA8">
              <w:rPr>
                <w:szCs w:val="22"/>
                <w:lang w:val="en-US"/>
              </w:rPr>
              <w:t xml:space="preserve"> </w:t>
            </w:r>
            <w:proofErr w:type="spellStart"/>
            <w:r w:rsidRPr="00253EA8">
              <w:rPr>
                <w:szCs w:val="22"/>
                <w:lang w:val="en-US"/>
              </w:rPr>
              <w:t>vị</w:t>
            </w:r>
            <w:proofErr w:type="spellEnd"/>
            <w:r w:rsidRPr="00253EA8">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FC53338" w14:textId="2432C3B9" w:rsidR="00E501B6" w:rsidRPr="00EB3E0E" w:rsidRDefault="00E501B6" w:rsidP="00E501B6">
            <w:pPr>
              <w:keepLines w:val="0"/>
              <w:overflowPunct/>
              <w:autoSpaceDE/>
              <w:autoSpaceDN/>
              <w:adjustRightInd/>
              <w:jc w:val="center"/>
              <w:textAlignment w:val="auto"/>
              <w:rPr>
                <w:szCs w:val="22"/>
              </w:rPr>
            </w:pPr>
            <w:r w:rsidRPr="00EB3E0E">
              <w:rPr>
                <w:rFonts w:ascii="Calibri" w:hAnsi="Calibri" w:cs="Calibri"/>
                <w:color w:val="000000"/>
                <w:szCs w:val="22"/>
              </w:rPr>
              <w:t xml:space="preserve">                                                          39.65%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AE58D" w14:textId="7642FBD2" w:rsidR="00E501B6" w:rsidRPr="00EB3E0E" w:rsidRDefault="00E501B6" w:rsidP="00E501B6">
            <w:pPr>
              <w:keepLines w:val="0"/>
              <w:overflowPunct/>
              <w:autoSpaceDE/>
              <w:autoSpaceDN/>
              <w:adjustRightInd/>
              <w:jc w:val="center"/>
              <w:textAlignment w:val="auto"/>
              <w:rPr>
                <w:szCs w:val="22"/>
              </w:rPr>
            </w:pPr>
            <w:r w:rsidRPr="00EB3E0E">
              <w:rPr>
                <w:rFonts w:ascii="Calibri" w:hAnsi="Calibri" w:cs="Calibri"/>
                <w:color w:val="000000"/>
                <w:szCs w:val="22"/>
              </w:rPr>
              <w:t xml:space="preserve">                                                                                      57.77%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535F5" w14:textId="22D05D8D" w:rsidR="00E501B6" w:rsidRPr="00EB3E0E" w:rsidRDefault="00E501B6" w:rsidP="00E501B6">
            <w:pPr>
              <w:keepLines w:val="0"/>
              <w:overflowPunct/>
              <w:autoSpaceDE/>
              <w:autoSpaceDN/>
              <w:adjustRightInd/>
              <w:jc w:val="center"/>
              <w:textAlignment w:val="auto"/>
              <w:rPr>
                <w:szCs w:val="22"/>
              </w:rPr>
            </w:pPr>
            <w:r w:rsidRPr="00EB3E0E">
              <w:rPr>
                <w:rFonts w:ascii="Calibri" w:hAnsi="Calibri" w:cs="Calibri"/>
                <w:color w:val="000000"/>
                <w:szCs w:val="22"/>
              </w:rPr>
              <w:t xml:space="preserve">                                                                             198.86%</w:t>
            </w:r>
          </w:p>
        </w:tc>
      </w:tr>
    </w:tbl>
    <w:p w14:paraId="4FCF972E" w14:textId="77777777" w:rsidR="00D23AD2" w:rsidRPr="00253EA8" w:rsidRDefault="00D23AD2" w:rsidP="006D4216">
      <w:pPr>
        <w:keepLines w:val="0"/>
        <w:overflowPunct/>
        <w:autoSpaceDE/>
        <w:autoSpaceDN/>
        <w:adjustRightInd/>
        <w:jc w:val="left"/>
        <w:textAlignment w:val="auto"/>
        <w:rPr>
          <w:szCs w:val="22"/>
          <w:lang w:val="nl-NL"/>
        </w:rPr>
      </w:pPr>
    </w:p>
    <w:p w14:paraId="710B2A79" w14:textId="0E10C209" w:rsidR="00D23AD2" w:rsidRPr="00C10D99" w:rsidRDefault="007922E7" w:rsidP="006D4216">
      <w:pPr>
        <w:keepLines w:val="0"/>
        <w:overflowPunct/>
        <w:autoSpaceDE/>
        <w:autoSpaceDN/>
        <w:adjustRightInd/>
        <w:jc w:val="left"/>
        <w:textAlignment w:val="auto"/>
        <w:rPr>
          <w:color w:val="000000" w:themeColor="text1"/>
          <w:szCs w:val="22"/>
          <w:lang w:val="nl-NL"/>
        </w:rPr>
      </w:pPr>
      <w:r w:rsidRPr="00EB3E0E">
        <w:rPr>
          <w:szCs w:val="22"/>
          <w:lang w:val="nl-NL"/>
        </w:rPr>
        <w:t xml:space="preserve">● </w:t>
      </w:r>
      <w:r w:rsidRPr="00EB3E0E">
        <w:rPr>
          <w:color w:val="000000" w:themeColor="text1"/>
          <w:szCs w:val="22"/>
          <w:lang w:val="nl-NL"/>
        </w:rPr>
        <w:t>Biểu đồ tăng trưởng hàng tháng củ</w:t>
      </w:r>
      <w:r w:rsidR="00D23AD2" w:rsidRPr="00EB3E0E">
        <w:rPr>
          <w:color w:val="000000" w:themeColor="text1"/>
          <w:szCs w:val="22"/>
          <w:lang w:val="nl-NL"/>
        </w:rPr>
        <w:t>a Quỹ trong 3 năm gần nhất như sau:</w:t>
      </w:r>
      <w:r w:rsidR="009B37B7" w:rsidRPr="00573C16">
        <w:rPr>
          <w:color w:val="000000" w:themeColor="text1"/>
          <w:szCs w:val="22"/>
          <w:lang w:val="nl-NL"/>
        </w:rPr>
        <w:t xml:space="preserve"> </w:t>
      </w:r>
    </w:p>
    <w:p w14:paraId="725A37C4" w14:textId="784D0461" w:rsidR="00D23AD2" w:rsidRPr="00C10D99" w:rsidRDefault="004F368F" w:rsidP="006D4216">
      <w:pPr>
        <w:keepLines w:val="0"/>
        <w:overflowPunct/>
        <w:autoSpaceDE/>
        <w:autoSpaceDN/>
        <w:adjustRightInd/>
        <w:jc w:val="left"/>
        <w:textAlignment w:val="auto"/>
        <w:rPr>
          <w:color w:val="000000" w:themeColor="text1"/>
          <w:szCs w:val="22"/>
          <w:lang w:val="nl-NL"/>
        </w:rPr>
      </w:pPr>
      <w:r>
        <w:rPr>
          <w:noProof/>
        </w:rPr>
        <w:drawing>
          <wp:inline distT="0" distB="0" distL="0" distR="0" wp14:anchorId="3DAE0156" wp14:editId="3058915A">
            <wp:extent cx="6372225" cy="2905125"/>
            <wp:effectExtent l="0" t="0" r="9525" b="9525"/>
            <wp:docPr id="1428999518" name="Chart 1">
              <a:extLst xmlns:a="http://schemas.openxmlformats.org/drawingml/2006/main">
                <a:ext uri="{FF2B5EF4-FFF2-40B4-BE49-F238E27FC236}">
                  <a16:creationId xmlns:a16="http://schemas.microsoft.com/office/drawing/2014/main" id="{29DBA045-7B5D-4958-B80F-B08B28D9A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D15285" w14:textId="6BA4C634" w:rsidR="00C76BED" w:rsidRPr="009B37B7" w:rsidRDefault="00C76BED" w:rsidP="006D4216">
      <w:pPr>
        <w:keepLines w:val="0"/>
        <w:overflowPunct/>
        <w:autoSpaceDE/>
        <w:autoSpaceDN/>
        <w:adjustRightInd/>
        <w:jc w:val="left"/>
        <w:textAlignment w:val="auto"/>
        <w:rPr>
          <w:color w:val="000000" w:themeColor="text1"/>
          <w:szCs w:val="22"/>
          <w:highlight w:val="yellow"/>
          <w:lang w:val="nl-NL"/>
        </w:rPr>
      </w:pPr>
    </w:p>
    <w:p w14:paraId="32DAB967" w14:textId="77DEE14D" w:rsidR="00633094" w:rsidRDefault="007922E7" w:rsidP="007922E7">
      <w:pPr>
        <w:shd w:val="clear" w:color="auto" w:fill="FFFFFF"/>
        <w:tabs>
          <w:tab w:val="left" w:pos="540"/>
        </w:tabs>
        <w:spacing w:before="120"/>
        <w:rPr>
          <w:szCs w:val="22"/>
          <w:lang w:val="nl-NL"/>
        </w:rPr>
      </w:pPr>
      <w:r w:rsidRPr="009B37B7">
        <w:rPr>
          <w:szCs w:val="22"/>
          <w:lang w:val="nl-NL"/>
        </w:rPr>
        <w:t>● Thay đổi giá trị tài sản ròng</w:t>
      </w:r>
    </w:p>
    <w:p w14:paraId="1D72D245" w14:textId="77777777" w:rsidR="001C2728" w:rsidRPr="00A568A1" w:rsidRDefault="001C2728" w:rsidP="007922E7">
      <w:pPr>
        <w:shd w:val="clear" w:color="auto" w:fill="FFFFFF"/>
        <w:tabs>
          <w:tab w:val="left" w:pos="540"/>
        </w:tabs>
        <w:spacing w:before="120"/>
        <w:rPr>
          <w:lang w:val="nl-NL"/>
        </w:rPr>
      </w:pPr>
    </w:p>
    <w:tbl>
      <w:tblPr>
        <w:tblW w:w="9816" w:type="dxa"/>
        <w:tblLook w:val="04A0" w:firstRow="1" w:lastRow="0" w:firstColumn="1" w:lastColumn="0" w:noHBand="0" w:noVBand="1"/>
      </w:tblPr>
      <w:tblGrid>
        <w:gridCol w:w="2480"/>
        <w:gridCol w:w="2480"/>
        <w:gridCol w:w="2480"/>
        <w:gridCol w:w="2376"/>
      </w:tblGrid>
      <w:tr w:rsidR="006D6DA6" w:rsidRPr="00D23AD2" w14:paraId="4C62990C" w14:textId="77777777" w:rsidTr="00912603">
        <w:trPr>
          <w:trHeight w:val="193"/>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7454"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1AC79435" w14:textId="013F4085" w:rsidR="006D6DA6" w:rsidRPr="00D23AD2" w:rsidRDefault="00D105FC" w:rsidP="00D105FC">
            <w:pPr>
              <w:keepLines w:val="0"/>
              <w:overflowPunct/>
              <w:autoSpaceDE/>
              <w:autoSpaceDN/>
              <w:adjustRightInd/>
              <w:jc w:val="center"/>
              <w:textAlignment w:val="auto"/>
              <w:rPr>
                <w:b/>
                <w:bCs/>
                <w:szCs w:val="22"/>
                <w:lang w:val="en-US"/>
              </w:rPr>
            </w:pPr>
            <w:r>
              <w:rPr>
                <w:b/>
                <w:bCs/>
                <w:szCs w:val="22"/>
              </w:rPr>
              <w:t>3</w:t>
            </w:r>
            <w:r w:rsidR="002A36C9">
              <w:rPr>
                <w:b/>
                <w:bCs/>
                <w:szCs w:val="22"/>
              </w:rPr>
              <w:t>1</w:t>
            </w:r>
            <w:r>
              <w:rPr>
                <w:b/>
                <w:bCs/>
                <w:szCs w:val="22"/>
              </w:rPr>
              <w:t>/</w:t>
            </w:r>
            <w:r w:rsidR="00792663">
              <w:rPr>
                <w:b/>
                <w:bCs/>
                <w:szCs w:val="22"/>
              </w:rPr>
              <w:t>03/2024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758D78FC" w14:textId="1FE372A1" w:rsidR="006D6DA6" w:rsidRPr="00D23AD2" w:rsidRDefault="00E978C0" w:rsidP="00D105FC">
            <w:pPr>
              <w:keepLines w:val="0"/>
              <w:overflowPunct/>
              <w:autoSpaceDE/>
              <w:autoSpaceDN/>
              <w:adjustRightInd/>
              <w:jc w:val="center"/>
              <w:textAlignment w:val="auto"/>
              <w:rPr>
                <w:b/>
                <w:bCs/>
                <w:szCs w:val="22"/>
                <w:lang w:val="en-US"/>
              </w:rPr>
            </w:pPr>
            <w:r>
              <w:rPr>
                <w:b/>
                <w:bCs/>
                <w:szCs w:val="22"/>
              </w:rPr>
              <w:t>31/12/202</w:t>
            </w:r>
            <w:r w:rsidR="00402BB0">
              <w:rPr>
                <w:b/>
                <w:bCs/>
                <w:szCs w:val="22"/>
              </w:rPr>
              <w:t>3</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4F67638B"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w:t>
            </w:r>
            <w:proofErr w:type="spellStart"/>
            <w:r w:rsidRPr="00D23AD2">
              <w:rPr>
                <w:b/>
                <w:bCs/>
                <w:szCs w:val="22"/>
                <w:lang w:val="en-US"/>
              </w:rPr>
              <w:t>lệ</w:t>
            </w:r>
            <w:proofErr w:type="spellEnd"/>
            <w:r w:rsidRPr="00D23AD2">
              <w:rPr>
                <w:b/>
                <w:bCs/>
                <w:szCs w:val="22"/>
                <w:lang w:val="en-US"/>
              </w:rPr>
              <w:t xml:space="preserve"> </w:t>
            </w:r>
            <w:proofErr w:type="spellStart"/>
            <w:r w:rsidRPr="00D23AD2">
              <w:rPr>
                <w:b/>
                <w:bCs/>
                <w:szCs w:val="22"/>
                <w:lang w:val="en-US"/>
              </w:rPr>
              <w:t>thay</w:t>
            </w:r>
            <w:proofErr w:type="spellEnd"/>
            <w:r w:rsidRPr="00D23AD2">
              <w:rPr>
                <w:b/>
                <w:bCs/>
                <w:szCs w:val="22"/>
                <w:lang w:val="en-US"/>
              </w:rPr>
              <w:t xml:space="preserve"> </w:t>
            </w:r>
            <w:proofErr w:type="spellStart"/>
            <w:r w:rsidRPr="00D23AD2">
              <w:rPr>
                <w:b/>
                <w:bCs/>
                <w:szCs w:val="22"/>
                <w:lang w:val="en-US"/>
              </w:rPr>
              <w:t>đổi</w:t>
            </w:r>
            <w:proofErr w:type="spellEnd"/>
          </w:p>
        </w:tc>
      </w:tr>
      <w:tr w:rsidR="00B75792" w:rsidRPr="00D23AD2" w14:paraId="4951BADB" w14:textId="77777777" w:rsidTr="00912603">
        <w:trPr>
          <w:trHeight w:val="389"/>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7D963B1F" w14:textId="77777777" w:rsidR="00B75792" w:rsidRPr="00D23AD2" w:rsidRDefault="00B75792" w:rsidP="00B75792">
            <w:pPr>
              <w:keepLines w:val="0"/>
              <w:overflowPunct/>
              <w:autoSpaceDE/>
              <w:autoSpaceDN/>
              <w:adjustRightInd/>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của</w:t>
            </w:r>
            <w:proofErr w:type="spellEnd"/>
            <w:r w:rsidRPr="00D23AD2">
              <w:rPr>
                <w:szCs w:val="22"/>
                <w:lang w:val="en-US"/>
              </w:rPr>
              <w:t xml:space="preserve"> </w:t>
            </w:r>
            <w:proofErr w:type="spellStart"/>
            <w:r w:rsidRPr="00D23AD2">
              <w:rPr>
                <w:szCs w:val="22"/>
                <w:lang w:val="en-US"/>
              </w:rPr>
              <w:t>Quỹ</w:t>
            </w:r>
            <w:proofErr w:type="spellEnd"/>
          </w:p>
        </w:tc>
        <w:tc>
          <w:tcPr>
            <w:tcW w:w="2480" w:type="dxa"/>
            <w:tcBorders>
              <w:top w:val="nil"/>
              <w:left w:val="nil"/>
              <w:bottom w:val="single" w:sz="4" w:space="0" w:color="auto"/>
              <w:right w:val="single" w:sz="4" w:space="0" w:color="auto"/>
            </w:tcBorders>
            <w:shd w:val="clear" w:color="auto" w:fill="auto"/>
            <w:vAlign w:val="center"/>
            <w:hideMark/>
          </w:tcPr>
          <w:p w14:paraId="07670555" w14:textId="455480DA" w:rsidR="00B75792" w:rsidRPr="00D23AD2" w:rsidRDefault="00792663" w:rsidP="00792663">
            <w:pPr>
              <w:keepLines w:val="0"/>
              <w:overflowPunct/>
              <w:autoSpaceDE/>
              <w:autoSpaceDN/>
              <w:adjustRightInd/>
              <w:jc w:val="center"/>
              <w:textAlignment w:val="auto"/>
              <w:rPr>
                <w:color w:val="000000"/>
                <w:szCs w:val="22"/>
                <w:lang w:val="en-US"/>
              </w:rPr>
            </w:pPr>
            <w:r>
              <w:rPr>
                <w:color w:val="000000"/>
                <w:szCs w:val="22"/>
              </w:rPr>
              <w:t>16,058,727,502,246</w:t>
            </w:r>
          </w:p>
        </w:tc>
        <w:tc>
          <w:tcPr>
            <w:tcW w:w="2480" w:type="dxa"/>
            <w:tcBorders>
              <w:top w:val="nil"/>
              <w:left w:val="nil"/>
              <w:bottom w:val="single" w:sz="4" w:space="0" w:color="auto"/>
              <w:right w:val="single" w:sz="4" w:space="0" w:color="auto"/>
            </w:tcBorders>
            <w:shd w:val="clear" w:color="auto" w:fill="auto"/>
            <w:vAlign w:val="center"/>
            <w:hideMark/>
          </w:tcPr>
          <w:p w14:paraId="1644451B" w14:textId="2E0B2170" w:rsidR="00B75792" w:rsidRPr="00D23AD2" w:rsidRDefault="00792663" w:rsidP="00B75792">
            <w:pPr>
              <w:keepLines w:val="0"/>
              <w:overflowPunct/>
              <w:autoSpaceDE/>
              <w:autoSpaceDN/>
              <w:adjustRightInd/>
              <w:jc w:val="center"/>
              <w:textAlignment w:val="auto"/>
              <w:rPr>
                <w:color w:val="000000"/>
                <w:szCs w:val="22"/>
                <w:lang w:val="en-US"/>
              </w:rPr>
            </w:pPr>
            <w:r>
              <w:rPr>
                <w:color w:val="000000"/>
                <w:szCs w:val="22"/>
              </w:rPr>
              <w:t>17,261,394,813,137</w:t>
            </w:r>
          </w:p>
        </w:tc>
        <w:tc>
          <w:tcPr>
            <w:tcW w:w="2376" w:type="dxa"/>
            <w:tcBorders>
              <w:top w:val="nil"/>
              <w:left w:val="nil"/>
              <w:bottom w:val="single" w:sz="4" w:space="0" w:color="auto"/>
              <w:right w:val="single" w:sz="4" w:space="0" w:color="auto"/>
            </w:tcBorders>
            <w:shd w:val="clear" w:color="auto" w:fill="auto"/>
            <w:vAlign w:val="center"/>
            <w:hideMark/>
          </w:tcPr>
          <w:p w14:paraId="541BCB43" w14:textId="4CC683F9" w:rsidR="00B75792" w:rsidRPr="00D23AD2" w:rsidRDefault="00B75792" w:rsidP="00B75792">
            <w:pPr>
              <w:keepLines w:val="0"/>
              <w:overflowPunct/>
              <w:autoSpaceDE/>
              <w:autoSpaceDN/>
              <w:adjustRightInd/>
              <w:jc w:val="center"/>
              <w:textAlignment w:val="auto"/>
              <w:rPr>
                <w:color w:val="000000"/>
                <w:szCs w:val="22"/>
                <w:lang w:val="en-US"/>
              </w:rPr>
            </w:pPr>
            <w:r>
              <w:rPr>
                <w:color w:val="000000"/>
                <w:szCs w:val="22"/>
              </w:rPr>
              <w:t>-</w:t>
            </w:r>
            <w:r w:rsidR="00792663">
              <w:rPr>
                <w:color w:val="000000"/>
                <w:szCs w:val="22"/>
              </w:rPr>
              <w:t>6.97</w:t>
            </w:r>
            <w:r>
              <w:rPr>
                <w:color w:val="000000"/>
                <w:szCs w:val="22"/>
              </w:rPr>
              <w:t>%</w:t>
            </w:r>
          </w:p>
        </w:tc>
      </w:tr>
      <w:tr w:rsidR="00B75792" w:rsidRPr="00D23AD2" w14:paraId="27446507" w14:textId="77777777" w:rsidTr="00912603">
        <w:trPr>
          <w:trHeight w:val="343"/>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5F7A4484" w14:textId="77777777" w:rsidR="00B75792" w:rsidRPr="00D23AD2" w:rsidRDefault="00B75792" w:rsidP="00B75792">
            <w:pPr>
              <w:keepLines w:val="0"/>
              <w:overflowPunct/>
              <w:autoSpaceDE/>
              <w:autoSpaceDN/>
              <w:adjustRightInd/>
              <w:jc w:val="left"/>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trên</w:t>
            </w:r>
            <w:proofErr w:type="spellEnd"/>
            <w:r w:rsidRPr="00D23AD2">
              <w:rPr>
                <w:szCs w:val="22"/>
                <w:lang w:val="en-US"/>
              </w:rPr>
              <w:t xml:space="preserve"> 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480" w:type="dxa"/>
            <w:tcBorders>
              <w:top w:val="nil"/>
              <w:left w:val="nil"/>
              <w:bottom w:val="single" w:sz="4" w:space="0" w:color="auto"/>
              <w:right w:val="single" w:sz="4" w:space="0" w:color="auto"/>
            </w:tcBorders>
            <w:shd w:val="clear" w:color="auto" w:fill="auto"/>
            <w:vAlign w:val="center"/>
            <w:hideMark/>
          </w:tcPr>
          <w:p w14:paraId="70A35770" w14:textId="1174B4AC" w:rsidR="00912603" w:rsidRPr="00D23AD2" w:rsidRDefault="00792663" w:rsidP="00D7296C">
            <w:pPr>
              <w:keepLines w:val="0"/>
              <w:overflowPunct/>
              <w:autoSpaceDE/>
              <w:autoSpaceDN/>
              <w:adjustRightInd/>
              <w:jc w:val="center"/>
              <w:textAlignment w:val="auto"/>
              <w:rPr>
                <w:color w:val="000000"/>
                <w:szCs w:val="22"/>
                <w:lang w:val="en-US"/>
              </w:rPr>
            </w:pPr>
            <w:r>
              <w:rPr>
                <w:color w:val="000000"/>
                <w:szCs w:val="22"/>
              </w:rPr>
              <w:t>30,983.46</w:t>
            </w:r>
          </w:p>
        </w:tc>
        <w:tc>
          <w:tcPr>
            <w:tcW w:w="2480" w:type="dxa"/>
            <w:tcBorders>
              <w:top w:val="nil"/>
              <w:left w:val="nil"/>
              <w:bottom w:val="single" w:sz="4" w:space="0" w:color="auto"/>
              <w:right w:val="single" w:sz="4" w:space="0" w:color="auto"/>
            </w:tcBorders>
            <w:shd w:val="clear" w:color="auto" w:fill="auto"/>
            <w:vAlign w:val="center"/>
            <w:hideMark/>
          </w:tcPr>
          <w:p w14:paraId="45E41113" w14:textId="74995834" w:rsidR="00912603" w:rsidRDefault="00912603" w:rsidP="00D7296C">
            <w:pPr>
              <w:keepLines w:val="0"/>
              <w:overflowPunct/>
              <w:autoSpaceDE/>
              <w:autoSpaceDN/>
              <w:adjustRightInd/>
              <w:jc w:val="center"/>
              <w:textAlignment w:val="auto"/>
              <w:rPr>
                <w:color w:val="000000"/>
                <w:szCs w:val="22"/>
              </w:rPr>
            </w:pPr>
          </w:p>
          <w:p w14:paraId="3B902767" w14:textId="77777777" w:rsidR="00792663" w:rsidRDefault="00792663" w:rsidP="00D7296C">
            <w:pPr>
              <w:keepLines w:val="0"/>
              <w:overflowPunct/>
              <w:autoSpaceDE/>
              <w:autoSpaceDN/>
              <w:adjustRightInd/>
              <w:jc w:val="center"/>
              <w:textAlignment w:val="auto"/>
              <w:rPr>
                <w:color w:val="000000"/>
                <w:szCs w:val="22"/>
              </w:rPr>
            </w:pPr>
            <w:r>
              <w:rPr>
                <w:color w:val="000000"/>
                <w:szCs w:val="22"/>
              </w:rPr>
              <w:t>25,953.08</w:t>
            </w:r>
          </w:p>
          <w:p w14:paraId="455E5B93" w14:textId="3B6D145A" w:rsidR="00912603" w:rsidRPr="00D23AD2" w:rsidRDefault="00912603" w:rsidP="00D7296C">
            <w:pPr>
              <w:keepLines w:val="0"/>
              <w:overflowPunct/>
              <w:autoSpaceDE/>
              <w:autoSpaceDN/>
              <w:adjustRightInd/>
              <w:jc w:val="center"/>
              <w:textAlignment w:val="auto"/>
              <w:rPr>
                <w:color w:val="000000"/>
                <w:szCs w:val="22"/>
                <w:lang w:val="en-US"/>
              </w:rPr>
            </w:pPr>
          </w:p>
        </w:tc>
        <w:tc>
          <w:tcPr>
            <w:tcW w:w="2376" w:type="dxa"/>
            <w:tcBorders>
              <w:top w:val="nil"/>
              <w:left w:val="nil"/>
              <w:bottom w:val="single" w:sz="4" w:space="0" w:color="auto"/>
              <w:right w:val="single" w:sz="4" w:space="0" w:color="auto"/>
            </w:tcBorders>
            <w:shd w:val="clear" w:color="auto" w:fill="auto"/>
            <w:vAlign w:val="center"/>
            <w:hideMark/>
          </w:tcPr>
          <w:p w14:paraId="4FEBE1DB" w14:textId="2E8E2C57" w:rsidR="00B75792" w:rsidRPr="00D23AD2" w:rsidRDefault="00792663" w:rsidP="00D7296C">
            <w:pPr>
              <w:keepLines w:val="0"/>
              <w:overflowPunct/>
              <w:autoSpaceDE/>
              <w:autoSpaceDN/>
              <w:adjustRightInd/>
              <w:jc w:val="center"/>
              <w:textAlignment w:val="auto"/>
              <w:rPr>
                <w:color w:val="000000"/>
                <w:szCs w:val="22"/>
                <w:lang w:val="en-US"/>
              </w:rPr>
            </w:pPr>
            <w:r>
              <w:rPr>
                <w:color w:val="000000"/>
                <w:szCs w:val="22"/>
              </w:rPr>
              <w:t>19.38</w:t>
            </w:r>
            <w:r w:rsidR="00B75792">
              <w:rPr>
                <w:color w:val="000000"/>
                <w:szCs w:val="22"/>
              </w:rPr>
              <w:t>%</w:t>
            </w:r>
          </w:p>
        </w:tc>
      </w:tr>
    </w:tbl>
    <w:p w14:paraId="591CE203" w14:textId="77777777" w:rsidR="00A570AB" w:rsidRDefault="00A570AB" w:rsidP="00974D3B">
      <w:pPr>
        <w:tabs>
          <w:tab w:val="left" w:pos="540"/>
        </w:tabs>
        <w:spacing w:before="120"/>
      </w:pPr>
    </w:p>
    <w:p w14:paraId="69978520" w14:textId="24943089" w:rsidR="00E52219" w:rsidRPr="004C0114" w:rsidRDefault="00D7296C" w:rsidP="00974D3B">
      <w:pPr>
        <w:tabs>
          <w:tab w:val="left" w:pos="540"/>
        </w:tabs>
        <w:spacing w:before="120"/>
        <w:rPr>
          <w:b/>
          <w:szCs w:val="22"/>
        </w:rPr>
      </w:pPr>
      <w:r>
        <w:rPr>
          <w:rStyle w:val="ui-provider"/>
        </w:rPr>
        <w:lastRenderedPageBreak/>
        <w:t xml:space="preserve">Trong </w:t>
      </w:r>
      <w:proofErr w:type="spellStart"/>
      <w:r>
        <w:rPr>
          <w:rStyle w:val="ui-provider"/>
        </w:rPr>
        <w:t>kỳ</w:t>
      </w:r>
      <w:proofErr w:type="spellEnd"/>
      <w:r>
        <w:rPr>
          <w:rStyle w:val="ui-provider"/>
        </w:rPr>
        <w:t xml:space="preserve"> </w:t>
      </w:r>
      <w:proofErr w:type="spellStart"/>
      <w:r>
        <w:rPr>
          <w:rStyle w:val="ui-provider"/>
        </w:rPr>
        <w:t>báo</w:t>
      </w:r>
      <w:proofErr w:type="spellEnd"/>
      <w:r>
        <w:rPr>
          <w:rStyle w:val="ui-provider"/>
        </w:rPr>
        <w:t xml:space="preserve"> </w:t>
      </w:r>
      <w:proofErr w:type="spellStart"/>
      <w:r>
        <w:rPr>
          <w:rStyle w:val="ui-provider"/>
        </w:rPr>
        <w:t>cáo</w:t>
      </w:r>
      <w:proofErr w:type="spellEnd"/>
      <w:r>
        <w:rPr>
          <w:rStyle w:val="ui-provider"/>
        </w:rPr>
        <w:t xml:space="preserve"> </w:t>
      </w:r>
      <w:proofErr w:type="spellStart"/>
      <w:r>
        <w:rPr>
          <w:rStyle w:val="ui-provider"/>
        </w:rPr>
        <w:t>từ</w:t>
      </w:r>
      <w:proofErr w:type="spellEnd"/>
      <w:r>
        <w:rPr>
          <w:rStyle w:val="ui-provider"/>
        </w:rPr>
        <w:t xml:space="preserve"> 31/3/2023 </w:t>
      </w:r>
      <w:proofErr w:type="spellStart"/>
      <w:r>
        <w:rPr>
          <w:rStyle w:val="ui-provider"/>
        </w:rPr>
        <w:t>đến</w:t>
      </w:r>
      <w:proofErr w:type="spellEnd"/>
      <w:r>
        <w:rPr>
          <w:rStyle w:val="ui-provider"/>
        </w:rPr>
        <w:t xml:space="preserve"> 31/3/2024, </w:t>
      </w:r>
      <w:proofErr w:type="spellStart"/>
      <w:r>
        <w:rPr>
          <w:rStyle w:val="ui-provider"/>
        </w:rPr>
        <w:t>thị</w:t>
      </w:r>
      <w:proofErr w:type="spellEnd"/>
      <w:r>
        <w:rPr>
          <w:rStyle w:val="ui-provider"/>
        </w:rPr>
        <w:t xml:space="preserve"> </w:t>
      </w:r>
      <w:proofErr w:type="spellStart"/>
      <w:r>
        <w:rPr>
          <w:rStyle w:val="ui-provider"/>
        </w:rPr>
        <w:t>trường</w:t>
      </w:r>
      <w:proofErr w:type="spellEnd"/>
      <w:r>
        <w:rPr>
          <w:rStyle w:val="ui-provider"/>
        </w:rPr>
        <w:t xml:space="preserve"> </w:t>
      </w:r>
      <w:proofErr w:type="spellStart"/>
      <w:r>
        <w:rPr>
          <w:rStyle w:val="ui-provider"/>
        </w:rPr>
        <w:t>chứng</w:t>
      </w:r>
      <w:proofErr w:type="spellEnd"/>
      <w:r>
        <w:rPr>
          <w:rStyle w:val="ui-provider"/>
        </w:rPr>
        <w:t xml:space="preserve"> </w:t>
      </w:r>
      <w:proofErr w:type="spellStart"/>
      <w:r>
        <w:rPr>
          <w:rStyle w:val="ui-provider"/>
        </w:rPr>
        <w:t>khoán</w:t>
      </w:r>
      <w:proofErr w:type="spellEnd"/>
      <w:r>
        <w:rPr>
          <w:rStyle w:val="ui-provider"/>
        </w:rPr>
        <w:t xml:space="preserve"> Việt Nam </w:t>
      </w:r>
      <w:proofErr w:type="spellStart"/>
      <w:r>
        <w:rPr>
          <w:rStyle w:val="ui-provider"/>
        </w:rPr>
        <w:t>tăng</w:t>
      </w:r>
      <w:proofErr w:type="spellEnd"/>
      <w:r>
        <w:rPr>
          <w:rStyle w:val="ui-provider"/>
        </w:rPr>
        <w:t xml:space="preserve"> </w:t>
      </w:r>
      <w:proofErr w:type="spellStart"/>
      <w:r>
        <w:rPr>
          <w:rStyle w:val="ui-provider"/>
        </w:rPr>
        <w:t>trưởng</w:t>
      </w:r>
      <w:proofErr w:type="spellEnd"/>
      <w:r>
        <w:rPr>
          <w:rStyle w:val="ui-provider"/>
        </w:rPr>
        <w:t xml:space="preserve"> </w:t>
      </w:r>
      <w:proofErr w:type="spellStart"/>
      <w:r>
        <w:rPr>
          <w:rStyle w:val="ui-provider"/>
        </w:rPr>
        <w:t>tốt</w:t>
      </w:r>
      <w:proofErr w:type="spellEnd"/>
      <w:r>
        <w:rPr>
          <w:rStyle w:val="ui-provider"/>
        </w:rPr>
        <w:t xml:space="preserve"> </w:t>
      </w:r>
      <w:proofErr w:type="spellStart"/>
      <w:r>
        <w:rPr>
          <w:rStyle w:val="ui-provider"/>
        </w:rPr>
        <w:t>tuy</w:t>
      </w:r>
      <w:proofErr w:type="spellEnd"/>
      <w:r>
        <w:rPr>
          <w:rStyle w:val="ui-provider"/>
        </w:rPr>
        <w:t xml:space="preserve"> </w:t>
      </w:r>
      <w:proofErr w:type="spellStart"/>
      <w:r>
        <w:rPr>
          <w:rStyle w:val="ui-provider"/>
        </w:rPr>
        <w:t>nhiên</w:t>
      </w:r>
      <w:proofErr w:type="spellEnd"/>
      <w:r>
        <w:rPr>
          <w:rStyle w:val="ui-provider"/>
        </w:rPr>
        <w:t xml:space="preserve"> </w:t>
      </w:r>
      <w:proofErr w:type="spellStart"/>
      <w:r>
        <w:rPr>
          <w:rStyle w:val="ui-provider"/>
        </w:rPr>
        <w:t>trong</w:t>
      </w:r>
      <w:proofErr w:type="spellEnd"/>
      <w:r>
        <w:rPr>
          <w:rStyle w:val="ui-provider"/>
        </w:rPr>
        <w:t xml:space="preserve"> </w:t>
      </w:r>
      <w:proofErr w:type="spellStart"/>
      <w:r>
        <w:rPr>
          <w:rStyle w:val="ui-provider"/>
        </w:rPr>
        <w:t>kì</w:t>
      </w:r>
      <w:proofErr w:type="spellEnd"/>
      <w:r>
        <w:rPr>
          <w:rStyle w:val="ui-provider"/>
        </w:rPr>
        <w:t xml:space="preserve"> </w:t>
      </w:r>
      <w:proofErr w:type="spellStart"/>
      <w:r>
        <w:rPr>
          <w:rStyle w:val="ui-provider"/>
        </w:rPr>
        <w:t>có</w:t>
      </w:r>
      <w:proofErr w:type="spellEnd"/>
      <w:r>
        <w:rPr>
          <w:rStyle w:val="ui-provider"/>
        </w:rPr>
        <w:t xml:space="preserve"> </w:t>
      </w:r>
      <w:proofErr w:type="spellStart"/>
      <w:r>
        <w:rPr>
          <w:rStyle w:val="ui-provider"/>
        </w:rPr>
        <w:t>sự</w:t>
      </w:r>
      <w:proofErr w:type="spellEnd"/>
      <w:r>
        <w:rPr>
          <w:rStyle w:val="ui-provider"/>
        </w:rPr>
        <w:t xml:space="preserve"> </w:t>
      </w:r>
      <w:proofErr w:type="spellStart"/>
      <w:r>
        <w:rPr>
          <w:rStyle w:val="ui-provider"/>
        </w:rPr>
        <w:t>rút</w:t>
      </w:r>
      <w:proofErr w:type="spellEnd"/>
      <w:r>
        <w:rPr>
          <w:rStyle w:val="ui-provider"/>
        </w:rPr>
        <w:t xml:space="preserve"> </w:t>
      </w:r>
      <w:proofErr w:type="spellStart"/>
      <w:r>
        <w:rPr>
          <w:rStyle w:val="ui-provider"/>
        </w:rPr>
        <w:t>vốn</w:t>
      </w:r>
      <w:proofErr w:type="spellEnd"/>
      <w:r>
        <w:rPr>
          <w:rStyle w:val="ui-provider"/>
        </w:rPr>
        <w:t xml:space="preserve"> </w:t>
      </w:r>
      <w:proofErr w:type="spellStart"/>
      <w:r>
        <w:rPr>
          <w:rStyle w:val="ui-provider"/>
        </w:rPr>
        <w:t>từ</w:t>
      </w:r>
      <w:proofErr w:type="spellEnd"/>
      <w:r>
        <w:rPr>
          <w:rStyle w:val="ui-provider"/>
        </w:rPr>
        <w:t xml:space="preserve"> </w:t>
      </w:r>
      <w:proofErr w:type="spellStart"/>
      <w:r>
        <w:rPr>
          <w:rStyle w:val="ui-provider"/>
        </w:rPr>
        <w:t>nhà</w:t>
      </w:r>
      <w:proofErr w:type="spellEnd"/>
      <w:r>
        <w:rPr>
          <w:rStyle w:val="ui-provider"/>
        </w:rPr>
        <w:t xml:space="preserve"> </w:t>
      </w:r>
      <w:proofErr w:type="spellStart"/>
      <w:r>
        <w:rPr>
          <w:rStyle w:val="ui-provider"/>
        </w:rPr>
        <w:t>đầu</w:t>
      </w:r>
      <w:proofErr w:type="spellEnd"/>
      <w:r>
        <w:rPr>
          <w:rStyle w:val="ui-provider"/>
        </w:rPr>
        <w:t xml:space="preserve"> </w:t>
      </w:r>
      <w:proofErr w:type="spellStart"/>
      <w:r>
        <w:rPr>
          <w:rStyle w:val="ui-provider"/>
        </w:rPr>
        <w:t>tư</w:t>
      </w:r>
      <w:proofErr w:type="spellEnd"/>
      <w:r>
        <w:rPr>
          <w:rStyle w:val="ui-provider"/>
        </w:rPr>
        <w:t xml:space="preserve"> </w:t>
      </w:r>
      <w:proofErr w:type="spellStart"/>
      <w:r>
        <w:rPr>
          <w:rStyle w:val="ui-provider"/>
        </w:rPr>
        <w:t>nên</w:t>
      </w:r>
      <w:proofErr w:type="spellEnd"/>
      <w:r>
        <w:rPr>
          <w:rStyle w:val="ui-provider"/>
        </w:rPr>
        <w:t xml:space="preserve"> NAV </w:t>
      </w:r>
      <w:proofErr w:type="spellStart"/>
      <w:r>
        <w:rPr>
          <w:rStyle w:val="ui-provider"/>
        </w:rPr>
        <w:t>có</w:t>
      </w:r>
      <w:proofErr w:type="spellEnd"/>
      <w:r>
        <w:rPr>
          <w:rStyle w:val="ui-provider"/>
        </w:rPr>
        <w:t xml:space="preserve"> </w:t>
      </w:r>
      <w:proofErr w:type="spellStart"/>
      <w:r>
        <w:rPr>
          <w:rStyle w:val="ui-provider"/>
        </w:rPr>
        <w:t>mức</w:t>
      </w:r>
      <w:proofErr w:type="spellEnd"/>
      <w:r>
        <w:rPr>
          <w:rStyle w:val="ui-provider"/>
        </w:rPr>
        <w:t xml:space="preserve"> </w:t>
      </w:r>
      <w:proofErr w:type="spellStart"/>
      <w:r>
        <w:rPr>
          <w:rStyle w:val="ui-provider"/>
        </w:rPr>
        <w:t>giảm</w:t>
      </w:r>
      <w:proofErr w:type="spellEnd"/>
      <w:r>
        <w:rPr>
          <w:rStyle w:val="ui-provider"/>
        </w:rPr>
        <w:t xml:space="preserve"> </w:t>
      </w:r>
      <w:proofErr w:type="spellStart"/>
      <w:r>
        <w:rPr>
          <w:rStyle w:val="ui-provider"/>
        </w:rPr>
        <w:t>nhẹ</w:t>
      </w:r>
      <w:proofErr w:type="spellEnd"/>
      <w:r>
        <w:rPr>
          <w:rStyle w:val="ui-provider"/>
        </w:rPr>
        <w:t>.</w:t>
      </w:r>
    </w:p>
    <w:p w14:paraId="3009010E" w14:textId="77777777" w:rsidR="00573C16" w:rsidRPr="007B01F5" w:rsidRDefault="00573C16" w:rsidP="007922E7">
      <w:pPr>
        <w:keepLines w:val="0"/>
        <w:overflowPunct/>
        <w:autoSpaceDE/>
        <w:autoSpaceDN/>
        <w:adjustRightInd/>
        <w:jc w:val="left"/>
        <w:textAlignment w:val="auto"/>
        <w:rPr>
          <w:b/>
          <w:szCs w:val="22"/>
          <w:lang w:val="nl-NL"/>
        </w:rPr>
      </w:pPr>
    </w:p>
    <w:p w14:paraId="33F68ED3" w14:textId="1CA04473" w:rsidR="007922E7"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t>Thống kê về Nhà đầu tư nắm giữ Chứng chỉ quỹ tại thời điểm báo cáo</w:t>
      </w:r>
    </w:p>
    <w:p w14:paraId="38599228" w14:textId="77777777" w:rsidR="00A11BB2" w:rsidRPr="00A11BB2" w:rsidRDefault="00A11BB2" w:rsidP="00A11BB2">
      <w:pPr>
        <w:shd w:val="clear" w:color="auto" w:fill="FFFFFF"/>
        <w:tabs>
          <w:tab w:val="left" w:pos="540"/>
        </w:tabs>
        <w:spacing w:before="120"/>
        <w:rPr>
          <w:b/>
          <w:sz w:val="24"/>
          <w:szCs w:val="24"/>
          <w:lang w:val="nl-NL"/>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4"/>
        <w:gridCol w:w="2334"/>
        <w:gridCol w:w="2334"/>
      </w:tblGrid>
      <w:tr w:rsidR="008D3C20" w:rsidRPr="00D23AD2" w14:paraId="10AFDDC3" w14:textId="77777777" w:rsidTr="00573C16">
        <w:trPr>
          <w:trHeight w:val="310"/>
        </w:trPr>
        <w:tc>
          <w:tcPr>
            <w:tcW w:w="2334" w:type="dxa"/>
            <w:vMerge w:val="restart"/>
            <w:shd w:val="clear" w:color="auto" w:fill="auto"/>
            <w:vAlign w:val="center"/>
            <w:hideMark/>
          </w:tcPr>
          <w:p w14:paraId="3466312A" w14:textId="77777777" w:rsidR="008D3C20" w:rsidRPr="00A568A1" w:rsidRDefault="008D3C20" w:rsidP="008D3C20">
            <w:pPr>
              <w:keepLines w:val="0"/>
              <w:overflowPunct/>
              <w:autoSpaceDE/>
              <w:autoSpaceDN/>
              <w:adjustRightInd/>
              <w:jc w:val="center"/>
              <w:textAlignment w:val="auto"/>
              <w:rPr>
                <w:b/>
                <w:bCs/>
                <w:szCs w:val="22"/>
                <w:lang w:val="nl-NL"/>
              </w:rPr>
            </w:pPr>
            <w:r w:rsidRPr="00A568A1">
              <w:rPr>
                <w:b/>
                <w:bCs/>
                <w:szCs w:val="22"/>
                <w:lang w:val="nl-NL"/>
              </w:rPr>
              <w:t>Quy mô nắm giữ (Đơn vị)</w:t>
            </w:r>
          </w:p>
        </w:tc>
        <w:tc>
          <w:tcPr>
            <w:tcW w:w="2334" w:type="dxa"/>
            <w:vMerge w:val="restart"/>
            <w:shd w:val="clear" w:color="auto" w:fill="auto"/>
            <w:vAlign w:val="center"/>
            <w:hideMark/>
          </w:tcPr>
          <w:p w14:paraId="4F78F1F2" w14:textId="77777777" w:rsidR="008D3C20" w:rsidRPr="00A568A1" w:rsidRDefault="008D3C20" w:rsidP="008D3C20">
            <w:pPr>
              <w:keepLines w:val="0"/>
              <w:overflowPunct/>
              <w:autoSpaceDE/>
              <w:autoSpaceDN/>
              <w:adjustRightInd/>
              <w:jc w:val="center"/>
              <w:textAlignment w:val="auto"/>
              <w:rPr>
                <w:b/>
                <w:bCs/>
                <w:szCs w:val="22"/>
                <w:lang w:val="nl-NL"/>
              </w:rPr>
            </w:pPr>
            <w:r w:rsidRPr="00A568A1">
              <w:rPr>
                <w:b/>
                <w:bCs/>
                <w:szCs w:val="22"/>
                <w:lang w:val="nl-NL"/>
              </w:rPr>
              <w:t>Số lượng Nhà đầu tư nắm giữ</w:t>
            </w:r>
          </w:p>
        </w:tc>
        <w:tc>
          <w:tcPr>
            <w:tcW w:w="2334" w:type="dxa"/>
            <w:vMerge w:val="restart"/>
            <w:shd w:val="clear" w:color="auto" w:fill="auto"/>
            <w:vAlign w:val="center"/>
            <w:hideMark/>
          </w:tcPr>
          <w:p w14:paraId="6DE6BB03" w14:textId="77777777" w:rsidR="008D3C20" w:rsidRPr="00A568A1" w:rsidRDefault="008D3C20" w:rsidP="008D3C20">
            <w:pPr>
              <w:keepLines w:val="0"/>
              <w:overflowPunct/>
              <w:autoSpaceDE/>
              <w:autoSpaceDN/>
              <w:adjustRightInd/>
              <w:jc w:val="center"/>
              <w:textAlignment w:val="auto"/>
              <w:rPr>
                <w:b/>
                <w:bCs/>
                <w:szCs w:val="22"/>
                <w:lang w:val="nl-NL"/>
              </w:rPr>
            </w:pPr>
            <w:r w:rsidRPr="00A568A1">
              <w:rPr>
                <w:b/>
                <w:bCs/>
                <w:szCs w:val="22"/>
                <w:lang w:val="nl-NL"/>
              </w:rPr>
              <w:t>Số lượng đơn vị Chứng chỉ quỹ nắm giữ</w:t>
            </w:r>
          </w:p>
        </w:tc>
        <w:tc>
          <w:tcPr>
            <w:tcW w:w="2334" w:type="dxa"/>
            <w:shd w:val="clear" w:color="auto" w:fill="auto"/>
            <w:vAlign w:val="center"/>
            <w:hideMark/>
          </w:tcPr>
          <w:p w14:paraId="47A143B9"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lệ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r>
      <w:tr w:rsidR="008D3C20" w:rsidRPr="00D23AD2" w14:paraId="3EBD9588" w14:textId="77777777" w:rsidTr="00573C16">
        <w:trPr>
          <w:trHeight w:val="310"/>
        </w:trPr>
        <w:tc>
          <w:tcPr>
            <w:tcW w:w="2334" w:type="dxa"/>
            <w:vMerge/>
            <w:vAlign w:val="center"/>
            <w:hideMark/>
          </w:tcPr>
          <w:p w14:paraId="45DB353E"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334" w:type="dxa"/>
            <w:vMerge/>
            <w:vAlign w:val="center"/>
            <w:hideMark/>
          </w:tcPr>
          <w:p w14:paraId="0596563B"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334" w:type="dxa"/>
            <w:vMerge/>
            <w:vAlign w:val="center"/>
            <w:hideMark/>
          </w:tcPr>
          <w:p w14:paraId="7376CC94"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334" w:type="dxa"/>
            <w:shd w:val="clear" w:color="auto" w:fill="auto"/>
            <w:vAlign w:val="center"/>
            <w:hideMark/>
          </w:tcPr>
          <w:p w14:paraId="2F933DFB" w14:textId="77777777" w:rsidR="008D3C20" w:rsidRPr="00D23AD2" w:rsidRDefault="008D3C20" w:rsidP="008D3C20">
            <w:pPr>
              <w:keepLines w:val="0"/>
              <w:overflowPunct/>
              <w:autoSpaceDE/>
              <w:autoSpaceDN/>
              <w:adjustRightInd/>
              <w:jc w:val="center"/>
              <w:textAlignment w:val="auto"/>
              <w:rPr>
                <w:b/>
                <w:bCs/>
                <w:szCs w:val="22"/>
                <w:lang w:val="en-US"/>
              </w:rPr>
            </w:pPr>
            <w:r w:rsidRPr="00D23AD2">
              <w:rPr>
                <w:b/>
                <w:bCs/>
                <w:szCs w:val="22"/>
                <w:lang w:val="en-US"/>
              </w:rPr>
              <w:t>(%)</w:t>
            </w:r>
          </w:p>
        </w:tc>
      </w:tr>
      <w:tr w:rsidR="00D7296C" w:rsidRPr="00D23AD2" w14:paraId="74CDD261" w14:textId="77777777" w:rsidTr="00573C16">
        <w:trPr>
          <w:trHeight w:val="310"/>
        </w:trPr>
        <w:tc>
          <w:tcPr>
            <w:tcW w:w="2334" w:type="dxa"/>
            <w:shd w:val="clear" w:color="auto" w:fill="auto"/>
            <w:vAlign w:val="center"/>
            <w:hideMark/>
          </w:tcPr>
          <w:p w14:paraId="7A217334" w14:textId="77777777" w:rsidR="00D7296C" w:rsidRPr="00D23AD2" w:rsidRDefault="00D7296C" w:rsidP="00D7296C">
            <w:pPr>
              <w:keepLines w:val="0"/>
              <w:overflowPunct/>
              <w:autoSpaceDE/>
              <w:autoSpaceDN/>
              <w:adjustRightInd/>
              <w:textAlignment w:val="auto"/>
              <w:rPr>
                <w:szCs w:val="22"/>
                <w:lang w:val="en-US"/>
              </w:rPr>
            </w:pPr>
            <w:proofErr w:type="spellStart"/>
            <w:r w:rsidRPr="00D23AD2">
              <w:rPr>
                <w:szCs w:val="22"/>
                <w:lang w:val="en-US"/>
              </w:rPr>
              <w:t>Dưới</w:t>
            </w:r>
            <w:proofErr w:type="spellEnd"/>
            <w:r w:rsidRPr="00D23AD2">
              <w:rPr>
                <w:szCs w:val="22"/>
                <w:lang w:val="en-US"/>
              </w:rPr>
              <w:t xml:space="preserve"> 5.000</w:t>
            </w:r>
          </w:p>
        </w:tc>
        <w:tc>
          <w:tcPr>
            <w:tcW w:w="2334" w:type="dxa"/>
            <w:shd w:val="clear" w:color="auto" w:fill="auto"/>
            <w:vAlign w:val="center"/>
            <w:hideMark/>
          </w:tcPr>
          <w:p w14:paraId="704D96A9" w14:textId="38AA0B88" w:rsidR="00D7296C" w:rsidRPr="00D23AD2" w:rsidRDefault="00D7296C" w:rsidP="00FE0A69">
            <w:pPr>
              <w:keepLines w:val="0"/>
              <w:overflowPunct/>
              <w:autoSpaceDE/>
              <w:autoSpaceDN/>
              <w:adjustRightInd/>
              <w:jc w:val="center"/>
              <w:textAlignment w:val="auto"/>
              <w:rPr>
                <w:szCs w:val="22"/>
                <w:lang w:val="en-US"/>
              </w:rPr>
            </w:pPr>
            <w:r>
              <w:rPr>
                <w:szCs w:val="22"/>
              </w:rPr>
              <w:t>4,073</w:t>
            </w:r>
          </w:p>
        </w:tc>
        <w:tc>
          <w:tcPr>
            <w:tcW w:w="2334" w:type="dxa"/>
            <w:shd w:val="clear" w:color="auto" w:fill="auto"/>
            <w:noWrap/>
            <w:vAlign w:val="center"/>
            <w:hideMark/>
          </w:tcPr>
          <w:p w14:paraId="6B99CC80" w14:textId="22B1875F" w:rsidR="00D7296C" w:rsidRPr="00935944" w:rsidRDefault="00D7296C" w:rsidP="00FE0A69">
            <w:pPr>
              <w:keepLines w:val="0"/>
              <w:overflowPunct/>
              <w:autoSpaceDE/>
              <w:autoSpaceDN/>
              <w:adjustRightInd/>
              <w:jc w:val="center"/>
              <w:textAlignment w:val="auto"/>
              <w:rPr>
                <w:szCs w:val="22"/>
                <w:lang w:val="en-US"/>
              </w:rPr>
            </w:pPr>
            <w:r>
              <w:rPr>
                <w:szCs w:val="22"/>
              </w:rPr>
              <w:t>3,939,756</w:t>
            </w:r>
          </w:p>
        </w:tc>
        <w:tc>
          <w:tcPr>
            <w:tcW w:w="2334" w:type="dxa"/>
            <w:shd w:val="clear" w:color="auto" w:fill="auto"/>
            <w:vAlign w:val="center"/>
            <w:hideMark/>
          </w:tcPr>
          <w:p w14:paraId="06473520" w14:textId="2F55A55E" w:rsidR="00D7296C" w:rsidRPr="00D23AD2" w:rsidRDefault="00D7296C" w:rsidP="00FE0A69">
            <w:pPr>
              <w:keepLines w:val="0"/>
              <w:overflowPunct/>
              <w:autoSpaceDE/>
              <w:autoSpaceDN/>
              <w:adjustRightInd/>
              <w:jc w:val="center"/>
              <w:textAlignment w:val="auto"/>
              <w:rPr>
                <w:szCs w:val="22"/>
                <w:lang w:val="en-US"/>
              </w:rPr>
            </w:pPr>
            <w:r>
              <w:rPr>
                <w:szCs w:val="22"/>
              </w:rPr>
              <w:t>0.76</w:t>
            </w:r>
          </w:p>
        </w:tc>
      </w:tr>
      <w:tr w:rsidR="00D7296C" w:rsidRPr="00D23AD2" w14:paraId="4CA64AA7" w14:textId="77777777" w:rsidTr="00573C16">
        <w:trPr>
          <w:trHeight w:val="310"/>
        </w:trPr>
        <w:tc>
          <w:tcPr>
            <w:tcW w:w="2334" w:type="dxa"/>
            <w:shd w:val="clear" w:color="auto" w:fill="auto"/>
            <w:vAlign w:val="center"/>
            <w:hideMark/>
          </w:tcPr>
          <w:p w14:paraId="170CD791" w14:textId="77777777" w:rsidR="00D7296C" w:rsidRPr="00D23AD2" w:rsidRDefault="00D7296C" w:rsidP="00D7296C">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 </w:t>
            </w:r>
            <w:proofErr w:type="spellStart"/>
            <w:r w:rsidRPr="00D23AD2">
              <w:rPr>
                <w:szCs w:val="22"/>
                <w:lang w:val="en-US"/>
              </w:rPr>
              <w:t>đến</w:t>
            </w:r>
            <w:proofErr w:type="spellEnd"/>
            <w:r w:rsidRPr="00D23AD2">
              <w:rPr>
                <w:szCs w:val="22"/>
                <w:lang w:val="en-US"/>
              </w:rPr>
              <w:t xml:space="preserve"> 10.000</w:t>
            </w:r>
          </w:p>
        </w:tc>
        <w:tc>
          <w:tcPr>
            <w:tcW w:w="2334" w:type="dxa"/>
            <w:shd w:val="clear" w:color="auto" w:fill="auto"/>
            <w:vAlign w:val="center"/>
            <w:hideMark/>
          </w:tcPr>
          <w:p w14:paraId="62B680C2" w14:textId="67BDCDDC" w:rsidR="00D7296C" w:rsidRPr="00D23AD2" w:rsidRDefault="00D7296C" w:rsidP="00FE0A69">
            <w:pPr>
              <w:keepLines w:val="0"/>
              <w:overflowPunct/>
              <w:autoSpaceDE/>
              <w:autoSpaceDN/>
              <w:adjustRightInd/>
              <w:jc w:val="center"/>
              <w:textAlignment w:val="auto"/>
              <w:rPr>
                <w:szCs w:val="22"/>
                <w:lang w:val="en-US"/>
              </w:rPr>
            </w:pPr>
            <w:r>
              <w:rPr>
                <w:szCs w:val="22"/>
              </w:rPr>
              <w:t>320</w:t>
            </w:r>
          </w:p>
        </w:tc>
        <w:tc>
          <w:tcPr>
            <w:tcW w:w="2334" w:type="dxa"/>
            <w:shd w:val="clear" w:color="auto" w:fill="auto"/>
            <w:noWrap/>
            <w:vAlign w:val="center"/>
            <w:hideMark/>
          </w:tcPr>
          <w:p w14:paraId="0E767D54" w14:textId="5130B59F" w:rsidR="00D7296C" w:rsidRPr="00935944" w:rsidRDefault="00D7296C" w:rsidP="00FE0A69">
            <w:pPr>
              <w:keepLines w:val="0"/>
              <w:overflowPunct/>
              <w:autoSpaceDE/>
              <w:autoSpaceDN/>
              <w:adjustRightInd/>
              <w:jc w:val="center"/>
              <w:textAlignment w:val="auto"/>
              <w:rPr>
                <w:szCs w:val="22"/>
                <w:lang w:val="en-US"/>
              </w:rPr>
            </w:pPr>
            <w:r>
              <w:rPr>
                <w:szCs w:val="22"/>
              </w:rPr>
              <w:t>2,143,423</w:t>
            </w:r>
          </w:p>
        </w:tc>
        <w:tc>
          <w:tcPr>
            <w:tcW w:w="2334" w:type="dxa"/>
            <w:shd w:val="clear" w:color="auto" w:fill="auto"/>
            <w:vAlign w:val="center"/>
            <w:hideMark/>
          </w:tcPr>
          <w:p w14:paraId="72B2B3BD" w14:textId="03B5C8B7" w:rsidR="00D7296C" w:rsidRPr="00D23AD2" w:rsidRDefault="00D7296C" w:rsidP="00FE0A69">
            <w:pPr>
              <w:keepLines w:val="0"/>
              <w:overflowPunct/>
              <w:autoSpaceDE/>
              <w:autoSpaceDN/>
              <w:adjustRightInd/>
              <w:jc w:val="center"/>
              <w:textAlignment w:val="auto"/>
              <w:rPr>
                <w:szCs w:val="22"/>
                <w:lang w:val="en-US"/>
              </w:rPr>
            </w:pPr>
            <w:r>
              <w:rPr>
                <w:szCs w:val="22"/>
              </w:rPr>
              <w:t>0.41</w:t>
            </w:r>
          </w:p>
        </w:tc>
      </w:tr>
      <w:tr w:rsidR="00D7296C" w:rsidRPr="00D23AD2" w14:paraId="457A6498" w14:textId="77777777" w:rsidTr="00573C16">
        <w:trPr>
          <w:trHeight w:val="310"/>
        </w:trPr>
        <w:tc>
          <w:tcPr>
            <w:tcW w:w="2334" w:type="dxa"/>
            <w:shd w:val="clear" w:color="auto" w:fill="auto"/>
            <w:vAlign w:val="center"/>
            <w:hideMark/>
          </w:tcPr>
          <w:p w14:paraId="228ABF36" w14:textId="77777777" w:rsidR="00D7296C" w:rsidRPr="00D23AD2" w:rsidRDefault="00D7296C" w:rsidP="00D7296C">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10.000 </w:t>
            </w:r>
            <w:proofErr w:type="spellStart"/>
            <w:r w:rsidRPr="00D23AD2">
              <w:rPr>
                <w:szCs w:val="22"/>
                <w:lang w:val="en-US"/>
              </w:rPr>
              <w:t>đến</w:t>
            </w:r>
            <w:proofErr w:type="spellEnd"/>
            <w:r w:rsidRPr="00D23AD2">
              <w:rPr>
                <w:szCs w:val="22"/>
                <w:lang w:val="en-US"/>
              </w:rPr>
              <w:t xml:space="preserve"> 50.000</w:t>
            </w:r>
          </w:p>
        </w:tc>
        <w:tc>
          <w:tcPr>
            <w:tcW w:w="2334" w:type="dxa"/>
            <w:shd w:val="clear" w:color="auto" w:fill="auto"/>
            <w:vAlign w:val="center"/>
            <w:hideMark/>
          </w:tcPr>
          <w:p w14:paraId="3FD64C97" w14:textId="2D75F22D" w:rsidR="00D7296C" w:rsidRPr="00D23AD2" w:rsidRDefault="00D7296C" w:rsidP="00FE0A69">
            <w:pPr>
              <w:keepLines w:val="0"/>
              <w:overflowPunct/>
              <w:autoSpaceDE/>
              <w:autoSpaceDN/>
              <w:adjustRightInd/>
              <w:jc w:val="center"/>
              <w:textAlignment w:val="auto"/>
              <w:rPr>
                <w:szCs w:val="22"/>
                <w:lang w:val="en-US"/>
              </w:rPr>
            </w:pPr>
            <w:r>
              <w:rPr>
                <w:szCs w:val="22"/>
              </w:rPr>
              <w:t>272</w:t>
            </w:r>
          </w:p>
        </w:tc>
        <w:tc>
          <w:tcPr>
            <w:tcW w:w="2334" w:type="dxa"/>
            <w:shd w:val="clear" w:color="auto" w:fill="auto"/>
            <w:noWrap/>
            <w:vAlign w:val="center"/>
            <w:hideMark/>
          </w:tcPr>
          <w:p w14:paraId="1B450BC2" w14:textId="2B804EB3" w:rsidR="00D7296C" w:rsidRPr="00935944" w:rsidRDefault="00D7296C" w:rsidP="00FE0A69">
            <w:pPr>
              <w:keepLines w:val="0"/>
              <w:overflowPunct/>
              <w:autoSpaceDE/>
              <w:autoSpaceDN/>
              <w:adjustRightInd/>
              <w:jc w:val="center"/>
              <w:textAlignment w:val="auto"/>
              <w:rPr>
                <w:szCs w:val="22"/>
                <w:lang w:val="en-US"/>
              </w:rPr>
            </w:pPr>
            <w:r>
              <w:rPr>
                <w:szCs w:val="22"/>
              </w:rPr>
              <w:t>5,404,623</w:t>
            </w:r>
          </w:p>
        </w:tc>
        <w:tc>
          <w:tcPr>
            <w:tcW w:w="2334" w:type="dxa"/>
            <w:shd w:val="clear" w:color="auto" w:fill="auto"/>
            <w:vAlign w:val="center"/>
            <w:hideMark/>
          </w:tcPr>
          <w:p w14:paraId="42E0CF38" w14:textId="6FE1C57B" w:rsidR="00D7296C" w:rsidRPr="00D23AD2" w:rsidRDefault="00D7296C" w:rsidP="00FE0A69">
            <w:pPr>
              <w:keepLines w:val="0"/>
              <w:overflowPunct/>
              <w:autoSpaceDE/>
              <w:autoSpaceDN/>
              <w:adjustRightInd/>
              <w:jc w:val="center"/>
              <w:textAlignment w:val="auto"/>
              <w:rPr>
                <w:szCs w:val="22"/>
                <w:lang w:val="en-US"/>
              </w:rPr>
            </w:pPr>
            <w:r>
              <w:rPr>
                <w:szCs w:val="22"/>
              </w:rPr>
              <w:t>1.04</w:t>
            </w:r>
          </w:p>
        </w:tc>
      </w:tr>
      <w:tr w:rsidR="00D7296C" w:rsidRPr="00D23AD2" w14:paraId="74AB593B" w14:textId="77777777" w:rsidTr="00573C16">
        <w:trPr>
          <w:trHeight w:val="310"/>
        </w:trPr>
        <w:tc>
          <w:tcPr>
            <w:tcW w:w="2334" w:type="dxa"/>
            <w:shd w:val="clear" w:color="auto" w:fill="auto"/>
            <w:vAlign w:val="center"/>
            <w:hideMark/>
          </w:tcPr>
          <w:p w14:paraId="0371FF7A" w14:textId="77777777" w:rsidR="00D7296C" w:rsidRPr="00D23AD2" w:rsidRDefault="00D7296C" w:rsidP="00D7296C">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50.000 </w:t>
            </w:r>
            <w:proofErr w:type="spellStart"/>
            <w:r w:rsidRPr="00D23AD2">
              <w:rPr>
                <w:szCs w:val="22"/>
                <w:lang w:val="en-US"/>
              </w:rPr>
              <w:t>đến</w:t>
            </w:r>
            <w:proofErr w:type="spellEnd"/>
            <w:r w:rsidRPr="00D23AD2">
              <w:rPr>
                <w:szCs w:val="22"/>
                <w:lang w:val="en-US"/>
              </w:rPr>
              <w:t xml:space="preserve"> 500.000</w:t>
            </w:r>
          </w:p>
        </w:tc>
        <w:tc>
          <w:tcPr>
            <w:tcW w:w="2334" w:type="dxa"/>
            <w:shd w:val="clear" w:color="auto" w:fill="auto"/>
            <w:vAlign w:val="center"/>
            <w:hideMark/>
          </w:tcPr>
          <w:p w14:paraId="4762A025" w14:textId="7BB4303D" w:rsidR="00D7296C" w:rsidRPr="00D23AD2" w:rsidRDefault="00D7296C" w:rsidP="00FE0A69">
            <w:pPr>
              <w:keepLines w:val="0"/>
              <w:overflowPunct/>
              <w:autoSpaceDE/>
              <w:autoSpaceDN/>
              <w:adjustRightInd/>
              <w:jc w:val="center"/>
              <w:textAlignment w:val="auto"/>
              <w:rPr>
                <w:szCs w:val="22"/>
                <w:lang w:val="en-US"/>
              </w:rPr>
            </w:pPr>
            <w:r>
              <w:rPr>
                <w:szCs w:val="22"/>
              </w:rPr>
              <w:t>97</w:t>
            </w:r>
          </w:p>
        </w:tc>
        <w:tc>
          <w:tcPr>
            <w:tcW w:w="2334" w:type="dxa"/>
            <w:shd w:val="clear" w:color="auto" w:fill="auto"/>
            <w:noWrap/>
            <w:vAlign w:val="center"/>
            <w:hideMark/>
          </w:tcPr>
          <w:p w14:paraId="2DA68774" w14:textId="31D237D8" w:rsidR="00D7296C" w:rsidRPr="00935944" w:rsidRDefault="00D7296C" w:rsidP="00FE0A69">
            <w:pPr>
              <w:keepLines w:val="0"/>
              <w:overflowPunct/>
              <w:autoSpaceDE/>
              <w:autoSpaceDN/>
              <w:adjustRightInd/>
              <w:jc w:val="center"/>
              <w:textAlignment w:val="auto"/>
              <w:rPr>
                <w:szCs w:val="22"/>
                <w:lang w:val="en-US"/>
              </w:rPr>
            </w:pPr>
            <w:r>
              <w:rPr>
                <w:szCs w:val="22"/>
              </w:rPr>
              <w:t>15,988,088</w:t>
            </w:r>
          </w:p>
        </w:tc>
        <w:tc>
          <w:tcPr>
            <w:tcW w:w="2334" w:type="dxa"/>
            <w:shd w:val="clear" w:color="auto" w:fill="auto"/>
            <w:vAlign w:val="center"/>
            <w:hideMark/>
          </w:tcPr>
          <w:p w14:paraId="68A74913" w14:textId="4361F7F2" w:rsidR="00D7296C" w:rsidRPr="00D23AD2" w:rsidRDefault="00D7296C" w:rsidP="00FE0A69">
            <w:pPr>
              <w:keepLines w:val="0"/>
              <w:overflowPunct/>
              <w:autoSpaceDE/>
              <w:autoSpaceDN/>
              <w:adjustRightInd/>
              <w:jc w:val="center"/>
              <w:textAlignment w:val="auto"/>
              <w:rPr>
                <w:szCs w:val="22"/>
                <w:lang w:val="en-US"/>
              </w:rPr>
            </w:pPr>
            <w:r>
              <w:rPr>
                <w:szCs w:val="22"/>
              </w:rPr>
              <w:t>3.08</w:t>
            </w:r>
          </w:p>
        </w:tc>
      </w:tr>
      <w:tr w:rsidR="00D7296C" w:rsidRPr="00D23AD2" w14:paraId="1A13A52E" w14:textId="77777777" w:rsidTr="00573C16">
        <w:trPr>
          <w:trHeight w:val="310"/>
        </w:trPr>
        <w:tc>
          <w:tcPr>
            <w:tcW w:w="2334" w:type="dxa"/>
            <w:shd w:val="clear" w:color="auto" w:fill="auto"/>
            <w:vAlign w:val="center"/>
            <w:hideMark/>
          </w:tcPr>
          <w:p w14:paraId="6C8B2BE2" w14:textId="77777777" w:rsidR="00D7296C" w:rsidRPr="00D23AD2" w:rsidRDefault="00D7296C" w:rsidP="00D7296C">
            <w:pPr>
              <w:keepLines w:val="0"/>
              <w:overflowPunct/>
              <w:autoSpaceDE/>
              <w:autoSpaceDN/>
              <w:adjustRightInd/>
              <w:textAlignment w:val="auto"/>
              <w:rPr>
                <w:szCs w:val="22"/>
                <w:lang w:val="en-US"/>
              </w:rPr>
            </w:pPr>
            <w:proofErr w:type="spellStart"/>
            <w:r w:rsidRPr="00D23AD2">
              <w:rPr>
                <w:szCs w:val="22"/>
                <w:lang w:val="en-US"/>
              </w:rPr>
              <w:t>Trên</w:t>
            </w:r>
            <w:proofErr w:type="spellEnd"/>
            <w:r w:rsidRPr="00D23AD2">
              <w:rPr>
                <w:szCs w:val="22"/>
                <w:lang w:val="en-US"/>
              </w:rPr>
              <w:t xml:space="preserve"> 500.000</w:t>
            </w:r>
          </w:p>
        </w:tc>
        <w:tc>
          <w:tcPr>
            <w:tcW w:w="2334" w:type="dxa"/>
            <w:shd w:val="clear" w:color="auto" w:fill="auto"/>
            <w:vAlign w:val="center"/>
            <w:hideMark/>
          </w:tcPr>
          <w:p w14:paraId="321F7C42" w14:textId="204D7009" w:rsidR="00D7296C" w:rsidRPr="00D23AD2" w:rsidRDefault="00D7296C" w:rsidP="00FE0A69">
            <w:pPr>
              <w:keepLines w:val="0"/>
              <w:overflowPunct/>
              <w:autoSpaceDE/>
              <w:autoSpaceDN/>
              <w:adjustRightInd/>
              <w:jc w:val="center"/>
              <w:textAlignment w:val="auto"/>
              <w:rPr>
                <w:szCs w:val="22"/>
                <w:lang w:val="en-US"/>
              </w:rPr>
            </w:pPr>
            <w:r>
              <w:rPr>
                <w:szCs w:val="22"/>
              </w:rPr>
              <w:t>44</w:t>
            </w:r>
          </w:p>
        </w:tc>
        <w:tc>
          <w:tcPr>
            <w:tcW w:w="2334" w:type="dxa"/>
            <w:shd w:val="clear" w:color="auto" w:fill="auto"/>
            <w:noWrap/>
            <w:vAlign w:val="center"/>
            <w:hideMark/>
          </w:tcPr>
          <w:p w14:paraId="7CEEACE4" w14:textId="1ED62E0F" w:rsidR="00D7296C" w:rsidRPr="00935944" w:rsidRDefault="00D7296C" w:rsidP="00FE0A69">
            <w:pPr>
              <w:keepLines w:val="0"/>
              <w:overflowPunct/>
              <w:autoSpaceDE/>
              <w:autoSpaceDN/>
              <w:adjustRightInd/>
              <w:jc w:val="center"/>
              <w:textAlignment w:val="auto"/>
              <w:rPr>
                <w:szCs w:val="22"/>
                <w:lang w:val="en-US"/>
              </w:rPr>
            </w:pPr>
            <w:r>
              <w:rPr>
                <w:szCs w:val="22"/>
              </w:rPr>
              <w:t>490,824,110</w:t>
            </w:r>
          </w:p>
        </w:tc>
        <w:tc>
          <w:tcPr>
            <w:tcW w:w="2334" w:type="dxa"/>
            <w:shd w:val="clear" w:color="auto" w:fill="auto"/>
            <w:vAlign w:val="center"/>
            <w:hideMark/>
          </w:tcPr>
          <w:p w14:paraId="6B6B9A84" w14:textId="42EF96D0" w:rsidR="00D7296C" w:rsidRPr="00D23AD2" w:rsidRDefault="00D7296C" w:rsidP="00FE0A69">
            <w:pPr>
              <w:keepLines w:val="0"/>
              <w:overflowPunct/>
              <w:autoSpaceDE/>
              <w:autoSpaceDN/>
              <w:adjustRightInd/>
              <w:jc w:val="center"/>
              <w:textAlignment w:val="auto"/>
              <w:rPr>
                <w:szCs w:val="22"/>
                <w:lang w:val="en-US"/>
              </w:rPr>
            </w:pPr>
            <w:r>
              <w:rPr>
                <w:szCs w:val="22"/>
              </w:rPr>
              <w:t>94.70</w:t>
            </w:r>
          </w:p>
        </w:tc>
      </w:tr>
      <w:tr w:rsidR="00D7296C" w:rsidRPr="00D23AD2" w14:paraId="3D154101" w14:textId="77777777" w:rsidTr="00FB54FE">
        <w:trPr>
          <w:trHeight w:val="325"/>
        </w:trPr>
        <w:tc>
          <w:tcPr>
            <w:tcW w:w="2334" w:type="dxa"/>
            <w:shd w:val="clear" w:color="auto" w:fill="auto"/>
            <w:vAlign w:val="center"/>
            <w:hideMark/>
          </w:tcPr>
          <w:p w14:paraId="745BD81B" w14:textId="77777777" w:rsidR="00D7296C" w:rsidRPr="00D23AD2" w:rsidRDefault="00D7296C" w:rsidP="00D7296C">
            <w:pPr>
              <w:keepLines w:val="0"/>
              <w:overflowPunct/>
              <w:autoSpaceDE/>
              <w:autoSpaceDN/>
              <w:adjustRightInd/>
              <w:jc w:val="left"/>
              <w:textAlignment w:val="auto"/>
              <w:rPr>
                <w:b/>
                <w:bCs/>
                <w:szCs w:val="22"/>
                <w:lang w:val="en-US"/>
              </w:rPr>
            </w:pPr>
            <w:proofErr w:type="spellStart"/>
            <w:r w:rsidRPr="00D23AD2">
              <w:rPr>
                <w:b/>
                <w:bCs/>
                <w:szCs w:val="22"/>
                <w:lang w:val="en-US"/>
              </w:rPr>
              <w:t>Tổng</w:t>
            </w:r>
            <w:proofErr w:type="spellEnd"/>
            <w:r w:rsidRPr="00D23AD2">
              <w:rPr>
                <w:b/>
                <w:bCs/>
                <w:szCs w:val="22"/>
                <w:lang w:val="en-US"/>
              </w:rPr>
              <w:t xml:space="preserve"> </w:t>
            </w:r>
            <w:proofErr w:type="spellStart"/>
            <w:r w:rsidRPr="00D23AD2">
              <w:rPr>
                <w:b/>
                <w:bCs/>
                <w:szCs w:val="22"/>
                <w:lang w:val="en-US"/>
              </w:rPr>
              <w:t>cộng</w:t>
            </w:r>
            <w:proofErr w:type="spellEnd"/>
          </w:p>
        </w:tc>
        <w:tc>
          <w:tcPr>
            <w:tcW w:w="2334" w:type="dxa"/>
            <w:shd w:val="clear" w:color="auto" w:fill="auto"/>
            <w:vAlign w:val="center"/>
            <w:hideMark/>
          </w:tcPr>
          <w:p w14:paraId="027E6751" w14:textId="29E415A8" w:rsidR="00D7296C" w:rsidRPr="00D105FC" w:rsidRDefault="00D7296C" w:rsidP="00FE0A69">
            <w:pPr>
              <w:keepLines w:val="0"/>
              <w:overflowPunct/>
              <w:autoSpaceDE/>
              <w:autoSpaceDN/>
              <w:adjustRightInd/>
              <w:jc w:val="center"/>
              <w:textAlignment w:val="auto"/>
              <w:rPr>
                <w:szCs w:val="22"/>
                <w:lang w:val="en-US"/>
              </w:rPr>
            </w:pPr>
            <w:r>
              <w:rPr>
                <w:szCs w:val="22"/>
              </w:rPr>
              <w:t>4,806</w:t>
            </w:r>
          </w:p>
        </w:tc>
        <w:tc>
          <w:tcPr>
            <w:tcW w:w="2334" w:type="dxa"/>
            <w:shd w:val="clear" w:color="auto" w:fill="auto"/>
            <w:vAlign w:val="center"/>
            <w:hideMark/>
          </w:tcPr>
          <w:p w14:paraId="464E4A4B" w14:textId="0C92490E" w:rsidR="00D7296C" w:rsidRPr="00D105FC" w:rsidRDefault="00D7296C" w:rsidP="00FE0A69">
            <w:pPr>
              <w:keepLines w:val="0"/>
              <w:overflowPunct/>
              <w:autoSpaceDE/>
              <w:autoSpaceDN/>
              <w:adjustRightInd/>
              <w:jc w:val="center"/>
              <w:textAlignment w:val="auto"/>
              <w:rPr>
                <w:szCs w:val="22"/>
                <w:lang w:val="en-US"/>
              </w:rPr>
            </w:pPr>
            <w:r>
              <w:rPr>
                <w:szCs w:val="22"/>
              </w:rPr>
              <w:t>518,300,000</w:t>
            </w:r>
          </w:p>
        </w:tc>
        <w:tc>
          <w:tcPr>
            <w:tcW w:w="2334" w:type="dxa"/>
            <w:shd w:val="clear" w:color="auto" w:fill="auto"/>
            <w:vAlign w:val="center"/>
            <w:hideMark/>
          </w:tcPr>
          <w:p w14:paraId="4484FE1C" w14:textId="75D5E6A4" w:rsidR="00D7296C" w:rsidRPr="00D23AD2" w:rsidRDefault="00D7296C" w:rsidP="00FE0A69">
            <w:pPr>
              <w:keepLines w:val="0"/>
              <w:overflowPunct/>
              <w:autoSpaceDE/>
              <w:autoSpaceDN/>
              <w:adjustRightInd/>
              <w:jc w:val="center"/>
              <w:textAlignment w:val="auto"/>
              <w:rPr>
                <w:b/>
                <w:bCs/>
                <w:szCs w:val="22"/>
                <w:lang w:val="en-US"/>
              </w:rPr>
            </w:pPr>
            <w:r>
              <w:rPr>
                <w:szCs w:val="22"/>
              </w:rPr>
              <w:t>100</w:t>
            </w:r>
          </w:p>
        </w:tc>
      </w:tr>
    </w:tbl>
    <w:p w14:paraId="52F8FE70" w14:textId="77777777" w:rsidR="007922E7" w:rsidRPr="00D23AD2"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Chi phí ngầm và giảm giá</w:t>
      </w:r>
    </w:p>
    <w:p w14:paraId="3545EE12" w14:textId="77777777" w:rsidR="007922E7" w:rsidRPr="00253EA8" w:rsidRDefault="007922E7" w:rsidP="004E7320">
      <w:pPr>
        <w:tabs>
          <w:tab w:val="left" w:pos="540"/>
        </w:tabs>
        <w:spacing w:before="120"/>
        <w:rPr>
          <w:szCs w:val="22"/>
          <w:lang w:val="nl-NL"/>
        </w:rPr>
      </w:pPr>
      <w:r w:rsidRPr="00253EA8">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253EA8" w:rsidRDefault="007922E7" w:rsidP="004E7320">
      <w:pPr>
        <w:rPr>
          <w:lang w:val="nl-NL"/>
        </w:rPr>
      </w:pPr>
    </w:p>
    <w:p w14:paraId="467765C7" w14:textId="77777777" w:rsidR="007922E7" w:rsidRPr="00253EA8" w:rsidRDefault="007922E7" w:rsidP="004E7320">
      <w:pPr>
        <w:tabs>
          <w:tab w:val="left" w:pos="540"/>
        </w:tabs>
        <w:rPr>
          <w:szCs w:val="22"/>
          <w:lang w:val="nl-NL"/>
        </w:rPr>
      </w:pPr>
      <w:r w:rsidRPr="00253EA8">
        <w:rPr>
          <w:szCs w:val="22"/>
          <w:lang w:val="nl-NL"/>
        </w:rPr>
        <w:t>Trong kỳ báo cáo, Quỹ không phát sinh các khoản giảm giá bằng tiền hoặc chi phí ngầm liên quan đến các giao dịch của Quỹ với các đối tác cung cấp dịch vụ cho Quỹ.</w:t>
      </w:r>
    </w:p>
    <w:p w14:paraId="6D886D3D" w14:textId="40311518" w:rsidR="007922E7" w:rsidRPr="00253EA8"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253EA8">
        <w:rPr>
          <w:rFonts w:ascii="Times New Roman" w:hAnsi="Times New Roman"/>
          <w:b/>
          <w:sz w:val="28"/>
          <w:szCs w:val="28"/>
          <w:lang w:val="nl-NL"/>
        </w:rPr>
        <w:t>Thông tin về triển vọng thị trường</w:t>
      </w:r>
    </w:p>
    <w:p w14:paraId="5AFEFC2B" w14:textId="0D56EAC9" w:rsidR="004F368F" w:rsidRDefault="004F368F" w:rsidP="004F368F">
      <w:pPr>
        <w:spacing w:before="120" w:line="360" w:lineRule="auto"/>
        <w:rPr>
          <w:szCs w:val="22"/>
          <w:lang w:val="nl-NL"/>
        </w:rPr>
      </w:pPr>
      <w:r w:rsidRPr="00EB3E0E">
        <w:rPr>
          <w:szCs w:val="22"/>
          <w:lang w:val="nl-NL"/>
        </w:rPr>
        <w:t>GDP Việt Nam quý I 2024 tăng 5,7% so với cùng kỳ, đánh dấu mức tăng trưởng quý 1 cao nhất trong 5 năm trở lại đây. Cụ thể, đóng góp phần lớn vào tăng trưởng trên là ngành công nghiệp với xuất khẩu tăng 14% so với cùng kỳ trong tháng 3, tương ứng với tăng trưởng theo quý ở mức 17%, trong đó chủ yếu đến từ nhóm ngành đồ điện tử, dệt may và da giày. Nhóm ngành dịch vụ liên quan đến du lịch duy trì đà hồi phục và tăng trưởng khi du khách quốc tế vượt 1,6 triệu lượt, cao hơn 13% so với giai đoạn trước Covid, đóng góp bởi sự quay lại của nhóm khách Trung Quốc. Tuy nhiên tiêu dùng bán lẻ vẫn chưa quay trở lại mắc tăng trưởng bằng mức trước đại dịch Covid. Ở mặt khác, sự mạnh lên của đồng USD đang tạo ra những áp lực cho kinh tế Việt Nam. Kinh tế Việt Nam được dự phóng sẽ tăng trưởng ở mức GDP 6-6,5% trong năm 2024,  mặc dù có những khó khăn trong ngắn hạn. Chúng tôi cho rằng chính sách tiền tệ vẫn sẽ tiếp tục được duy trì nới lỏng, tuy nhiên Ngân hàng nhà nước sẽ cân bằng hơn trong việc ổn định tỷ giá và lãi suất. Sau mức giảm mạnh 70-90 điểm cơ bản từ đầu năm, lãi suất huy động có thể sẽ tăng 30-50 điểm cơ bản trong các tháng tới. Đây có thể được coi như một đợt “điều chỉnh lãi suất giữa chu kỳ giảm lãi suất” để giảm bớt áp lực tỷ giá.</w:t>
      </w:r>
    </w:p>
    <w:p w14:paraId="36A7C3A1" w14:textId="77777777" w:rsidR="00F36CA9" w:rsidRDefault="007922E7" w:rsidP="00F36CA9">
      <w:pPr>
        <w:spacing w:before="120" w:line="360" w:lineRule="auto"/>
        <w:rPr>
          <w:color w:val="000000" w:themeColor="text1"/>
          <w:lang w:val="nl-NL"/>
        </w:rPr>
      </w:pPr>
      <w:r w:rsidRPr="00253EA8">
        <w:rPr>
          <w:b/>
          <w:sz w:val="28"/>
          <w:szCs w:val="28"/>
          <w:lang w:val="nl-NL"/>
        </w:rPr>
        <w:t>Thông tin khác</w:t>
      </w:r>
    </w:p>
    <w:p w14:paraId="5D58458B" w14:textId="041ECCD7" w:rsidR="006A56BF" w:rsidRPr="0020413C" w:rsidRDefault="007922E7" w:rsidP="00F36CA9">
      <w:pPr>
        <w:spacing w:before="120" w:line="360" w:lineRule="auto"/>
        <w:rPr>
          <w:szCs w:val="22"/>
          <w:lang w:val="nl-NL"/>
        </w:rPr>
      </w:pPr>
      <w:r w:rsidRPr="00D23AD2">
        <w:rPr>
          <w:szCs w:val="22"/>
          <w:lang w:val="nl-NL"/>
        </w:rPr>
        <w:t>Thông tin về từng nhân sự điều hành quỹ, Ban đại diện quỹ, và Ban điều hành Công ty quản lý Quỹ như sau:</w:t>
      </w:r>
    </w:p>
    <w:tbl>
      <w:tblPr>
        <w:tblStyle w:val="TableGrid"/>
        <w:tblW w:w="10513" w:type="dxa"/>
        <w:tblInd w:w="-95" w:type="dxa"/>
        <w:tblLook w:val="04A0" w:firstRow="1" w:lastRow="0" w:firstColumn="1" w:lastColumn="0" w:noHBand="0" w:noVBand="1"/>
      </w:tblPr>
      <w:tblGrid>
        <w:gridCol w:w="1938"/>
        <w:gridCol w:w="1733"/>
        <w:gridCol w:w="2039"/>
        <w:gridCol w:w="1428"/>
        <w:gridCol w:w="3375"/>
      </w:tblGrid>
      <w:tr w:rsidR="00075664" w:rsidRPr="00D23AD2" w14:paraId="2B811362" w14:textId="77777777" w:rsidTr="0095025D">
        <w:trPr>
          <w:trHeight w:val="221"/>
          <w:tblHeader/>
        </w:trPr>
        <w:tc>
          <w:tcPr>
            <w:tcW w:w="1938" w:type="dxa"/>
          </w:tcPr>
          <w:p w14:paraId="0D4FC407" w14:textId="77777777" w:rsidR="00075664" w:rsidRPr="00D23AD2" w:rsidRDefault="00075664" w:rsidP="00811E1C">
            <w:pPr>
              <w:tabs>
                <w:tab w:val="left" w:pos="540"/>
              </w:tabs>
              <w:rPr>
                <w:b/>
                <w:szCs w:val="22"/>
                <w:lang w:val="nl-NL"/>
              </w:rPr>
            </w:pPr>
            <w:bookmarkStart w:id="0" w:name="_Hlk116465789"/>
          </w:p>
        </w:tc>
        <w:tc>
          <w:tcPr>
            <w:tcW w:w="1733" w:type="dxa"/>
          </w:tcPr>
          <w:p w14:paraId="481FE961" w14:textId="77777777" w:rsidR="00075664" w:rsidRPr="00D23AD2" w:rsidRDefault="00075664" w:rsidP="00811E1C">
            <w:pPr>
              <w:tabs>
                <w:tab w:val="left" w:pos="540"/>
              </w:tabs>
              <w:rPr>
                <w:b/>
                <w:szCs w:val="22"/>
                <w:lang w:val="nl-NL"/>
              </w:rPr>
            </w:pPr>
            <w:r w:rsidRPr="00D23AD2">
              <w:rPr>
                <w:b/>
                <w:szCs w:val="22"/>
                <w:lang w:val="nl-NL"/>
              </w:rPr>
              <w:t>Tên</w:t>
            </w:r>
          </w:p>
        </w:tc>
        <w:tc>
          <w:tcPr>
            <w:tcW w:w="2039" w:type="dxa"/>
          </w:tcPr>
          <w:p w14:paraId="0B4907DB" w14:textId="77777777" w:rsidR="00075664" w:rsidRPr="00D23AD2" w:rsidRDefault="00075664" w:rsidP="00811E1C">
            <w:pPr>
              <w:tabs>
                <w:tab w:val="left" w:pos="540"/>
              </w:tabs>
              <w:rPr>
                <w:b/>
                <w:szCs w:val="22"/>
                <w:lang w:val="nl-NL"/>
              </w:rPr>
            </w:pPr>
            <w:r w:rsidRPr="00D23AD2">
              <w:rPr>
                <w:b/>
                <w:szCs w:val="22"/>
                <w:lang w:val="nl-NL"/>
              </w:rPr>
              <w:t>Chức vụ</w:t>
            </w:r>
          </w:p>
        </w:tc>
        <w:tc>
          <w:tcPr>
            <w:tcW w:w="1428" w:type="dxa"/>
          </w:tcPr>
          <w:p w14:paraId="0BBF1954" w14:textId="77777777" w:rsidR="00075664" w:rsidRPr="00D23AD2" w:rsidRDefault="00075664" w:rsidP="00811E1C">
            <w:pPr>
              <w:tabs>
                <w:tab w:val="left" w:pos="540"/>
              </w:tabs>
              <w:rPr>
                <w:b/>
                <w:szCs w:val="22"/>
                <w:lang w:val="nl-NL"/>
              </w:rPr>
            </w:pPr>
            <w:r w:rsidRPr="00D23AD2">
              <w:rPr>
                <w:b/>
                <w:szCs w:val="22"/>
                <w:lang w:val="nl-NL"/>
              </w:rPr>
              <w:t>Bằng cấp</w:t>
            </w:r>
          </w:p>
        </w:tc>
        <w:tc>
          <w:tcPr>
            <w:tcW w:w="3373" w:type="dxa"/>
          </w:tcPr>
          <w:p w14:paraId="3D3B6AE8" w14:textId="77777777" w:rsidR="00075664" w:rsidRPr="00D23AD2" w:rsidRDefault="00075664" w:rsidP="00811E1C">
            <w:pPr>
              <w:tabs>
                <w:tab w:val="left" w:pos="540"/>
              </w:tabs>
              <w:rPr>
                <w:b/>
                <w:szCs w:val="22"/>
                <w:lang w:val="nl-NL"/>
              </w:rPr>
            </w:pPr>
            <w:r w:rsidRPr="00D23AD2">
              <w:rPr>
                <w:b/>
                <w:szCs w:val="22"/>
                <w:lang w:val="nl-NL"/>
              </w:rPr>
              <w:t>Quá trình công tác</w:t>
            </w:r>
          </w:p>
        </w:tc>
      </w:tr>
      <w:tr w:rsidR="00075664" w:rsidRPr="00AD69C1" w14:paraId="72888C05" w14:textId="77777777" w:rsidTr="0095025D">
        <w:trPr>
          <w:trHeight w:val="2143"/>
        </w:trPr>
        <w:tc>
          <w:tcPr>
            <w:tcW w:w="1938" w:type="dxa"/>
            <w:vMerge w:val="restart"/>
          </w:tcPr>
          <w:p w14:paraId="11D16CEC" w14:textId="77777777" w:rsidR="00075664" w:rsidRPr="00D23AD2" w:rsidRDefault="00075664" w:rsidP="00811E1C">
            <w:pPr>
              <w:tabs>
                <w:tab w:val="left" w:pos="540"/>
              </w:tabs>
              <w:rPr>
                <w:szCs w:val="22"/>
                <w:lang w:val="nl-NL"/>
              </w:rPr>
            </w:pPr>
            <w:r w:rsidRPr="00D23AD2">
              <w:rPr>
                <w:szCs w:val="22"/>
                <w:lang w:val="nl-NL"/>
              </w:rPr>
              <w:t xml:space="preserve">Nhân sự điều hành Quỹ </w:t>
            </w:r>
          </w:p>
        </w:tc>
        <w:tc>
          <w:tcPr>
            <w:tcW w:w="1733" w:type="dxa"/>
          </w:tcPr>
          <w:p w14:paraId="2A4C56CD" w14:textId="77777777" w:rsidR="00075664" w:rsidRPr="00D23AD2" w:rsidRDefault="00075664" w:rsidP="00811E1C">
            <w:pPr>
              <w:tabs>
                <w:tab w:val="left" w:pos="540"/>
              </w:tabs>
              <w:rPr>
                <w:szCs w:val="22"/>
                <w:lang w:val="nl-NL"/>
              </w:rPr>
            </w:pPr>
            <w:r w:rsidRPr="00D23AD2">
              <w:rPr>
                <w:szCs w:val="22"/>
                <w:lang w:val="nl-NL"/>
              </w:rPr>
              <w:t>Lương Thị Mỹ Hạnh</w:t>
            </w:r>
          </w:p>
        </w:tc>
        <w:tc>
          <w:tcPr>
            <w:tcW w:w="2039" w:type="dxa"/>
          </w:tcPr>
          <w:p w14:paraId="4DAAD1BC" w14:textId="77777777" w:rsidR="00075664" w:rsidRPr="00D23AD2" w:rsidRDefault="00075664" w:rsidP="00811E1C">
            <w:pPr>
              <w:tabs>
                <w:tab w:val="left" w:pos="540"/>
              </w:tabs>
              <w:rPr>
                <w:szCs w:val="22"/>
                <w:lang w:val="nl-NL"/>
              </w:rPr>
            </w:pPr>
            <w:r>
              <w:rPr>
                <w:rFonts w:ascii="Arial" w:hAnsi="Arial" w:cs="Arial"/>
                <w:lang w:val="nl-NL"/>
              </w:rPr>
              <w:t>Giám đốc quản lý tài sản , khối trong nước</w:t>
            </w:r>
          </w:p>
        </w:tc>
        <w:tc>
          <w:tcPr>
            <w:tcW w:w="1428" w:type="dxa"/>
          </w:tcPr>
          <w:p w14:paraId="2D3CFC47" w14:textId="77777777" w:rsidR="00075664" w:rsidRPr="00D23AD2" w:rsidRDefault="00075664" w:rsidP="00811E1C">
            <w:pPr>
              <w:tabs>
                <w:tab w:val="left" w:pos="540"/>
              </w:tabs>
              <w:rPr>
                <w:szCs w:val="22"/>
                <w:lang w:val="nl-NL"/>
              </w:rPr>
            </w:pPr>
            <w:r w:rsidRPr="00D23AD2">
              <w:rPr>
                <w:szCs w:val="22"/>
                <w:lang w:val="vi-VN"/>
              </w:rPr>
              <w:t>Thạc sỹ Kinh tế</w:t>
            </w:r>
          </w:p>
        </w:tc>
        <w:tc>
          <w:tcPr>
            <w:tcW w:w="3373" w:type="dxa"/>
            <w:shd w:val="clear" w:color="auto" w:fill="auto"/>
          </w:tcPr>
          <w:p w14:paraId="17A7079D" w14:textId="77777777" w:rsidR="00075664" w:rsidRPr="00A568A1" w:rsidRDefault="00075664" w:rsidP="00811E1C">
            <w:pPr>
              <w:spacing w:before="120"/>
              <w:rPr>
                <w:rFonts w:ascii="Arial" w:hAnsi="Arial" w:cs="Arial"/>
                <w:lang w:val="nl-NL"/>
              </w:rPr>
            </w:pPr>
            <w:r w:rsidRPr="00A568A1">
              <w:rPr>
                <w:rFonts w:ascii="Arial" w:hAnsi="Arial" w:cs="Arial"/>
                <w:lang w:val="nl-NL"/>
              </w:rPr>
              <w:t>-</w:t>
            </w:r>
            <w:r w:rsidRPr="00D334E9">
              <w:rPr>
                <w:rFonts w:ascii="Arial" w:hAnsi="Arial" w:cs="Arial"/>
                <w:lang w:val="vi-VN"/>
              </w:rPr>
              <w:t xml:space="preserve">Từ 2010 đến </w:t>
            </w:r>
            <w:r w:rsidRPr="00A568A1">
              <w:rPr>
                <w:rFonts w:ascii="Arial" w:hAnsi="Arial" w:cs="Arial"/>
                <w:lang w:val="nl-NL"/>
              </w:rPr>
              <w:t>12/03/2021</w:t>
            </w:r>
            <w:r w:rsidRPr="00D334E9">
              <w:rPr>
                <w:rFonts w:ascii="Arial" w:hAnsi="Arial" w:cs="Arial"/>
                <w:lang w:val="vi-VN"/>
              </w:rPr>
              <w:t>: Phó tổng giám đốc – Khối đầu tư nghiên cứu Công ty CP quản lý quỹ đầu tư Việt Nam</w:t>
            </w:r>
            <w:r w:rsidRPr="00A568A1">
              <w:rPr>
                <w:rFonts w:ascii="Arial" w:hAnsi="Arial" w:cs="Arial"/>
                <w:lang w:val="nl-NL"/>
              </w:rPr>
              <w:t>.</w:t>
            </w:r>
          </w:p>
          <w:p w14:paraId="7DDBC103" w14:textId="77777777" w:rsidR="00075664" w:rsidRPr="008127EB" w:rsidRDefault="00075664" w:rsidP="00811E1C">
            <w:pPr>
              <w:tabs>
                <w:tab w:val="left" w:pos="540"/>
              </w:tabs>
              <w:ind w:right="72"/>
              <w:rPr>
                <w:szCs w:val="22"/>
                <w:lang w:val="nl-NL"/>
              </w:rPr>
            </w:pPr>
            <w:r w:rsidRPr="00A568A1">
              <w:rPr>
                <w:rFonts w:ascii="Arial" w:hAnsi="Arial" w:cs="Arial"/>
                <w:lang w:val="nl-NL"/>
              </w:rPr>
              <w:t xml:space="preserve">-Từ 12/03/2021 đến nay là </w:t>
            </w:r>
            <w:r w:rsidRPr="00D334E9">
              <w:rPr>
                <w:rFonts w:ascii="Arial" w:hAnsi="Arial" w:cs="Arial"/>
                <w:lang w:val="nl-NL"/>
              </w:rPr>
              <w:t>Giám đốc Quản lý tài sản, khối trong nước Công ty Cổ Phần Quản lý Quỹ Đầu tư Dragon Capital Việt Nam</w:t>
            </w:r>
          </w:p>
        </w:tc>
      </w:tr>
      <w:tr w:rsidR="00075664" w:rsidRPr="00AD69C1" w14:paraId="1ADE4287" w14:textId="77777777" w:rsidTr="0095025D">
        <w:trPr>
          <w:trHeight w:val="139"/>
        </w:trPr>
        <w:tc>
          <w:tcPr>
            <w:tcW w:w="1938" w:type="dxa"/>
            <w:vMerge/>
          </w:tcPr>
          <w:p w14:paraId="7B708670" w14:textId="77777777" w:rsidR="00075664" w:rsidRPr="00D23AD2" w:rsidRDefault="00075664" w:rsidP="00811E1C">
            <w:pPr>
              <w:tabs>
                <w:tab w:val="left" w:pos="540"/>
              </w:tabs>
              <w:rPr>
                <w:szCs w:val="22"/>
                <w:lang w:val="nl-NL"/>
              </w:rPr>
            </w:pPr>
          </w:p>
        </w:tc>
        <w:tc>
          <w:tcPr>
            <w:tcW w:w="1733" w:type="dxa"/>
            <w:shd w:val="clear" w:color="auto" w:fill="auto"/>
          </w:tcPr>
          <w:p w14:paraId="26E262D0" w14:textId="6B58ED5B" w:rsidR="00075664" w:rsidRPr="00A11BB2" w:rsidRDefault="001F49A2" w:rsidP="00811E1C">
            <w:pPr>
              <w:tabs>
                <w:tab w:val="left" w:pos="540"/>
              </w:tabs>
              <w:rPr>
                <w:szCs w:val="22"/>
                <w:lang w:val="nl-NL"/>
              </w:rPr>
            </w:pPr>
            <w:r w:rsidRPr="00A11BB2">
              <w:rPr>
                <w:sz w:val="24"/>
                <w:szCs w:val="24"/>
                <w:lang w:val="nl-NL"/>
              </w:rPr>
              <w:t>Vũ Đức Sửu</w:t>
            </w:r>
          </w:p>
        </w:tc>
        <w:tc>
          <w:tcPr>
            <w:tcW w:w="2039" w:type="dxa"/>
            <w:shd w:val="clear" w:color="auto" w:fill="auto"/>
          </w:tcPr>
          <w:p w14:paraId="55F57D3C" w14:textId="5329C336" w:rsidR="00075664" w:rsidRPr="00A11BB2" w:rsidRDefault="001F49A2" w:rsidP="00811E1C">
            <w:pPr>
              <w:tabs>
                <w:tab w:val="left" w:pos="540"/>
              </w:tabs>
              <w:rPr>
                <w:szCs w:val="22"/>
                <w:lang w:val="nl-NL"/>
              </w:rPr>
            </w:pPr>
            <w:r w:rsidRPr="00A11BB2">
              <w:rPr>
                <w:sz w:val="24"/>
                <w:szCs w:val="24"/>
                <w:lang w:val="nl-NL"/>
              </w:rPr>
              <w:t>Trưởng phòng quản lý danh mục đầu tư</w:t>
            </w:r>
          </w:p>
        </w:tc>
        <w:tc>
          <w:tcPr>
            <w:tcW w:w="1428" w:type="dxa"/>
            <w:shd w:val="clear" w:color="auto" w:fill="auto"/>
          </w:tcPr>
          <w:p w14:paraId="45D23F10" w14:textId="393521A9" w:rsidR="00075664" w:rsidRPr="00A568A1" w:rsidRDefault="001F49A2" w:rsidP="00811E1C">
            <w:pPr>
              <w:tabs>
                <w:tab w:val="left" w:pos="540"/>
              </w:tabs>
              <w:rPr>
                <w:szCs w:val="22"/>
                <w:lang w:val="nl-NL"/>
              </w:rPr>
            </w:pPr>
            <w:r w:rsidRPr="00A11BB2">
              <w:rPr>
                <w:sz w:val="24"/>
                <w:szCs w:val="24"/>
                <w:lang w:val="vi-VN"/>
              </w:rPr>
              <w:t xml:space="preserve">Thạc sỹ </w:t>
            </w:r>
            <w:r w:rsidRPr="00A568A1">
              <w:rPr>
                <w:sz w:val="24"/>
                <w:szCs w:val="24"/>
                <w:lang w:val="nl-NL"/>
              </w:rPr>
              <w:t>Toán giải tích và ứng dụng; Thạc sỹ Lý thuyết xác suất và thống kê toán học.</w:t>
            </w:r>
          </w:p>
        </w:tc>
        <w:tc>
          <w:tcPr>
            <w:tcW w:w="3373" w:type="dxa"/>
            <w:shd w:val="clear" w:color="auto" w:fill="auto"/>
          </w:tcPr>
          <w:p w14:paraId="32CDF7DA" w14:textId="77777777" w:rsidR="001F49A2" w:rsidRPr="0082540D" w:rsidRDefault="001F49A2" w:rsidP="0082540D">
            <w:pPr>
              <w:spacing w:before="120"/>
              <w:rPr>
                <w:rFonts w:ascii="Arial" w:hAnsi="Arial" w:cs="Arial"/>
                <w:lang w:val="nl-NL"/>
              </w:rPr>
            </w:pPr>
            <w:r w:rsidRPr="0082540D">
              <w:rPr>
                <w:rFonts w:ascii="Arial" w:hAnsi="Arial" w:cs="Arial"/>
                <w:lang w:val="nl-NL"/>
              </w:rPr>
              <w:t>Từ 2010 đến 2015: Chuyên viên cao cấp phân tích đầu tư- Công ty CP quản lý quỹ đầu tư Việt Nam.</w:t>
            </w:r>
          </w:p>
          <w:p w14:paraId="22AA33AC" w14:textId="073CA16C" w:rsidR="001F49A2" w:rsidRPr="0082540D" w:rsidRDefault="001F49A2" w:rsidP="0082540D">
            <w:pPr>
              <w:spacing w:before="120"/>
              <w:rPr>
                <w:rFonts w:ascii="Arial" w:hAnsi="Arial" w:cs="Arial"/>
                <w:lang w:val="nl-NL"/>
              </w:rPr>
            </w:pPr>
            <w:r w:rsidRPr="0082540D">
              <w:rPr>
                <w:rFonts w:ascii="Arial" w:hAnsi="Arial" w:cs="Arial"/>
                <w:lang w:val="nl-NL"/>
              </w:rPr>
              <w:t xml:space="preserve">Từ 2016 đến 2020: Trưởng phòng quản </w:t>
            </w:r>
            <w:r w:rsidR="00A11BB2" w:rsidRPr="0082540D">
              <w:rPr>
                <w:rFonts w:ascii="Arial" w:hAnsi="Arial" w:cs="Arial"/>
                <w:lang w:val="nl-NL"/>
              </w:rPr>
              <w:t>l</w:t>
            </w:r>
            <w:r w:rsidRPr="0082540D">
              <w:rPr>
                <w:rFonts w:ascii="Arial" w:hAnsi="Arial" w:cs="Arial"/>
                <w:lang w:val="nl-NL"/>
              </w:rPr>
              <w:t>ý danh mục đầu tư - Công ty CP quản lý quỹ đầu tư Việt Nam.</w:t>
            </w:r>
          </w:p>
          <w:p w14:paraId="3E77F427" w14:textId="3728F36D" w:rsidR="00075664" w:rsidRPr="0082540D" w:rsidRDefault="001F49A2" w:rsidP="0082540D">
            <w:pPr>
              <w:spacing w:before="120"/>
              <w:rPr>
                <w:rFonts w:ascii="Arial" w:hAnsi="Arial" w:cs="Arial"/>
                <w:lang w:val="nl-NL"/>
              </w:rPr>
            </w:pPr>
            <w:r w:rsidRPr="0082540D">
              <w:rPr>
                <w:rFonts w:ascii="Arial" w:hAnsi="Arial" w:cs="Arial"/>
                <w:lang w:val="nl-NL"/>
              </w:rPr>
              <w:t xml:space="preserve">Từ tháng 01/2021 đến nay Trưởng phòng quản </w:t>
            </w:r>
            <w:r w:rsidR="00F24F2B" w:rsidRPr="0082540D">
              <w:rPr>
                <w:rFonts w:ascii="Arial" w:hAnsi="Arial" w:cs="Arial"/>
                <w:lang w:val="nl-NL"/>
              </w:rPr>
              <w:t>l</w:t>
            </w:r>
            <w:r w:rsidRPr="0082540D">
              <w:rPr>
                <w:rFonts w:ascii="Arial" w:hAnsi="Arial" w:cs="Arial"/>
                <w:lang w:val="nl-NL"/>
              </w:rPr>
              <w:t>ý danh mục đầu tư - Công ty CP quản lý quỹ đầu tư Dragon Capital Việt Nam.</w:t>
            </w:r>
          </w:p>
        </w:tc>
      </w:tr>
      <w:tr w:rsidR="00075664" w:rsidRPr="00AD69C1" w14:paraId="49E002DF" w14:textId="77777777" w:rsidTr="0095025D">
        <w:trPr>
          <w:trHeight w:val="339"/>
        </w:trPr>
        <w:tc>
          <w:tcPr>
            <w:tcW w:w="10513" w:type="dxa"/>
            <w:gridSpan w:val="5"/>
          </w:tcPr>
          <w:p w14:paraId="5BAAFE06" w14:textId="77777777" w:rsidR="00075664" w:rsidRPr="0082540D" w:rsidRDefault="00075664" w:rsidP="0082540D">
            <w:pPr>
              <w:spacing w:before="120"/>
              <w:rPr>
                <w:rFonts w:ascii="Arial" w:hAnsi="Arial" w:cs="Arial"/>
                <w:lang w:val="nl-NL"/>
              </w:rPr>
            </w:pPr>
          </w:p>
        </w:tc>
      </w:tr>
      <w:tr w:rsidR="00075664" w:rsidRPr="00AD69C1" w14:paraId="786041EF" w14:textId="77777777" w:rsidTr="0095025D">
        <w:trPr>
          <w:trHeight w:val="1812"/>
        </w:trPr>
        <w:tc>
          <w:tcPr>
            <w:tcW w:w="1938" w:type="dxa"/>
            <w:vMerge w:val="restart"/>
          </w:tcPr>
          <w:p w14:paraId="31DB04EC" w14:textId="77777777" w:rsidR="00075664" w:rsidRPr="00D23AD2" w:rsidRDefault="00075664" w:rsidP="00811E1C">
            <w:pPr>
              <w:tabs>
                <w:tab w:val="left" w:pos="540"/>
              </w:tabs>
              <w:rPr>
                <w:szCs w:val="22"/>
                <w:lang w:val="nl-NL"/>
              </w:rPr>
            </w:pPr>
            <w:r w:rsidRPr="00D23AD2">
              <w:rPr>
                <w:szCs w:val="22"/>
                <w:lang w:val="nl-NL"/>
              </w:rPr>
              <w:t>Ban đại diện Quỹ</w:t>
            </w:r>
          </w:p>
        </w:tc>
        <w:tc>
          <w:tcPr>
            <w:tcW w:w="1733" w:type="dxa"/>
          </w:tcPr>
          <w:p w14:paraId="3A589864" w14:textId="77777777" w:rsidR="00075664" w:rsidRPr="00D23AD2" w:rsidRDefault="00075664" w:rsidP="00811E1C">
            <w:pPr>
              <w:tabs>
                <w:tab w:val="left" w:pos="540"/>
              </w:tabs>
              <w:rPr>
                <w:szCs w:val="22"/>
                <w:lang w:val="nl-NL"/>
              </w:rPr>
            </w:pPr>
            <w:r w:rsidRPr="00D23AD2">
              <w:rPr>
                <w:szCs w:val="22"/>
                <w:lang w:val="nl-NL"/>
              </w:rPr>
              <w:t>Nguyễn Bội Hồng Lê</w:t>
            </w:r>
          </w:p>
        </w:tc>
        <w:tc>
          <w:tcPr>
            <w:tcW w:w="2039" w:type="dxa"/>
          </w:tcPr>
          <w:p w14:paraId="73DB192E" w14:textId="77777777" w:rsidR="00075664" w:rsidRPr="00D23AD2" w:rsidRDefault="00075664" w:rsidP="00811E1C">
            <w:pPr>
              <w:tabs>
                <w:tab w:val="left" w:pos="540"/>
              </w:tabs>
              <w:rPr>
                <w:szCs w:val="22"/>
                <w:lang w:val="nl-NL"/>
              </w:rPr>
            </w:pPr>
            <w:r w:rsidRPr="00D23AD2">
              <w:rPr>
                <w:szCs w:val="22"/>
                <w:lang w:val="nl-NL"/>
              </w:rPr>
              <w:t xml:space="preserve">Chủ tịch </w:t>
            </w:r>
          </w:p>
        </w:tc>
        <w:tc>
          <w:tcPr>
            <w:tcW w:w="1428" w:type="dxa"/>
          </w:tcPr>
          <w:p w14:paraId="3761E648" w14:textId="77777777" w:rsidR="00075664" w:rsidRPr="00D23AD2" w:rsidRDefault="00075664" w:rsidP="00811E1C">
            <w:pPr>
              <w:tabs>
                <w:tab w:val="left" w:pos="540"/>
              </w:tabs>
              <w:rPr>
                <w:szCs w:val="22"/>
                <w:lang w:val="vi-VN"/>
              </w:rPr>
            </w:pPr>
            <w:r w:rsidRPr="00D23AD2">
              <w:rPr>
                <w:szCs w:val="22"/>
                <w:lang w:val="vi-VN"/>
              </w:rPr>
              <w:t>Thạc sỹ Quản trị kinh doanh</w:t>
            </w:r>
          </w:p>
        </w:tc>
        <w:tc>
          <w:tcPr>
            <w:tcW w:w="3373" w:type="dxa"/>
          </w:tcPr>
          <w:p w14:paraId="41CC39A3" w14:textId="0F21133C" w:rsidR="00075664" w:rsidRPr="0082540D" w:rsidRDefault="00D34DC8" w:rsidP="0082540D">
            <w:pPr>
              <w:spacing w:before="120"/>
              <w:rPr>
                <w:rFonts w:ascii="Arial" w:hAnsi="Arial" w:cs="Arial"/>
                <w:lang w:val="nl-NL"/>
              </w:rPr>
            </w:pPr>
            <w:r w:rsidRPr="0082540D">
              <w:rPr>
                <w:rFonts w:ascii="Arial" w:hAnsi="Arial" w:cs="Arial"/>
                <w:lang w:val="nl-NL"/>
              </w:rPr>
              <w:t>-</w:t>
            </w:r>
            <w:r w:rsidR="00075664" w:rsidRPr="0082540D">
              <w:rPr>
                <w:rFonts w:ascii="Arial" w:hAnsi="Arial" w:cs="Arial"/>
                <w:lang w:val="nl-NL"/>
              </w:rPr>
              <w:t>Từ 2010 đến 2012: Trưởng phòng giao dịch chứng khoán công ty CP chứng khoán dầu khí</w:t>
            </w:r>
          </w:p>
          <w:p w14:paraId="52CC081E" w14:textId="02EBA790" w:rsidR="00075664" w:rsidRPr="0082540D" w:rsidRDefault="00D34DC8" w:rsidP="0082540D">
            <w:pPr>
              <w:spacing w:before="120"/>
              <w:rPr>
                <w:rFonts w:ascii="Arial" w:hAnsi="Arial" w:cs="Arial"/>
                <w:lang w:val="nl-NL"/>
              </w:rPr>
            </w:pPr>
            <w:r w:rsidRPr="0082540D">
              <w:rPr>
                <w:rFonts w:ascii="Arial" w:hAnsi="Arial" w:cs="Arial"/>
                <w:lang w:val="nl-NL"/>
              </w:rPr>
              <w:t>-</w:t>
            </w:r>
            <w:r w:rsidR="00075664" w:rsidRPr="0082540D">
              <w:rPr>
                <w:rFonts w:ascii="Arial" w:hAnsi="Arial" w:cs="Arial"/>
                <w:lang w:val="nl-NL"/>
              </w:rPr>
              <w:t>Từ 2012 đến nay: Chuyên gia Kinh tế và Quản lý dầu khí Viện Dầu khí Việt Nam</w:t>
            </w:r>
          </w:p>
        </w:tc>
      </w:tr>
      <w:tr w:rsidR="00D34DC8" w:rsidRPr="00AD69C1" w14:paraId="48B89B0D" w14:textId="77777777" w:rsidTr="0095025D">
        <w:trPr>
          <w:trHeight w:val="139"/>
        </w:trPr>
        <w:tc>
          <w:tcPr>
            <w:tcW w:w="1938" w:type="dxa"/>
            <w:vMerge/>
          </w:tcPr>
          <w:p w14:paraId="1FCE6244" w14:textId="77777777" w:rsidR="00D34DC8" w:rsidRPr="00D23AD2" w:rsidRDefault="00D34DC8" w:rsidP="00D34DC8">
            <w:pPr>
              <w:tabs>
                <w:tab w:val="left" w:pos="540"/>
              </w:tabs>
              <w:rPr>
                <w:szCs w:val="22"/>
                <w:lang w:val="nl-NL"/>
              </w:rPr>
            </w:pPr>
          </w:p>
        </w:tc>
        <w:tc>
          <w:tcPr>
            <w:tcW w:w="1733" w:type="dxa"/>
          </w:tcPr>
          <w:p w14:paraId="4B9C88AB" w14:textId="77777777" w:rsidR="00D34DC8" w:rsidRPr="00D23AD2" w:rsidRDefault="00D34DC8" w:rsidP="00D34DC8">
            <w:pPr>
              <w:tabs>
                <w:tab w:val="left" w:pos="540"/>
              </w:tabs>
              <w:rPr>
                <w:szCs w:val="22"/>
                <w:lang w:val="nl-NL"/>
              </w:rPr>
            </w:pPr>
            <w:r>
              <w:rPr>
                <w:szCs w:val="22"/>
                <w:lang w:val="nl-NL"/>
              </w:rPr>
              <w:t>Vương Thị Hoàng Yến</w:t>
            </w:r>
          </w:p>
        </w:tc>
        <w:tc>
          <w:tcPr>
            <w:tcW w:w="2039" w:type="dxa"/>
          </w:tcPr>
          <w:p w14:paraId="4F33EA47" w14:textId="77777777" w:rsidR="00D34DC8" w:rsidRPr="00D23AD2" w:rsidRDefault="00D34DC8" w:rsidP="00D34DC8">
            <w:pPr>
              <w:tabs>
                <w:tab w:val="left" w:pos="540"/>
              </w:tabs>
              <w:rPr>
                <w:szCs w:val="22"/>
                <w:lang w:val="nl-NL"/>
              </w:rPr>
            </w:pPr>
            <w:r w:rsidRPr="00D23AD2">
              <w:rPr>
                <w:szCs w:val="22"/>
                <w:lang w:val="nl-NL"/>
              </w:rPr>
              <w:t>Thành viên</w:t>
            </w:r>
          </w:p>
        </w:tc>
        <w:tc>
          <w:tcPr>
            <w:tcW w:w="1428" w:type="dxa"/>
          </w:tcPr>
          <w:p w14:paraId="15AF7DB0" w14:textId="77777777" w:rsidR="00D34DC8" w:rsidRPr="00D23AD2" w:rsidRDefault="00D34DC8" w:rsidP="00D34DC8">
            <w:pPr>
              <w:tabs>
                <w:tab w:val="left" w:pos="540"/>
              </w:tabs>
              <w:rPr>
                <w:szCs w:val="22"/>
                <w:lang w:val="nl-NL"/>
              </w:rPr>
            </w:pPr>
            <w:r>
              <w:rPr>
                <w:lang w:val="vi-VN"/>
              </w:rPr>
              <w:t>Cử nhân Kế toán – Kiểm toán</w:t>
            </w:r>
          </w:p>
        </w:tc>
        <w:tc>
          <w:tcPr>
            <w:tcW w:w="3373" w:type="dxa"/>
          </w:tcPr>
          <w:p w14:paraId="2C1C93A5" w14:textId="77777777" w:rsidR="00D34DC8" w:rsidRPr="0082540D" w:rsidRDefault="00D34DC8" w:rsidP="0082540D">
            <w:pPr>
              <w:spacing w:before="120"/>
              <w:rPr>
                <w:rFonts w:ascii="Arial" w:hAnsi="Arial" w:cs="Arial"/>
                <w:lang w:val="nl-NL"/>
              </w:rPr>
            </w:pPr>
            <w:r w:rsidRPr="0082540D">
              <w:rPr>
                <w:rFonts w:ascii="Arial" w:hAnsi="Arial" w:cs="Arial"/>
                <w:lang w:val="nl-NL"/>
              </w:rPr>
              <w:t>- Từ tháng 8/2004 đến tháng 11/2007: Kế toán trưởng Công ty TNHH Dệt Minh Thắng</w:t>
            </w:r>
          </w:p>
          <w:p w14:paraId="5F58F7DB" w14:textId="77777777" w:rsidR="00D34DC8" w:rsidRPr="0082540D" w:rsidRDefault="00D34DC8" w:rsidP="0082540D">
            <w:pPr>
              <w:spacing w:before="120"/>
              <w:rPr>
                <w:rFonts w:ascii="Arial" w:hAnsi="Arial" w:cs="Arial"/>
                <w:lang w:val="nl-NL"/>
              </w:rPr>
            </w:pPr>
            <w:r w:rsidRPr="0082540D">
              <w:rPr>
                <w:rFonts w:ascii="Arial" w:hAnsi="Arial" w:cs="Arial"/>
                <w:lang w:val="nl-NL"/>
              </w:rPr>
              <w:t>- Từ tháng 12/2007 đến tháng 4/2012: Kiểm toán viên, Trưởng phòng Kiểm toán Công ty Kiểm toán AS</w:t>
            </w:r>
          </w:p>
          <w:p w14:paraId="7329815E" w14:textId="77777777" w:rsidR="00D34DC8" w:rsidRPr="0082540D" w:rsidRDefault="00D34DC8" w:rsidP="0082540D">
            <w:pPr>
              <w:spacing w:before="120"/>
              <w:rPr>
                <w:rFonts w:ascii="Arial" w:hAnsi="Arial" w:cs="Arial"/>
                <w:lang w:val="nl-NL"/>
              </w:rPr>
            </w:pPr>
            <w:r w:rsidRPr="0082540D">
              <w:rPr>
                <w:rFonts w:ascii="Arial" w:hAnsi="Arial" w:cs="Arial"/>
                <w:lang w:val="nl-NL"/>
              </w:rPr>
              <w:t>- Từ tháng 9/2012 đến 05/2013: Kiểm toán viên, Giám đốc Kiểm toán Công ty Hợp danh Kiểm toán F&amp;A</w:t>
            </w:r>
          </w:p>
          <w:p w14:paraId="1A54FA2C" w14:textId="77777777" w:rsidR="00D34DC8" w:rsidRPr="0082540D" w:rsidRDefault="00D34DC8" w:rsidP="0082540D">
            <w:pPr>
              <w:pStyle w:val="ListParagraph"/>
              <w:keepLines/>
              <w:numPr>
                <w:ilvl w:val="0"/>
                <w:numId w:val="6"/>
              </w:numPr>
              <w:tabs>
                <w:tab w:val="left" w:pos="162"/>
              </w:tabs>
              <w:spacing w:before="120" w:after="0" w:line="240" w:lineRule="auto"/>
              <w:ind w:left="0" w:firstLine="0"/>
              <w:jc w:val="both"/>
              <w:rPr>
                <w:rFonts w:ascii="Arial" w:eastAsia="Times New Roman" w:hAnsi="Arial" w:cs="Arial"/>
                <w:szCs w:val="20"/>
                <w:lang w:val="nl-NL"/>
              </w:rPr>
            </w:pPr>
            <w:r w:rsidRPr="0082540D">
              <w:rPr>
                <w:rFonts w:ascii="Arial" w:eastAsia="Times New Roman" w:hAnsi="Arial" w:cs="Arial"/>
                <w:szCs w:val="20"/>
                <w:lang w:val="nl-NL"/>
              </w:rPr>
              <w:t>Từ 06/2013 đến tháng 9/2016: Kiểm toán viên, Giám đốc Kiểm toán Công ty Kiểm toán Đại Tín</w:t>
            </w:r>
          </w:p>
          <w:p w14:paraId="490E29C0" w14:textId="77777777" w:rsidR="00D34DC8" w:rsidRPr="0082540D" w:rsidRDefault="00D34DC8" w:rsidP="0082540D">
            <w:pPr>
              <w:pStyle w:val="ListParagraph"/>
              <w:keepLines/>
              <w:numPr>
                <w:ilvl w:val="0"/>
                <w:numId w:val="6"/>
              </w:numPr>
              <w:tabs>
                <w:tab w:val="left" w:pos="162"/>
              </w:tabs>
              <w:spacing w:before="120" w:after="0" w:line="240" w:lineRule="auto"/>
              <w:ind w:left="0" w:firstLine="0"/>
              <w:jc w:val="both"/>
              <w:rPr>
                <w:rFonts w:ascii="Arial" w:eastAsia="Times New Roman" w:hAnsi="Arial" w:cs="Arial"/>
                <w:szCs w:val="20"/>
                <w:lang w:val="nl-NL"/>
              </w:rPr>
            </w:pPr>
            <w:r w:rsidRPr="0082540D">
              <w:rPr>
                <w:rFonts w:ascii="Arial" w:eastAsia="Times New Roman" w:hAnsi="Arial" w:cs="Arial"/>
                <w:szCs w:val="20"/>
                <w:lang w:val="nl-NL"/>
              </w:rPr>
              <w:t>Từ tháng 10/2016 đến tháng 12/2019: Kiểm toán viên, Giám đốc Kiểm toán - Chi nhánh Công ty TNHH Kiểm toán Đại Tín</w:t>
            </w:r>
          </w:p>
          <w:p w14:paraId="5A494A6A" w14:textId="14432111" w:rsidR="00D34DC8" w:rsidRPr="0082540D" w:rsidRDefault="00D34DC8" w:rsidP="0082540D">
            <w:pPr>
              <w:tabs>
                <w:tab w:val="left" w:pos="540"/>
              </w:tabs>
              <w:spacing w:before="120"/>
              <w:rPr>
                <w:rFonts w:ascii="Arial" w:hAnsi="Arial" w:cs="Arial"/>
                <w:lang w:val="nl-NL"/>
              </w:rPr>
            </w:pPr>
            <w:r w:rsidRPr="0082540D">
              <w:rPr>
                <w:rFonts w:ascii="Arial" w:hAnsi="Arial" w:cs="Arial"/>
                <w:lang w:val="nl-NL"/>
              </w:rPr>
              <w:t>-Từ tháng 01/2020 đến nay: Giám đốc nghiệp vụ Công ty TNHH Kiểm toán Chuẩn Vàng</w:t>
            </w:r>
          </w:p>
        </w:tc>
      </w:tr>
      <w:tr w:rsidR="00075664" w:rsidRPr="00AD69C1" w14:paraId="527B186B" w14:textId="77777777" w:rsidTr="0095025D">
        <w:trPr>
          <w:trHeight w:val="139"/>
        </w:trPr>
        <w:tc>
          <w:tcPr>
            <w:tcW w:w="1938" w:type="dxa"/>
            <w:vMerge/>
          </w:tcPr>
          <w:p w14:paraId="6D2113B1" w14:textId="77777777" w:rsidR="00075664" w:rsidRPr="00D23AD2" w:rsidRDefault="00075664" w:rsidP="00811E1C">
            <w:pPr>
              <w:tabs>
                <w:tab w:val="left" w:pos="540"/>
              </w:tabs>
              <w:rPr>
                <w:szCs w:val="22"/>
                <w:lang w:val="nl-NL"/>
              </w:rPr>
            </w:pPr>
          </w:p>
        </w:tc>
        <w:tc>
          <w:tcPr>
            <w:tcW w:w="1733" w:type="dxa"/>
          </w:tcPr>
          <w:p w14:paraId="28FD6291" w14:textId="77777777" w:rsidR="00075664" w:rsidRPr="00D23AD2" w:rsidRDefault="00075664" w:rsidP="00811E1C">
            <w:pPr>
              <w:tabs>
                <w:tab w:val="left" w:pos="540"/>
              </w:tabs>
              <w:rPr>
                <w:szCs w:val="22"/>
                <w:lang w:val="nl-NL"/>
              </w:rPr>
            </w:pPr>
            <w:r>
              <w:rPr>
                <w:szCs w:val="22"/>
                <w:lang w:val="nl-NL"/>
              </w:rPr>
              <w:t>Trần Ngọc Hân</w:t>
            </w:r>
          </w:p>
        </w:tc>
        <w:tc>
          <w:tcPr>
            <w:tcW w:w="2039" w:type="dxa"/>
          </w:tcPr>
          <w:p w14:paraId="1BBB127F" w14:textId="77777777" w:rsidR="00075664" w:rsidRPr="00D23AD2" w:rsidRDefault="00075664" w:rsidP="00811E1C">
            <w:pPr>
              <w:tabs>
                <w:tab w:val="left" w:pos="540"/>
              </w:tabs>
              <w:rPr>
                <w:szCs w:val="22"/>
                <w:lang w:val="nl-NL"/>
              </w:rPr>
            </w:pPr>
            <w:r w:rsidRPr="00D23AD2">
              <w:rPr>
                <w:szCs w:val="22"/>
                <w:lang w:val="nl-NL"/>
              </w:rPr>
              <w:t>Thành viên</w:t>
            </w:r>
          </w:p>
        </w:tc>
        <w:tc>
          <w:tcPr>
            <w:tcW w:w="1428" w:type="dxa"/>
          </w:tcPr>
          <w:p w14:paraId="72C13FFD" w14:textId="22B85E74" w:rsidR="00075664" w:rsidRPr="00D23AD2" w:rsidRDefault="00A7653B" w:rsidP="00811E1C">
            <w:pPr>
              <w:tabs>
                <w:tab w:val="left" w:pos="540"/>
              </w:tabs>
              <w:rPr>
                <w:szCs w:val="22"/>
                <w:lang w:val="nl-NL"/>
              </w:rPr>
            </w:pPr>
            <w:r w:rsidRPr="002316A5">
              <w:rPr>
                <w:szCs w:val="22"/>
                <w:lang w:val="nl-NL"/>
              </w:rPr>
              <w:t>Thạc sỹ Luật, Luật sư</w:t>
            </w:r>
          </w:p>
        </w:tc>
        <w:tc>
          <w:tcPr>
            <w:tcW w:w="3373" w:type="dxa"/>
          </w:tcPr>
          <w:p w14:paraId="7AC0D367" w14:textId="6E58445E" w:rsidR="00075664" w:rsidRPr="0082540D" w:rsidRDefault="00D34DC8" w:rsidP="0082540D">
            <w:pPr>
              <w:spacing w:before="120"/>
              <w:rPr>
                <w:rFonts w:ascii="Arial" w:hAnsi="Arial" w:cs="Arial"/>
                <w:lang w:val="nl-NL"/>
              </w:rPr>
            </w:pPr>
            <w:r w:rsidRPr="0082540D">
              <w:rPr>
                <w:rFonts w:ascii="Arial" w:hAnsi="Arial" w:cs="Arial"/>
                <w:lang w:val="nl-NL"/>
              </w:rPr>
              <w:t>-</w:t>
            </w:r>
            <w:r w:rsidR="00075664" w:rsidRPr="0082540D">
              <w:rPr>
                <w:rFonts w:ascii="Arial" w:hAnsi="Arial" w:cs="Arial"/>
                <w:lang w:val="nl-NL"/>
              </w:rPr>
              <w:t xml:space="preserve">Từ 2015 đến nay: Chuyên viên cao cấp Pháp chế tuân thủ </w:t>
            </w:r>
            <w:r w:rsidR="003D1E27" w:rsidRPr="0082540D">
              <w:rPr>
                <w:rFonts w:ascii="Arial" w:hAnsi="Arial" w:cs="Arial"/>
                <w:lang w:val="nl-NL"/>
              </w:rPr>
              <w:t>Cty CP Quản Lý Quỹ Đầu tư Dragon Capital Việt Nam</w:t>
            </w:r>
          </w:p>
        </w:tc>
      </w:tr>
      <w:tr w:rsidR="00075664" w:rsidRPr="00AD69C1" w14:paraId="4A6A7FF6" w14:textId="77777777" w:rsidTr="0095025D">
        <w:trPr>
          <w:trHeight w:val="139"/>
        </w:trPr>
        <w:tc>
          <w:tcPr>
            <w:tcW w:w="10513" w:type="dxa"/>
            <w:gridSpan w:val="5"/>
          </w:tcPr>
          <w:p w14:paraId="5764A067" w14:textId="77777777" w:rsidR="00075664" w:rsidRPr="0082540D" w:rsidRDefault="00075664" w:rsidP="0082540D">
            <w:pPr>
              <w:spacing w:before="120"/>
              <w:rPr>
                <w:rFonts w:ascii="Arial" w:hAnsi="Arial" w:cs="Arial"/>
                <w:lang w:val="nl-NL"/>
              </w:rPr>
            </w:pPr>
          </w:p>
        </w:tc>
      </w:tr>
      <w:tr w:rsidR="00075664" w:rsidRPr="0082540D" w14:paraId="5A965E7E" w14:textId="77777777" w:rsidTr="0095025D">
        <w:trPr>
          <w:trHeight w:val="10382"/>
        </w:trPr>
        <w:tc>
          <w:tcPr>
            <w:tcW w:w="1938" w:type="dxa"/>
          </w:tcPr>
          <w:p w14:paraId="72BBD376" w14:textId="77777777" w:rsidR="00075664" w:rsidRPr="00D23AD2" w:rsidRDefault="00075664" w:rsidP="00811E1C">
            <w:pPr>
              <w:tabs>
                <w:tab w:val="left" w:pos="540"/>
              </w:tabs>
              <w:rPr>
                <w:szCs w:val="22"/>
                <w:lang w:val="nl-NL"/>
              </w:rPr>
            </w:pPr>
            <w:r w:rsidRPr="00D23AD2">
              <w:rPr>
                <w:szCs w:val="22"/>
                <w:lang w:val="nl-NL"/>
              </w:rPr>
              <w:lastRenderedPageBreak/>
              <w:t>Ban điều hành Công ty Quản lý quỹ</w:t>
            </w:r>
          </w:p>
        </w:tc>
        <w:tc>
          <w:tcPr>
            <w:tcW w:w="1733" w:type="dxa"/>
          </w:tcPr>
          <w:p w14:paraId="2AAC4091" w14:textId="77777777" w:rsidR="00075664" w:rsidRPr="00D23AD2" w:rsidRDefault="00075664" w:rsidP="00811E1C">
            <w:pPr>
              <w:tabs>
                <w:tab w:val="left" w:pos="540"/>
              </w:tabs>
              <w:rPr>
                <w:szCs w:val="22"/>
                <w:lang w:val="nl-NL"/>
              </w:rPr>
            </w:pPr>
            <w:r>
              <w:rPr>
                <w:lang w:val="nl-NL"/>
              </w:rPr>
              <w:t>Ông Beat Schurch</w:t>
            </w:r>
          </w:p>
        </w:tc>
        <w:tc>
          <w:tcPr>
            <w:tcW w:w="2039" w:type="dxa"/>
          </w:tcPr>
          <w:p w14:paraId="2D35C754" w14:textId="77777777" w:rsidR="00075664" w:rsidRPr="00D23AD2" w:rsidRDefault="00075664" w:rsidP="00811E1C">
            <w:pPr>
              <w:tabs>
                <w:tab w:val="left" w:pos="540"/>
              </w:tabs>
              <w:rPr>
                <w:szCs w:val="22"/>
                <w:lang w:val="nl-NL"/>
              </w:rPr>
            </w:pPr>
            <w:r w:rsidRPr="00D23AD2">
              <w:rPr>
                <w:szCs w:val="22"/>
                <w:lang w:val="nl-NL"/>
              </w:rPr>
              <w:t>Tổng Giám đốc</w:t>
            </w:r>
          </w:p>
        </w:tc>
        <w:tc>
          <w:tcPr>
            <w:tcW w:w="1428" w:type="dxa"/>
          </w:tcPr>
          <w:p w14:paraId="032CB464" w14:textId="77777777" w:rsidR="00075664" w:rsidRPr="00AA1F5F" w:rsidRDefault="00075664" w:rsidP="00811E1C">
            <w:pPr>
              <w:tabs>
                <w:tab w:val="left" w:pos="540"/>
              </w:tabs>
              <w:rPr>
                <w:szCs w:val="22"/>
                <w:lang w:val="en-US"/>
              </w:rPr>
            </w:pPr>
            <w:r w:rsidRPr="00D23AD2">
              <w:rPr>
                <w:szCs w:val="22"/>
                <w:lang w:val="vi-VN"/>
              </w:rPr>
              <w:t xml:space="preserve">Thạc sỹ </w:t>
            </w:r>
            <w:r>
              <w:rPr>
                <w:szCs w:val="22"/>
                <w:lang w:val="en-US"/>
              </w:rPr>
              <w:t xml:space="preserve">Kinh </w:t>
            </w:r>
            <w:proofErr w:type="spellStart"/>
            <w:r>
              <w:rPr>
                <w:szCs w:val="22"/>
                <w:lang w:val="en-US"/>
              </w:rPr>
              <w:t>tế</w:t>
            </w:r>
            <w:proofErr w:type="spellEnd"/>
          </w:p>
        </w:tc>
        <w:tc>
          <w:tcPr>
            <w:tcW w:w="3373" w:type="dxa"/>
          </w:tcPr>
          <w:p w14:paraId="5FC7FA51" w14:textId="77777777" w:rsidR="00075664" w:rsidRDefault="0082540D" w:rsidP="0082540D">
            <w:pPr>
              <w:spacing w:before="120"/>
              <w:rPr>
                <w:sz w:val="24"/>
                <w:szCs w:val="24"/>
              </w:rPr>
            </w:pPr>
            <w:r w:rsidRPr="00176937">
              <w:rPr>
                <w:sz w:val="24"/>
                <w:szCs w:val="24"/>
              </w:rPr>
              <w:t xml:space="preserve">-Từ 08/1996 đến 07/2002: </w:t>
            </w:r>
            <w:r>
              <w:rPr>
                <w:sz w:val="24"/>
                <w:szCs w:val="24"/>
              </w:rPr>
              <w:t xml:space="preserve">DKSH Vietnam, </w:t>
            </w:r>
            <w:proofErr w:type="spellStart"/>
            <w:r>
              <w:rPr>
                <w:sz w:val="24"/>
                <w:szCs w:val="24"/>
              </w:rPr>
              <w:t>Giám</w:t>
            </w:r>
            <w:proofErr w:type="spellEnd"/>
            <w:r>
              <w:rPr>
                <w:sz w:val="24"/>
                <w:szCs w:val="24"/>
              </w:rPr>
              <w:t xml:space="preserve"> </w:t>
            </w:r>
            <w:proofErr w:type="spellStart"/>
            <w:r>
              <w:rPr>
                <w:sz w:val="24"/>
                <w:szCs w:val="24"/>
              </w:rPr>
              <w:t>đốc</w:t>
            </w:r>
            <w:proofErr w:type="spellEnd"/>
            <w:r>
              <w:rPr>
                <w:sz w:val="24"/>
                <w:szCs w:val="24"/>
              </w:rPr>
              <w:t xml:space="preserve"> </w:t>
            </w:r>
            <w:proofErr w:type="spellStart"/>
            <w:r>
              <w:rPr>
                <w:sz w:val="24"/>
                <w:szCs w:val="24"/>
              </w:rPr>
              <w:t>phụ</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thị</w:t>
            </w:r>
            <w:proofErr w:type="spellEnd"/>
            <w:r>
              <w:rPr>
                <w:sz w:val="24"/>
                <w:szCs w:val="24"/>
              </w:rPr>
              <w:t xml:space="preserve"> </w:t>
            </w:r>
            <w:proofErr w:type="spellStart"/>
            <w:r>
              <w:rPr>
                <w:sz w:val="24"/>
                <w:szCs w:val="24"/>
              </w:rPr>
              <w:t>trường</w:t>
            </w:r>
            <w:proofErr w:type="spellEnd"/>
            <w:r>
              <w:rPr>
                <w:sz w:val="24"/>
                <w:szCs w:val="24"/>
              </w:rPr>
              <w:t xml:space="preserve"> Việt Nam, </w:t>
            </w:r>
            <w:proofErr w:type="spellStart"/>
            <w:r>
              <w:rPr>
                <w:sz w:val="24"/>
                <w:szCs w:val="24"/>
              </w:rPr>
              <w:t>Campuchia</w:t>
            </w:r>
            <w:proofErr w:type="spellEnd"/>
            <w:r>
              <w:rPr>
                <w:sz w:val="24"/>
                <w:szCs w:val="24"/>
              </w:rPr>
              <w:t>.</w:t>
            </w:r>
          </w:p>
          <w:p w14:paraId="28428068" w14:textId="5E29A49D" w:rsidR="0082540D" w:rsidRDefault="0082540D" w:rsidP="0082540D">
            <w:pPr>
              <w:spacing w:before="120"/>
              <w:rPr>
                <w:sz w:val="24"/>
                <w:szCs w:val="24"/>
              </w:rPr>
            </w:pPr>
            <w:r>
              <w:rPr>
                <w:sz w:val="24"/>
                <w:szCs w:val="24"/>
              </w:rPr>
              <w:t xml:space="preserve">- </w:t>
            </w:r>
            <w:proofErr w:type="spellStart"/>
            <w:r>
              <w:rPr>
                <w:sz w:val="24"/>
                <w:szCs w:val="24"/>
              </w:rPr>
              <w:t>Từ</w:t>
            </w:r>
            <w:proofErr w:type="spellEnd"/>
            <w:r>
              <w:rPr>
                <w:sz w:val="24"/>
                <w:szCs w:val="24"/>
              </w:rPr>
              <w:t xml:space="preserve"> 12/2002 </w:t>
            </w:r>
            <w:proofErr w:type="spellStart"/>
            <w:r>
              <w:rPr>
                <w:sz w:val="24"/>
                <w:szCs w:val="24"/>
              </w:rPr>
              <w:t>đến</w:t>
            </w:r>
            <w:proofErr w:type="spellEnd"/>
            <w:r>
              <w:rPr>
                <w:sz w:val="24"/>
                <w:szCs w:val="24"/>
              </w:rPr>
              <w:t xml:space="preserve"> 02/2004: </w:t>
            </w:r>
            <w:proofErr w:type="spellStart"/>
            <w:r>
              <w:rPr>
                <w:sz w:val="24"/>
                <w:szCs w:val="24"/>
              </w:rPr>
              <w:t>Lanamatic</w:t>
            </w:r>
            <w:proofErr w:type="spellEnd"/>
            <w:r>
              <w:rPr>
                <w:sz w:val="24"/>
                <w:szCs w:val="24"/>
              </w:rPr>
              <w:t xml:space="preserve"> Asia, </w:t>
            </w:r>
            <w:proofErr w:type="spellStart"/>
            <w:r>
              <w:rPr>
                <w:sz w:val="24"/>
                <w:szCs w:val="24"/>
              </w:rPr>
              <w:t>Đại</w:t>
            </w:r>
            <w:proofErr w:type="spellEnd"/>
            <w:r>
              <w:rPr>
                <w:sz w:val="24"/>
                <w:szCs w:val="24"/>
              </w:rPr>
              <w:t xml:space="preserve"> </w:t>
            </w:r>
            <w:proofErr w:type="spellStart"/>
            <w:r>
              <w:rPr>
                <w:sz w:val="24"/>
                <w:szCs w:val="24"/>
              </w:rPr>
              <w:t>diện</w:t>
            </w:r>
            <w:proofErr w:type="spellEnd"/>
            <w:r>
              <w:rPr>
                <w:sz w:val="24"/>
                <w:szCs w:val="24"/>
              </w:rPr>
              <w:t xml:space="preserve"> </w:t>
            </w:r>
            <w:proofErr w:type="spellStart"/>
            <w:r>
              <w:rPr>
                <w:sz w:val="24"/>
                <w:szCs w:val="24"/>
              </w:rPr>
              <w:t>thường</w:t>
            </w:r>
            <w:proofErr w:type="spellEnd"/>
            <w:r>
              <w:rPr>
                <w:sz w:val="24"/>
                <w:szCs w:val="24"/>
              </w:rPr>
              <w:t xml:space="preserve"> </w:t>
            </w:r>
            <w:proofErr w:type="spellStart"/>
            <w:r>
              <w:rPr>
                <w:sz w:val="24"/>
                <w:szCs w:val="24"/>
              </w:rPr>
              <w:t>trú</w:t>
            </w:r>
            <w:proofErr w:type="spellEnd"/>
            <w:r>
              <w:rPr>
                <w:sz w:val="24"/>
                <w:szCs w:val="24"/>
              </w:rPr>
              <w:t xml:space="preserve"> </w:t>
            </w:r>
            <w:proofErr w:type="spellStart"/>
            <w:r>
              <w:rPr>
                <w:sz w:val="24"/>
                <w:szCs w:val="24"/>
              </w:rPr>
              <w:t>tại</w:t>
            </w:r>
            <w:proofErr w:type="spellEnd"/>
            <w:r>
              <w:rPr>
                <w:sz w:val="24"/>
                <w:szCs w:val="24"/>
              </w:rPr>
              <w:t xml:space="preserve"> Thái Lan.</w:t>
            </w:r>
          </w:p>
          <w:p w14:paraId="1621B762" w14:textId="170703D2" w:rsidR="0082540D" w:rsidRDefault="0082540D" w:rsidP="0082540D">
            <w:pPr>
              <w:spacing w:before="120"/>
              <w:rPr>
                <w:sz w:val="24"/>
                <w:szCs w:val="24"/>
              </w:rPr>
            </w:pPr>
            <w:r w:rsidRPr="00176937">
              <w:rPr>
                <w:sz w:val="24"/>
                <w:szCs w:val="24"/>
              </w:rPr>
              <w:t xml:space="preserve">- </w:t>
            </w:r>
            <w:proofErr w:type="spellStart"/>
            <w:r w:rsidRPr="00176937">
              <w:rPr>
                <w:sz w:val="24"/>
                <w:szCs w:val="24"/>
              </w:rPr>
              <w:t>Từ</w:t>
            </w:r>
            <w:proofErr w:type="spellEnd"/>
            <w:r w:rsidRPr="00176937">
              <w:rPr>
                <w:sz w:val="24"/>
                <w:szCs w:val="24"/>
              </w:rPr>
              <w:t xml:space="preserve"> 03/2004 </w:t>
            </w:r>
            <w:proofErr w:type="spellStart"/>
            <w:r w:rsidRPr="00176937">
              <w:rPr>
                <w:sz w:val="24"/>
                <w:szCs w:val="24"/>
              </w:rPr>
              <w:t>đến</w:t>
            </w:r>
            <w:proofErr w:type="spellEnd"/>
            <w:r w:rsidRPr="00176937">
              <w:rPr>
                <w:sz w:val="24"/>
                <w:szCs w:val="24"/>
              </w:rPr>
              <w:t xml:space="preserve"> 08/2006: </w:t>
            </w:r>
            <w:proofErr w:type="spellStart"/>
            <w:r w:rsidR="00176937">
              <w:rPr>
                <w:sz w:val="24"/>
                <w:szCs w:val="24"/>
              </w:rPr>
              <w:t>Synovate</w:t>
            </w:r>
            <w:proofErr w:type="spellEnd"/>
            <w:r w:rsidR="00176937">
              <w:rPr>
                <w:sz w:val="24"/>
                <w:szCs w:val="24"/>
              </w:rPr>
              <w:t xml:space="preserve"> Thailand, </w:t>
            </w:r>
            <w:proofErr w:type="spellStart"/>
            <w:r w:rsidR="00176937">
              <w:rPr>
                <w:sz w:val="24"/>
                <w:szCs w:val="24"/>
              </w:rPr>
              <w:t>Trưởng</w:t>
            </w:r>
            <w:proofErr w:type="spellEnd"/>
            <w:r w:rsidR="00176937">
              <w:rPr>
                <w:sz w:val="24"/>
                <w:szCs w:val="24"/>
              </w:rPr>
              <w:t xml:space="preserve"> </w:t>
            </w:r>
            <w:proofErr w:type="spellStart"/>
            <w:r w:rsidR="00176937">
              <w:rPr>
                <w:sz w:val="24"/>
                <w:szCs w:val="24"/>
              </w:rPr>
              <w:t>bộ</w:t>
            </w:r>
            <w:proofErr w:type="spellEnd"/>
            <w:r w:rsidR="00176937">
              <w:rPr>
                <w:sz w:val="24"/>
                <w:szCs w:val="24"/>
              </w:rPr>
              <w:t xml:space="preserve"> </w:t>
            </w:r>
            <w:proofErr w:type="spellStart"/>
            <w:r w:rsidR="00176937">
              <w:rPr>
                <w:sz w:val="24"/>
                <w:szCs w:val="24"/>
              </w:rPr>
              <w:t>phận</w:t>
            </w:r>
            <w:proofErr w:type="spellEnd"/>
            <w:r w:rsidR="00176937">
              <w:rPr>
                <w:sz w:val="24"/>
                <w:szCs w:val="24"/>
              </w:rPr>
              <w:t xml:space="preserve"> </w:t>
            </w:r>
            <w:proofErr w:type="spellStart"/>
            <w:r w:rsidR="00176937">
              <w:rPr>
                <w:sz w:val="24"/>
                <w:szCs w:val="24"/>
              </w:rPr>
              <w:t>tư</w:t>
            </w:r>
            <w:proofErr w:type="spellEnd"/>
            <w:r w:rsidR="00176937">
              <w:rPr>
                <w:sz w:val="24"/>
                <w:szCs w:val="24"/>
              </w:rPr>
              <w:t xml:space="preserve"> </w:t>
            </w:r>
            <w:proofErr w:type="spellStart"/>
            <w:r w:rsidR="00176937">
              <w:rPr>
                <w:sz w:val="24"/>
                <w:szCs w:val="24"/>
              </w:rPr>
              <w:t>vấn</w:t>
            </w:r>
            <w:proofErr w:type="spellEnd"/>
            <w:r w:rsidR="00176937">
              <w:rPr>
                <w:sz w:val="24"/>
                <w:szCs w:val="24"/>
              </w:rPr>
              <w:t xml:space="preserve"> </w:t>
            </w:r>
            <w:proofErr w:type="spellStart"/>
            <w:r w:rsidR="00176937">
              <w:rPr>
                <w:sz w:val="24"/>
                <w:szCs w:val="24"/>
              </w:rPr>
              <w:t>kinh</w:t>
            </w:r>
            <w:proofErr w:type="spellEnd"/>
            <w:r w:rsidR="00176937">
              <w:rPr>
                <w:sz w:val="24"/>
                <w:szCs w:val="24"/>
              </w:rPr>
              <w:t xml:space="preserve"> </w:t>
            </w:r>
            <w:proofErr w:type="spellStart"/>
            <w:r w:rsidR="00176937">
              <w:rPr>
                <w:sz w:val="24"/>
                <w:szCs w:val="24"/>
              </w:rPr>
              <w:t>doanh</w:t>
            </w:r>
            <w:proofErr w:type="spellEnd"/>
            <w:r w:rsidR="00176937">
              <w:rPr>
                <w:sz w:val="24"/>
                <w:szCs w:val="24"/>
              </w:rPr>
              <w:t>.</w:t>
            </w:r>
          </w:p>
          <w:p w14:paraId="7F8969A6" w14:textId="37DF9294" w:rsidR="00176937" w:rsidRDefault="00176937" w:rsidP="0082540D">
            <w:pPr>
              <w:spacing w:before="120"/>
              <w:rPr>
                <w:sz w:val="24"/>
                <w:szCs w:val="24"/>
              </w:rPr>
            </w:pPr>
            <w:r>
              <w:rPr>
                <w:sz w:val="24"/>
                <w:szCs w:val="24"/>
              </w:rPr>
              <w:t xml:space="preserve">- </w:t>
            </w:r>
            <w:proofErr w:type="spellStart"/>
            <w:r>
              <w:rPr>
                <w:sz w:val="24"/>
                <w:szCs w:val="24"/>
              </w:rPr>
              <w:t>Từ</w:t>
            </w:r>
            <w:proofErr w:type="spellEnd"/>
            <w:r>
              <w:rPr>
                <w:sz w:val="24"/>
                <w:szCs w:val="24"/>
              </w:rPr>
              <w:t xml:space="preserve"> 09/2006 </w:t>
            </w:r>
            <w:proofErr w:type="spellStart"/>
            <w:r>
              <w:rPr>
                <w:sz w:val="24"/>
                <w:szCs w:val="24"/>
              </w:rPr>
              <w:t>đến</w:t>
            </w:r>
            <w:proofErr w:type="spellEnd"/>
            <w:r>
              <w:rPr>
                <w:sz w:val="24"/>
                <w:szCs w:val="24"/>
              </w:rPr>
              <w:t xml:space="preserve"> 03/2009: Indochina Capital Vietnam: </w:t>
            </w:r>
            <w:proofErr w:type="spellStart"/>
            <w:r>
              <w:rPr>
                <w:sz w:val="24"/>
                <w:szCs w:val="24"/>
              </w:rPr>
              <w:t>Giám</w:t>
            </w:r>
            <w:proofErr w:type="spellEnd"/>
            <w:r>
              <w:rPr>
                <w:sz w:val="24"/>
                <w:szCs w:val="24"/>
              </w:rPr>
              <w:t xml:space="preserve"> </w:t>
            </w:r>
            <w:proofErr w:type="spellStart"/>
            <w:r>
              <w:rPr>
                <w:sz w:val="24"/>
                <w:szCs w:val="24"/>
              </w:rPr>
              <w:t>đốc</w:t>
            </w:r>
            <w:proofErr w:type="spellEnd"/>
            <w:r>
              <w:rPr>
                <w:sz w:val="24"/>
                <w:szCs w:val="24"/>
              </w:rPr>
              <w:t xml:space="preserve"> Tài </w:t>
            </w:r>
            <w:proofErr w:type="spellStart"/>
            <w:r>
              <w:rPr>
                <w:sz w:val="24"/>
                <w:szCs w:val="24"/>
              </w:rPr>
              <w:t>chính</w:t>
            </w:r>
            <w:proofErr w:type="spellEnd"/>
            <w:r>
              <w:rPr>
                <w:sz w:val="24"/>
                <w:szCs w:val="24"/>
              </w:rPr>
              <w:t>.</w:t>
            </w:r>
          </w:p>
          <w:p w14:paraId="41C274CF" w14:textId="56F95FDD" w:rsidR="00176937" w:rsidRDefault="00176937" w:rsidP="0082540D">
            <w:pPr>
              <w:spacing w:before="120"/>
              <w:rPr>
                <w:sz w:val="24"/>
                <w:szCs w:val="24"/>
              </w:rPr>
            </w:pPr>
            <w:r w:rsidRPr="00176937">
              <w:rPr>
                <w:sz w:val="24"/>
                <w:szCs w:val="24"/>
              </w:rPr>
              <w:t xml:space="preserve">- </w:t>
            </w:r>
            <w:proofErr w:type="spellStart"/>
            <w:r w:rsidRPr="00176937">
              <w:rPr>
                <w:sz w:val="24"/>
                <w:szCs w:val="24"/>
              </w:rPr>
              <w:t>Từ</w:t>
            </w:r>
            <w:proofErr w:type="spellEnd"/>
            <w:r w:rsidRPr="00176937">
              <w:rPr>
                <w:sz w:val="24"/>
                <w:szCs w:val="24"/>
              </w:rPr>
              <w:t xml:space="preserve"> 04/2009 </w:t>
            </w:r>
            <w:proofErr w:type="spellStart"/>
            <w:r w:rsidRPr="00176937">
              <w:rPr>
                <w:sz w:val="24"/>
                <w:szCs w:val="24"/>
              </w:rPr>
              <w:t>đến</w:t>
            </w:r>
            <w:proofErr w:type="spellEnd"/>
            <w:r w:rsidRPr="00176937">
              <w:rPr>
                <w:sz w:val="24"/>
                <w:szCs w:val="24"/>
              </w:rPr>
              <w:t xml:space="preserve"> 01/2020: </w:t>
            </w:r>
            <w:r>
              <w:rPr>
                <w:sz w:val="24"/>
                <w:szCs w:val="24"/>
              </w:rPr>
              <w:t xml:space="preserve">Indochina Capital Vietnam: </w:t>
            </w:r>
            <w:proofErr w:type="spellStart"/>
            <w:r>
              <w:rPr>
                <w:sz w:val="24"/>
                <w:szCs w:val="24"/>
              </w:rPr>
              <w:t>Giám</w:t>
            </w:r>
            <w:proofErr w:type="spellEnd"/>
            <w:r>
              <w:rPr>
                <w:sz w:val="24"/>
                <w:szCs w:val="24"/>
              </w:rPr>
              <w:t xml:space="preserve"> </w:t>
            </w:r>
            <w:proofErr w:type="spellStart"/>
            <w:r>
              <w:rPr>
                <w:sz w:val="24"/>
                <w:szCs w:val="24"/>
              </w:rPr>
              <w:t>đốc</w:t>
            </w:r>
            <w:proofErr w:type="spellEnd"/>
            <w:r>
              <w:rPr>
                <w:sz w:val="24"/>
                <w:szCs w:val="24"/>
              </w:rPr>
              <w:t xml:space="preserve"> </w:t>
            </w:r>
            <w:proofErr w:type="spellStart"/>
            <w:r>
              <w:rPr>
                <w:sz w:val="24"/>
                <w:szCs w:val="24"/>
              </w:rPr>
              <w:t>điều</w:t>
            </w:r>
            <w:proofErr w:type="spellEnd"/>
            <w:r>
              <w:rPr>
                <w:sz w:val="24"/>
                <w:szCs w:val="24"/>
              </w:rPr>
              <w:t xml:space="preserve"> </w:t>
            </w:r>
            <w:proofErr w:type="spellStart"/>
            <w:r>
              <w:rPr>
                <w:sz w:val="24"/>
                <w:szCs w:val="24"/>
              </w:rPr>
              <w:t>hành</w:t>
            </w:r>
            <w:proofErr w:type="spellEnd"/>
            <w:r>
              <w:rPr>
                <w:sz w:val="24"/>
                <w:szCs w:val="24"/>
              </w:rPr>
              <w:t xml:space="preserve">, </w:t>
            </w:r>
            <w:proofErr w:type="spellStart"/>
            <w:r>
              <w:rPr>
                <w:sz w:val="24"/>
                <w:szCs w:val="24"/>
              </w:rPr>
              <w:t>bộ</w:t>
            </w:r>
            <w:proofErr w:type="spellEnd"/>
            <w:r>
              <w:rPr>
                <w:sz w:val="24"/>
                <w:szCs w:val="24"/>
              </w:rPr>
              <w:t xml:space="preserve"> </w:t>
            </w:r>
            <w:proofErr w:type="spellStart"/>
            <w:r>
              <w:rPr>
                <w:sz w:val="24"/>
                <w:szCs w:val="24"/>
              </w:rPr>
              <w:t>phận</w:t>
            </w:r>
            <w:proofErr w:type="spellEnd"/>
            <w:r>
              <w:rPr>
                <w:sz w:val="24"/>
                <w:szCs w:val="24"/>
              </w:rPr>
              <w:t xml:space="preserve"> </w:t>
            </w:r>
            <w:proofErr w:type="spellStart"/>
            <w:r>
              <w:rPr>
                <w:sz w:val="24"/>
                <w:szCs w:val="24"/>
              </w:rPr>
              <w:t>Vốn</w:t>
            </w:r>
            <w:proofErr w:type="spellEnd"/>
            <w:r>
              <w:rPr>
                <w:sz w:val="24"/>
                <w:szCs w:val="24"/>
              </w:rPr>
              <w:t xml:space="preserve"> </w:t>
            </w:r>
            <w:proofErr w:type="spellStart"/>
            <w:r>
              <w:rPr>
                <w:sz w:val="24"/>
                <w:szCs w:val="24"/>
              </w:rPr>
              <w:t>cổ</w:t>
            </w:r>
            <w:proofErr w:type="spellEnd"/>
            <w:r>
              <w:rPr>
                <w:sz w:val="24"/>
                <w:szCs w:val="24"/>
              </w:rPr>
              <w:t xml:space="preserve"> </w:t>
            </w:r>
            <w:proofErr w:type="spellStart"/>
            <w:r>
              <w:rPr>
                <w:sz w:val="24"/>
                <w:szCs w:val="24"/>
              </w:rPr>
              <w:t>phần</w:t>
            </w:r>
            <w:proofErr w:type="spellEnd"/>
            <w:r>
              <w:rPr>
                <w:sz w:val="24"/>
                <w:szCs w:val="24"/>
              </w:rPr>
              <w:t>.</w:t>
            </w:r>
          </w:p>
          <w:p w14:paraId="3D789BAF" w14:textId="77777777" w:rsidR="00176937" w:rsidRDefault="00176937" w:rsidP="0082540D">
            <w:pPr>
              <w:spacing w:before="120"/>
              <w:rPr>
                <w:sz w:val="24"/>
                <w:szCs w:val="24"/>
              </w:rPr>
            </w:pPr>
            <w:r>
              <w:rPr>
                <w:sz w:val="24"/>
                <w:szCs w:val="24"/>
              </w:rPr>
              <w:t xml:space="preserve">- </w:t>
            </w:r>
            <w:proofErr w:type="spellStart"/>
            <w:r>
              <w:rPr>
                <w:sz w:val="24"/>
                <w:szCs w:val="24"/>
              </w:rPr>
              <w:t>Từ</w:t>
            </w:r>
            <w:proofErr w:type="spellEnd"/>
            <w:r>
              <w:rPr>
                <w:sz w:val="24"/>
                <w:szCs w:val="24"/>
              </w:rPr>
              <w:t xml:space="preserve"> 03/2010 </w:t>
            </w:r>
            <w:proofErr w:type="spellStart"/>
            <w:r>
              <w:rPr>
                <w:sz w:val="24"/>
                <w:szCs w:val="24"/>
              </w:rPr>
              <w:t>đến</w:t>
            </w:r>
            <w:proofErr w:type="spellEnd"/>
            <w:r>
              <w:rPr>
                <w:sz w:val="24"/>
                <w:szCs w:val="24"/>
              </w:rPr>
              <w:t xml:space="preserve"> 03/2011: Dragon Capital Group: </w:t>
            </w:r>
            <w:proofErr w:type="spellStart"/>
            <w:r>
              <w:rPr>
                <w:sz w:val="24"/>
                <w:szCs w:val="24"/>
              </w:rPr>
              <w:t>Giám</w:t>
            </w:r>
            <w:proofErr w:type="spellEnd"/>
            <w:r>
              <w:rPr>
                <w:sz w:val="24"/>
                <w:szCs w:val="24"/>
              </w:rPr>
              <w:t xml:space="preserve"> </w:t>
            </w:r>
            <w:proofErr w:type="spellStart"/>
            <w:r>
              <w:rPr>
                <w:sz w:val="24"/>
                <w:szCs w:val="24"/>
              </w:rPr>
              <w:t>đốc</w:t>
            </w:r>
            <w:proofErr w:type="spellEnd"/>
            <w:r>
              <w:rPr>
                <w:sz w:val="24"/>
                <w:szCs w:val="24"/>
              </w:rPr>
              <w:t xml:space="preserve">, </w:t>
            </w:r>
            <w:proofErr w:type="spellStart"/>
            <w:r>
              <w:rPr>
                <w:sz w:val="24"/>
                <w:szCs w:val="24"/>
              </w:rPr>
              <w:t>phụ</w:t>
            </w:r>
            <w:proofErr w:type="spellEnd"/>
            <w:r>
              <w:rPr>
                <w:sz w:val="24"/>
                <w:szCs w:val="24"/>
              </w:rPr>
              <w:t xml:space="preserve"> </w:t>
            </w:r>
            <w:proofErr w:type="spellStart"/>
            <w:r>
              <w:rPr>
                <w:sz w:val="24"/>
                <w:szCs w:val="24"/>
              </w:rPr>
              <w:t>trách</w:t>
            </w:r>
            <w:proofErr w:type="spellEnd"/>
            <w:r>
              <w:rPr>
                <w:sz w:val="24"/>
                <w:szCs w:val="24"/>
              </w:rPr>
              <w:t xml:space="preserve"> </w:t>
            </w:r>
            <w:proofErr w:type="spellStart"/>
            <w:r>
              <w:rPr>
                <w:sz w:val="24"/>
                <w:szCs w:val="24"/>
              </w:rPr>
              <w:t>vận</w:t>
            </w:r>
            <w:proofErr w:type="spellEnd"/>
            <w:r>
              <w:rPr>
                <w:sz w:val="24"/>
                <w:szCs w:val="24"/>
              </w:rPr>
              <w:t xml:space="preserve"> </w:t>
            </w:r>
            <w:proofErr w:type="spellStart"/>
            <w:r>
              <w:rPr>
                <w:sz w:val="24"/>
                <w:szCs w:val="24"/>
              </w:rPr>
              <w:t>hành</w:t>
            </w:r>
            <w:proofErr w:type="spellEnd"/>
            <w:r>
              <w:rPr>
                <w:sz w:val="24"/>
                <w:szCs w:val="24"/>
              </w:rPr>
              <w:t>.</w:t>
            </w:r>
          </w:p>
          <w:p w14:paraId="0969B2B2" w14:textId="20BEA092" w:rsidR="00176937" w:rsidRDefault="00176937" w:rsidP="0082540D">
            <w:pPr>
              <w:spacing w:before="120"/>
              <w:rPr>
                <w:sz w:val="24"/>
                <w:szCs w:val="24"/>
              </w:rPr>
            </w:pPr>
            <w:r>
              <w:rPr>
                <w:sz w:val="24"/>
                <w:szCs w:val="24"/>
              </w:rPr>
              <w:t xml:space="preserve">- </w:t>
            </w:r>
            <w:proofErr w:type="spellStart"/>
            <w:r>
              <w:rPr>
                <w:sz w:val="24"/>
                <w:szCs w:val="24"/>
              </w:rPr>
              <w:t>Từ</w:t>
            </w:r>
            <w:proofErr w:type="spellEnd"/>
            <w:r>
              <w:rPr>
                <w:sz w:val="24"/>
                <w:szCs w:val="24"/>
              </w:rPr>
              <w:t xml:space="preserve"> 04/2011 </w:t>
            </w:r>
            <w:proofErr w:type="spellStart"/>
            <w:r>
              <w:rPr>
                <w:sz w:val="24"/>
                <w:szCs w:val="24"/>
              </w:rPr>
              <w:t>đến</w:t>
            </w:r>
            <w:proofErr w:type="spellEnd"/>
            <w:r>
              <w:rPr>
                <w:sz w:val="24"/>
                <w:szCs w:val="24"/>
              </w:rPr>
              <w:t xml:space="preserve"> 12/2016: VPĐD Dragon Capital Group Ltd </w:t>
            </w:r>
            <w:proofErr w:type="spellStart"/>
            <w:r>
              <w:rPr>
                <w:sz w:val="24"/>
                <w:szCs w:val="24"/>
              </w:rPr>
              <w:t>tại</w:t>
            </w:r>
            <w:proofErr w:type="spellEnd"/>
            <w:r>
              <w:rPr>
                <w:sz w:val="24"/>
                <w:szCs w:val="24"/>
              </w:rPr>
              <w:t xml:space="preserve"> </w:t>
            </w:r>
            <w:proofErr w:type="spellStart"/>
            <w:r>
              <w:rPr>
                <w:sz w:val="24"/>
                <w:szCs w:val="24"/>
              </w:rPr>
              <w:t>Tp</w:t>
            </w:r>
            <w:proofErr w:type="spellEnd"/>
            <w:r>
              <w:rPr>
                <w:sz w:val="24"/>
                <w:szCs w:val="24"/>
              </w:rPr>
              <w:t xml:space="preserve"> HCM: </w:t>
            </w:r>
            <w:proofErr w:type="spellStart"/>
            <w:r>
              <w:rPr>
                <w:sz w:val="24"/>
                <w:szCs w:val="24"/>
              </w:rPr>
              <w:t>Trưởng</w:t>
            </w:r>
            <w:proofErr w:type="spellEnd"/>
            <w:r>
              <w:rPr>
                <w:sz w:val="24"/>
                <w:szCs w:val="24"/>
              </w:rPr>
              <w:t xml:space="preserve"> </w:t>
            </w:r>
            <w:proofErr w:type="spellStart"/>
            <w:r>
              <w:rPr>
                <w:sz w:val="24"/>
                <w:szCs w:val="24"/>
              </w:rPr>
              <w:t>Đại</w:t>
            </w:r>
            <w:proofErr w:type="spellEnd"/>
            <w:r>
              <w:rPr>
                <w:sz w:val="24"/>
                <w:szCs w:val="24"/>
              </w:rPr>
              <w:t xml:space="preserve"> </w:t>
            </w:r>
            <w:proofErr w:type="spellStart"/>
            <w:r>
              <w:rPr>
                <w:sz w:val="24"/>
                <w:szCs w:val="24"/>
              </w:rPr>
              <w:t>diện</w:t>
            </w:r>
            <w:proofErr w:type="spellEnd"/>
            <w:r>
              <w:rPr>
                <w:sz w:val="24"/>
                <w:szCs w:val="24"/>
              </w:rPr>
              <w:t>.</w:t>
            </w:r>
          </w:p>
          <w:p w14:paraId="069745B9" w14:textId="0D123130" w:rsidR="00176937" w:rsidRDefault="00176937" w:rsidP="0082540D">
            <w:pPr>
              <w:spacing w:before="120"/>
              <w:rPr>
                <w:sz w:val="24"/>
                <w:szCs w:val="24"/>
              </w:rPr>
            </w:pPr>
            <w:r>
              <w:rPr>
                <w:sz w:val="24"/>
                <w:szCs w:val="24"/>
              </w:rPr>
              <w:t xml:space="preserve">- </w:t>
            </w:r>
            <w:proofErr w:type="spellStart"/>
            <w:r>
              <w:rPr>
                <w:sz w:val="24"/>
                <w:szCs w:val="24"/>
              </w:rPr>
              <w:t>Từ</w:t>
            </w:r>
            <w:proofErr w:type="spellEnd"/>
            <w:r>
              <w:rPr>
                <w:sz w:val="24"/>
                <w:szCs w:val="24"/>
              </w:rPr>
              <w:t xml:space="preserve"> 12/2016 </w:t>
            </w:r>
            <w:proofErr w:type="spellStart"/>
            <w:r>
              <w:rPr>
                <w:sz w:val="24"/>
                <w:szCs w:val="24"/>
              </w:rPr>
              <w:t>đến</w:t>
            </w:r>
            <w:proofErr w:type="spellEnd"/>
            <w:r>
              <w:rPr>
                <w:sz w:val="24"/>
                <w:szCs w:val="24"/>
              </w:rPr>
              <w:t xml:space="preserve"> 12/2020: VPĐD</w:t>
            </w:r>
            <w:r w:rsidR="00EB3E0E">
              <w:rPr>
                <w:sz w:val="24"/>
                <w:szCs w:val="24"/>
              </w:rPr>
              <w:t xml:space="preserve"> </w:t>
            </w:r>
            <w:r>
              <w:rPr>
                <w:sz w:val="24"/>
                <w:szCs w:val="24"/>
              </w:rPr>
              <w:t xml:space="preserve">Dragon Capital Management (HK) Ltd </w:t>
            </w:r>
            <w:proofErr w:type="spellStart"/>
            <w:r>
              <w:rPr>
                <w:sz w:val="24"/>
                <w:szCs w:val="24"/>
              </w:rPr>
              <w:t>tại</w:t>
            </w:r>
            <w:proofErr w:type="spellEnd"/>
            <w:r>
              <w:rPr>
                <w:sz w:val="24"/>
                <w:szCs w:val="24"/>
              </w:rPr>
              <w:t xml:space="preserve"> </w:t>
            </w:r>
            <w:proofErr w:type="spellStart"/>
            <w:r>
              <w:rPr>
                <w:sz w:val="24"/>
                <w:szCs w:val="24"/>
              </w:rPr>
              <w:t>Tp</w:t>
            </w:r>
            <w:proofErr w:type="spellEnd"/>
            <w:r>
              <w:rPr>
                <w:sz w:val="24"/>
                <w:szCs w:val="24"/>
              </w:rPr>
              <w:t xml:space="preserve"> HCMC: </w:t>
            </w:r>
            <w:proofErr w:type="spellStart"/>
            <w:r>
              <w:rPr>
                <w:sz w:val="24"/>
                <w:szCs w:val="24"/>
              </w:rPr>
              <w:t>Trưởng</w:t>
            </w:r>
            <w:proofErr w:type="spellEnd"/>
            <w:r>
              <w:rPr>
                <w:sz w:val="24"/>
                <w:szCs w:val="24"/>
              </w:rPr>
              <w:t xml:space="preserve"> </w:t>
            </w:r>
            <w:proofErr w:type="spellStart"/>
            <w:r>
              <w:rPr>
                <w:sz w:val="24"/>
                <w:szCs w:val="24"/>
              </w:rPr>
              <w:t>đại</w:t>
            </w:r>
            <w:proofErr w:type="spellEnd"/>
            <w:r>
              <w:rPr>
                <w:sz w:val="24"/>
                <w:szCs w:val="24"/>
              </w:rPr>
              <w:t xml:space="preserve"> </w:t>
            </w:r>
            <w:proofErr w:type="spellStart"/>
            <w:r>
              <w:rPr>
                <w:sz w:val="24"/>
                <w:szCs w:val="24"/>
              </w:rPr>
              <w:t>diện</w:t>
            </w:r>
            <w:proofErr w:type="spellEnd"/>
            <w:r>
              <w:rPr>
                <w:sz w:val="24"/>
                <w:szCs w:val="24"/>
              </w:rPr>
              <w:t>.</w:t>
            </w:r>
          </w:p>
          <w:p w14:paraId="019E895E" w14:textId="4C22D3B0" w:rsidR="00176937" w:rsidRDefault="00176937" w:rsidP="0082540D">
            <w:pPr>
              <w:spacing w:before="120"/>
              <w:rPr>
                <w:sz w:val="24"/>
                <w:szCs w:val="24"/>
              </w:rPr>
            </w:pPr>
            <w:r>
              <w:rPr>
                <w:sz w:val="24"/>
                <w:szCs w:val="24"/>
              </w:rPr>
              <w:t xml:space="preserve">- </w:t>
            </w:r>
            <w:proofErr w:type="spellStart"/>
            <w:r>
              <w:rPr>
                <w:sz w:val="24"/>
                <w:szCs w:val="24"/>
              </w:rPr>
              <w:t>Từ</w:t>
            </w:r>
            <w:proofErr w:type="spellEnd"/>
            <w:r>
              <w:rPr>
                <w:sz w:val="24"/>
                <w:szCs w:val="24"/>
              </w:rPr>
              <w:t xml:space="preserve"> 12/2020 </w:t>
            </w:r>
            <w:proofErr w:type="spellStart"/>
            <w:r>
              <w:rPr>
                <w:sz w:val="24"/>
                <w:szCs w:val="24"/>
              </w:rPr>
              <w:t>đến</w:t>
            </w:r>
            <w:proofErr w:type="spellEnd"/>
            <w:r>
              <w:rPr>
                <w:sz w:val="24"/>
                <w:szCs w:val="24"/>
              </w:rPr>
              <w:t xml:space="preserve"> nay: </w:t>
            </w:r>
            <w:proofErr w:type="spellStart"/>
            <w:r>
              <w:rPr>
                <w:sz w:val="24"/>
                <w:szCs w:val="24"/>
              </w:rPr>
              <w:t>Tổng</w:t>
            </w:r>
            <w:proofErr w:type="spellEnd"/>
            <w:r>
              <w:rPr>
                <w:sz w:val="24"/>
                <w:szCs w:val="24"/>
              </w:rPr>
              <w:t xml:space="preserve"> </w:t>
            </w:r>
            <w:proofErr w:type="spellStart"/>
            <w:r>
              <w:rPr>
                <w:sz w:val="24"/>
                <w:szCs w:val="24"/>
              </w:rPr>
              <w:t>Giám</w:t>
            </w:r>
            <w:proofErr w:type="spellEnd"/>
            <w:r>
              <w:rPr>
                <w:sz w:val="24"/>
                <w:szCs w:val="24"/>
              </w:rPr>
              <w:t xml:space="preserve"> </w:t>
            </w:r>
            <w:proofErr w:type="spellStart"/>
            <w:r>
              <w:rPr>
                <w:sz w:val="24"/>
                <w:szCs w:val="24"/>
              </w:rPr>
              <w:t>đốc</w:t>
            </w:r>
            <w:proofErr w:type="spellEnd"/>
            <w:r>
              <w:rPr>
                <w:sz w:val="24"/>
                <w:szCs w:val="24"/>
              </w:rPr>
              <w:t xml:space="preserve">, </w:t>
            </w:r>
            <w:proofErr w:type="spellStart"/>
            <w:r>
              <w:rPr>
                <w:sz w:val="24"/>
                <w:szCs w:val="24"/>
              </w:rPr>
              <w:t>công</w:t>
            </w:r>
            <w:proofErr w:type="spellEnd"/>
            <w:r>
              <w:rPr>
                <w:sz w:val="24"/>
                <w:szCs w:val="24"/>
              </w:rPr>
              <w:t xml:space="preserve"> ty CP Quản </w:t>
            </w:r>
            <w:proofErr w:type="spellStart"/>
            <w:r>
              <w:rPr>
                <w:sz w:val="24"/>
                <w:szCs w:val="24"/>
              </w:rPr>
              <w:t>lý</w:t>
            </w:r>
            <w:proofErr w:type="spellEnd"/>
            <w:r>
              <w:rPr>
                <w:sz w:val="24"/>
                <w:szCs w:val="24"/>
              </w:rPr>
              <w:t xml:space="preserve"> </w:t>
            </w:r>
            <w:proofErr w:type="spellStart"/>
            <w:r>
              <w:rPr>
                <w:sz w:val="24"/>
                <w:szCs w:val="24"/>
              </w:rPr>
              <w:t>quỹ</w:t>
            </w:r>
            <w:proofErr w:type="spellEnd"/>
            <w:r>
              <w:rPr>
                <w:sz w:val="24"/>
                <w:szCs w:val="24"/>
              </w:rPr>
              <w:t xml:space="preserve"> </w:t>
            </w:r>
            <w:proofErr w:type="spellStart"/>
            <w:r>
              <w:rPr>
                <w:sz w:val="24"/>
                <w:szCs w:val="24"/>
              </w:rPr>
              <w:t>đầu</w:t>
            </w:r>
            <w:proofErr w:type="spellEnd"/>
            <w:r>
              <w:rPr>
                <w:sz w:val="24"/>
                <w:szCs w:val="24"/>
              </w:rPr>
              <w:t xml:space="preserve"> </w:t>
            </w:r>
            <w:proofErr w:type="spellStart"/>
            <w:r>
              <w:rPr>
                <w:sz w:val="24"/>
                <w:szCs w:val="24"/>
              </w:rPr>
              <w:t>tư</w:t>
            </w:r>
            <w:proofErr w:type="spellEnd"/>
            <w:r>
              <w:rPr>
                <w:sz w:val="24"/>
                <w:szCs w:val="24"/>
              </w:rPr>
              <w:t xml:space="preserve"> Dragon Capital Việt Nam</w:t>
            </w:r>
          </w:p>
          <w:p w14:paraId="65110FC1" w14:textId="2B45B0BA" w:rsidR="00176937" w:rsidRPr="00176937" w:rsidRDefault="00176937" w:rsidP="0082540D">
            <w:pPr>
              <w:spacing w:before="120"/>
              <w:rPr>
                <w:sz w:val="24"/>
                <w:szCs w:val="24"/>
              </w:rPr>
            </w:pPr>
          </w:p>
        </w:tc>
      </w:tr>
      <w:bookmarkEnd w:id="0"/>
    </w:tbl>
    <w:p w14:paraId="56288942" w14:textId="77777777" w:rsidR="00082E3B" w:rsidRDefault="00082E3B" w:rsidP="005D4293">
      <w:pPr>
        <w:keepNext/>
        <w:rPr>
          <w:szCs w:val="22"/>
          <w:lang w:val="nl-NL"/>
        </w:rPr>
      </w:pPr>
    </w:p>
    <w:p w14:paraId="281D068F" w14:textId="09F34EF3" w:rsidR="007922E7" w:rsidRPr="00A568A1" w:rsidRDefault="007922E7" w:rsidP="005D4293">
      <w:pPr>
        <w:keepNext/>
        <w:rPr>
          <w:szCs w:val="22"/>
          <w:lang w:val="nl-NL"/>
        </w:rPr>
      </w:pPr>
      <w:r w:rsidRPr="00A568A1">
        <w:rPr>
          <w:szCs w:val="22"/>
          <w:lang w:val="nl-NL"/>
        </w:rPr>
        <w:t>Thay mặt Ban Giám đốc Công ty Cổ phần Quản lý Quỹ Đầu tư Việt Nam</w:t>
      </w:r>
    </w:p>
    <w:p w14:paraId="7C917197" w14:textId="77777777" w:rsidR="007922E7" w:rsidRPr="00A568A1" w:rsidRDefault="007922E7" w:rsidP="002B2A59">
      <w:pPr>
        <w:pStyle w:val="Default"/>
        <w:jc w:val="center"/>
        <w:rPr>
          <w:sz w:val="22"/>
          <w:szCs w:val="22"/>
          <w:lang w:val="nl-NL"/>
        </w:rPr>
      </w:pPr>
    </w:p>
    <w:p w14:paraId="72BF9F4B" w14:textId="77777777" w:rsidR="007922E7" w:rsidRPr="00A568A1" w:rsidRDefault="007922E7" w:rsidP="002B2A59">
      <w:pPr>
        <w:pStyle w:val="Default"/>
        <w:jc w:val="center"/>
        <w:rPr>
          <w:sz w:val="22"/>
          <w:szCs w:val="22"/>
          <w:lang w:val="nl-NL"/>
        </w:rPr>
      </w:pPr>
    </w:p>
    <w:p w14:paraId="3C4F00C0" w14:textId="77777777" w:rsidR="007922E7" w:rsidRPr="00A568A1" w:rsidRDefault="007922E7" w:rsidP="002B2A59">
      <w:pPr>
        <w:pStyle w:val="Default"/>
        <w:jc w:val="center"/>
        <w:rPr>
          <w:sz w:val="22"/>
          <w:szCs w:val="22"/>
          <w:lang w:val="nl-NL"/>
        </w:rPr>
      </w:pPr>
    </w:p>
    <w:p w14:paraId="3DDC8D02" w14:textId="77777777" w:rsidR="0047074A" w:rsidRPr="00A568A1" w:rsidRDefault="0047074A" w:rsidP="002B2A59">
      <w:pPr>
        <w:pStyle w:val="Default"/>
        <w:jc w:val="center"/>
        <w:rPr>
          <w:sz w:val="22"/>
          <w:szCs w:val="22"/>
          <w:lang w:val="nl-NL"/>
        </w:rPr>
      </w:pPr>
    </w:p>
    <w:p w14:paraId="511A5599" w14:textId="414E2D83" w:rsidR="005737A9" w:rsidRPr="00A568A1" w:rsidRDefault="005737A9" w:rsidP="002B2A59">
      <w:pPr>
        <w:pStyle w:val="Default"/>
        <w:jc w:val="center"/>
        <w:rPr>
          <w:sz w:val="22"/>
          <w:szCs w:val="22"/>
          <w:lang w:val="nl-NL"/>
        </w:rPr>
      </w:pPr>
    </w:p>
    <w:p w14:paraId="6F34D241" w14:textId="77777777" w:rsidR="00633094" w:rsidRPr="00A568A1" w:rsidRDefault="00633094" w:rsidP="002B2A59">
      <w:pPr>
        <w:pStyle w:val="Default"/>
        <w:jc w:val="center"/>
        <w:rPr>
          <w:sz w:val="22"/>
          <w:szCs w:val="22"/>
          <w:lang w:val="nl-NL"/>
        </w:rPr>
      </w:pPr>
    </w:p>
    <w:p w14:paraId="7A52C08B" w14:textId="77777777" w:rsidR="0047074A" w:rsidRPr="00A568A1" w:rsidRDefault="0047074A" w:rsidP="005D4293">
      <w:pPr>
        <w:pStyle w:val="Default"/>
        <w:rPr>
          <w:sz w:val="22"/>
          <w:szCs w:val="22"/>
          <w:lang w:val="nl-NL"/>
        </w:rPr>
      </w:pPr>
    </w:p>
    <w:p w14:paraId="2A556F4A" w14:textId="4CC04935" w:rsidR="00075664" w:rsidRPr="00A568A1" w:rsidRDefault="00075664" w:rsidP="005D4293">
      <w:pPr>
        <w:pStyle w:val="Default"/>
        <w:outlineLvl w:val="0"/>
        <w:rPr>
          <w:sz w:val="22"/>
          <w:szCs w:val="22"/>
          <w:lang w:val="nl-NL"/>
        </w:rPr>
      </w:pPr>
      <w:r w:rsidRPr="00A568A1">
        <w:rPr>
          <w:sz w:val="22"/>
          <w:szCs w:val="22"/>
          <w:lang w:val="nl-NL"/>
        </w:rPr>
        <w:t xml:space="preserve">Ông </w:t>
      </w:r>
      <w:r w:rsidR="00603414">
        <w:rPr>
          <w:b/>
          <w:sz w:val="22"/>
          <w:szCs w:val="22"/>
          <w:lang w:val="nl-NL"/>
        </w:rPr>
        <w:t>Lê Hoàng Anh</w:t>
      </w:r>
    </w:p>
    <w:p w14:paraId="2A9B2680" w14:textId="7E2A9F14" w:rsidR="00075664" w:rsidRPr="00A568A1" w:rsidRDefault="00F36CA9" w:rsidP="005D4293">
      <w:pPr>
        <w:jc w:val="left"/>
        <w:rPr>
          <w:lang w:val="nl-NL"/>
        </w:rPr>
      </w:pPr>
      <w:r>
        <w:rPr>
          <w:lang w:val="nl-NL"/>
        </w:rPr>
        <w:t xml:space="preserve">Quyền </w:t>
      </w:r>
      <w:r w:rsidR="00CD2855">
        <w:rPr>
          <w:lang w:val="nl-NL"/>
        </w:rPr>
        <w:t>G</w:t>
      </w:r>
      <w:r w:rsidR="00075664" w:rsidRPr="00A568A1">
        <w:rPr>
          <w:lang w:val="nl-NL"/>
        </w:rPr>
        <w:t>iám đốc</w:t>
      </w:r>
      <w:r w:rsidR="00CD2855">
        <w:rPr>
          <w:lang w:val="nl-NL"/>
        </w:rPr>
        <w:t xml:space="preserve"> </w:t>
      </w:r>
      <w:r w:rsidR="00075664" w:rsidRPr="00A568A1">
        <w:rPr>
          <w:lang w:val="nl-NL"/>
        </w:rPr>
        <w:t>Nghiệp vụ hỗ trợ đầu tư</w:t>
      </w:r>
    </w:p>
    <w:p w14:paraId="459958DD" w14:textId="77777777" w:rsidR="002C4E2E" w:rsidRPr="00A568A1" w:rsidRDefault="002C4E2E">
      <w:pPr>
        <w:rPr>
          <w:lang w:val="nl-NL"/>
        </w:rPr>
      </w:pPr>
    </w:p>
    <w:sectPr w:rsidR="002C4E2E" w:rsidRPr="00A568A1" w:rsidSect="006E4342">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E7AD6" w14:textId="77777777" w:rsidR="006E4342" w:rsidRDefault="006E4342" w:rsidP="009E08DA">
      <w:r>
        <w:separator/>
      </w:r>
    </w:p>
  </w:endnote>
  <w:endnote w:type="continuationSeparator" w:id="0">
    <w:p w14:paraId="4B929121" w14:textId="77777777" w:rsidR="006E4342" w:rsidRDefault="006E4342"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FAB59" w14:textId="77777777" w:rsidR="006E4342" w:rsidRDefault="006E4342" w:rsidP="009E08DA">
      <w:r>
        <w:separator/>
      </w:r>
    </w:p>
  </w:footnote>
  <w:footnote w:type="continuationSeparator" w:id="0">
    <w:p w14:paraId="2402F58D" w14:textId="77777777" w:rsidR="006E4342" w:rsidRDefault="006E4342"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D3C53"/>
    <w:multiLevelType w:val="hybridMultilevel"/>
    <w:tmpl w:val="18E6B33E"/>
    <w:lvl w:ilvl="0" w:tplc="A01A6D32">
      <w:start w:val="3"/>
      <w:numFmt w:val="bullet"/>
      <w:lvlText w:val="-"/>
      <w:lvlJc w:val="left"/>
      <w:pPr>
        <w:ind w:left="720" w:hanging="360"/>
      </w:pPr>
      <w:rPr>
        <w:rFonts w:ascii="Tms Rmn" w:eastAsia="Times New Roman" w:hAnsi="Tms Rm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413EF"/>
    <w:multiLevelType w:val="hybridMultilevel"/>
    <w:tmpl w:val="59F4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0668C"/>
    <w:multiLevelType w:val="hybridMultilevel"/>
    <w:tmpl w:val="0582C69C"/>
    <w:lvl w:ilvl="0" w:tplc="9AE25C5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CB27340"/>
    <w:multiLevelType w:val="multilevel"/>
    <w:tmpl w:val="75E0A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975227">
    <w:abstractNumId w:val="1"/>
  </w:num>
  <w:num w:numId="2" w16cid:durableId="1219901828">
    <w:abstractNumId w:val="4"/>
  </w:num>
  <w:num w:numId="3" w16cid:durableId="669993034">
    <w:abstractNumId w:val="6"/>
  </w:num>
  <w:num w:numId="4" w16cid:durableId="1730837814">
    <w:abstractNumId w:val="5"/>
  </w:num>
  <w:num w:numId="5" w16cid:durableId="395396543">
    <w:abstractNumId w:val="2"/>
  </w:num>
  <w:num w:numId="6" w16cid:durableId="1641687552">
    <w:abstractNumId w:val="0"/>
  </w:num>
  <w:num w:numId="7" w16cid:durableId="1175807973">
    <w:abstractNumId w:val="0"/>
  </w:num>
  <w:num w:numId="8" w16cid:durableId="73403079">
    <w:abstractNumId w:val="0"/>
  </w:num>
  <w:num w:numId="9" w16cid:durableId="2068067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13805"/>
    <w:rsid w:val="00016410"/>
    <w:rsid w:val="000179F6"/>
    <w:rsid w:val="00022454"/>
    <w:rsid w:val="0002505A"/>
    <w:rsid w:val="00036797"/>
    <w:rsid w:val="00043FCE"/>
    <w:rsid w:val="00044988"/>
    <w:rsid w:val="00054C1B"/>
    <w:rsid w:val="00063B00"/>
    <w:rsid w:val="00075664"/>
    <w:rsid w:val="00080A0E"/>
    <w:rsid w:val="00080F3E"/>
    <w:rsid w:val="000826C8"/>
    <w:rsid w:val="00082E3B"/>
    <w:rsid w:val="000846BD"/>
    <w:rsid w:val="00087841"/>
    <w:rsid w:val="00092961"/>
    <w:rsid w:val="0009340B"/>
    <w:rsid w:val="00093B08"/>
    <w:rsid w:val="00095C23"/>
    <w:rsid w:val="0009769C"/>
    <w:rsid w:val="000B0E67"/>
    <w:rsid w:val="000B1E3F"/>
    <w:rsid w:val="000B5F33"/>
    <w:rsid w:val="000C7991"/>
    <w:rsid w:val="000D297F"/>
    <w:rsid w:val="000D6BB4"/>
    <w:rsid w:val="000E34B6"/>
    <w:rsid w:val="000E53BB"/>
    <w:rsid w:val="00106E97"/>
    <w:rsid w:val="00107B88"/>
    <w:rsid w:val="0011628C"/>
    <w:rsid w:val="00120984"/>
    <w:rsid w:val="00123AF4"/>
    <w:rsid w:val="00132C78"/>
    <w:rsid w:val="001401A0"/>
    <w:rsid w:val="00152146"/>
    <w:rsid w:val="00165305"/>
    <w:rsid w:val="0017452D"/>
    <w:rsid w:val="00175C9A"/>
    <w:rsid w:val="00176937"/>
    <w:rsid w:val="00176CD6"/>
    <w:rsid w:val="0017753E"/>
    <w:rsid w:val="001A7CB2"/>
    <w:rsid w:val="001C2728"/>
    <w:rsid w:val="001C4A58"/>
    <w:rsid w:val="001C5B84"/>
    <w:rsid w:val="001D3C13"/>
    <w:rsid w:val="001E0F3F"/>
    <w:rsid w:val="001E6D1D"/>
    <w:rsid w:val="001E6E92"/>
    <w:rsid w:val="001E776D"/>
    <w:rsid w:val="001F1405"/>
    <w:rsid w:val="001F20E1"/>
    <w:rsid w:val="001F49A2"/>
    <w:rsid w:val="0020413C"/>
    <w:rsid w:val="002101E4"/>
    <w:rsid w:val="00211FE2"/>
    <w:rsid w:val="00225E6A"/>
    <w:rsid w:val="00226541"/>
    <w:rsid w:val="00232A77"/>
    <w:rsid w:val="00234470"/>
    <w:rsid w:val="0023475F"/>
    <w:rsid w:val="00244062"/>
    <w:rsid w:val="00245CAA"/>
    <w:rsid w:val="00246777"/>
    <w:rsid w:val="0025250B"/>
    <w:rsid w:val="00253EA8"/>
    <w:rsid w:val="0025637F"/>
    <w:rsid w:val="002668D1"/>
    <w:rsid w:val="00274930"/>
    <w:rsid w:val="002749E0"/>
    <w:rsid w:val="002774BC"/>
    <w:rsid w:val="00284775"/>
    <w:rsid w:val="00290722"/>
    <w:rsid w:val="0029227C"/>
    <w:rsid w:val="002A36C9"/>
    <w:rsid w:val="002A54C7"/>
    <w:rsid w:val="002B2A59"/>
    <w:rsid w:val="002B6C89"/>
    <w:rsid w:val="002C0559"/>
    <w:rsid w:val="002C4E2E"/>
    <w:rsid w:val="002C5D0D"/>
    <w:rsid w:val="003114E2"/>
    <w:rsid w:val="00313A22"/>
    <w:rsid w:val="0032337C"/>
    <w:rsid w:val="00340903"/>
    <w:rsid w:val="00350584"/>
    <w:rsid w:val="0035177E"/>
    <w:rsid w:val="00355147"/>
    <w:rsid w:val="00366417"/>
    <w:rsid w:val="00366C9B"/>
    <w:rsid w:val="00372BE6"/>
    <w:rsid w:val="00373279"/>
    <w:rsid w:val="003824C0"/>
    <w:rsid w:val="00385368"/>
    <w:rsid w:val="003912EB"/>
    <w:rsid w:val="003917B9"/>
    <w:rsid w:val="00394081"/>
    <w:rsid w:val="00394810"/>
    <w:rsid w:val="003A0BEE"/>
    <w:rsid w:val="003A3C8F"/>
    <w:rsid w:val="003B4575"/>
    <w:rsid w:val="003C4ED4"/>
    <w:rsid w:val="003D12A0"/>
    <w:rsid w:val="003D1E27"/>
    <w:rsid w:val="003D3446"/>
    <w:rsid w:val="003D3A48"/>
    <w:rsid w:val="003D463D"/>
    <w:rsid w:val="003E6F14"/>
    <w:rsid w:val="003F72E3"/>
    <w:rsid w:val="00400B5F"/>
    <w:rsid w:val="00402BB0"/>
    <w:rsid w:val="00403309"/>
    <w:rsid w:val="00404A7F"/>
    <w:rsid w:val="00416965"/>
    <w:rsid w:val="004229B0"/>
    <w:rsid w:val="00426859"/>
    <w:rsid w:val="00426BCD"/>
    <w:rsid w:val="004275BD"/>
    <w:rsid w:val="00435071"/>
    <w:rsid w:val="004370D9"/>
    <w:rsid w:val="00447ACC"/>
    <w:rsid w:val="004502F3"/>
    <w:rsid w:val="00450757"/>
    <w:rsid w:val="0045686A"/>
    <w:rsid w:val="00457727"/>
    <w:rsid w:val="00463110"/>
    <w:rsid w:val="00466FF4"/>
    <w:rsid w:val="0047074A"/>
    <w:rsid w:val="00476042"/>
    <w:rsid w:val="004804D6"/>
    <w:rsid w:val="004829AC"/>
    <w:rsid w:val="004832B2"/>
    <w:rsid w:val="0048672C"/>
    <w:rsid w:val="00487EFF"/>
    <w:rsid w:val="0049333A"/>
    <w:rsid w:val="004972E2"/>
    <w:rsid w:val="00497421"/>
    <w:rsid w:val="004A1F44"/>
    <w:rsid w:val="004A2DF4"/>
    <w:rsid w:val="004C0114"/>
    <w:rsid w:val="004C57E9"/>
    <w:rsid w:val="004C5DA7"/>
    <w:rsid w:val="004C7E2D"/>
    <w:rsid w:val="004E27B1"/>
    <w:rsid w:val="004E4306"/>
    <w:rsid w:val="004E485F"/>
    <w:rsid w:val="004E5119"/>
    <w:rsid w:val="004E5B61"/>
    <w:rsid w:val="004E7320"/>
    <w:rsid w:val="004F368F"/>
    <w:rsid w:val="005002A6"/>
    <w:rsid w:val="00504B45"/>
    <w:rsid w:val="005125AA"/>
    <w:rsid w:val="00512A70"/>
    <w:rsid w:val="00513296"/>
    <w:rsid w:val="0052097E"/>
    <w:rsid w:val="00522644"/>
    <w:rsid w:val="0052314B"/>
    <w:rsid w:val="00530A1A"/>
    <w:rsid w:val="00535524"/>
    <w:rsid w:val="00542777"/>
    <w:rsid w:val="00544CA3"/>
    <w:rsid w:val="0055083F"/>
    <w:rsid w:val="005510DD"/>
    <w:rsid w:val="00551626"/>
    <w:rsid w:val="005619F4"/>
    <w:rsid w:val="00565C56"/>
    <w:rsid w:val="00566C62"/>
    <w:rsid w:val="005705B6"/>
    <w:rsid w:val="00570AE7"/>
    <w:rsid w:val="00572633"/>
    <w:rsid w:val="005737A9"/>
    <w:rsid w:val="00573C16"/>
    <w:rsid w:val="00575ED4"/>
    <w:rsid w:val="00577F44"/>
    <w:rsid w:val="00580FFA"/>
    <w:rsid w:val="00590B11"/>
    <w:rsid w:val="005934DA"/>
    <w:rsid w:val="005A4F97"/>
    <w:rsid w:val="005A78F8"/>
    <w:rsid w:val="005B0080"/>
    <w:rsid w:val="005B648C"/>
    <w:rsid w:val="005D4293"/>
    <w:rsid w:val="005D5B2D"/>
    <w:rsid w:val="005E3940"/>
    <w:rsid w:val="005F47D7"/>
    <w:rsid w:val="00601A76"/>
    <w:rsid w:val="00603414"/>
    <w:rsid w:val="0060509C"/>
    <w:rsid w:val="00606739"/>
    <w:rsid w:val="00607F1F"/>
    <w:rsid w:val="00610DF0"/>
    <w:rsid w:val="00615659"/>
    <w:rsid w:val="006278E7"/>
    <w:rsid w:val="006301E3"/>
    <w:rsid w:val="00633094"/>
    <w:rsid w:val="00633C58"/>
    <w:rsid w:val="00635182"/>
    <w:rsid w:val="00640481"/>
    <w:rsid w:val="00641ADE"/>
    <w:rsid w:val="00641C75"/>
    <w:rsid w:val="0064405E"/>
    <w:rsid w:val="00645C59"/>
    <w:rsid w:val="00652FA4"/>
    <w:rsid w:val="0066430A"/>
    <w:rsid w:val="00670E54"/>
    <w:rsid w:val="006721C1"/>
    <w:rsid w:val="00677BFB"/>
    <w:rsid w:val="00680C93"/>
    <w:rsid w:val="00692EE2"/>
    <w:rsid w:val="00694208"/>
    <w:rsid w:val="00697D3D"/>
    <w:rsid w:val="006A56BF"/>
    <w:rsid w:val="006A7B09"/>
    <w:rsid w:val="006B3E49"/>
    <w:rsid w:val="006B6AFD"/>
    <w:rsid w:val="006B7B82"/>
    <w:rsid w:val="006C70CB"/>
    <w:rsid w:val="006D031B"/>
    <w:rsid w:val="006D37C3"/>
    <w:rsid w:val="006D3E1B"/>
    <w:rsid w:val="006D4216"/>
    <w:rsid w:val="006D6DA6"/>
    <w:rsid w:val="006E064C"/>
    <w:rsid w:val="006E4342"/>
    <w:rsid w:val="006E6A60"/>
    <w:rsid w:val="006F1D84"/>
    <w:rsid w:val="006F307E"/>
    <w:rsid w:val="006F610E"/>
    <w:rsid w:val="007052E7"/>
    <w:rsid w:val="00705B16"/>
    <w:rsid w:val="00707AD1"/>
    <w:rsid w:val="0071429B"/>
    <w:rsid w:val="007145EC"/>
    <w:rsid w:val="007159DC"/>
    <w:rsid w:val="00722CDB"/>
    <w:rsid w:val="0073505C"/>
    <w:rsid w:val="00745CEF"/>
    <w:rsid w:val="0075113D"/>
    <w:rsid w:val="00752A92"/>
    <w:rsid w:val="007568F7"/>
    <w:rsid w:val="00756929"/>
    <w:rsid w:val="00763158"/>
    <w:rsid w:val="0077137C"/>
    <w:rsid w:val="00771D89"/>
    <w:rsid w:val="007813CC"/>
    <w:rsid w:val="00790118"/>
    <w:rsid w:val="007922E7"/>
    <w:rsid w:val="00792663"/>
    <w:rsid w:val="007B01F5"/>
    <w:rsid w:val="007B1FAE"/>
    <w:rsid w:val="007B2AC5"/>
    <w:rsid w:val="007C037D"/>
    <w:rsid w:val="007C110A"/>
    <w:rsid w:val="007C2B6B"/>
    <w:rsid w:val="007C33B4"/>
    <w:rsid w:val="007C4260"/>
    <w:rsid w:val="007C46BA"/>
    <w:rsid w:val="007D65FE"/>
    <w:rsid w:val="007E2087"/>
    <w:rsid w:val="007F094F"/>
    <w:rsid w:val="007F3301"/>
    <w:rsid w:val="007F7A81"/>
    <w:rsid w:val="0080320B"/>
    <w:rsid w:val="00811189"/>
    <w:rsid w:val="00812C5D"/>
    <w:rsid w:val="00816F3B"/>
    <w:rsid w:val="0082540D"/>
    <w:rsid w:val="00833532"/>
    <w:rsid w:val="008400C4"/>
    <w:rsid w:val="00845D12"/>
    <w:rsid w:val="00850649"/>
    <w:rsid w:val="00850BA9"/>
    <w:rsid w:val="00850F1A"/>
    <w:rsid w:val="0086182E"/>
    <w:rsid w:val="00863DB0"/>
    <w:rsid w:val="0086408D"/>
    <w:rsid w:val="00874CE8"/>
    <w:rsid w:val="00876B8C"/>
    <w:rsid w:val="00880384"/>
    <w:rsid w:val="00882D24"/>
    <w:rsid w:val="0088508B"/>
    <w:rsid w:val="00887BAE"/>
    <w:rsid w:val="008A0CBE"/>
    <w:rsid w:val="008A73A1"/>
    <w:rsid w:val="008B0CE8"/>
    <w:rsid w:val="008B3CC7"/>
    <w:rsid w:val="008B45C4"/>
    <w:rsid w:val="008B5A73"/>
    <w:rsid w:val="008B605C"/>
    <w:rsid w:val="008C1451"/>
    <w:rsid w:val="008C4C58"/>
    <w:rsid w:val="008D3C20"/>
    <w:rsid w:val="008E01F5"/>
    <w:rsid w:val="008E167F"/>
    <w:rsid w:val="008E530F"/>
    <w:rsid w:val="008F4EB5"/>
    <w:rsid w:val="008F6ABE"/>
    <w:rsid w:val="008F7F8C"/>
    <w:rsid w:val="00912603"/>
    <w:rsid w:val="00915192"/>
    <w:rsid w:val="009247B1"/>
    <w:rsid w:val="00926E49"/>
    <w:rsid w:val="0092708B"/>
    <w:rsid w:val="0092743E"/>
    <w:rsid w:val="00933D1A"/>
    <w:rsid w:val="00934B90"/>
    <w:rsid w:val="00935944"/>
    <w:rsid w:val="00941EC9"/>
    <w:rsid w:val="009459F6"/>
    <w:rsid w:val="0095025D"/>
    <w:rsid w:val="00952125"/>
    <w:rsid w:val="00952CF9"/>
    <w:rsid w:val="00955C41"/>
    <w:rsid w:val="00960BB3"/>
    <w:rsid w:val="00961818"/>
    <w:rsid w:val="009620E6"/>
    <w:rsid w:val="00964310"/>
    <w:rsid w:val="00965189"/>
    <w:rsid w:val="00970C91"/>
    <w:rsid w:val="00972C70"/>
    <w:rsid w:val="00974C17"/>
    <w:rsid w:val="00974D3B"/>
    <w:rsid w:val="00976497"/>
    <w:rsid w:val="00982B7C"/>
    <w:rsid w:val="0099595A"/>
    <w:rsid w:val="00997CEE"/>
    <w:rsid w:val="009A1922"/>
    <w:rsid w:val="009B37B7"/>
    <w:rsid w:val="009B6DC5"/>
    <w:rsid w:val="009C0B17"/>
    <w:rsid w:val="009C51CC"/>
    <w:rsid w:val="009C59AA"/>
    <w:rsid w:val="009D0A95"/>
    <w:rsid w:val="009D0D1D"/>
    <w:rsid w:val="009D2B2F"/>
    <w:rsid w:val="009D2C51"/>
    <w:rsid w:val="009D6654"/>
    <w:rsid w:val="009E05F8"/>
    <w:rsid w:val="009E08DA"/>
    <w:rsid w:val="009E0959"/>
    <w:rsid w:val="009E3038"/>
    <w:rsid w:val="009F39D7"/>
    <w:rsid w:val="009F6F1D"/>
    <w:rsid w:val="00A037E9"/>
    <w:rsid w:val="00A079A4"/>
    <w:rsid w:val="00A11BB2"/>
    <w:rsid w:val="00A212DA"/>
    <w:rsid w:val="00A2278A"/>
    <w:rsid w:val="00A259C5"/>
    <w:rsid w:val="00A2650A"/>
    <w:rsid w:val="00A32F2E"/>
    <w:rsid w:val="00A4781C"/>
    <w:rsid w:val="00A52A29"/>
    <w:rsid w:val="00A541E2"/>
    <w:rsid w:val="00A54A49"/>
    <w:rsid w:val="00A56738"/>
    <w:rsid w:val="00A568A1"/>
    <w:rsid w:val="00A570AB"/>
    <w:rsid w:val="00A6160A"/>
    <w:rsid w:val="00A70582"/>
    <w:rsid w:val="00A7653B"/>
    <w:rsid w:val="00A769E9"/>
    <w:rsid w:val="00A77411"/>
    <w:rsid w:val="00A77603"/>
    <w:rsid w:val="00AA27DB"/>
    <w:rsid w:val="00AA3D62"/>
    <w:rsid w:val="00AA6191"/>
    <w:rsid w:val="00AB1933"/>
    <w:rsid w:val="00AB1B20"/>
    <w:rsid w:val="00AB2D8E"/>
    <w:rsid w:val="00AB4221"/>
    <w:rsid w:val="00AC1335"/>
    <w:rsid w:val="00AC4732"/>
    <w:rsid w:val="00AC5FCB"/>
    <w:rsid w:val="00AD2F2A"/>
    <w:rsid w:val="00AD69C1"/>
    <w:rsid w:val="00AE34AA"/>
    <w:rsid w:val="00AE7990"/>
    <w:rsid w:val="00AF7162"/>
    <w:rsid w:val="00B017FB"/>
    <w:rsid w:val="00B17701"/>
    <w:rsid w:val="00B325D5"/>
    <w:rsid w:val="00B342C4"/>
    <w:rsid w:val="00B47CF5"/>
    <w:rsid w:val="00B47FA3"/>
    <w:rsid w:val="00B50370"/>
    <w:rsid w:val="00B575FE"/>
    <w:rsid w:val="00B75792"/>
    <w:rsid w:val="00B8132E"/>
    <w:rsid w:val="00B91012"/>
    <w:rsid w:val="00B9108C"/>
    <w:rsid w:val="00BA72BE"/>
    <w:rsid w:val="00BB0830"/>
    <w:rsid w:val="00BB7F48"/>
    <w:rsid w:val="00BC34A9"/>
    <w:rsid w:val="00BD2B1F"/>
    <w:rsid w:val="00BE05A6"/>
    <w:rsid w:val="00BE0E4F"/>
    <w:rsid w:val="00BF4FDB"/>
    <w:rsid w:val="00BF5C66"/>
    <w:rsid w:val="00C04697"/>
    <w:rsid w:val="00C10D99"/>
    <w:rsid w:val="00C158B1"/>
    <w:rsid w:val="00C16F01"/>
    <w:rsid w:val="00C17747"/>
    <w:rsid w:val="00C249C0"/>
    <w:rsid w:val="00C3036C"/>
    <w:rsid w:val="00C3063B"/>
    <w:rsid w:val="00C306E9"/>
    <w:rsid w:val="00C40991"/>
    <w:rsid w:val="00C44910"/>
    <w:rsid w:val="00C6530D"/>
    <w:rsid w:val="00C65828"/>
    <w:rsid w:val="00C710C4"/>
    <w:rsid w:val="00C75B60"/>
    <w:rsid w:val="00C76BED"/>
    <w:rsid w:val="00C770D1"/>
    <w:rsid w:val="00C90F11"/>
    <w:rsid w:val="00C91585"/>
    <w:rsid w:val="00C916C7"/>
    <w:rsid w:val="00C91B38"/>
    <w:rsid w:val="00C9483C"/>
    <w:rsid w:val="00C94B13"/>
    <w:rsid w:val="00CA22F1"/>
    <w:rsid w:val="00CA26BB"/>
    <w:rsid w:val="00CA2A0D"/>
    <w:rsid w:val="00CA5492"/>
    <w:rsid w:val="00CB1372"/>
    <w:rsid w:val="00CB424E"/>
    <w:rsid w:val="00CC345F"/>
    <w:rsid w:val="00CD2855"/>
    <w:rsid w:val="00CD5705"/>
    <w:rsid w:val="00CE1177"/>
    <w:rsid w:val="00CE7654"/>
    <w:rsid w:val="00CF1388"/>
    <w:rsid w:val="00CF23FF"/>
    <w:rsid w:val="00CF4361"/>
    <w:rsid w:val="00CF5132"/>
    <w:rsid w:val="00D03C67"/>
    <w:rsid w:val="00D045F5"/>
    <w:rsid w:val="00D0623E"/>
    <w:rsid w:val="00D063DE"/>
    <w:rsid w:val="00D105FC"/>
    <w:rsid w:val="00D12E12"/>
    <w:rsid w:val="00D1455E"/>
    <w:rsid w:val="00D16159"/>
    <w:rsid w:val="00D20CDF"/>
    <w:rsid w:val="00D23AD2"/>
    <w:rsid w:val="00D30ADD"/>
    <w:rsid w:val="00D334E9"/>
    <w:rsid w:val="00D34DC8"/>
    <w:rsid w:val="00D50B4E"/>
    <w:rsid w:val="00D6644C"/>
    <w:rsid w:val="00D71CFA"/>
    <w:rsid w:val="00D7296C"/>
    <w:rsid w:val="00D811DD"/>
    <w:rsid w:val="00D8731D"/>
    <w:rsid w:val="00D9446C"/>
    <w:rsid w:val="00DA07C2"/>
    <w:rsid w:val="00DA1597"/>
    <w:rsid w:val="00DA7BDA"/>
    <w:rsid w:val="00DC08C6"/>
    <w:rsid w:val="00DC3FE4"/>
    <w:rsid w:val="00DC4E5D"/>
    <w:rsid w:val="00DD21F6"/>
    <w:rsid w:val="00DD2C3A"/>
    <w:rsid w:val="00DD5A7E"/>
    <w:rsid w:val="00DE4A4E"/>
    <w:rsid w:val="00DF1D7F"/>
    <w:rsid w:val="00DF2AC9"/>
    <w:rsid w:val="00DF69D3"/>
    <w:rsid w:val="00DF794E"/>
    <w:rsid w:val="00E008F4"/>
    <w:rsid w:val="00E16367"/>
    <w:rsid w:val="00E46993"/>
    <w:rsid w:val="00E501B6"/>
    <w:rsid w:val="00E50B2C"/>
    <w:rsid w:val="00E52219"/>
    <w:rsid w:val="00E525AD"/>
    <w:rsid w:val="00E541B1"/>
    <w:rsid w:val="00E557D7"/>
    <w:rsid w:val="00E55F36"/>
    <w:rsid w:val="00E65CA4"/>
    <w:rsid w:val="00E73E00"/>
    <w:rsid w:val="00E77E76"/>
    <w:rsid w:val="00E803B9"/>
    <w:rsid w:val="00E85DFE"/>
    <w:rsid w:val="00E92F45"/>
    <w:rsid w:val="00E971AB"/>
    <w:rsid w:val="00E978C0"/>
    <w:rsid w:val="00EA29A0"/>
    <w:rsid w:val="00EA4317"/>
    <w:rsid w:val="00EB0328"/>
    <w:rsid w:val="00EB3E0E"/>
    <w:rsid w:val="00EB693E"/>
    <w:rsid w:val="00EC3F05"/>
    <w:rsid w:val="00EC58DB"/>
    <w:rsid w:val="00ED0B29"/>
    <w:rsid w:val="00ED536C"/>
    <w:rsid w:val="00EE5D88"/>
    <w:rsid w:val="00EF4210"/>
    <w:rsid w:val="00EF61B0"/>
    <w:rsid w:val="00F067EE"/>
    <w:rsid w:val="00F13047"/>
    <w:rsid w:val="00F24F2B"/>
    <w:rsid w:val="00F36407"/>
    <w:rsid w:val="00F36CA9"/>
    <w:rsid w:val="00F46AA4"/>
    <w:rsid w:val="00F510D1"/>
    <w:rsid w:val="00F53017"/>
    <w:rsid w:val="00F55C26"/>
    <w:rsid w:val="00F73FE7"/>
    <w:rsid w:val="00F826E6"/>
    <w:rsid w:val="00F95ABD"/>
    <w:rsid w:val="00F96936"/>
    <w:rsid w:val="00FA4847"/>
    <w:rsid w:val="00FA7DD5"/>
    <w:rsid w:val="00FB0B17"/>
    <w:rsid w:val="00FC29AD"/>
    <w:rsid w:val="00FC3E40"/>
    <w:rsid w:val="00FC47A0"/>
    <w:rsid w:val="00FD023D"/>
    <w:rsid w:val="00FD0B5F"/>
    <w:rsid w:val="00FD28D2"/>
    <w:rsid w:val="00FD6F97"/>
    <w:rsid w:val="00FE0A69"/>
    <w:rsid w:val="00FE166B"/>
    <w:rsid w:val="00FE2428"/>
    <w:rsid w:val="00FE44A9"/>
    <w:rsid w:val="00FE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Top headings"/>
    <w:basedOn w:val="Normal"/>
    <w:link w:val="ListParagraphChar"/>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 w:type="paragraph" w:styleId="BodyText">
    <w:name w:val="Body Text"/>
    <w:basedOn w:val="Normal"/>
    <w:link w:val="BodyTextChar"/>
    <w:rsid w:val="00A7653B"/>
    <w:pPr>
      <w:spacing w:after="260"/>
    </w:pPr>
  </w:style>
  <w:style w:type="character" w:customStyle="1" w:styleId="BodyTextChar">
    <w:name w:val="Body Text Char"/>
    <w:basedOn w:val="DefaultParagraphFont"/>
    <w:link w:val="BodyText"/>
    <w:rsid w:val="00A7653B"/>
    <w:rPr>
      <w:rFonts w:ascii="Times New Roman" w:eastAsia="Times New Roman" w:hAnsi="Times New Roman" w:cs="Times New Roman"/>
      <w:szCs w:val="20"/>
      <w:lang w:val="en-GB"/>
    </w:rPr>
  </w:style>
  <w:style w:type="character" w:customStyle="1" w:styleId="ListParagraphChar">
    <w:name w:val="List Paragraph Char"/>
    <w:aliases w:val="Top headings Char"/>
    <w:link w:val="ListParagraph"/>
    <w:uiPriority w:val="34"/>
    <w:locked/>
    <w:rsid w:val="00BE05A6"/>
    <w:rPr>
      <w:rFonts w:ascii="Calibri" w:eastAsia="Calibri" w:hAnsi="Calibri" w:cs="Times New Roman"/>
    </w:rPr>
  </w:style>
  <w:style w:type="character" w:customStyle="1" w:styleId="ui-provider">
    <w:name w:val="ui-provider"/>
    <w:basedOn w:val="DefaultParagraphFont"/>
    <w:rsid w:val="00D7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5504">
      <w:bodyDiv w:val="1"/>
      <w:marLeft w:val="0"/>
      <w:marRight w:val="0"/>
      <w:marTop w:val="0"/>
      <w:marBottom w:val="0"/>
      <w:divBdr>
        <w:top w:val="none" w:sz="0" w:space="0" w:color="auto"/>
        <w:left w:val="none" w:sz="0" w:space="0" w:color="auto"/>
        <w:bottom w:val="none" w:sz="0" w:space="0" w:color="auto"/>
        <w:right w:val="none" w:sz="0" w:space="0" w:color="auto"/>
      </w:divBdr>
    </w:div>
    <w:div w:id="35586649">
      <w:bodyDiv w:val="1"/>
      <w:marLeft w:val="0"/>
      <w:marRight w:val="0"/>
      <w:marTop w:val="0"/>
      <w:marBottom w:val="0"/>
      <w:divBdr>
        <w:top w:val="none" w:sz="0" w:space="0" w:color="auto"/>
        <w:left w:val="none" w:sz="0" w:space="0" w:color="auto"/>
        <w:bottom w:val="none" w:sz="0" w:space="0" w:color="auto"/>
        <w:right w:val="none" w:sz="0" w:space="0" w:color="auto"/>
      </w:divBdr>
    </w:div>
    <w:div w:id="49505054">
      <w:bodyDiv w:val="1"/>
      <w:marLeft w:val="0"/>
      <w:marRight w:val="0"/>
      <w:marTop w:val="0"/>
      <w:marBottom w:val="0"/>
      <w:divBdr>
        <w:top w:val="none" w:sz="0" w:space="0" w:color="auto"/>
        <w:left w:val="none" w:sz="0" w:space="0" w:color="auto"/>
        <w:bottom w:val="none" w:sz="0" w:space="0" w:color="auto"/>
        <w:right w:val="none" w:sz="0" w:space="0" w:color="auto"/>
      </w:divBdr>
    </w:div>
    <w:div w:id="85272624">
      <w:bodyDiv w:val="1"/>
      <w:marLeft w:val="0"/>
      <w:marRight w:val="0"/>
      <w:marTop w:val="0"/>
      <w:marBottom w:val="0"/>
      <w:divBdr>
        <w:top w:val="none" w:sz="0" w:space="0" w:color="auto"/>
        <w:left w:val="none" w:sz="0" w:space="0" w:color="auto"/>
        <w:bottom w:val="none" w:sz="0" w:space="0" w:color="auto"/>
        <w:right w:val="none" w:sz="0" w:space="0" w:color="auto"/>
      </w:divBdr>
    </w:div>
    <w:div w:id="87819747">
      <w:bodyDiv w:val="1"/>
      <w:marLeft w:val="0"/>
      <w:marRight w:val="0"/>
      <w:marTop w:val="0"/>
      <w:marBottom w:val="0"/>
      <w:divBdr>
        <w:top w:val="none" w:sz="0" w:space="0" w:color="auto"/>
        <w:left w:val="none" w:sz="0" w:space="0" w:color="auto"/>
        <w:bottom w:val="none" w:sz="0" w:space="0" w:color="auto"/>
        <w:right w:val="none" w:sz="0" w:space="0" w:color="auto"/>
      </w:divBdr>
    </w:div>
    <w:div w:id="10612408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62018074">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19635585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06649659">
      <w:bodyDiv w:val="1"/>
      <w:marLeft w:val="0"/>
      <w:marRight w:val="0"/>
      <w:marTop w:val="0"/>
      <w:marBottom w:val="0"/>
      <w:divBdr>
        <w:top w:val="none" w:sz="0" w:space="0" w:color="auto"/>
        <w:left w:val="none" w:sz="0" w:space="0" w:color="auto"/>
        <w:bottom w:val="none" w:sz="0" w:space="0" w:color="auto"/>
        <w:right w:val="none" w:sz="0" w:space="0" w:color="auto"/>
      </w:divBdr>
    </w:div>
    <w:div w:id="215629562">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299772885">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24743268">
      <w:bodyDiv w:val="1"/>
      <w:marLeft w:val="0"/>
      <w:marRight w:val="0"/>
      <w:marTop w:val="0"/>
      <w:marBottom w:val="0"/>
      <w:divBdr>
        <w:top w:val="none" w:sz="0" w:space="0" w:color="auto"/>
        <w:left w:val="none" w:sz="0" w:space="0" w:color="auto"/>
        <w:bottom w:val="none" w:sz="0" w:space="0" w:color="auto"/>
        <w:right w:val="none" w:sz="0" w:space="0" w:color="auto"/>
      </w:divBdr>
    </w:div>
    <w:div w:id="328750950">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22066279">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60803246">
      <w:bodyDiv w:val="1"/>
      <w:marLeft w:val="0"/>
      <w:marRight w:val="0"/>
      <w:marTop w:val="0"/>
      <w:marBottom w:val="0"/>
      <w:divBdr>
        <w:top w:val="none" w:sz="0" w:space="0" w:color="auto"/>
        <w:left w:val="none" w:sz="0" w:space="0" w:color="auto"/>
        <w:bottom w:val="none" w:sz="0" w:space="0" w:color="auto"/>
        <w:right w:val="none" w:sz="0" w:space="0" w:color="auto"/>
      </w:divBdr>
    </w:div>
    <w:div w:id="463353620">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478621737">
      <w:bodyDiv w:val="1"/>
      <w:marLeft w:val="0"/>
      <w:marRight w:val="0"/>
      <w:marTop w:val="0"/>
      <w:marBottom w:val="0"/>
      <w:divBdr>
        <w:top w:val="none" w:sz="0" w:space="0" w:color="auto"/>
        <w:left w:val="none" w:sz="0" w:space="0" w:color="auto"/>
        <w:bottom w:val="none" w:sz="0" w:space="0" w:color="auto"/>
        <w:right w:val="none" w:sz="0" w:space="0" w:color="auto"/>
      </w:divBdr>
    </w:div>
    <w:div w:id="489906816">
      <w:bodyDiv w:val="1"/>
      <w:marLeft w:val="0"/>
      <w:marRight w:val="0"/>
      <w:marTop w:val="0"/>
      <w:marBottom w:val="0"/>
      <w:divBdr>
        <w:top w:val="none" w:sz="0" w:space="0" w:color="auto"/>
        <w:left w:val="none" w:sz="0" w:space="0" w:color="auto"/>
        <w:bottom w:val="none" w:sz="0" w:space="0" w:color="auto"/>
        <w:right w:val="none" w:sz="0" w:space="0" w:color="auto"/>
      </w:divBdr>
    </w:div>
    <w:div w:id="532352068">
      <w:bodyDiv w:val="1"/>
      <w:marLeft w:val="0"/>
      <w:marRight w:val="0"/>
      <w:marTop w:val="0"/>
      <w:marBottom w:val="0"/>
      <w:divBdr>
        <w:top w:val="none" w:sz="0" w:space="0" w:color="auto"/>
        <w:left w:val="none" w:sz="0" w:space="0" w:color="auto"/>
        <w:bottom w:val="none" w:sz="0" w:space="0" w:color="auto"/>
        <w:right w:val="none" w:sz="0" w:space="0" w:color="auto"/>
      </w:divBdr>
    </w:div>
    <w:div w:id="561720120">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582374584">
      <w:bodyDiv w:val="1"/>
      <w:marLeft w:val="0"/>
      <w:marRight w:val="0"/>
      <w:marTop w:val="0"/>
      <w:marBottom w:val="0"/>
      <w:divBdr>
        <w:top w:val="none" w:sz="0" w:space="0" w:color="auto"/>
        <w:left w:val="none" w:sz="0" w:space="0" w:color="auto"/>
        <w:bottom w:val="none" w:sz="0" w:space="0" w:color="auto"/>
        <w:right w:val="none" w:sz="0" w:space="0" w:color="auto"/>
      </w:divBdr>
    </w:div>
    <w:div w:id="585650357">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16523810">
      <w:bodyDiv w:val="1"/>
      <w:marLeft w:val="0"/>
      <w:marRight w:val="0"/>
      <w:marTop w:val="0"/>
      <w:marBottom w:val="0"/>
      <w:divBdr>
        <w:top w:val="none" w:sz="0" w:space="0" w:color="auto"/>
        <w:left w:val="none" w:sz="0" w:space="0" w:color="auto"/>
        <w:bottom w:val="none" w:sz="0" w:space="0" w:color="auto"/>
        <w:right w:val="none" w:sz="0" w:space="0" w:color="auto"/>
      </w:divBdr>
    </w:div>
    <w:div w:id="623192260">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30287213">
      <w:bodyDiv w:val="1"/>
      <w:marLeft w:val="0"/>
      <w:marRight w:val="0"/>
      <w:marTop w:val="0"/>
      <w:marBottom w:val="0"/>
      <w:divBdr>
        <w:top w:val="none" w:sz="0" w:space="0" w:color="auto"/>
        <w:left w:val="none" w:sz="0" w:space="0" w:color="auto"/>
        <w:bottom w:val="none" w:sz="0" w:space="0" w:color="auto"/>
        <w:right w:val="none" w:sz="0" w:space="0" w:color="auto"/>
      </w:divBdr>
    </w:div>
    <w:div w:id="631595875">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69016950">
      <w:bodyDiv w:val="1"/>
      <w:marLeft w:val="0"/>
      <w:marRight w:val="0"/>
      <w:marTop w:val="0"/>
      <w:marBottom w:val="0"/>
      <w:divBdr>
        <w:top w:val="none" w:sz="0" w:space="0" w:color="auto"/>
        <w:left w:val="none" w:sz="0" w:space="0" w:color="auto"/>
        <w:bottom w:val="none" w:sz="0" w:space="0" w:color="auto"/>
        <w:right w:val="none" w:sz="0" w:space="0" w:color="auto"/>
      </w:divBdr>
    </w:div>
    <w:div w:id="670526585">
      <w:bodyDiv w:val="1"/>
      <w:marLeft w:val="0"/>
      <w:marRight w:val="0"/>
      <w:marTop w:val="0"/>
      <w:marBottom w:val="0"/>
      <w:divBdr>
        <w:top w:val="none" w:sz="0" w:space="0" w:color="auto"/>
        <w:left w:val="none" w:sz="0" w:space="0" w:color="auto"/>
        <w:bottom w:val="none" w:sz="0" w:space="0" w:color="auto"/>
        <w:right w:val="none" w:sz="0" w:space="0" w:color="auto"/>
      </w:divBdr>
    </w:div>
    <w:div w:id="688410868">
      <w:bodyDiv w:val="1"/>
      <w:marLeft w:val="0"/>
      <w:marRight w:val="0"/>
      <w:marTop w:val="0"/>
      <w:marBottom w:val="0"/>
      <w:divBdr>
        <w:top w:val="none" w:sz="0" w:space="0" w:color="auto"/>
        <w:left w:val="none" w:sz="0" w:space="0" w:color="auto"/>
        <w:bottom w:val="none" w:sz="0" w:space="0" w:color="auto"/>
        <w:right w:val="none" w:sz="0" w:space="0" w:color="auto"/>
      </w:divBdr>
    </w:div>
    <w:div w:id="700203217">
      <w:bodyDiv w:val="1"/>
      <w:marLeft w:val="0"/>
      <w:marRight w:val="0"/>
      <w:marTop w:val="0"/>
      <w:marBottom w:val="0"/>
      <w:divBdr>
        <w:top w:val="none" w:sz="0" w:space="0" w:color="auto"/>
        <w:left w:val="none" w:sz="0" w:space="0" w:color="auto"/>
        <w:bottom w:val="none" w:sz="0" w:space="0" w:color="auto"/>
        <w:right w:val="none" w:sz="0" w:space="0" w:color="auto"/>
      </w:divBdr>
    </w:div>
    <w:div w:id="721289238">
      <w:bodyDiv w:val="1"/>
      <w:marLeft w:val="0"/>
      <w:marRight w:val="0"/>
      <w:marTop w:val="0"/>
      <w:marBottom w:val="0"/>
      <w:divBdr>
        <w:top w:val="none" w:sz="0" w:space="0" w:color="auto"/>
        <w:left w:val="none" w:sz="0" w:space="0" w:color="auto"/>
        <w:bottom w:val="none" w:sz="0" w:space="0" w:color="auto"/>
        <w:right w:val="none" w:sz="0" w:space="0" w:color="auto"/>
      </w:divBdr>
    </w:div>
    <w:div w:id="744566931">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02313693">
      <w:bodyDiv w:val="1"/>
      <w:marLeft w:val="0"/>
      <w:marRight w:val="0"/>
      <w:marTop w:val="0"/>
      <w:marBottom w:val="0"/>
      <w:divBdr>
        <w:top w:val="none" w:sz="0" w:space="0" w:color="auto"/>
        <w:left w:val="none" w:sz="0" w:space="0" w:color="auto"/>
        <w:bottom w:val="none" w:sz="0" w:space="0" w:color="auto"/>
        <w:right w:val="none" w:sz="0" w:space="0" w:color="auto"/>
      </w:divBdr>
    </w:div>
    <w:div w:id="820198029">
      <w:bodyDiv w:val="1"/>
      <w:marLeft w:val="0"/>
      <w:marRight w:val="0"/>
      <w:marTop w:val="0"/>
      <w:marBottom w:val="0"/>
      <w:divBdr>
        <w:top w:val="none" w:sz="0" w:space="0" w:color="auto"/>
        <w:left w:val="none" w:sz="0" w:space="0" w:color="auto"/>
        <w:bottom w:val="none" w:sz="0" w:space="0" w:color="auto"/>
        <w:right w:val="none" w:sz="0" w:space="0" w:color="auto"/>
      </w:divBdr>
    </w:div>
    <w:div w:id="822237473">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59777418">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911281427">
      <w:bodyDiv w:val="1"/>
      <w:marLeft w:val="0"/>
      <w:marRight w:val="0"/>
      <w:marTop w:val="0"/>
      <w:marBottom w:val="0"/>
      <w:divBdr>
        <w:top w:val="none" w:sz="0" w:space="0" w:color="auto"/>
        <w:left w:val="none" w:sz="0" w:space="0" w:color="auto"/>
        <w:bottom w:val="none" w:sz="0" w:space="0" w:color="auto"/>
        <w:right w:val="none" w:sz="0" w:space="0" w:color="auto"/>
      </w:divBdr>
    </w:div>
    <w:div w:id="940835956">
      <w:bodyDiv w:val="1"/>
      <w:marLeft w:val="0"/>
      <w:marRight w:val="0"/>
      <w:marTop w:val="0"/>
      <w:marBottom w:val="0"/>
      <w:divBdr>
        <w:top w:val="none" w:sz="0" w:space="0" w:color="auto"/>
        <w:left w:val="none" w:sz="0" w:space="0" w:color="auto"/>
        <w:bottom w:val="none" w:sz="0" w:space="0" w:color="auto"/>
        <w:right w:val="none" w:sz="0" w:space="0" w:color="auto"/>
      </w:divBdr>
    </w:div>
    <w:div w:id="946280564">
      <w:bodyDiv w:val="1"/>
      <w:marLeft w:val="0"/>
      <w:marRight w:val="0"/>
      <w:marTop w:val="0"/>
      <w:marBottom w:val="0"/>
      <w:divBdr>
        <w:top w:val="none" w:sz="0" w:space="0" w:color="auto"/>
        <w:left w:val="none" w:sz="0" w:space="0" w:color="auto"/>
        <w:bottom w:val="none" w:sz="0" w:space="0" w:color="auto"/>
        <w:right w:val="none" w:sz="0" w:space="0" w:color="auto"/>
      </w:divBdr>
    </w:div>
    <w:div w:id="964195181">
      <w:bodyDiv w:val="1"/>
      <w:marLeft w:val="0"/>
      <w:marRight w:val="0"/>
      <w:marTop w:val="0"/>
      <w:marBottom w:val="0"/>
      <w:divBdr>
        <w:top w:val="none" w:sz="0" w:space="0" w:color="auto"/>
        <w:left w:val="none" w:sz="0" w:space="0" w:color="auto"/>
        <w:bottom w:val="none" w:sz="0" w:space="0" w:color="auto"/>
        <w:right w:val="none" w:sz="0" w:space="0" w:color="auto"/>
      </w:divBdr>
    </w:div>
    <w:div w:id="1003242765">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095798">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3939678">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61559590">
      <w:bodyDiv w:val="1"/>
      <w:marLeft w:val="0"/>
      <w:marRight w:val="0"/>
      <w:marTop w:val="0"/>
      <w:marBottom w:val="0"/>
      <w:divBdr>
        <w:top w:val="none" w:sz="0" w:space="0" w:color="auto"/>
        <w:left w:val="none" w:sz="0" w:space="0" w:color="auto"/>
        <w:bottom w:val="none" w:sz="0" w:space="0" w:color="auto"/>
        <w:right w:val="none" w:sz="0" w:space="0" w:color="auto"/>
      </w:divBdr>
    </w:div>
    <w:div w:id="1091971793">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28206409">
      <w:bodyDiv w:val="1"/>
      <w:marLeft w:val="0"/>
      <w:marRight w:val="0"/>
      <w:marTop w:val="0"/>
      <w:marBottom w:val="0"/>
      <w:divBdr>
        <w:top w:val="none" w:sz="0" w:space="0" w:color="auto"/>
        <w:left w:val="none" w:sz="0" w:space="0" w:color="auto"/>
        <w:bottom w:val="none" w:sz="0" w:space="0" w:color="auto"/>
        <w:right w:val="none" w:sz="0" w:space="0" w:color="auto"/>
      </w:divBdr>
    </w:div>
    <w:div w:id="1137264188">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81891323">
      <w:bodyDiv w:val="1"/>
      <w:marLeft w:val="0"/>
      <w:marRight w:val="0"/>
      <w:marTop w:val="0"/>
      <w:marBottom w:val="0"/>
      <w:divBdr>
        <w:top w:val="none" w:sz="0" w:space="0" w:color="auto"/>
        <w:left w:val="none" w:sz="0" w:space="0" w:color="auto"/>
        <w:bottom w:val="none" w:sz="0" w:space="0" w:color="auto"/>
        <w:right w:val="none" w:sz="0" w:space="0" w:color="auto"/>
      </w:divBdr>
    </w:div>
    <w:div w:id="1203980976">
      <w:bodyDiv w:val="1"/>
      <w:marLeft w:val="0"/>
      <w:marRight w:val="0"/>
      <w:marTop w:val="0"/>
      <w:marBottom w:val="0"/>
      <w:divBdr>
        <w:top w:val="none" w:sz="0" w:space="0" w:color="auto"/>
        <w:left w:val="none" w:sz="0" w:space="0" w:color="auto"/>
        <w:bottom w:val="none" w:sz="0" w:space="0" w:color="auto"/>
        <w:right w:val="none" w:sz="0" w:space="0" w:color="auto"/>
      </w:divBdr>
    </w:div>
    <w:div w:id="1212227658">
      <w:bodyDiv w:val="1"/>
      <w:marLeft w:val="0"/>
      <w:marRight w:val="0"/>
      <w:marTop w:val="0"/>
      <w:marBottom w:val="0"/>
      <w:divBdr>
        <w:top w:val="none" w:sz="0" w:space="0" w:color="auto"/>
        <w:left w:val="none" w:sz="0" w:space="0" w:color="auto"/>
        <w:bottom w:val="none" w:sz="0" w:space="0" w:color="auto"/>
        <w:right w:val="none" w:sz="0" w:space="0" w:color="auto"/>
      </w:divBdr>
    </w:div>
    <w:div w:id="1233387987">
      <w:bodyDiv w:val="1"/>
      <w:marLeft w:val="0"/>
      <w:marRight w:val="0"/>
      <w:marTop w:val="0"/>
      <w:marBottom w:val="0"/>
      <w:divBdr>
        <w:top w:val="none" w:sz="0" w:space="0" w:color="auto"/>
        <w:left w:val="none" w:sz="0" w:space="0" w:color="auto"/>
        <w:bottom w:val="none" w:sz="0" w:space="0" w:color="auto"/>
        <w:right w:val="none" w:sz="0" w:space="0" w:color="auto"/>
      </w:divBdr>
    </w:div>
    <w:div w:id="1245144720">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241256">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295259302">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30449016">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63088040">
      <w:bodyDiv w:val="1"/>
      <w:marLeft w:val="0"/>
      <w:marRight w:val="0"/>
      <w:marTop w:val="0"/>
      <w:marBottom w:val="0"/>
      <w:divBdr>
        <w:top w:val="none" w:sz="0" w:space="0" w:color="auto"/>
        <w:left w:val="none" w:sz="0" w:space="0" w:color="auto"/>
        <w:bottom w:val="none" w:sz="0" w:space="0" w:color="auto"/>
        <w:right w:val="none" w:sz="0" w:space="0" w:color="auto"/>
      </w:divBdr>
    </w:div>
    <w:div w:id="1366982372">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32583735">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495880458">
      <w:bodyDiv w:val="1"/>
      <w:marLeft w:val="0"/>
      <w:marRight w:val="0"/>
      <w:marTop w:val="0"/>
      <w:marBottom w:val="0"/>
      <w:divBdr>
        <w:top w:val="none" w:sz="0" w:space="0" w:color="auto"/>
        <w:left w:val="none" w:sz="0" w:space="0" w:color="auto"/>
        <w:bottom w:val="none" w:sz="0" w:space="0" w:color="auto"/>
        <w:right w:val="none" w:sz="0" w:space="0" w:color="auto"/>
      </w:divBdr>
    </w:div>
    <w:div w:id="1517690099">
      <w:bodyDiv w:val="1"/>
      <w:marLeft w:val="0"/>
      <w:marRight w:val="0"/>
      <w:marTop w:val="0"/>
      <w:marBottom w:val="0"/>
      <w:divBdr>
        <w:top w:val="none" w:sz="0" w:space="0" w:color="auto"/>
        <w:left w:val="none" w:sz="0" w:space="0" w:color="auto"/>
        <w:bottom w:val="none" w:sz="0" w:space="0" w:color="auto"/>
        <w:right w:val="none" w:sz="0" w:space="0" w:color="auto"/>
      </w:divBdr>
    </w:div>
    <w:div w:id="1523207667">
      <w:bodyDiv w:val="1"/>
      <w:marLeft w:val="0"/>
      <w:marRight w:val="0"/>
      <w:marTop w:val="0"/>
      <w:marBottom w:val="0"/>
      <w:divBdr>
        <w:top w:val="none" w:sz="0" w:space="0" w:color="auto"/>
        <w:left w:val="none" w:sz="0" w:space="0" w:color="auto"/>
        <w:bottom w:val="none" w:sz="0" w:space="0" w:color="auto"/>
        <w:right w:val="none" w:sz="0" w:space="0" w:color="auto"/>
      </w:divBdr>
    </w:div>
    <w:div w:id="1527673644">
      <w:bodyDiv w:val="1"/>
      <w:marLeft w:val="0"/>
      <w:marRight w:val="0"/>
      <w:marTop w:val="0"/>
      <w:marBottom w:val="0"/>
      <w:divBdr>
        <w:top w:val="none" w:sz="0" w:space="0" w:color="auto"/>
        <w:left w:val="none" w:sz="0" w:space="0" w:color="auto"/>
        <w:bottom w:val="none" w:sz="0" w:space="0" w:color="auto"/>
        <w:right w:val="none" w:sz="0" w:space="0" w:color="auto"/>
      </w:divBdr>
    </w:div>
    <w:div w:id="1528059128">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599480974">
      <w:bodyDiv w:val="1"/>
      <w:marLeft w:val="0"/>
      <w:marRight w:val="0"/>
      <w:marTop w:val="0"/>
      <w:marBottom w:val="0"/>
      <w:divBdr>
        <w:top w:val="none" w:sz="0" w:space="0" w:color="auto"/>
        <w:left w:val="none" w:sz="0" w:space="0" w:color="auto"/>
        <w:bottom w:val="none" w:sz="0" w:space="0" w:color="auto"/>
        <w:right w:val="none" w:sz="0" w:space="0" w:color="auto"/>
      </w:divBdr>
    </w:div>
    <w:div w:id="1607468180">
      <w:bodyDiv w:val="1"/>
      <w:marLeft w:val="0"/>
      <w:marRight w:val="0"/>
      <w:marTop w:val="0"/>
      <w:marBottom w:val="0"/>
      <w:divBdr>
        <w:top w:val="none" w:sz="0" w:space="0" w:color="auto"/>
        <w:left w:val="none" w:sz="0" w:space="0" w:color="auto"/>
        <w:bottom w:val="none" w:sz="0" w:space="0" w:color="auto"/>
        <w:right w:val="none" w:sz="0" w:space="0" w:color="auto"/>
      </w:divBdr>
    </w:div>
    <w:div w:id="1618834616">
      <w:bodyDiv w:val="1"/>
      <w:marLeft w:val="0"/>
      <w:marRight w:val="0"/>
      <w:marTop w:val="0"/>
      <w:marBottom w:val="0"/>
      <w:divBdr>
        <w:top w:val="none" w:sz="0" w:space="0" w:color="auto"/>
        <w:left w:val="none" w:sz="0" w:space="0" w:color="auto"/>
        <w:bottom w:val="none" w:sz="0" w:space="0" w:color="auto"/>
        <w:right w:val="none" w:sz="0" w:space="0" w:color="auto"/>
      </w:divBdr>
    </w:div>
    <w:div w:id="1638609155">
      <w:bodyDiv w:val="1"/>
      <w:marLeft w:val="0"/>
      <w:marRight w:val="0"/>
      <w:marTop w:val="0"/>
      <w:marBottom w:val="0"/>
      <w:divBdr>
        <w:top w:val="none" w:sz="0" w:space="0" w:color="auto"/>
        <w:left w:val="none" w:sz="0" w:space="0" w:color="auto"/>
        <w:bottom w:val="none" w:sz="0" w:space="0" w:color="auto"/>
        <w:right w:val="none" w:sz="0" w:space="0" w:color="auto"/>
      </w:divBdr>
    </w:div>
    <w:div w:id="1658604829">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07480858">
      <w:bodyDiv w:val="1"/>
      <w:marLeft w:val="0"/>
      <w:marRight w:val="0"/>
      <w:marTop w:val="0"/>
      <w:marBottom w:val="0"/>
      <w:divBdr>
        <w:top w:val="none" w:sz="0" w:space="0" w:color="auto"/>
        <w:left w:val="none" w:sz="0" w:space="0" w:color="auto"/>
        <w:bottom w:val="none" w:sz="0" w:space="0" w:color="auto"/>
        <w:right w:val="none" w:sz="0" w:space="0" w:color="auto"/>
      </w:divBdr>
    </w:div>
    <w:div w:id="1743062562">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765495542">
      <w:bodyDiv w:val="1"/>
      <w:marLeft w:val="0"/>
      <w:marRight w:val="0"/>
      <w:marTop w:val="0"/>
      <w:marBottom w:val="0"/>
      <w:divBdr>
        <w:top w:val="none" w:sz="0" w:space="0" w:color="auto"/>
        <w:left w:val="none" w:sz="0" w:space="0" w:color="auto"/>
        <w:bottom w:val="none" w:sz="0" w:space="0" w:color="auto"/>
        <w:right w:val="none" w:sz="0" w:space="0" w:color="auto"/>
      </w:divBdr>
    </w:div>
    <w:div w:id="1777434410">
      <w:bodyDiv w:val="1"/>
      <w:marLeft w:val="0"/>
      <w:marRight w:val="0"/>
      <w:marTop w:val="0"/>
      <w:marBottom w:val="0"/>
      <w:divBdr>
        <w:top w:val="none" w:sz="0" w:space="0" w:color="auto"/>
        <w:left w:val="none" w:sz="0" w:space="0" w:color="auto"/>
        <w:bottom w:val="none" w:sz="0" w:space="0" w:color="auto"/>
        <w:right w:val="none" w:sz="0" w:space="0" w:color="auto"/>
      </w:divBdr>
    </w:div>
    <w:div w:id="1782994083">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69640547">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08297977">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56323709">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5134978">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1980500380">
      <w:bodyDiv w:val="1"/>
      <w:marLeft w:val="0"/>
      <w:marRight w:val="0"/>
      <w:marTop w:val="0"/>
      <w:marBottom w:val="0"/>
      <w:divBdr>
        <w:top w:val="none" w:sz="0" w:space="0" w:color="auto"/>
        <w:left w:val="none" w:sz="0" w:space="0" w:color="auto"/>
        <w:bottom w:val="none" w:sz="0" w:space="0" w:color="auto"/>
        <w:right w:val="none" w:sz="0" w:space="0" w:color="auto"/>
      </w:divBdr>
    </w:div>
    <w:div w:id="1984312971">
      <w:bodyDiv w:val="1"/>
      <w:marLeft w:val="0"/>
      <w:marRight w:val="0"/>
      <w:marTop w:val="0"/>
      <w:marBottom w:val="0"/>
      <w:divBdr>
        <w:top w:val="none" w:sz="0" w:space="0" w:color="auto"/>
        <w:left w:val="none" w:sz="0" w:space="0" w:color="auto"/>
        <w:bottom w:val="none" w:sz="0" w:space="0" w:color="auto"/>
        <w:right w:val="none" w:sz="0" w:space="0" w:color="auto"/>
      </w:divBdr>
    </w:div>
    <w:div w:id="1986886380">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51954766">
      <w:bodyDiv w:val="1"/>
      <w:marLeft w:val="0"/>
      <w:marRight w:val="0"/>
      <w:marTop w:val="0"/>
      <w:marBottom w:val="0"/>
      <w:divBdr>
        <w:top w:val="none" w:sz="0" w:space="0" w:color="auto"/>
        <w:left w:val="none" w:sz="0" w:space="0" w:color="auto"/>
        <w:bottom w:val="none" w:sz="0" w:space="0" w:color="auto"/>
        <w:right w:val="none" w:sz="0" w:space="0" w:color="auto"/>
      </w:divBdr>
    </w:div>
    <w:div w:id="2094819965">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 w:id="2114588553">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11618906347955E-2"/>
          <c:y val="5.7803468208092484E-2"/>
          <c:w val="0.89190573809988227"/>
          <c:h val="0.74573945959067256"/>
        </c:manualLayout>
      </c:layout>
      <c:barChart>
        <c:barDir val="col"/>
        <c:grouping val="clustered"/>
        <c:varyColors val="0"/>
        <c:ser>
          <c:idx val="0"/>
          <c:order val="0"/>
          <c:tx>
            <c:strRef>
              <c:f>Diamond!$J$1</c:f>
              <c:strCache>
                <c:ptCount val="1"/>
                <c:pt idx="0">
                  <c:v>Monthly return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Diamond!$H$3:$H$50</c:f>
              <c:numCache>
                <c:formatCode>m/d/yyyy</c:formatCode>
                <c:ptCount val="48"/>
                <c:pt idx="0">
                  <c:v>44316</c:v>
                </c:pt>
                <c:pt idx="1">
                  <c:v>44347</c:v>
                </c:pt>
                <c:pt idx="2">
                  <c:v>44377</c:v>
                </c:pt>
                <c:pt idx="3">
                  <c:v>44408</c:v>
                </c:pt>
                <c:pt idx="4">
                  <c:v>44439</c:v>
                </c:pt>
                <c:pt idx="5">
                  <c:v>44469</c:v>
                </c:pt>
                <c:pt idx="6">
                  <c:v>44500</c:v>
                </c:pt>
                <c:pt idx="7">
                  <c:v>44530</c:v>
                </c:pt>
                <c:pt idx="8">
                  <c:v>44561</c:v>
                </c:pt>
                <c:pt idx="9">
                  <c:v>44592</c:v>
                </c:pt>
                <c:pt idx="10">
                  <c:v>44620</c:v>
                </c:pt>
                <c:pt idx="11">
                  <c:v>44651</c:v>
                </c:pt>
                <c:pt idx="12">
                  <c:v>44681</c:v>
                </c:pt>
                <c:pt idx="13">
                  <c:v>44712</c:v>
                </c:pt>
                <c:pt idx="14">
                  <c:v>44742</c:v>
                </c:pt>
                <c:pt idx="15">
                  <c:v>44773</c:v>
                </c:pt>
                <c:pt idx="16">
                  <c:v>44804</c:v>
                </c:pt>
                <c:pt idx="17">
                  <c:v>44834</c:v>
                </c:pt>
                <c:pt idx="18">
                  <c:v>44865</c:v>
                </c:pt>
                <c:pt idx="19">
                  <c:v>44895</c:v>
                </c:pt>
                <c:pt idx="20">
                  <c:v>44926</c:v>
                </c:pt>
                <c:pt idx="21">
                  <c:v>44957</c:v>
                </c:pt>
                <c:pt idx="22">
                  <c:v>44985</c:v>
                </c:pt>
                <c:pt idx="23">
                  <c:v>45016</c:v>
                </c:pt>
                <c:pt idx="24">
                  <c:v>45046</c:v>
                </c:pt>
                <c:pt idx="25">
                  <c:v>45077</c:v>
                </c:pt>
                <c:pt idx="26">
                  <c:v>45107</c:v>
                </c:pt>
                <c:pt idx="27">
                  <c:v>45138</c:v>
                </c:pt>
                <c:pt idx="28">
                  <c:v>45169</c:v>
                </c:pt>
                <c:pt idx="29">
                  <c:v>45199</c:v>
                </c:pt>
                <c:pt idx="30">
                  <c:v>45230</c:v>
                </c:pt>
                <c:pt idx="31">
                  <c:v>45260</c:v>
                </c:pt>
                <c:pt idx="32">
                  <c:v>45291</c:v>
                </c:pt>
                <c:pt idx="33">
                  <c:v>45322</c:v>
                </c:pt>
                <c:pt idx="34">
                  <c:v>45351</c:v>
                </c:pt>
                <c:pt idx="35">
                  <c:v>45382</c:v>
                </c:pt>
              </c:numCache>
            </c:numRef>
          </c:cat>
          <c:val>
            <c:numRef>
              <c:f>Diamond!$J$3:$J$50</c:f>
              <c:numCache>
                <c:formatCode>0.0%</c:formatCode>
                <c:ptCount val="48"/>
                <c:pt idx="0">
                  <c:v>8.1846461025359085E-2</c:v>
                </c:pt>
                <c:pt idx="1">
                  <c:v>0.1484713837698306</c:v>
                </c:pt>
                <c:pt idx="2">
                  <c:v>3.6019249332435388E-2</c:v>
                </c:pt>
                <c:pt idx="3">
                  <c:v>-7.7611037974367747E-3</c:v>
                </c:pt>
                <c:pt idx="4">
                  <c:v>-1.2764719337026276E-2</c:v>
                </c:pt>
                <c:pt idx="5">
                  <c:v>4.0683128986917838E-2</c:v>
                </c:pt>
                <c:pt idx="6">
                  <c:v>6.0366894870455656E-2</c:v>
                </c:pt>
                <c:pt idx="7">
                  <c:v>1.0022749003148146E-2</c:v>
                </c:pt>
                <c:pt idx="8">
                  <c:v>9.8524078750659161E-3</c:v>
                </c:pt>
                <c:pt idx="9">
                  <c:v>2.6625532830131249E-3</c:v>
                </c:pt>
                <c:pt idx="10">
                  <c:v>1.6420948259817436E-2</c:v>
                </c:pt>
                <c:pt idx="11">
                  <c:v>4.2395478993120905E-2</c:v>
                </c:pt>
                <c:pt idx="12">
                  <c:v>-4.7349066282152741E-2</c:v>
                </c:pt>
                <c:pt idx="13">
                  <c:v>-1.2008005310437886E-2</c:v>
                </c:pt>
                <c:pt idx="14">
                  <c:v>-3.5557625294845074E-2</c:v>
                </c:pt>
                <c:pt idx="15">
                  <c:v>-4.5637606249283258E-2</c:v>
                </c:pt>
                <c:pt idx="16">
                  <c:v>7.0685173013197877E-2</c:v>
                </c:pt>
                <c:pt idx="17">
                  <c:v>-0.11492515129066061</c:v>
                </c:pt>
                <c:pt idx="18">
                  <c:v>-8.9792565090421439E-2</c:v>
                </c:pt>
                <c:pt idx="19">
                  <c:v>-6.6727728176599888E-3</c:v>
                </c:pt>
                <c:pt idx="20">
                  <c:v>5.883303094030623E-3</c:v>
                </c:pt>
                <c:pt idx="21">
                  <c:v>9.0113671377712645E-2</c:v>
                </c:pt>
                <c:pt idx="22">
                  <c:v>-0.10413349593556742</c:v>
                </c:pt>
                <c:pt idx="23">
                  <c:v>2.7298623308708025E-2</c:v>
                </c:pt>
                <c:pt idx="24">
                  <c:v>-2.6037203656098518E-3</c:v>
                </c:pt>
                <c:pt idx="25">
                  <c:v>8.9041285910274048E-3</c:v>
                </c:pt>
                <c:pt idx="26">
                  <c:v>5.9509780658667077E-2</c:v>
                </c:pt>
                <c:pt idx="27">
                  <c:v>0.11678601119686949</c:v>
                </c:pt>
                <c:pt idx="28">
                  <c:v>1.4074544861631066E-2</c:v>
                </c:pt>
                <c:pt idx="29">
                  <c:v>-1.9354829294881637E-2</c:v>
                </c:pt>
                <c:pt idx="30">
                  <c:v>-0.12838137870201694</c:v>
                </c:pt>
                <c:pt idx="31">
                  <c:v>7.1638039272725162E-2</c:v>
                </c:pt>
                <c:pt idx="32">
                  <c:v>4.7292222947519669E-2</c:v>
                </c:pt>
                <c:pt idx="33">
                  <c:v>4.3355558763087387E-2</c:v>
                </c:pt>
                <c:pt idx="34">
                  <c:v>8.1081348603639913E-2</c:v>
                </c:pt>
                <c:pt idx="35">
                  <c:v>5.8401063798511288E-2</c:v>
                </c:pt>
              </c:numCache>
            </c:numRef>
          </c:val>
          <c:extLst>
            <c:ext xmlns:c16="http://schemas.microsoft.com/office/drawing/2014/chart" uri="{C3380CC4-5D6E-409C-BE32-E72D297353CC}">
              <c16:uniqueId val="{00000000-3C26-4BBF-ADF1-A7F38A6BD5C9}"/>
            </c:ext>
          </c:extLst>
        </c:ser>
        <c:dLbls>
          <c:showLegendKey val="0"/>
          <c:showVal val="0"/>
          <c:showCatName val="0"/>
          <c:showSerName val="0"/>
          <c:showPercent val="0"/>
          <c:showBubbleSize val="0"/>
        </c:dLbls>
        <c:gapWidth val="219"/>
        <c:overlap val="-27"/>
        <c:axId val="1013551664"/>
        <c:axId val="1013549040"/>
      </c:barChart>
      <c:date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Offset val="100"/>
        <c:baseTimeUnit val="months"/>
        <c:majorUnit val="1"/>
        <c:majorTimeUnit val="months"/>
      </c:date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d7a203-552b-46f7-87d0-4bf2c379389b" xsi:nil="true"/>
    <lcf76f155ced4ddcb4097134ff3c332f xmlns="4b0ec68f-0f9b-4e66-929f-60cc462616e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64333-5448-4686-BC8C-AABE5BF52D70}">
  <ds:schemaRefs>
    <ds:schemaRef ds:uri="http://schemas.openxmlformats.org/officeDocument/2006/bibliography"/>
  </ds:schemaRefs>
</ds:datastoreItem>
</file>

<file path=customXml/itemProps2.xml><?xml version="1.0" encoding="utf-8"?>
<ds:datastoreItem xmlns:ds="http://schemas.openxmlformats.org/officeDocument/2006/customXml" ds:itemID="{5376D40F-7253-4E14-A54B-A11125A25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A5B33-6A9B-4FCE-B70F-ECE0676A9989}">
  <ds:schemaRefs>
    <ds:schemaRef ds:uri="http://schemas.microsoft.com/office/2006/metadata/properties"/>
    <ds:schemaRef ds:uri="http://schemas.microsoft.com/office/infopath/2007/PartnerControls"/>
    <ds:schemaRef ds:uri="6dd7a203-552b-46f7-87d0-4bf2c379389b"/>
    <ds:schemaRef ds:uri="4b0ec68f-0f9b-4e66-929f-60cc462616ed"/>
  </ds:schemaRefs>
</ds:datastoreItem>
</file>

<file path=customXml/itemProps4.xml><?xml version="1.0" encoding="utf-8"?>
<ds:datastoreItem xmlns:ds="http://schemas.openxmlformats.org/officeDocument/2006/customXml" ds:itemID="{9BB6230C-E8A4-4F01-BF48-3D7C16AA9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Anh Vuong Thi Tram</cp:lastModifiedBy>
  <cp:revision>18</cp:revision>
  <cp:lastPrinted>2024-01-16T02:58:00Z</cp:lastPrinted>
  <dcterms:created xsi:type="dcterms:W3CDTF">2024-04-16T09:53:00Z</dcterms:created>
  <dcterms:modified xsi:type="dcterms:W3CDTF">2024-04-17T03:48:00Z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0x0101000C1DB5E7C50A9945B3041B2C046486F4</vt:lpwstr>
  </property>
  <property fmtid="{D5CDD505-2E9C-101B-9397-08002B2CF9AE}" pid="3" name="Order">
    <vt:r8>3100400</vt:r8>
  </property>
  <property fmtid="{D5CDD505-2E9C-101B-9397-08002B2CF9AE}" pid="4" name="MediaServiceImageTags">
    <vt:lpwstr/>
  </property>
</Properties>
</file>