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4948E902"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2A21B381"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A90934">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 xml:space="preserve">ăm </w:t>
      </w:r>
      <w:r w:rsidR="00A90934">
        <w:rPr>
          <w:rFonts w:ascii="Times New Roman" w:eastAsia="Calibri" w:hAnsi="Times New Roman" w:cs="Times New Roman"/>
          <w:b/>
          <w:sz w:val="24"/>
          <w:szCs w:val="24"/>
          <w:lang w:val="vi-VN"/>
        </w:rPr>
        <w:t>2024</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0F6D62C3" w14:textId="77777777" w:rsidR="00710B06" w:rsidRPr="00710B06" w:rsidRDefault="00710B06" w:rsidP="00710B06">
      <w:pPr>
        <w:jc w:val="both"/>
        <w:rPr>
          <w:rFonts w:ascii="Times New Roman" w:eastAsia="Times New Roman" w:hAnsi="Times New Roman" w:cs="Times New Roman"/>
          <w:bCs/>
          <w:sz w:val="20"/>
          <w:szCs w:val="20"/>
          <w:lang w:val="vi-VN" w:eastAsia="en-GB"/>
        </w:rPr>
      </w:pPr>
      <w:r w:rsidRPr="00710B06">
        <w:rPr>
          <w:rFonts w:ascii="Times New Roman" w:eastAsia="Times New Roman" w:hAnsi="Times New Roman" w:cs="Times New Roman"/>
          <w:bCs/>
          <w:sz w:val="20"/>
          <w:szCs w:val="20"/>
          <w:lang w:val="vi-VN" w:eastAsia="en-GB"/>
        </w:rPr>
        <w:t>Chứng chỉ quỹ đóng VF1 được chào bán ra công chúng lần đầu theo Giấy phép số 01/GP-QĐT ngày 24 tháng 3 năm 2004 do UBCKNN cấp. Theo quy định của Giấy phép này, quỹ đóng VF1 được phép phát hành 30.000.000 chứng chỉ quỹ ra công chúng với mệnh giá là 10.000 Đồng Việt Nam/chứng chỉ quỹ. Quỹ đóng VF1 được cấp phép hoạt động trong thời gian 10 năm theo Quyết định số 01/UBCK-ĐKQĐT ngày 20 tháng 5 năm 2004 của UBCKNN.</w:t>
      </w:r>
    </w:p>
    <w:p w14:paraId="2D896F41" w14:textId="77777777" w:rsidR="00710B06" w:rsidRPr="00710B06" w:rsidRDefault="00710B06" w:rsidP="00710B06">
      <w:pPr>
        <w:jc w:val="both"/>
        <w:rPr>
          <w:rFonts w:ascii="Times New Roman" w:eastAsia="Times New Roman" w:hAnsi="Times New Roman" w:cs="Times New Roman"/>
          <w:bCs/>
          <w:sz w:val="20"/>
          <w:szCs w:val="20"/>
          <w:lang w:val="vi-VN" w:eastAsia="en-GB"/>
        </w:rPr>
      </w:pPr>
      <w:r w:rsidRPr="00710B06">
        <w:rPr>
          <w:rFonts w:ascii="Times New Roman" w:eastAsia="Times New Roman" w:hAnsi="Times New Roman" w:cs="Times New Roman"/>
          <w:bCs/>
          <w:sz w:val="20"/>
          <w:szCs w:val="20"/>
          <w:lang w:val="vi-VN" w:eastAsia="en-GB"/>
        </w:rPr>
        <w:t>Theo Quyết định số 468/QĐ-UBCK ngày 5 tháng 7 năm 2006 của UBCKNN, quỹ đóng VF1 được phép phát hành thêm 20.000.000 chứng chỉ quỹ với mệnh giá là 10.000 Đồng Việt Nam/chứng chỉ quỹ nhằm tăng số chứng chỉ quỹ lên 50.000.000 chứng chỉ quỹ. Vốn điều lệ của quỹ đóng VF1 cũng tăng tương ứng lên 500 tỷ Đồng Việt Nam.</w:t>
      </w:r>
    </w:p>
    <w:p w14:paraId="0FE71C19" w14:textId="5616B01F" w:rsidR="00710B06" w:rsidRDefault="00710B06" w:rsidP="00710B06">
      <w:pPr>
        <w:jc w:val="both"/>
        <w:rPr>
          <w:rFonts w:ascii="Times New Roman" w:eastAsia="Times New Roman" w:hAnsi="Times New Roman" w:cs="Times New Roman"/>
          <w:bCs/>
          <w:sz w:val="20"/>
          <w:szCs w:val="20"/>
          <w:lang w:val="vi-VN" w:eastAsia="en-GB"/>
        </w:rPr>
      </w:pPr>
      <w:r w:rsidRPr="00710B06">
        <w:rPr>
          <w:rFonts w:ascii="Times New Roman" w:eastAsia="Times New Roman" w:hAnsi="Times New Roman" w:cs="Times New Roman"/>
          <w:bCs/>
          <w:sz w:val="20"/>
          <w:szCs w:val="20"/>
          <w:lang w:val="vi-VN" w:eastAsia="en-GB"/>
        </w:rPr>
        <w:t>Theo Quyết định số 144/QĐ-UBCK ngày 15 tháng 3 năm 2007 của UBCKNN, quỹ đóng VF1 được phép phát hành thêm 50.000.000 chứng chỉ quỹ với mệnh giá là 10.000 Đồng Việt Nam/chứng chỉ quỹ nhằm tăng số chứng chỉ quỹ lên 100.000.000 chứng chỉ quỹ. Vốn điều lệ của quỹ đóng VF1 cũng tăng tương ứng lên 1.000 tỷ Đồng Việt Nam.</w:t>
      </w:r>
    </w:p>
    <w:p w14:paraId="063DFD2A" w14:textId="77777777" w:rsidR="00710B06" w:rsidRPr="00710B06" w:rsidRDefault="00710B06" w:rsidP="00710B06">
      <w:pPr>
        <w:jc w:val="both"/>
        <w:rPr>
          <w:rFonts w:ascii="Times New Roman" w:eastAsia="Times New Roman" w:hAnsi="Times New Roman" w:cs="Times New Roman"/>
          <w:bCs/>
          <w:sz w:val="20"/>
          <w:szCs w:val="20"/>
          <w:lang w:val="vi-VN" w:eastAsia="en-GB"/>
        </w:rPr>
      </w:pPr>
      <w:r w:rsidRPr="00710B06">
        <w:rPr>
          <w:rFonts w:ascii="Times New Roman" w:eastAsia="Times New Roman" w:hAnsi="Times New Roman" w:cs="Times New Roman"/>
          <w:bCs/>
          <w:sz w:val="20"/>
          <w:szCs w:val="20"/>
          <w:lang w:val="vi-VN" w:eastAsia="en-GB"/>
        </w:rPr>
        <w:t>Chứng chỉ quỹ đóng VF1 được niêm yết tại sàn Giao dịch Chứng khoán Thành phố Hồ Chí Minh theo Giấy phép số 01/UBCK-NYQĐT ngày 22 tháng 9 năm 2004 của UBCKNN. Do mục đích chuyển đổi quỹ đóng VF1 từ quỹ đầu tư chứng khoán dạng đóng sang quỹ đầu tư chứng khoán dạng mở, chứng chỉ quỹ đóng VF1 đã hủy niêm yết khỏi sàn Giao dịch Chứng khoán Thành phố Hồ Chí Minh vào ngày 25 tháng 9 năm 2013 theo quyết định số 288/2013/QD-SGDHCM của Sở Giao dịch Chứng khoán Thành phố Hồ Chí Minh ngày 26 tháng 8 năm 2013. Từ ngày chuyển đổi (ngày 8 tháng 10 năm 2013), chứng chỉ quỹ (“CCQ”) được giao dịch thông qua các đại lý phân phối.</w:t>
      </w:r>
    </w:p>
    <w:p w14:paraId="2FAD6B13" w14:textId="2A32B8DB" w:rsidR="00710B06" w:rsidRDefault="00710B06" w:rsidP="00710B06">
      <w:pPr>
        <w:jc w:val="both"/>
        <w:rPr>
          <w:rFonts w:ascii="Times New Roman" w:eastAsia="Times New Roman" w:hAnsi="Times New Roman" w:cs="Times New Roman"/>
          <w:bCs/>
          <w:sz w:val="20"/>
          <w:szCs w:val="20"/>
          <w:lang w:val="vi-VN" w:eastAsia="en-GB"/>
        </w:rPr>
      </w:pPr>
      <w:r w:rsidRPr="00710B06">
        <w:rPr>
          <w:rFonts w:ascii="Times New Roman" w:eastAsia="Times New Roman" w:hAnsi="Times New Roman" w:cs="Times New Roman"/>
          <w:bCs/>
          <w:sz w:val="20"/>
          <w:szCs w:val="20"/>
          <w:lang w:val="vi-VN" w:eastAsia="en-GB"/>
        </w:rPr>
        <w:t>Quỹ đổi tên thành “Quỹ Đầu tư Chứng khoán Năng động DC” theo Nghị quyết Đại hội Nhà đầu tư thường niên ngày 28 tháng 4 năm 2021 và Giấy phép điều chỉnh số 17/GCN-UBCK do UBCKNN cấp ngày 24 tháng 5 năm 2021.</w:t>
      </w:r>
    </w:p>
    <w:p w14:paraId="76EA7888" w14:textId="29DEE2D3" w:rsidR="00AC209A" w:rsidRDefault="00AC209A" w:rsidP="00710B06">
      <w:pPr>
        <w:jc w:val="both"/>
        <w:rPr>
          <w:rFonts w:ascii="Times New Roman" w:eastAsia="Times New Roman" w:hAnsi="Times New Roman" w:cs="Times New Roman"/>
          <w:bCs/>
          <w:sz w:val="20"/>
          <w:szCs w:val="20"/>
          <w:lang w:val="vi-VN" w:eastAsia="en-GB"/>
        </w:rPr>
      </w:pPr>
      <w:r w:rsidRPr="00AC209A">
        <w:rPr>
          <w:rFonts w:ascii="Times New Roman" w:eastAsia="Times New Roman" w:hAnsi="Times New Roman" w:cs="Times New Roman"/>
          <w:bCs/>
          <w:sz w:val="20"/>
          <w:szCs w:val="20"/>
          <w:lang w:val="vi-VN" w:eastAsia="en-GB"/>
        </w:rPr>
        <w:t>Quỹ do Công ty Cổ phần Quản lý Quỹ Đầu tư Dragon Capital Việt Nam (“Công ty Quản lý Quỹ”) quản lý. Ngân hàng TNHH Một Thành Viên Standard Chartered (Việt Nam) được chỉ định là Ngân hàng Giám sát và Lưu ký của Quỹ.</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0CC47DDB" w:rsidR="004405F5" w:rsidRPr="00F2041A" w:rsidRDefault="004405F5" w:rsidP="00F2744A">
      <w:pPr>
        <w:spacing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96377D" w:rsidRPr="0096377D">
        <w:rPr>
          <w:rFonts w:ascii="Times New Roman" w:hAnsi="Times New Roman" w:cs="Times New Roman"/>
          <w:sz w:val="20"/>
          <w:szCs w:val="20"/>
          <w:lang w:val="vi-VN"/>
        </w:rPr>
        <w:t>2</w:t>
      </w:r>
      <w:r w:rsidR="008E4D2A">
        <w:rPr>
          <w:rFonts w:ascii="Times New Roman" w:hAnsi="Times New Roman" w:cs="Times New Roman"/>
          <w:sz w:val="20"/>
          <w:szCs w:val="20"/>
        </w:rPr>
        <w:t>34</w:t>
      </w:r>
      <w:r w:rsidR="0096377D">
        <w:rPr>
          <w:rFonts w:ascii="Times New Roman" w:hAnsi="Times New Roman" w:cs="Times New Roman"/>
          <w:sz w:val="20"/>
          <w:szCs w:val="20"/>
        </w:rPr>
        <w:t>.</w:t>
      </w:r>
      <w:r w:rsidR="008E4D2A">
        <w:rPr>
          <w:rFonts w:ascii="Times New Roman" w:hAnsi="Times New Roman" w:cs="Times New Roman"/>
          <w:sz w:val="20"/>
          <w:szCs w:val="20"/>
        </w:rPr>
        <w:t>760</w:t>
      </w:r>
      <w:r w:rsidR="0096377D">
        <w:rPr>
          <w:rFonts w:ascii="Times New Roman" w:hAnsi="Times New Roman" w:cs="Times New Roman"/>
          <w:sz w:val="20"/>
          <w:szCs w:val="20"/>
        </w:rPr>
        <w:t>.</w:t>
      </w:r>
      <w:r w:rsidR="008E4D2A">
        <w:rPr>
          <w:rFonts w:ascii="Times New Roman" w:hAnsi="Times New Roman" w:cs="Times New Roman"/>
          <w:sz w:val="20"/>
          <w:szCs w:val="20"/>
        </w:rPr>
        <w:t>300</w:t>
      </w:r>
      <w:r w:rsidR="0096377D">
        <w:rPr>
          <w:rFonts w:ascii="Times New Roman" w:hAnsi="Times New Roman" w:cs="Times New Roman"/>
          <w:sz w:val="20"/>
          <w:szCs w:val="20"/>
        </w:rPr>
        <w:t>.</w:t>
      </w:r>
      <w:r w:rsidR="008E4D2A">
        <w:rPr>
          <w:rFonts w:ascii="Times New Roman" w:hAnsi="Times New Roman" w:cs="Times New Roman"/>
          <w:sz w:val="20"/>
          <w:szCs w:val="20"/>
        </w:rPr>
        <w:t>5</w:t>
      </w:r>
      <w:r w:rsidR="0096377D" w:rsidRPr="0096377D">
        <w:rPr>
          <w:rFonts w:ascii="Times New Roman" w:hAnsi="Times New Roman" w:cs="Times New Roman"/>
          <w:sz w:val="20"/>
          <w:szCs w:val="20"/>
          <w:lang w:val="vi-VN"/>
        </w:rPr>
        <w:t>00</w:t>
      </w:r>
      <w:r w:rsidR="00D6292F">
        <w:rPr>
          <w:rFonts w:ascii="Times New Roman" w:hAnsi="Times New Roman" w:cs="Times New Roman"/>
          <w:sz w:val="20"/>
          <w:szCs w:val="20"/>
        </w:rPr>
        <w:t xml:space="preserve"> </w:t>
      </w:r>
      <w:r w:rsidRPr="005E38B4">
        <w:rPr>
          <w:rFonts w:ascii="Times New Roman" w:hAnsi="Times New Roman" w:cs="Times New Roman"/>
          <w:sz w:val="20"/>
          <w:szCs w:val="20"/>
          <w:lang w:val="vi-VN"/>
        </w:rPr>
        <w:t xml:space="preserve">đồng </w:t>
      </w:r>
      <w:r w:rsidR="00DC69B7" w:rsidRPr="005E38B4">
        <w:rPr>
          <w:rFonts w:ascii="Times New Roman" w:hAnsi="Times New Roman" w:cs="Times New Roman"/>
          <w:sz w:val="20"/>
          <w:szCs w:val="20"/>
        </w:rPr>
        <w:t>tính theo mệnh giá</w:t>
      </w:r>
      <w:r w:rsidRPr="005E38B4">
        <w:rPr>
          <w:rFonts w:ascii="Times New Roman" w:hAnsi="Times New Roman" w:cs="Times New Roman"/>
          <w:sz w:val="20"/>
          <w:szCs w:val="20"/>
          <w:lang w:val="vi-VN"/>
        </w:rPr>
        <w:t>.</w:t>
      </w:r>
      <w:r w:rsidRPr="00D57C9C">
        <w:rPr>
          <w:rFonts w:ascii="Times New Roman" w:hAnsi="Times New Roman" w:cs="Times New Roman"/>
          <w:sz w:val="20"/>
          <w:szCs w:val="20"/>
          <w:lang w:val="vi-VN"/>
        </w:rPr>
        <w:t xml:space="preserve">  </w:t>
      </w:r>
    </w:p>
    <w:p w14:paraId="79CF2DAE"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lastRenderedPageBreak/>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3FAC6CCE" w:rsidR="004624CD" w:rsidRPr="00D57C9C" w:rsidRDefault="003A38BC"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3A38BC">
        <w:rPr>
          <w:rFonts w:ascii="Times New Roman" w:hAnsi="Times New Roman" w:cs="Times New Roman"/>
          <w:sz w:val="20"/>
          <w:szCs w:val="20"/>
          <w:lang w:val="vi-VN"/>
        </w:rPr>
        <w:t>Mục tiêu đầu tư của Quỹ DCDS là nhằm tối đa hóa lợi nhuận dài hạn từ tăng trưởng vốn gốc và thu nhập thông qua việc đầu tư vào cổ phiếu tăng trưởng và các tài sản tài chính khác theo quy định. Danh mục cổ phiếu mà quỹ đầu tư thuộc đa dạng các ngành nghề và vốn hóa. Các doanh nghiệp mà quỹ lựa chọn đầu tư là các doanh nghiệp có tiềm năng tăng trưởng cao, chất lượng tài sản tốt và có mức đinh giá hấp dẫn.</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319DC84D"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từ các hoạt động kinh doanh chứng khoán được ghi nhận trong báo cáo thu nhập khi nhận được thông báo giao dịch từ </w:t>
      </w:r>
      <w:r w:rsidR="00CD39B1">
        <w:rPr>
          <w:rFonts w:ascii="Times New Roman" w:eastAsia="Times New Roman" w:hAnsi="Times New Roman" w:cs="Times New Roman"/>
          <w:bCs/>
          <w:sz w:val="20"/>
          <w:szCs w:val="20"/>
          <w:lang w:val="vi-VN" w:eastAsia="en-GB"/>
        </w:rPr>
        <w:t xml:space="preserve">Tổng Công ty </w:t>
      </w:r>
      <w:r w:rsidRPr="00D57C9C">
        <w:rPr>
          <w:rFonts w:ascii="Times New Roman" w:eastAsia="Times New Roman" w:hAnsi="Times New Roman" w:cs="Times New Roman"/>
          <w:bCs/>
          <w:sz w:val="20"/>
          <w:szCs w:val="20"/>
          <w:lang w:val="vi-VN" w:eastAsia="en-GB"/>
        </w:rPr>
        <w:t xml:space="preserve">Lưu ký </w:t>
      </w:r>
      <w:r w:rsidR="0074324F">
        <w:rPr>
          <w:rFonts w:ascii="Times New Roman" w:eastAsia="Times New Roman" w:hAnsi="Times New Roman" w:cs="Times New Roman"/>
          <w:bCs/>
          <w:sz w:val="20"/>
          <w:szCs w:val="20"/>
          <w:lang w:val="en-AE" w:eastAsia="en-GB"/>
        </w:rPr>
        <w:t xml:space="preserve">và Bù trừ </w:t>
      </w:r>
      <w:r w:rsidRPr="00D57C9C">
        <w:rPr>
          <w:rFonts w:ascii="Times New Roman" w:eastAsia="Times New Roman" w:hAnsi="Times New Roman" w:cs="Times New Roman"/>
          <w:bCs/>
          <w:sz w:val="20"/>
          <w:szCs w:val="20"/>
          <w:lang w:val="vi-VN" w:eastAsia="en-GB"/>
        </w:rPr>
        <w:t>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5A179FE7" w:rsidR="002B2238" w:rsidRPr="00D57C9C" w:rsidRDefault="004D4E4C" w:rsidP="00DB3A93">
      <w:pPr>
        <w:spacing w:before="120" w:after="120" w:line="240" w:lineRule="auto"/>
        <w:jc w:val="both"/>
        <w:rPr>
          <w:rFonts w:ascii="Times New Roman" w:eastAsia="Times New Roman" w:hAnsi="Times New Roman" w:cs="Times New Roman"/>
          <w:bCs/>
          <w:sz w:val="20"/>
          <w:szCs w:val="20"/>
          <w:lang w:eastAsia="en-GB"/>
        </w:rPr>
      </w:pPr>
      <w:r w:rsidRPr="004D4E4C">
        <w:rPr>
          <w:rFonts w:ascii="Times New Roman" w:eastAsia="Times New Roman" w:hAnsi="Times New Roman" w:cs="Times New Roman"/>
          <w:bCs/>
          <w:sz w:val="20"/>
          <w:szCs w:val="20"/>
          <w:lang w:eastAsia="en-GB"/>
        </w:rPr>
        <w:t>Theo các quy định thuế hiện hành tại Việt Nam, Quỹ không thuộc đối tượng chịu thuế thu nhập doanh nghiệp (“TNDN”). Tuy nhiên, Công ty Quản lý Quỹ có trách nhiệm khấu trừ và nộp thuế thay cho các cá nhân và tổ chức đầu tư trong các giao dịch sau:</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Giao dịch mua lại chứng chỉ quỹ</w:t>
      </w:r>
    </w:p>
    <w:p w14:paraId="5814E094" w14:textId="5C3903BC" w:rsidR="004D4E4C" w:rsidRPr="00D57C9C" w:rsidRDefault="004D4E4C" w:rsidP="00DB3A93">
      <w:pPr>
        <w:spacing w:before="120" w:after="120" w:line="240" w:lineRule="auto"/>
        <w:jc w:val="both"/>
        <w:rPr>
          <w:rFonts w:ascii="Times New Roman" w:eastAsia="Times New Roman" w:hAnsi="Times New Roman" w:cs="Times New Roman"/>
          <w:bCs/>
          <w:sz w:val="20"/>
          <w:szCs w:val="20"/>
          <w:lang w:eastAsia="en-GB"/>
        </w:rPr>
      </w:pPr>
      <w:r w:rsidRPr="004D4E4C">
        <w:rPr>
          <w:rFonts w:ascii="Times New Roman" w:eastAsia="Times New Roman" w:hAnsi="Times New Roman" w:cs="Times New Roman"/>
          <w:bCs/>
          <w:sz w:val="20"/>
          <w:szCs w:val="20"/>
          <w:lang w:eastAsia="en-GB"/>
        </w:rPr>
        <w:t>Công ty Quản lý Quỹ có nghĩa vụ khấu trừ thuế đối với giao dịch mua lại chứng chỉ quỹ từ cá nhân (cư trú và không cư trú) và những tổ chức được phân loại là tổ chức nước ngoài theo Thông tư 111/2013/TT-BTC được sửa đổi bổ sung bởi Thông tư 92/2015/TT-BTC, Thông tư 25/2018/TT-BTC ngày 16 tháng 3 năm 2018 và Thông tư 103/2014/TT-BTC ngày 6 tháng 8 năm 2014 do Bộ Tài chính ban hành. Mức thuế áp dụng là 0,1% giá trị chuyển nhượng. Công ty Quản lý Quỹ sẽ không phải khấu trừ thuế và nộp thuế đối với các giao dịch mua lại chứng chỉ quỹ từ nhà đầu tư là tổ chức trong nước. Các nhà đầu tư là tổ chức trong nước có trách nhiệm tự kê khai và nộp thuế TNDN theo Thông tư 78/2014/TT-BTC được sửa đổi bổ sung theo Thông tư 96/2015/TT-BTC ngày 22 tháng 6 năm 2015.</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12EE38D3" w14:textId="146A5865" w:rsidR="00663BC5"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bookmarkStart w:id="0" w:name="_MON_1774687011"/>
    <w:bookmarkEnd w:id="0"/>
    <w:p w14:paraId="4ECDE28C" w14:textId="7DDC104F" w:rsidR="00E31C02" w:rsidRPr="000F0B8F" w:rsidRDefault="0074324F"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object w:dxaOrig="1100" w:dyaOrig="711" w14:anchorId="0575F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3pt;height:35.7pt" o:ole="">
            <v:imagedata r:id="rId14" o:title=""/>
          </v:shape>
          <o:OLEObject Type="Embed" ProgID="Excel.Sheet.12" ShapeID="_x0000_i1029" DrawAspect="Icon" ObjectID="_1774687126"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77777777"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Phí quản lý quỹ được tính hàng ngày và hàng tháng dựa trên số ngày thực tế trong kỳ định giá và giá trị tài sản ròng của Quỹ tại ngày trước ngày định giá. Tỷ lệ phí quản lý Quỹ hàng năm tối đa là 2% NAV/năm. Giá dịch vụ quản lý này được trả cho DCVFM để thực hiện các dịch vụ quản lý cho Quỹ DCDS</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671F9797" w14:textId="77777777" w:rsidR="000F0B8F" w:rsidRPr="00D57C9C" w:rsidRDefault="000F0B8F" w:rsidP="000F0B8F">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420760C9"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giám sát tối đa là 0,04% NAV/năm</w:t>
      </w:r>
      <w:r w:rsidRPr="00BD456B">
        <w:rPr>
          <w:rFonts w:ascii="Times New Roman" w:hAnsi="Times New Roman" w:cs="Times New Roman"/>
          <w:color w:val="000000"/>
          <w:sz w:val="20"/>
          <w:szCs w:val="20"/>
          <w:lang w:val="vi-VN"/>
        </w:rPr>
        <w:t>.</w:t>
      </w:r>
    </w:p>
    <w:p w14:paraId="3018CC32"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425E7773"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lưu ký tối đa là 0,06% NAV/năm. Mức giá dịch vụ này chưa bao gồm giá dịch vụ giao dịch chứng khoán là tối đa 100.000 đồng/giao dịch.</w:t>
      </w:r>
    </w:p>
    <w:p w14:paraId="3D195616"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79C97656" w14:textId="60D0A2A0" w:rsidR="000F0B8F" w:rsidRDefault="000F0B8F" w:rsidP="00BD173B">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025% NAV/năm và được chi trả hàng tháng</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 xml:space="preserve">Nguyễn </w:t>
            </w:r>
            <w:r w:rsidR="000C18CD">
              <w:rPr>
                <w:rFonts w:ascii="Times New Roman" w:hAnsi="Times New Roman" w:cs="Times New Roman"/>
                <w:b/>
                <w:sz w:val="20"/>
                <w:szCs w:val="20"/>
              </w:rPr>
              <w:t>Thu Ngọc</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2CA46F0F" w:rsidR="00676AF7" w:rsidRPr="00D37A5A"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 xml:space="preserve">Ông </w:t>
            </w:r>
            <w:r w:rsidR="00D37A5A">
              <w:rPr>
                <w:rFonts w:ascii="Times New Roman" w:hAnsi="Times New Roman" w:cs="Times New Roman"/>
                <w:b/>
                <w:sz w:val="20"/>
                <w:szCs w:val="20"/>
              </w:rPr>
              <w:t>Lê</w:t>
            </w:r>
            <w:r w:rsidR="00D37A5A">
              <w:rPr>
                <w:rFonts w:ascii="Times New Roman" w:hAnsi="Times New Roman" w:cs="Times New Roman"/>
                <w:b/>
                <w:sz w:val="20"/>
                <w:szCs w:val="20"/>
                <w:lang w:val="vi-VN"/>
              </w:rPr>
              <w:t xml:space="preserve"> Hoàng Anh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5E302CC6" w:rsidR="00676AF7" w:rsidRPr="00084CDE" w:rsidRDefault="00D37A5A" w:rsidP="00676AF7">
            <w:pPr>
              <w:tabs>
                <w:tab w:val="center" w:pos="4320"/>
              </w:tabs>
              <w:spacing w:after="0" w:line="360" w:lineRule="auto"/>
              <w:jc w:val="center"/>
              <w:rPr>
                <w:rFonts w:ascii="Times New Roman" w:hAnsi="Times New Roman" w:cs="Times New Roman"/>
                <w:i/>
                <w:sz w:val="20"/>
                <w:szCs w:val="20"/>
                <w:lang w:val="vi-VN"/>
              </w:rPr>
            </w:pPr>
            <w:r>
              <w:rPr>
                <w:rFonts w:ascii="Times New Roman" w:hAnsi="Times New Roman" w:cs="Times New Roman"/>
                <w:i/>
                <w:sz w:val="20"/>
                <w:szCs w:val="20"/>
                <w:lang w:val="vi-VN"/>
              </w:rPr>
              <w:t xml:space="preserve">Quyền </w:t>
            </w:r>
            <w:r w:rsidR="00212D81" w:rsidRPr="00212D81">
              <w:rPr>
                <w:rFonts w:ascii="Times New Roman" w:hAnsi="Times New Roman" w:cs="Times New Roman"/>
                <w:i/>
                <w:sz w:val="20"/>
                <w:szCs w:val="20"/>
                <w:lang w:val="vi-VN"/>
              </w:rPr>
              <w:t>Giám đốc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4955" w14:textId="77777777" w:rsidR="0074324F" w:rsidRDefault="0074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8A31" w14:textId="77777777" w:rsidR="0074324F" w:rsidRDefault="0074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ACAB" w14:textId="77777777" w:rsidR="0074324F" w:rsidRDefault="0074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5566C654">
              <wp:simplePos x="0" y="0"/>
              <wp:positionH relativeFrom="page">
                <wp:posOffset>0</wp:posOffset>
              </wp:positionH>
              <wp:positionV relativeFrom="page">
                <wp:posOffset>190500</wp:posOffset>
              </wp:positionV>
              <wp:extent cx="7560310" cy="266700"/>
              <wp:effectExtent l="0" t="0" r="0" b="0"/>
              <wp:wrapNone/>
              <wp:docPr id="1" name="MSIPCM9b3e4117b2b4e19d2df40a00"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7245CC06" w:rsidR="00BB2558" w:rsidRPr="005273EA" w:rsidRDefault="005273EA" w:rsidP="005273EA">
                          <w:pPr>
                            <w:spacing w:after="0"/>
                            <w:rPr>
                              <w:rFonts w:ascii="Arial" w:hAnsi="Arial" w:cs="Arial"/>
                              <w:color w:val="317100"/>
                              <w:sz w:val="18"/>
                            </w:rPr>
                          </w:pPr>
                          <w:r w:rsidRPr="005273EA">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9b3e4117b2b4e19d2df40a00"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7245CC06" w:rsidR="00BB2558" w:rsidRPr="005273EA" w:rsidRDefault="005273EA" w:rsidP="005273EA">
                    <w:pPr>
                      <w:spacing w:after="0"/>
                      <w:rPr>
                        <w:rFonts w:ascii="Arial" w:hAnsi="Arial" w:cs="Arial"/>
                        <w:color w:val="317100"/>
                        <w:sz w:val="18"/>
                      </w:rPr>
                    </w:pPr>
                    <w:r w:rsidRPr="005273EA">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6F94" w14:textId="77777777" w:rsidR="0074324F" w:rsidRDefault="0074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091392749">
    <w:abstractNumId w:val="4"/>
  </w:num>
  <w:num w:numId="2" w16cid:durableId="592397688">
    <w:abstractNumId w:val="7"/>
  </w:num>
  <w:num w:numId="3" w16cid:durableId="1083070823">
    <w:abstractNumId w:val="5"/>
  </w:num>
  <w:num w:numId="4" w16cid:durableId="824668876">
    <w:abstractNumId w:val="8"/>
  </w:num>
  <w:num w:numId="5" w16cid:durableId="763116777">
    <w:abstractNumId w:val="3"/>
  </w:num>
  <w:num w:numId="6" w16cid:durableId="2012483896">
    <w:abstractNumId w:val="2"/>
  </w:num>
  <w:num w:numId="7" w16cid:durableId="821123476">
    <w:abstractNumId w:val="9"/>
  </w:num>
  <w:num w:numId="8" w16cid:durableId="886255124">
    <w:abstractNumId w:val="0"/>
  </w:num>
  <w:num w:numId="9" w16cid:durableId="927738647">
    <w:abstractNumId w:val="6"/>
  </w:num>
  <w:num w:numId="10" w16cid:durableId="113255407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659D"/>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5D80"/>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5E7E"/>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240D"/>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38BC"/>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C70CC"/>
    <w:rsid w:val="003D2FC4"/>
    <w:rsid w:val="003D79FF"/>
    <w:rsid w:val="003E210B"/>
    <w:rsid w:val="003E2E56"/>
    <w:rsid w:val="003E35F0"/>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7C9"/>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518"/>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4C"/>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3EA"/>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70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0B06"/>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17F3"/>
    <w:rsid w:val="00741EC4"/>
    <w:rsid w:val="00742472"/>
    <w:rsid w:val="00742562"/>
    <w:rsid w:val="0074324F"/>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639F"/>
    <w:rsid w:val="008A66CC"/>
    <w:rsid w:val="008A6750"/>
    <w:rsid w:val="008A7378"/>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4D2A"/>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8A"/>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77D"/>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9B2"/>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93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09A"/>
    <w:rsid w:val="00AC29B4"/>
    <w:rsid w:val="00AC2E97"/>
    <w:rsid w:val="00AC4301"/>
    <w:rsid w:val="00AC58F0"/>
    <w:rsid w:val="00AC7C07"/>
    <w:rsid w:val="00AD0821"/>
    <w:rsid w:val="00AD09ED"/>
    <w:rsid w:val="00AD1298"/>
    <w:rsid w:val="00AD2678"/>
    <w:rsid w:val="00AD2876"/>
    <w:rsid w:val="00AD3552"/>
    <w:rsid w:val="00AD3564"/>
    <w:rsid w:val="00AD3CC3"/>
    <w:rsid w:val="00AD4C36"/>
    <w:rsid w:val="00AD549D"/>
    <w:rsid w:val="00AD7363"/>
    <w:rsid w:val="00AE01E4"/>
    <w:rsid w:val="00AE09CE"/>
    <w:rsid w:val="00AE104A"/>
    <w:rsid w:val="00AE1387"/>
    <w:rsid w:val="00AE2DB2"/>
    <w:rsid w:val="00AE33FC"/>
    <w:rsid w:val="00AE3727"/>
    <w:rsid w:val="00AE54CA"/>
    <w:rsid w:val="00AE5818"/>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47B"/>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9B1"/>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3687"/>
    <w:rsid w:val="00D35C49"/>
    <w:rsid w:val="00D3635B"/>
    <w:rsid w:val="00D37517"/>
    <w:rsid w:val="00D37959"/>
    <w:rsid w:val="00D37A5A"/>
    <w:rsid w:val="00D41B23"/>
    <w:rsid w:val="00D42CA7"/>
    <w:rsid w:val="00D42D93"/>
    <w:rsid w:val="00D43111"/>
    <w:rsid w:val="00D433E6"/>
    <w:rsid w:val="00D434BB"/>
    <w:rsid w:val="00D44015"/>
    <w:rsid w:val="00D456AD"/>
    <w:rsid w:val="00D50E6F"/>
    <w:rsid w:val="00D52117"/>
    <w:rsid w:val="00D5255B"/>
    <w:rsid w:val="00D53859"/>
    <w:rsid w:val="00D57AEC"/>
    <w:rsid w:val="00D57C9C"/>
    <w:rsid w:val="00D607D5"/>
    <w:rsid w:val="00D60DB6"/>
    <w:rsid w:val="00D619C3"/>
    <w:rsid w:val="00D6292F"/>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0411"/>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E54B4"/>
    <w:rsid w:val="00DF09E3"/>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3CA9"/>
    <w:rsid w:val="00E177A2"/>
    <w:rsid w:val="00E2197F"/>
    <w:rsid w:val="00E227B6"/>
    <w:rsid w:val="00E23C2B"/>
    <w:rsid w:val="00E24F1E"/>
    <w:rsid w:val="00E251DC"/>
    <w:rsid w:val="00E26127"/>
    <w:rsid w:val="00E265CA"/>
    <w:rsid w:val="00E27D08"/>
    <w:rsid w:val="00E305DC"/>
    <w:rsid w:val="00E3189A"/>
    <w:rsid w:val="00E31C02"/>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19B8"/>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5CDE"/>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36A6A"/>
    <w:rsid w:val="00F44795"/>
    <w:rsid w:val="00F448C0"/>
    <w:rsid w:val="00F448FD"/>
    <w:rsid w:val="00F45D2A"/>
    <w:rsid w:val="00F52E39"/>
    <w:rsid w:val="00F558AE"/>
    <w:rsid w:val="00F55982"/>
    <w:rsid w:val="00F5685F"/>
    <w:rsid w:val="00F6276D"/>
    <w:rsid w:val="00F637D3"/>
    <w:rsid w:val="00F67635"/>
    <w:rsid w:val="00F71857"/>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76236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41075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IQ2u04gZ2ztIIOYYiL0q/ggQCQcAy8A9mUJAjwBpusM=</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GsHYLjwSszp9ioXATS221TTCOAwICMAGrNIs4DrI/4E=</DigestValue>
    </Reference>
  </SignedInfo>
  <SignatureValue>8SoM7PMmj5PAU9lOXRNwvxtLIVlFtMmGX0TEtZ8QsCtg+nHuDKc6KzONQ7qfiAlmyGQJdLC6jaE5
PicLF1JdTVseKRGQjlOGympyGTGv8KHq15TunB2tqvQO2QstZq+Ze6X+eE5EYu75sFzNrPXSTmxL
N9mT4HNG7pQKHsWjUwsR/yR3Kv0xfG82ly2dmz3YEYTEyk00SDBGDJZWFMX8PCcgVT5342/+QW9/
n/TVCSeWfpT9i7Zxdqg4fyPt58mwFIFjUuyqvAFTFG+aVc4DiFPbONSCjirq5MMkDJdYh/pstPrc
vqWTH36iyOzKI3M9XwenEieg9XhVG/GluSMwCQ==</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bPMgdabNdk2OzH6fTbO5T0lnr/xFfC7vM/Zrcwc48xc=</DigestValue>
      </Reference>
      <Reference URI="/word/embeddings/Microsoft_Excel_Worksheet.xlsx?ContentType=application/vnd.openxmlformats-officedocument.spreadsheetml.sheet">
        <DigestMethod Algorithm="http://www.w3.org/2001/04/xmlenc#sha256"/>
        <DigestValue>EMm21niCGKdJ3IkbNvRjxYuucnFoBi8pc9pYLLkrPn0=</DigestValue>
      </Reference>
      <Reference URI="/word/endnotes.xml?ContentType=application/vnd.openxmlformats-officedocument.wordprocessingml.endnotes+xml">
        <DigestMethod Algorithm="http://www.w3.org/2001/04/xmlenc#sha256"/>
        <DigestValue>/A2w95SdZupeTtmvR1isbSQP3IyoUaCxEOD5WQCWEtQ=</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v3gu2ApzrrMq3DhIsVreKrKOq1YBj72ml2GzzQgovHw=</DigestValue>
      </Reference>
      <Reference URI="/word/footer2.xml?ContentType=application/vnd.openxmlformats-officedocument.wordprocessingml.footer+xml">
        <DigestMethod Algorithm="http://www.w3.org/2001/04/xmlenc#sha256"/>
        <DigestValue>pO9Y8AakFGPDXKy1JrCl+eUqVtQnQ56ziFDwPg0H6wU=</DigestValue>
      </Reference>
      <Reference URI="/word/footer3.xml?ContentType=application/vnd.openxmlformats-officedocument.wordprocessingml.footer+xml">
        <DigestMethod Algorithm="http://www.w3.org/2001/04/xmlenc#sha256"/>
        <DigestValue>CsohKZdmd9IevXNGQVqO0GjueXTtGQvHG7PfiAYQibw=</DigestValue>
      </Reference>
      <Reference URI="/word/footnotes.xml?ContentType=application/vnd.openxmlformats-officedocument.wordprocessingml.footnotes+xml">
        <DigestMethod Algorithm="http://www.w3.org/2001/04/xmlenc#sha256"/>
        <DigestValue>rF8OnIs9ODfk50uownWzRCOOX0IveQiqgOrMWWs3MU4=</DigestValue>
      </Reference>
      <Reference URI="/word/header1.xml?ContentType=application/vnd.openxmlformats-officedocument.wordprocessingml.header+xml">
        <DigestMethod Algorithm="http://www.w3.org/2001/04/xmlenc#sha256"/>
        <DigestValue>GJ6+sw66wjQvo4q3U4R8zaauHQEGiIK76nk6CRaNxc0=</DigestValue>
      </Reference>
      <Reference URI="/word/header2.xml?ContentType=application/vnd.openxmlformats-officedocument.wordprocessingml.header+xml">
        <DigestMethod Algorithm="http://www.w3.org/2001/04/xmlenc#sha256"/>
        <DigestValue>Ty+9DmjFmQgVTBQu7aT56q6Jhm72HI9Jx4YaI7U9hoU=</DigestValue>
      </Reference>
      <Reference URI="/word/header3.xml?ContentType=application/vnd.openxmlformats-officedocument.wordprocessingml.header+xml">
        <DigestMethod Algorithm="http://www.w3.org/2001/04/xmlenc#sha256"/>
        <DigestValue>nHPnlL4Yc4oq2fWFe879DcoAu+ya56ytM24qlKBWPmM=</DigestValue>
      </Reference>
      <Reference URI="/word/media/image1.emf?ContentType=image/x-emf">
        <DigestMethod Algorithm="http://www.w3.org/2001/04/xmlenc#sha256"/>
        <DigestValue>4oK5oD72MVWCPdwzlTVkf6vAOt6fJ6Mvu1jLfbmcZZA=</DigestValue>
      </Reference>
      <Reference URI="/word/numbering.xml?ContentType=application/vnd.openxmlformats-officedocument.wordprocessingml.numbering+xml">
        <DigestMethod Algorithm="http://www.w3.org/2001/04/xmlenc#sha256"/>
        <DigestValue>Rf15xmRdirJJ6S6YVzmpljJSdoLP3bR7es4Eqp0YaTk=</DigestValue>
      </Reference>
      <Reference URI="/word/settings.xml?ContentType=application/vnd.openxmlformats-officedocument.wordprocessingml.settings+xml">
        <DigestMethod Algorithm="http://www.w3.org/2001/04/xmlenc#sha256"/>
        <DigestValue>o0Btz0ptADrjfRHfRCoHuiEVceqcDok80vqjORu5qd4=</DigestValue>
      </Reference>
      <Reference URI="/word/styles.xml?ContentType=application/vnd.openxmlformats-officedocument.wordprocessingml.styles+xml">
        <DigestMethod Algorithm="http://www.w3.org/2001/04/xmlenc#sha256"/>
        <DigestValue>9uhjceqpxKMjf8xIqRA4NnnPO7WOnjzaRJh+uY7p9yE=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IkQEvsmuvxkjVLzEYuX2fqW7OGyYEHOug9Bdn5S6xmk=</DigestValue>
      </Reference>
    </Manifest>
    <SignatureProperties>
      <SignatureProperty Id="idSignatureTime" Target="#idPackageSignature">
        <mdssi:SignatureTime xmlns:mdssi="http://schemas.openxmlformats.org/package/2006/digital-signature">
          <mdssi:Format>YYYY-MM-DDThh:mm:ssTZD</mdssi:Format>
          <mdssi:Value>2024-04-15T08:18:42Z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2024-04-15T08:18:42Z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Tran Thi Thu, Trang</cp:lastModifiedBy>
  <cp:revision>46</cp:revision>
  <cp:lastPrinted>2023-04-14T08:29:00Z</cp:lastPrinted>
  <dcterms:created xsi:type="dcterms:W3CDTF">2022-12-16T04:55:00Z</dcterms:created>
  <dcterms:modified xsi:type="dcterms:W3CDTF">2024-04-15T04:52:00Z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2024-04-15T04:52:46Z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daefbec2-3db8-4c97-bd44-c751e15e18cf</vt:lpwstr>
  </property>
  <property fmtid="{D5CDD505-2E9C-101B-9397-08002B2CF9AE}" pid="8" name="MSIP_Label_ebbfc019-7f88-4fb6-96d6-94ffadd4b772_ContentBits">
    <vt:lpwstr>1</vt:lpwstr>
  </property>
</Properties>
</file>