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Look w:val="01E0" w:firstRow="1" w:lastRow="1" w:firstColumn="1" w:lastColumn="1" w:noHBand="0" w:noVBand="0"/>
      </w:tblPr>
      <w:tblGrid>
        <w:gridCol w:w="4050"/>
        <w:gridCol w:w="5850"/>
      </w:tblGrid>
      <w:tr w:rsidR="00FC4F13" w:rsidRPr="00FC4F13" w14:paraId="09FE51AA" w14:textId="77777777" w:rsidTr="00A41AB6">
        <w:tc>
          <w:tcPr>
            <w:tcW w:w="4050" w:type="dxa"/>
          </w:tcPr>
          <w:p w14:paraId="663B59FE" w14:textId="77777777" w:rsidR="00FC4F13" w:rsidRPr="00FC4F13" w:rsidRDefault="00FC4F13" w:rsidP="00FC4F13">
            <w:pPr>
              <w:spacing w:before="120" w:after="120" w:line="276" w:lineRule="auto"/>
              <w:jc w:val="center"/>
              <w:rPr>
                <w:b/>
              </w:rPr>
            </w:pPr>
            <w:r w:rsidRPr="00FC4F13">
              <w:rPr>
                <w:b/>
              </w:rPr>
              <w:t>CÔNG TY CỔ PHẦN QUẢN LÝ QUỸ ĐẦU TƯ DRAGON CAPITAL VIỆT NAM</w:t>
            </w:r>
            <w:r w:rsidRPr="00FC4F13">
              <w:rPr>
                <w:b/>
              </w:rPr>
              <w:br/>
              <w:t>-------</w:t>
            </w:r>
          </w:p>
        </w:tc>
        <w:tc>
          <w:tcPr>
            <w:tcW w:w="5850" w:type="dxa"/>
          </w:tcPr>
          <w:p w14:paraId="0DF84F13" w14:textId="77777777" w:rsidR="00FC4F13" w:rsidRPr="00FC4F13" w:rsidRDefault="00FC4F13" w:rsidP="00FC4F13">
            <w:pPr>
              <w:spacing w:before="120" w:after="120" w:line="276" w:lineRule="auto"/>
              <w:jc w:val="center"/>
            </w:pPr>
            <w:r w:rsidRPr="00FC4F13">
              <w:rPr>
                <w:b/>
              </w:rPr>
              <w:t>CỘNG HÒA XÃ HỘI CHỦ NGHĨA VIỆT NAM</w:t>
            </w:r>
            <w:r w:rsidRPr="00FC4F13">
              <w:rPr>
                <w:b/>
              </w:rPr>
              <w:br/>
            </w:r>
            <w:proofErr w:type="spellStart"/>
            <w:r w:rsidRPr="00FC4F13">
              <w:rPr>
                <w:b/>
              </w:rPr>
              <w:t>Độc</w:t>
            </w:r>
            <w:proofErr w:type="spellEnd"/>
            <w:r w:rsidRPr="00FC4F13">
              <w:rPr>
                <w:b/>
              </w:rPr>
              <w:t xml:space="preserve"> </w:t>
            </w:r>
            <w:proofErr w:type="spellStart"/>
            <w:r w:rsidRPr="00FC4F13">
              <w:rPr>
                <w:b/>
              </w:rPr>
              <w:t>lập</w:t>
            </w:r>
            <w:proofErr w:type="spellEnd"/>
            <w:r w:rsidRPr="00FC4F13">
              <w:rPr>
                <w:b/>
              </w:rPr>
              <w:t xml:space="preserve"> - </w:t>
            </w:r>
            <w:proofErr w:type="spellStart"/>
            <w:r w:rsidRPr="00FC4F13">
              <w:rPr>
                <w:b/>
              </w:rPr>
              <w:t>Tự</w:t>
            </w:r>
            <w:proofErr w:type="spellEnd"/>
            <w:r w:rsidRPr="00FC4F13">
              <w:rPr>
                <w:b/>
              </w:rPr>
              <w:t xml:space="preserve"> do - </w:t>
            </w:r>
            <w:proofErr w:type="spellStart"/>
            <w:r w:rsidRPr="00FC4F13">
              <w:rPr>
                <w:b/>
              </w:rPr>
              <w:t>Hạnh</w:t>
            </w:r>
            <w:proofErr w:type="spellEnd"/>
            <w:r w:rsidRPr="00FC4F13">
              <w:rPr>
                <w:b/>
              </w:rPr>
              <w:t xml:space="preserve"> </w:t>
            </w:r>
            <w:proofErr w:type="spellStart"/>
            <w:r w:rsidRPr="00FC4F13">
              <w:rPr>
                <w:b/>
              </w:rPr>
              <w:t>phúc</w:t>
            </w:r>
            <w:proofErr w:type="spellEnd"/>
            <w:r w:rsidRPr="00FC4F13">
              <w:rPr>
                <w:b/>
              </w:rPr>
              <w:t xml:space="preserve"> </w:t>
            </w:r>
            <w:r w:rsidRPr="00FC4F13">
              <w:rPr>
                <w:b/>
              </w:rPr>
              <w:br/>
              <w:t>---------------</w:t>
            </w:r>
          </w:p>
        </w:tc>
      </w:tr>
      <w:tr w:rsidR="00FC4F13" w:rsidRPr="00FC4F13" w14:paraId="1757B20C" w14:textId="77777777" w:rsidTr="00A41AB6">
        <w:tc>
          <w:tcPr>
            <w:tcW w:w="4050" w:type="dxa"/>
          </w:tcPr>
          <w:p w14:paraId="7C8F9E5A" w14:textId="77777777" w:rsidR="00FC4F13" w:rsidRPr="00FC4F13" w:rsidRDefault="00FC4F13" w:rsidP="00FC4F13">
            <w:pPr>
              <w:spacing w:before="120" w:after="120" w:line="276" w:lineRule="auto"/>
            </w:pPr>
          </w:p>
        </w:tc>
        <w:tc>
          <w:tcPr>
            <w:tcW w:w="5850" w:type="dxa"/>
          </w:tcPr>
          <w:p w14:paraId="2CBADA5B" w14:textId="7C8A4AAD" w:rsidR="00FC4F13" w:rsidRPr="00FC4F13" w:rsidRDefault="00FC4F13" w:rsidP="00FC4F13">
            <w:pPr>
              <w:spacing w:before="120" w:after="120" w:line="276" w:lineRule="auto"/>
              <w:jc w:val="right"/>
              <w:rPr>
                <w:i/>
              </w:rPr>
            </w:pPr>
            <w:r w:rsidRPr="00FC4F13">
              <w:rPr>
                <w:i/>
              </w:rPr>
              <w:t xml:space="preserve">TP.HCM, </w:t>
            </w:r>
            <w:proofErr w:type="spellStart"/>
            <w:r w:rsidRPr="00FC4F13">
              <w:rPr>
                <w:i/>
              </w:rPr>
              <w:t>ngày</w:t>
            </w:r>
            <w:proofErr w:type="spellEnd"/>
            <w:r w:rsidRPr="00FC4F13">
              <w:rPr>
                <w:i/>
              </w:rPr>
              <w:t xml:space="preserve"> </w:t>
            </w:r>
            <w:r w:rsidR="00334FBE">
              <w:rPr>
                <w:i/>
              </w:rPr>
              <w:t>11</w:t>
            </w:r>
            <w:r w:rsidRPr="00FC4F13">
              <w:rPr>
                <w:i/>
              </w:rPr>
              <w:t xml:space="preserve"> </w:t>
            </w:r>
            <w:proofErr w:type="spellStart"/>
            <w:r w:rsidRPr="00FC4F13">
              <w:rPr>
                <w:i/>
              </w:rPr>
              <w:t>tháng</w:t>
            </w:r>
            <w:proofErr w:type="spellEnd"/>
            <w:r w:rsidRPr="00FC4F13">
              <w:rPr>
                <w:i/>
              </w:rPr>
              <w:t xml:space="preserve"> 0</w:t>
            </w:r>
            <w:r w:rsidR="00B4297E">
              <w:rPr>
                <w:i/>
                <w:lang w:val="vi-VN"/>
              </w:rPr>
              <w:t>3</w:t>
            </w:r>
            <w:r w:rsidRPr="00FC4F13">
              <w:rPr>
                <w:i/>
              </w:rPr>
              <w:t xml:space="preserve"> </w:t>
            </w:r>
            <w:proofErr w:type="spellStart"/>
            <w:r w:rsidRPr="00FC4F13">
              <w:rPr>
                <w:i/>
              </w:rPr>
              <w:t>năm</w:t>
            </w:r>
            <w:proofErr w:type="spellEnd"/>
            <w:r w:rsidRPr="00FC4F13">
              <w:rPr>
                <w:i/>
              </w:rPr>
              <w:t xml:space="preserve"> 202</w:t>
            </w:r>
            <w:r w:rsidR="003A2D60">
              <w:rPr>
                <w:i/>
              </w:rPr>
              <w:t>4</w:t>
            </w:r>
          </w:p>
        </w:tc>
      </w:tr>
    </w:tbl>
    <w:p w14:paraId="543108D3" w14:textId="77777777" w:rsidR="00FC4F13" w:rsidRPr="00FC4F13" w:rsidRDefault="00FC4F13" w:rsidP="00A06C37">
      <w:pPr>
        <w:spacing w:line="276" w:lineRule="auto"/>
        <w:jc w:val="center"/>
        <w:rPr>
          <w:b/>
          <w:sz w:val="28"/>
          <w:szCs w:val="28"/>
        </w:rPr>
      </w:pPr>
      <w:r w:rsidRPr="00FC4F13">
        <w:rPr>
          <w:b/>
          <w:sz w:val="28"/>
          <w:szCs w:val="28"/>
        </w:rPr>
        <w:t>BÁO CÁO</w:t>
      </w:r>
    </w:p>
    <w:p w14:paraId="192BBEAA" w14:textId="77777777" w:rsidR="0049453A" w:rsidRDefault="00FC4F13" w:rsidP="00A06C37">
      <w:pPr>
        <w:spacing w:line="276" w:lineRule="auto"/>
        <w:jc w:val="center"/>
        <w:rPr>
          <w:b/>
          <w:sz w:val="28"/>
          <w:szCs w:val="28"/>
        </w:rPr>
      </w:pPr>
      <w:r w:rsidRPr="00FC4F13">
        <w:rPr>
          <w:b/>
          <w:sz w:val="28"/>
          <w:szCs w:val="28"/>
        </w:rPr>
        <w:t xml:space="preserve">TỔNG KẾT HOẠT ĐỘNG QUẢN LÝ QUỸ </w:t>
      </w:r>
    </w:p>
    <w:p w14:paraId="782C612A" w14:textId="4C0A63A0" w:rsidR="00FC4F13" w:rsidRPr="00FC4F13" w:rsidRDefault="007A552A" w:rsidP="00A06C37">
      <w:pPr>
        <w:spacing w:line="276" w:lineRule="auto"/>
        <w:jc w:val="center"/>
        <w:rPr>
          <w:b/>
          <w:sz w:val="28"/>
          <w:szCs w:val="28"/>
        </w:rPr>
      </w:pPr>
      <w:r>
        <w:rPr>
          <w:b/>
          <w:sz w:val="28"/>
          <w:szCs w:val="28"/>
        </w:rPr>
        <w:t>NĂM</w:t>
      </w:r>
      <w:r w:rsidR="00FC4F13" w:rsidRPr="00FC4F13">
        <w:rPr>
          <w:b/>
          <w:sz w:val="28"/>
          <w:szCs w:val="28"/>
        </w:rPr>
        <w:t xml:space="preserve"> 202</w:t>
      </w:r>
      <w:r w:rsidR="0049453A">
        <w:rPr>
          <w:b/>
          <w:sz w:val="28"/>
          <w:szCs w:val="28"/>
        </w:rPr>
        <w:t>3</w:t>
      </w:r>
    </w:p>
    <w:p w14:paraId="11224297" w14:textId="59987248" w:rsidR="00B04C91" w:rsidRPr="00FC4F13" w:rsidRDefault="00FC4F13" w:rsidP="00FC4F13">
      <w:pPr>
        <w:spacing w:before="120" w:line="276" w:lineRule="auto"/>
        <w:jc w:val="center"/>
        <w:rPr>
          <w:i/>
          <w:lang w:val="nl-NL"/>
        </w:rPr>
      </w:pPr>
      <w:proofErr w:type="spellStart"/>
      <w:r w:rsidRPr="00FC4F13">
        <w:t>Kính</w:t>
      </w:r>
      <w:proofErr w:type="spellEnd"/>
      <w:r w:rsidRPr="00FC4F13">
        <w:t xml:space="preserve"> </w:t>
      </w:r>
      <w:proofErr w:type="spellStart"/>
      <w:r w:rsidRPr="00FC4F13">
        <w:t>gửi</w:t>
      </w:r>
      <w:proofErr w:type="spellEnd"/>
      <w:r w:rsidRPr="00FC4F13">
        <w:t xml:space="preserve">: </w:t>
      </w:r>
      <w:proofErr w:type="spellStart"/>
      <w:r w:rsidRPr="00FC4F13">
        <w:t>Ủy</w:t>
      </w:r>
      <w:proofErr w:type="spellEnd"/>
      <w:r w:rsidRPr="00FC4F13">
        <w:t xml:space="preserve"> ban </w:t>
      </w:r>
      <w:proofErr w:type="spellStart"/>
      <w:r w:rsidRPr="00FC4F13">
        <w:t>Chứng</w:t>
      </w:r>
      <w:proofErr w:type="spellEnd"/>
      <w:r w:rsidRPr="00FC4F13">
        <w:t xml:space="preserve"> </w:t>
      </w:r>
      <w:proofErr w:type="spellStart"/>
      <w:r w:rsidRPr="00FC4F13">
        <w:t>khoán</w:t>
      </w:r>
      <w:proofErr w:type="spellEnd"/>
      <w:r w:rsidRPr="00FC4F13">
        <w:t xml:space="preserve"> </w:t>
      </w:r>
      <w:proofErr w:type="spellStart"/>
      <w:r w:rsidRPr="00FC4F13">
        <w:t>Nhà</w:t>
      </w:r>
      <w:proofErr w:type="spellEnd"/>
      <w:r w:rsidRPr="00FC4F13">
        <w:t xml:space="preserve"> </w:t>
      </w:r>
      <w:proofErr w:type="spellStart"/>
      <w:proofErr w:type="gramStart"/>
      <w:r w:rsidRPr="00FC4F13">
        <w:t>nước</w:t>
      </w:r>
      <w:proofErr w:type="spellEnd"/>
      <w:proofErr w:type="gramEnd"/>
    </w:p>
    <w:p w14:paraId="34376B55" w14:textId="77777777" w:rsidR="00B04C91" w:rsidRPr="00FC4F13" w:rsidRDefault="00B04C91" w:rsidP="00FC4F13">
      <w:pPr>
        <w:pStyle w:val="ListParagraph"/>
        <w:numPr>
          <w:ilvl w:val="0"/>
          <w:numId w:val="1"/>
        </w:numPr>
        <w:tabs>
          <w:tab w:val="left" w:pos="270"/>
          <w:tab w:val="left" w:pos="1134"/>
        </w:tabs>
        <w:spacing w:before="120" w:after="120" w:line="276" w:lineRule="auto"/>
        <w:ind w:left="0" w:firstLine="0"/>
        <w:jc w:val="both"/>
      </w:pPr>
      <w:proofErr w:type="spellStart"/>
      <w:r w:rsidRPr="00FC4F13">
        <w:t>Thông</w:t>
      </w:r>
      <w:proofErr w:type="spellEnd"/>
      <w:r w:rsidRPr="00FC4F13">
        <w:t xml:space="preserve"> tin </w:t>
      </w:r>
      <w:proofErr w:type="spellStart"/>
      <w:r w:rsidRPr="00FC4F13">
        <w:t>về</w:t>
      </w:r>
      <w:proofErr w:type="spellEnd"/>
      <w:r w:rsidRPr="00FC4F13">
        <w:t xml:space="preserve"> </w:t>
      </w:r>
      <w:proofErr w:type="spellStart"/>
      <w:r w:rsidRPr="00FC4F13">
        <w:t>quỹ</w:t>
      </w:r>
      <w:proofErr w:type="spellEnd"/>
    </w:p>
    <w:p w14:paraId="4D1D774A" w14:textId="734A1044" w:rsidR="00B04C91" w:rsidRPr="00FC4F13" w:rsidRDefault="00B04C91" w:rsidP="00FC4F13">
      <w:pPr>
        <w:pStyle w:val="ListParagraph"/>
        <w:numPr>
          <w:ilvl w:val="0"/>
          <w:numId w:val="2"/>
        </w:numPr>
        <w:tabs>
          <w:tab w:val="left" w:pos="270"/>
          <w:tab w:val="left" w:pos="1134"/>
        </w:tabs>
        <w:spacing w:before="120" w:after="120" w:line="276" w:lineRule="auto"/>
        <w:ind w:left="0" w:firstLine="0"/>
        <w:jc w:val="both"/>
        <w:rPr>
          <w:b w:val="0"/>
        </w:rPr>
      </w:pPr>
      <w:proofErr w:type="spellStart"/>
      <w:r w:rsidRPr="00FC4F13">
        <w:rPr>
          <w:b w:val="0"/>
        </w:rPr>
        <w:t>Tên</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loại</w:t>
      </w:r>
      <w:proofErr w:type="spellEnd"/>
      <w:r w:rsidRPr="00FC4F13">
        <w:rPr>
          <w:b w:val="0"/>
        </w:rPr>
        <w:t xml:space="preserve"> </w:t>
      </w:r>
      <w:proofErr w:type="spellStart"/>
      <w:r w:rsidRPr="00FC4F13">
        <w:rPr>
          <w:b w:val="0"/>
        </w:rPr>
        <w:t>hình</w:t>
      </w:r>
      <w:proofErr w:type="spellEnd"/>
      <w:r w:rsidRPr="00FC4F13">
        <w:rPr>
          <w:b w:val="0"/>
        </w:rPr>
        <w:t xml:space="preserve"> </w:t>
      </w:r>
      <w:proofErr w:type="spellStart"/>
      <w:r w:rsidRPr="00FC4F13">
        <w:rPr>
          <w:b w:val="0"/>
        </w:rPr>
        <w:t>quỹ</w:t>
      </w:r>
      <w:proofErr w:type="spellEnd"/>
      <w:r w:rsidRPr="00FC4F13">
        <w:rPr>
          <w:b w:val="0"/>
        </w:rPr>
        <w:t xml:space="preserve"> : </w:t>
      </w:r>
      <w:r w:rsidRPr="00FC4F13">
        <w:t xml:space="preserve">QUỸ </w:t>
      </w:r>
      <w:r w:rsidR="00AA56CA" w:rsidRPr="00FC4F13">
        <w:t xml:space="preserve">ĐẦU TƯ </w:t>
      </w:r>
      <w:r w:rsidR="00A206EA" w:rsidRPr="00FC4F13">
        <w:t>CỔ PHIẾU</w:t>
      </w:r>
      <w:r w:rsidR="00AA56CA" w:rsidRPr="00FC4F13">
        <w:t xml:space="preserve"> VIỆT NAM</w:t>
      </w:r>
      <w:r w:rsidR="00F53A4A" w:rsidRPr="00FC4F13">
        <w:t xml:space="preserve"> CHỌN LỌC</w:t>
      </w:r>
    </w:p>
    <w:p w14:paraId="7E7642CC" w14:textId="77777777" w:rsidR="00B04C91" w:rsidRPr="00FC4F13" w:rsidRDefault="00B04C91" w:rsidP="00E4394F">
      <w:pPr>
        <w:pStyle w:val="ListParagraph"/>
        <w:numPr>
          <w:ilvl w:val="0"/>
          <w:numId w:val="2"/>
        </w:numPr>
        <w:tabs>
          <w:tab w:val="left" w:pos="270"/>
          <w:tab w:val="left" w:pos="1134"/>
        </w:tabs>
        <w:spacing w:line="276" w:lineRule="auto"/>
        <w:ind w:left="0" w:firstLine="0"/>
        <w:jc w:val="both"/>
        <w:rPr>
          <w:b w:val="0"/>
        </w:rPr>
      </w:pPr>
      <w:proofErr w:type="spellStart"/>
      <w:r w:rsidRPr="00FC4F13">
        <w:rPr>
          <w:b w:val="0"/>
        </w:rPr>
        <w:t>Mục</w:t>
      </w:r>
      <w:proofErr w:type="spellEnd"/>
      <w:r w:rsidRPr="00FC4F13">
        <w:rPr>
          <w:b w:val="0"/>
        </w:rPr>
        <w:t xml:space="preserve"> </w:t>
      </w:r>
      <w:proofErr w:type="spellStart"/>
      <w:r w:rsidRPr="00FC4F13">
        <w:rPr>
          <w:b w:val="0"/>
        </w:rPr>
        <w:t>tiêu</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 :</w:t>
      </w:r>
    </w:p>
    <w:p w14:paraId="3825411F" w14:textId="7806ADE2" w:rsidR="00B617CD" w:rsidRPr="00FC4F13" w:rsidRDefault="007939FA" w:rsidP="00E4394F">
      <w:pPr>
        <w:tabs>
          <w:tab w:val="left" w:pos="270"/>
          <w:tab w:val="left" w:pos="1134"/>
        </w:tabs>
        <w:spacing w:line="276" w:lineRule="auto"/>
        <w:jc w:val="both"/>
      </w:pPr>
      <w:proofErr w:type="spellStart"/>
      <w:r w:rsidRPr="00FC4F13">
        <w:t>Mục</w:t>
      </w:r>
      <w:proofErr w:type="spellEnd"/>
      <w:r w:rsidRPr="00FC4F13">
        <w:t xml:space="preserve"> </w:t>
      </w:r>
      <w:proofErr w:type="spellStart"/>
      <w:r w:rsidRPr="00FC4F13">
        <w:t>tiêu</w:t>
      </w:r>
      <w:proofErr w:type="spellEnd"/>
      <w:r w:rsidRPr="00FC4F13">
        <w:t xml:space="preserve"> </w:t>
      </w:r>
      <w:proofErr w:type="spellStart"/>
      <w:r w:rsidR="00D44483" w:rsidRPr="00FC4F13">
        <w:t>đầu</w:t>
      </w:r>
      <w:proofErr w:type="spellEnd"/>
      <w:r w:rsidR="00D44483" w:rsidRPr="00FC4F13">
        <w:t xml:space="preserve"> </w:t>
      </w:r>
      <w:proofErr w:type="spellStart"/>
      <w:r w:rsidR="00D44483" w:rsidRPr="00FC4F13">
        <w:t>tư</w:t>
      </w:r>
      <w:proofErr w:type="spellEnd"/>
      <w:r w:rsidR="00D44483" w:rsidRPr="00FC4F13">
        <w:t xml:space="preserve"> </w:t>
      </w:r>
      <w:proofErr w:type="spellStart"/>
      <w:r w:rsidRPr="00FC4F13">
        <w:t>của</w:t>
      </w:r>
      <w:proofErr w:type="spellEnd"/>
      <w:r w:rsidRPr="00FC4F13">
        <w:t xml:space="preserve"> </w:t>
      </w:r>
      <w:proofErr w:type="spellStart"/>
      <w:r w:rsidRPr="00FC4F13">
        <w:t>Quỹ</w:t>
      </w:r>
      <w:proofErr w:type="spellEnd"/>
      <w:r w:rsidRPr="00FC4F13">
        <w:t xml:space="preserve"> VFM</w:t>
      </w:r>
      <w:r w:rsidR="00E10262" w:rsidRPr="00FC4F13">
        <w:t>VSF</w:t>
      </w:r>
      <w:r w:rsidRPr="00FC4F13">
        <w:t xml:space="preserve"> </w:t>
      </w:r>
      <w:proofErr w:type="spellStart"/>
      <w:r w:rsidRPr="00FC4F13">
        <w:t>là</w:t>
      </w:r>
      <w:proofErr w:type="spellEnd"/>
      <w:r w:rsidRPr="00FC4F13">
        <w:t xml:space="preserve"> </w:t>
      </w:r>
      <w:proofErr w:type="spellStart"/>
      <w:r w:rsidRPr="00FC4F13">
        <w:t>tìm</w:t>
      </w:r>
      <w:proofErr w:type="spellEnd"/>
      <w:r w:rsidRPr="00FC4F13">
        <w:t xml:space="preserve"> </w:t>
      </w:r>
      <w:proofErr w:type="spellStart"/>
      <w:r w:rsidRPr="00FC4F13">
        <w:t>kiếm</w:t>
      </w:r>
      <w:proofErr w:type="spellEnd"/>
      <w:r w:rsidRPr="00FC4F13">
        <w:t xml:space="preserve"> </w:t>
      </w:r>
      <w:proofErr w:type="spellStart"/>
      <w:r w:rsidR="00D44483" w:rsidRPr="00FC4F13">
        <w:t>sự</w:t>
      </w:r>
      <w:proofErr w:type="spellEnd"/>
      <w:r w:rsidRPr="00FC4F13">
        <w:t xml:space="preserve"> </w:t>
      </w:r>
      <w:proofErr w:type="spellStart"/>
      <w:r w:rsidRPr="00FC4F13">
        <w:t>tăng</w:t>
      </w:r>
      <w:proofErr w:type="spellEnd"/>
      <w:r w:rsidRPr="00FC4F13">
        <w:t xml:space="preserve"> </w:t>
      </w:r>
      <w:proofErr w:type="spellStart"/>
      <w:r w:rsidRPr="00FC4F13">
        <w:t>trưởng</w:t>
      </w:r>
      <w:proofErr w:type="spellEnd"/>
      <w:r w:rsidRPr="00FC4F13">
        <w:t xml:space="preserve"> </w:t>
      </w:r>
      <w:proofErr w:type="spellStart"/>
      <w:r w:rsidR="00D44483" w:rsidRPr="00FC4F13">
        <w:t>về</w:t>
      </w:r>
      <w:proofErr w:type="spellEnd"/>
      <w:r w:rsidR="00D44483" w:rsidRPr="00FC4F13">
        <w:t xml:space="preserve"> </w:t>
      </w:r>
      <w:proofErr w:type="spellStart"/>
      <w:r w:rsidRPr="00FC4F13">
        <w:t>vốn</w:t>
      </w:r>
      <w:proofErr w:type="spellEnd"/>
      <w:r w:rsidRPr="00FC4F13">
        <w:t xml:space="preserve"> </w:t>
      </w:r>
      <w:proofErr w:type="spellStart"/>
      <w:r w:rsidRPr="00FC4F13">
        <w:t>và</w:t>
      </w:r>
      <w:proofErr w:type="spellEnd"/>
      <w:r w:rsidRPr="00FC4F13">
        <w:t xml:space="preserve"> </w:t>
      </w:r>
      <w:proofErr w:type="spellStart"/>
      <w:r w:rsidR="00D44483" w:rsidRPr="00FC4F13">
        <w:t>thu</w:t>
      </w:r>
      <w:proofErr w:type="spellEnd"/>
      <w:r w:rsidR="00D44483" w:rsidRPr="00FC4F13">
        <w:t xml:space="preserve"> </w:t>
      </w:r>
      <w:proofErr w:type="spellStart"/>
      <w:r w:rsidR="00D44483" w:rsidRPr="00FC4F13">
        <w:t>nhập</w:t>
      </w:r>
      <w:proofErr w:type="spellEnd"/>
      <w:r w:rsidR="00D44483" w:rsidRPr="00FC4F13">
        <w:t xml:space="preserve"> </w:t>
      </w:r>
      <w:proofErr w:type="spellStart"/>
      <w:r w:rsidR="00D44483" w:rsidRPr="00FC4F13">
        <w:t>từ</w:t>
      </w:r>
      <w:proofErr w:type="spellEnd"/>
      <w:r w:rsidR="00D44483" w:rsidRPr="00FC4F13">
        <w:t xml:space="preserve"> </w:t>
      </w:r>
      <w:proofErr w:type="spellStart"/>
      <w:r w:rsidRPr="00FC4F13">
        <w:t>cổ</w:t>
      </w:r>
      <w:proofErr w:type="spellEnd"/>
      <w:r w:rsidRPr="00FC4F13">
        <w:t xml:space="preserve"> </w:t>
      </w:r>
      <w:proofErr w:type="spellStart"/>
      <w:r w:rsidRPr="00FC4F13">
        <w:t>tức</w:t>
      </w:r>
      <w:proofErr w:type="spellEnd"/>
      <w:r w:rsidRPr="00FC4F13">
        <w:t xml:space="preserve"> </w:t>
      </w:r>
      <w:proofErr w:type="spellStart"/>
      <w:r w:rsidR="00D44483" w:rsidRPr="00FC4F13">
        <w:t>trong</w:t>
      </w:r>
      <w:proofErr w:type="spellEnd"/>
      <w:r w:rsidR="00D44483" w:rsidRPr="00FC4F13">
        <w:t xml:space="preserve"> </w:t>
      </w:r>
      <w:proofErr w:type="spellStart"/>
      <w:r w:rsidR="00D44483" w:rsidRPr="00FC4F13">
        <w:t>dài</w:t>
      </w:r>
      <w:proofErr w:type="spellEnd"/>
      <w:r w:rsidR="00D44483" w:rsidRPr="00FC4F13">
        <w:t xml:space="preserve"> </w:t>
      </w:r>
      <w:proofErr w:type="spellStart"/>
      <w:r w:rsidR="00D44483" w:rsidRPr="00FC4F13">
        <w:t>hạn</w:t>
      </w:r>
      <w:proofErr w:type="spellEnd"/>
      <w:r w:rsidRPr="00FC4F13">
        <w:t xml:space="preserve">. </w:t>
      </w:r>
      <w:proofErr w:type="spellStart"/>
      <w:r w:rsidR="00D44483" w:rsidRPr="00FC4F13">
        <w:t>Quỹ</w:t>
      </w:r>
      <w:proofErr w:type="spellEnd"/>
      <w:r w:rsidR="00D44483" w:rsidRPr="00FC4F13">
        <w:t xml:space="preserve"> </w:t>
      </w:r>
      <w:proofErr w:type="spellStart"/>
      <w:r w:rsidR="00D44483" w:rsidRPr="00FC4F13">
        <w:t>sẽ</w:t>
      </w:r>
      <w:proofErr w:type="spellEnd"/>
      <w:r w:rsidR="00D44483" w:rsidRPr="00FC4F13">
        <w:t xml:space="preserve"> </w:t>
      </w:r>
      <w:proofErr w:type="spellStart"/>
      <w:r w:rsidR="00D44483" w:rsidRPr="00FC4F13">
        <w:t>đầu</w:t>
      </w:r>
      <w:proofErr w:type="spellEnd"/>
      <w:r w:rsidR="00D44483" w:rsidRPr="00FC4F13">
        <w:t xml:space="preserve"> </w:t>
      </w:r>
      <w:proofErr w:type="spellStart"/>
      <w:r w:rsidR="00D44483" w:rsidRPr="00FC4F13">
        <w:t>tư</w:t>
      </w:r>
      <w:proofErr w:type="spellEnd"/>
      <w:r w:rsidR="00D44483" w:rsidRPr="00FC4F13">
        <w:t xml:space="preserve"> </w:t>
      </w:r>
      <w:proofErr w:type="spellStart"/>
      <w:r w:rsidR="00D44483" w:rsidRPr="00FC4F13">
        <w:t>chủ</w:t>
      </w:r>
      <w:proofErr w:type="spellEnd"/>
      <w:r w:rsidR="00D44483" w:rsidRPr="00FC4F13">
        <w:t xml:space="preserve"> </w:t>
      </w:r>
      <w:proofErr w:type="spellStart"/>
      <w:r w:rsidR="00D44483" w:rsidRPr="00FC4F13">
        <w:t>yếu</w:t>
      </w:r>
      <w:proofErr w:type="spellEnd"/>
      <w:r w:rsidR="00D44483" w:rsidRPr="00FC4F13">
        <w:t xml:space="preserve"> </w:t>
      </w:r>
      <w:proofErr w:type="spellStart"/>
      <w:r w:rsidR="00D44483" w:rsidRPr="00FC4F13">
        <w:t>vào</w:t>
      </w:r>
      <w:proofErr w:type="spellEnd"/>
      <w:r w:rsidR="00D44483" w:rsidRPr="00FC4F13">
        <w:t xml:space="preserve"> </w:t>
      </w:r>
      <w:proofErr w:type="spellStart"/>
      <w:r w:rsidR="00D44483" w:rsidRPr="00FC4F13">
        <w:t>cổ</w:t>
      </w:r>
      <w:proofErr w:type="spellEnd"/>
      <w:r w:rsidR="00D44483" w:rsidRPr="00FC4F13">
        <w:t xml:space="preserve"> </w:t>
      </w:r>
      <w:proofErr w:type="spellStart"/>
      <w:r w:rsidR="00D44483" w:rsidRPr="00FC4F13">
        <w:t>phần</w:t>
      </w:r>
      <w:proofErr w:type="spellEnd"/>
      <w:r w:rsidR="00D44483" w:rsidRPr="00FC4F13">
        <w:t xml:space="preserve"> </w:t>
      </w:r>
      <w:proofErr w:type="spellStart"/>
      <w:r w:rsidR="00D44483" w:rsidRPr="00FC4F13">
        <w:t>của</w:t>
      </w:r>
      <w:proofErr w:type="spellEnd"/>
      <w:r w:rsidR="00D44483" w:rsidRPr="00FC4F13">
        <w:t xml:space="preserve"> </w:t>
      </w:r>
      <w:proofErr w:type="spellStart"/>
      <w:r w:rsidR="00D44483" w:rsidRPr="00FC4F13">
        <w:t>các</w:t>
      </w:r>
      <w:proofErr w:type="spellEnd"/>
      <w:r w:rsidR="00D44483" w:rsidRPr="00FC4F13">
        <w:t xml:space="preserve"> </w:t>
      </w:r>
      <w:proofErr w:type="spellStart"/>
      <w:r w:rsidR="00D44483" w:rsidRPr="00FC4F13">
        <w:t>công</w:t>
      </w:r>
      <w:proofErr w:type="spellEnd"/>
      <w:r w:rsidR="00D44483" w:rsidRPr="00FC4F13">
        <w:t xml:space="preserve"> ty </w:t>
      </w:r>
      <w:proofErr w:type="spellStart"/>
      <w:r w:rsidR="00D44483" w:rsidRPr="00FC4F13">
        <w:t>hiện</w:t>
      </w:r>
      <w:proofErr w:type="spellEnd"/>
      <w:r w:rsidR="00D44483" w:rsidRPr="00FC4F13">
        <w:t xml:space="preserve"> </w:t>
      </w:r>
      <w:proofErr w:type="spellStart"/>
      <w:r w:rsidR="00D44483" w:rsidRPr="00FC4F13">
        <w:t>đang</w:t>
      </w:r>
      <w:proofErr w:type="spellEnd"/>
      <w:r w:rsidR="00D44483" w:rsidRPr="00FC4F13">
        <w:t xml:space="preserve"> </w:t>
      </w:r>
      <w:proofErr w:type="spellStart"/>
      <w:r w:rsidR="00D44483" w:rsidRPr="00FC4F13">
        <w:t>niêm</w:t>
      </w:r>
      <w:proofErr w:type="spellEnd"/>
      <w:r w:rsidR="00D44483" w:rsidRPr="00FC4F13">
        <w:t xml:space="preserve"> </w:t>
      </w:r>
      <w:proofErr w:type="spellStart"/>
      <w:r w:rsidR="00D44483" w:rsidRPr="00FC4F13">
        <w:t>yết</w:t>
      </w:r>
      <w:proofErr w:type="spellEnd"/>
      <w:r w:rsidR="00D44483" w:rsidRPr="00FC4F13">
        <w:t xml:space="preserve"> </w:t>
      </w:r>
      <w:proofErr w:type="spellStart"/>
      <w:r w:rsidR="00D44483" w:rsidRPr="00FC4F13">
        <w:t>và</w:t>
      </w:r>
      <w:proofErr w:type="spellEnd"/>
      <w:r w:rsidR="00D44483" w:rsidRPr="00FC4F13">
        <w:t xml:space="preserve"> </w:t>
      </w:r>
      <w:proofErr w:type="spellStart"/>
      <w:r w:rsidR="00D44483" w:rsidRPr="00FC4F13">
        <w:t>đăng</w:t>
      </w:r>
      <w:proofErr w:type="spellEnd"/>
      <w:r w:rsidR="00D44483" w:rsidRPr="00FC4F13">
        <w:t xml:space="preserve"> </w:t>
      </w:r>
      <w:proofErr w:type="spellStart"/>
      <w:r w:rsidR="00D44483" w:rsidRPr="00FC4F13">
        <w:t>ký</w:t>
      </w:r>
      <w:proofErr w:type="spellEnd"/>
      <w:r w:rsidR="00D44483" w:rsidRPr="00FC4F13">
        <w:t xml:space="preserve"> </w:t>
      </w:r>
      <w:proofErr w:type="spellStart"/>
      <w:r w:rsidR="00D44483" w:rsidRPr="00FC4F13">
        <w:t>giao</w:t>
      </w:r>
      <w:proofErr w:type="spellEnd"/>
      <w:r w:rsidR="00D44483" w:rsidRPr="00FC4F13">
        <w:t xml:space="preserve"> </w:t>
      </w:r>
      <w:proofErr w:type="spellStart"/>
      <w:r w:rsidR="00D44483" w:rsidRPr="00FC4F13">
        <w:t>dịch</w:t>
      </w:r>
      <w:proofErr w:type="spellEnd"/>
      <w:r w:rsidR="00D44483" w:rsidRPr="00FC4F13">
        <w:t xml:space="preserve"> </w:t>
      </w:r>
      <w:proofErr w:type="spellStart"/>
      <w:r w:rsidR="00D44483" w:rsidRPr="00FC4F13">
        <w:t>trên</w:t>
      </w:r>
      <w:proofErr w:type="spellEnd"/>
      <w:r w:rsidR="00D44483" w:rsidRPr="00FC4F13">
        <w:t xml:space="preserve"> </w:t>
      </w:r>
      <w:proofErr w:type="spellStart"/>
      <w:r w:rsidR="00D44483" w:rsidRPr="00FC4F13">
        <w:t>thị</w:t>
      </w:r>
      <w:proofErr w:type="spellEnd"/>
      <w:r w:rsidR="00D44483" w:rsidRPr="00FC4F13">
        <w:t xml:space="preserve"> </w:t>
      </w:r>
      <w:proofErr w:type="spellStart"/>
      <w:r w:rsidR="00D44483" w:rsidRPr="00FC4F13">
        <w:t>trường</w:t>
      </w:r>
      <w:proofErr w:type="spellEnd"/>
      <w:r w:rsidR="00D44483" w:rsidRPr="00FC4F13">
        <w:t xml:space="preserve"> </w:t>
      </w:r>
      <w:proofErr w:type="spellStart"/>
      <w:r w:rsidR="00D44483" w:rsidRPr="00FC4F13">
        <w:t>chứng</w:t>
      </w:r>
      <w:proofErr w:type="spellEnd"/>
      <w:r w:rsidR="00D44483" w:rsidRPr="00FC4F13">
        <w:t xml:space="preserve"> </w:t>
      </w:r>
      <w:proofErr w:type="spellStart"/>
      <w:r w:rsidR="00D44483" w:rsidRPr="00FC4F13">
        <w:t>khoán</w:t>
      </w:r>
      <w:proofErr w:type="spellEnd"/>
      <w:r w:rsidR="00D44483" w:rsidRPr="00FC4F13">
        <w:t xml:space="preserve"> Việt Nam </w:t>
      </w:r>
      <w:proofErr w:type="spellStart"/>
      <w:r w:rsidR="00D44483" w:rsidRPr="00FC4F13">
        <w:t>có</w:t>
      </w:r>
      <w:proofErr w:type="spellEnd"/>
      <w:r w:rsidR="00D44483" w:rsidRPr="00FC4F13">
        <w:t xml:space="preserve"> </w:t>
      </w:r>
      <w:proofErr w:type="spellStart"/>
      <w:r w:rsidR="00D44483" w:rsidRPr="00FC4F13">
        <w:t>nền</w:t>
      </w:r>
      <w:proofErr w:type="spellEnd"/>
      <w:r w:rsidR="00D44483" w:rsidRPr="00FC4F13">
        <w:t xml:space="preserve"> </w:t>
      </w:r>
      <w:proofErr w:type="spellStart"/>
      <w:r w:rsidR="00D44483" w:rsidRPr="00FC4F13">
        <w:t>tảng</w:t>
      </w:r>
      <w:proofErr w:type="spellEnd"/>
      <w:r w:rsidR="00D44483" w:rsidRPr="00FC4F13">
        <w:t xml:space="preserve"> </w:t>
      </w:r>
      <w:proofErr w:type="spellStart"/>
      <w:r w:rsidR="00D44483" w:rsidRPr="00FC4F13">
        <w:t>cơ</w:t>
      </w:r>
      <w:proofErr w:type="spellEnd"/>
      <w:r w:rsidR="00D44483" w:rsidRPr="00FC4F13">
        <w:t xml:space="preserve"> </w:t>
      </w:r>
      <w:proofErr w:type="spellStart"/>
      <w:r w:rsidR="00D44483" w:rsidRPr="00FC4F13">
        <w:t>bản</w:t>
      </w:r>
      <w:proofErr w:type="spellEnd"/>
      <w:r w:rsidR="00D44483" w:rsidRPr="00FC4F13">
        <w:t xml:space="preserve"> </w:t>
      </w:r>
      <w:proofErr w:type="spellStart"/>
      <w:r w:rsidR="00D44483" w:rsidRPr="00FC4F13">
        <w:t>tốt</w:t>
      </w:r>
      <w:proofErr w:type="spellEnd"/>
      <w:r w:rsidR="00D44483" w:rsidRPr="00FC4F13">
        <w:t xml:space="preserve"> </w:t>
      </w:r>
      <w:proofErr w:type="spellStart"/>
      <w:r w:rsidR="00D44483" w:rsidRPr="00FC4F13">
        <w:t>và</w:t>
      </w:r>
      <w:proofErr w:type="spellEnd"/>
      <w:r w:rsidR="00D44483" w:rsidRPr="00FC4F13">
        <w:t xml:space="preserve"> </w:t>
      </w:r>
      <w:proofErr w:type="spellStart"/>
      <w:r w:rsidR="00D44483" w:rsidRPr="00FC4F13">
        <w:t>kỳ</w:t>
      </w:r>
      <w:proofErr w:type="spellEnd"/>
      <w:r w:rsidR="00D44483" w:rsidRPr="00FC4F13">
        <w:t xml:space="preserve"> </w:t>
      </w:r>
      <w:proofErr w:type="spellStart"/>
      <w:r w:rsidR="00D44483" w:rsidRPr="00FC4F13">
        <w:t>vọng</w:t>
      </w:r>
      <w:proofErr w:type="spellEnd"/>
      <w:r w:rsidR="00D44483" w:rsidRPr="00FC4F13">
        <w:t xml:space="preserve"> </w:t>
      </w:r>
      <w:proofErr w:type="spellStart"/>
      <w:r w:rsidR="00D44483" w:rsidRPr="00FC4F13">
        <w:t>tăng</w:t>
      </w:r>
      <w:proofErr w:type="spellEnd"/>
      <w:r w:rsidR="00D44483" w:rsidRPr="00FC4F13">
        <w:t xml:space="preserve"> </w:t>
      </w:r>
      <w:proofErr w:type="spellStart"/>
      <w:r w:rsidR="00D44483" w:rsidRPr="00FC4F13">
        <w:t>trưởng</w:t>
      </w:r>
      <w:proofErr w:type="spellEnd"/>
      <w:r w:rsidR="00D44483" w:rsidRPr="00FC4F13">
        <w:t xml:space="preserve"> </w:t>
      </w:r>
      <w:proofErr w:type="spellStart"/>
      <w:r w:rsidR="00D44483" w:rsidRPr="00FC4F13">
        <w:t>bền</w:t>
      </w:r>
      <w:proofErr w:type="spellEnd"/>
      <w:r w:rsidR="00D44483" w:rsidRPr="00FC4F13">
        <w:t xml:space="preserve"> </w:t>
      </w:r>
      <w:proofErr w:type="spellStart"/>
      <w:r w:rsidR="00D44483" w:rsidRPr="00FC4F13">
        <w:t>vững</w:t>
      </w:r>
      <w:proofErr w:type="spellEnd"/>
      <w:r w:rsidR="00D44483" w:rsidRPr="00FC4F13">
        <w:t xml:space="preserve">. </w:t>
      </w:r>
      <w:proofErr w:type="spellStart"/>
      <w:r w:rsidR="004526CA" w:rsidRPr="00FC4F13">
        <w:t>Quỹ</w:t>
      </w:r>
      <w:proofErr w:type="spellEnd"/>
      <w:r w:rsidR="004526CA" w:rsidRPr="00FC4F13">
        <w:t xml:space="preserve"> VFM</w:t>
      </w:r>
      <w:r w:rsidR="00231229" w:rsidRPr="00FC4F13">
        <w:t>VSF</w:t>
      </w:r>
      <w:r w:rsidR="004526CA" w:rsidRPr="00FC4F13">
        <w:t xml:space="preserve"> </w:t>
      </w:r>
      <w:proofErr w:type="spellStart"/>
      <w:r w:rsidR="004526CA" w:rsidRPr="00FC4F13">
        <w:t>được</w:t>
      </w:r>
      <w:proofErr w:type="spellEnd"/>
      <w:r w:rsidR="004526CA" w:rsidRPr="00FC4F13">
        <w:t xml:space="preserve"> </w:t>
      </w:r>
      <w:proofErr w:type="spellStart"/>
      <w:r w:rsidR="004526CA" w:rsidRPr="00FC4F13">
        <w:t>phép</w:t>
      </w:r>
      <w:proofErr w:type="spellEnd"/>
      <w:r w:rsidR="004526CA" w:rsidRPr="00FC4F13">
        <w:t xml:space="preserve"> </w:t>
      </w:r>
      <w:proofErr w:type="spellStart"/>
      <w:r w:rsidR="004526CA" w:rsidRPr="00FC4F13">
        <w:t>đầu</w:t>
      </w:r>
      <w:proofErr w:type="spellEnd"/>
      <w:r w:rsidR="004526CA" w:rsidRPr="00FC4F13">
        <w:t xml:space="preserve"> </w:t>
      </w:r>
      <w:proofErr w:type="spellStart"/>
      <w:r w:rsidR="004526CA" w:rsidRPr="00FC4F13">
        <w:t>tư</w:t>
      </w:r>
      <w:proofErr w:type="spellEnd"/>
      <w:r w:rsidR="004526CA" w:rsidRPr="00FC4F13">
        <w:t xml:space="preserve"> </w:t>
      </w:r>
      <w:proofErr w:type="spellStart"/>
      <w:r w:rsidR="004526CA" w:rsidRPr="00FC4F13">
        <w:t>vào</w:t>
      </w:r>
      <w:proofErr w:type="spellEnd"/>
      <w:r w:rsidR="004526CA" w:rsidRPr="00FC4F13">
        <w:t xml:space="preserve"> </w:t>
      </w:r>
      <w:proofErr w:type="spellStart"/>
      <w:r w:rsidR="004526CA" w:rsidRPr="00FC4F13">
        <w:t>các</w:t>
      </w:r>
      <w:proofErr w:type="spellEnd"/>
      <w:r w:rsidR="004526CA" w:rsidRPr="00FC4F13">
        <w:t xml:space="preserve"> </w:t>
      </w:r>
      <w:proofErr w:type="spellStart"/>
      <w:r w:rsidR="004526CA" w:rsidRPr="00FC4F13">
        <w:t>loại</w:t>
      </w:r>
      <w:proofErr w:type="spellEnd"/>
      <w:r w:rsidR="004526CA" w:rsidRPr="00FC4F13">
        <w:t xml:space="preserve"> </w:t>
      </w:r>
      <w:proofErr w:type="spellStart"/>
      <w:r w:rsidR="004526CA" w:rsidRPr="00FC4F13">
        <w:t>tài</w:t>
      </w:r>
      <w:proofErr w:type="spellEnd"/>
      <w:r w:rsidR="004526CA" w:rsidRPr="00FC4F13">
        <w:t xml:space="preserve"> </w:t>
      </w:r>
      <w:proofErr w:type="spellStart"/>
      <w:r w:rsidR="004526CA" w:rsidRPr="00FC4F13">
        <w:t>sản</w:t>
      </w:r>
      <w:proofErr w:type="spellEnd"/>
      <w:r w:rsidR="004526CA" w:rsidRPr="00FC4F13">
        <w:t xml:space="preserve"> </w:t>
      </w:r>
      <w:proofErr w:type="spellStart"/>
      <w:r w:rsidR="004526CA" w:rsidRPr="00FC4F13">
        <w:t>như</w:t>
      </w:r>
      <w:proofErr w:type="spellEnd"/>
      <w:r w:rsidR="004526CA" w:rsidRPr="00FC4F13">
        <w:t xml:space="preserve"> </w:t>
      </w:r>
      <w:proofErr w:type="spellStart"/>
      <w:r w:rsidR="004526CA" w:rsidRPr="00FC4F13">
        <w:t>sau</w:t>
      </w:r>
      <w:proofErr w:type="spellEnd"/>
      <w:r w:rsidR="004526CA" w:rsidRPr="00FC4F13">
        <w:t xml:space="preserve">: </w:t>
      </w:r>
      <w:proofErr w:type="spellStart"/>
      <w:r w:rsidR="004526CA" w:rsidRPr="00FC4F13">
        <w:t>Ti</w:t>
      </w:r>
      <w:r w:rsidR="00814AA7" w:rsidRPr="00FC4F13">
        <w:t>ề</w:t>
      </w:r>
      <w:r w:rsidR="004526CA" w:rsidRPr="00FC4F13">
        <w:t>n</w:t>
      </w:r>
      <w:proofErr w:type="spellEnd"/>
      <w:r w:rsidR="004526CA" w:rsidRPr="00FC4F13">
        <w:t xml:space="preserve"> </w:t>
      </w:r>
      <w:proofErr w:type="spellStart"/>
      <w:r w:rsidR="004526CA" w:rsidRPr="00FC4F13">
        <w:t>gửi</w:t>
      </w:r>
      <w:proofErr w:type="spellEnd"/>
      <w:r w:rsidR="004526CA" w:rsidRPr="00FC4F13">
        <w:t xml:space="preserve"> </w:t>
      </w:r>
      <w:proofErr w:type="spellStart"/>
      <w:r w:rsidR="004526CA" w:rsidRPr="00FC4F13">
        <w:t>tại</w:t>
      </w:r>
      <w:proofErr w:type="spellEnd"/>
      <w:r w:rsidR="004526CA" w:rsidRPr="00FC4F13">
        <w:t xml:space="preserve"> </w:t>
      </w:r>
      <w:proofErr w:type="spellStart"/>
      <w:r w:rsidR="004526CA" w:rsidRPr="00FC4F13">
        <w:t>ngân</w:t>
      </w:r>
      <w:proofErr w:type="spellEnd"/>
      <w:r w:rsidR="004526CA" w:rsidRPr="00FC4F13">
        <w:t xml:space="preserve"> </w:t>
      </w:r>
      <w:proofErr w:type="spellStart"/>
      <w:r w:rsidR="004526CA" w:rsidRPr="00FC4F13">
        <w:t>hàng</w:t>
      </w:r>
      <w:proofErr w:type="spellEnd"/>
      <w:r w:rsidR="004526CA" w:rsidRPr="00FC4F13">
        <w:t xml:space="preserve"> </w:t>
      </w:r>
      <w:proofErr w:type="spellStart"/>
      <w:r w:rsidR="004526CA" w:rsidRPr="00FC4F13">
        <w:t>thương</w:t>
      </w:r>
      <w:proofErr w:type="spellEnd"/>
      <w:r w:rsidR="004526CA" w:rsidRPr="00FC4F13">
        <w:t xml:space="preserve"> </w:t>
      </w:r>
      <w:proofErr w:type="spellStart"/>
      <w:r w:rsidR="004526CA" w:rsidRPr="00FC4F13">
        <w:t>mại</w:t>
      </w:r>
      <w:proofErr w:type="spellEnd"/>
      <w:r w:rsidR="004526CA" w:rsidRPr="00FC4F13">
        <w:t xml:space="preserve">, </w:t>
      </w:r>
      <w:proofErr w:type="spellStart"/>
      <w:r w:rsidR="004526CA" w:rsidRPr="00FC4F13">
        <w:t>công</w:t>
      </w:r>
      <w:proofErr w:type="spellEnd"/>
      <w:r w:rsidR="004526CA" w:rsidRPr="00FC4F13">
        <w:t xml:space="preserve"> </w:t>
      </w:r>
      <w:proofErr w:type="spellStart"/>
      <w:r w:rsidR="004526CA" w:rsidRPr="00FC4F13">
        <w:t>cụ</w:t>
      </w:r>
      <w:proofErr w:type="spellEnd"/>
      <w:r w:rsidR="004526CA" w:rsidRPr="00FC4F13">
        <w:t xml:space="preserve"> </w:t>
      </w:r>
      <w:proofErr w:type="spellStart"/>
      <w:r w:rsidR="004526CA" w:rsidRPr="00FC4F13">
        <w:t>thị</w:t>
      </w:r>
      <w:proofErr w:type="spellEnd"/>
      <w:r w:rsidR="004526CA" w:rsidRPr="00FC4F13">
        <w:t xml:space="preserve"> </w:t>
      </w:r>
      <w:proofErr w:type="spellStart"/>
      <w:r w:rsidR="004526CA" w:rsidRPr="00FC4F13">
        <w:t>trường</w:t>
      </w:r>
      <w:proofErr w:type="spellEnd"/>
      <w:r w:rsidR="004526CA" w:rsidRPr="00FC4F13">
        <w:t xml:space="preserve"> </w:t>
      </w:r>
      <w:proofErr w:type="spellStart"/>
      <w:r w:rsidR="004526CA" w:rsidRPr="00FC4F13">
        <w:t>tiền</w:t>
      </w:r>
      <w:proofErr w:type="spellEnd"/>
      <w:r w:rsidR="004526CA" w:rsidRPr="00FC4F13">
        <w:t xml:space="preserve"> </w:t>
      </w:r>
      <w:proofErr w:type="spellStart"/>
      <w:r w:rsidR="004526CA" w:rsidRPr="00FC4F13">
        <w:t>tệ</w:t>
      </w:r>
      <w:proofErr w:type="spellEnd"/>
      <w:r w:rsidR="004526CA" w:rsidRPr="00FC4F13">
        <w:t xml:space="preserve">, </w:t>
      </w:r>
      <w:proofErr w:type="spellStart"/>
      <w:r w:rsidR="004526CA" w:rsidRPr="00FC4F13">
        <w:t>trái</w:t>
      </w:r>
      <w:proofErr w:type="spellEnd"/>
      <w:r w:rsidR="004526CA" w:rsidRPr="00FC4F13">
        <w:t xml:space="preserve"> </w:t>
      </w:r>
      <w:proofErr w:type="spellStart"/>
      <w:r w:rsidR="004526CA" w:rsidRPr="00FC4F13">
        <w:t>phiếu</w:t>
      </w:r>
      <w:proofErr w:type="spellEnd"/>
      <w:r w:rsidR="004526CA" w:rsidRPr="00FC4F13">
        <w:t xml:space="preserve"> </w:t>
      </w:r>
      <w:proofErr w:type="spellStart"/>
      <w:r w:rsidR="004526CA" w:rsidRPr="00FC4F13">
        <w:t>chính</w:t>
      </w:r>
      <w:proofErr w:type="spellEnd"/>
      <w:r w:rsidR="004526CA" w:rsidRPr="00FC4F13">
        <w:t xml:space="preserve"> </w:t>
      </w:r>
      <w:proofErr w:type="spellStart"/>
      <w:r w:rsidR="004526CA" w:rsidRPr="00FC4F13">
        <w:t>phủ</w:t>
      </w:r>
      <w:proofErr w:type="spellEnd"/>
      <w:r w:rsidR="004526CA" w:rsidRPr="00FC4F13">
        <w:t xml:space="preserve">, </w:t>
      </w:r>
      <w:proofErr w:type="spellStart"/>
      <w:r w:rsidR="004526CA" w:rsidRPr="00FC4F13">
        <w:t>cổ</w:t>
      </w:r>
      <w:proofErr w:type="spellEnd"/>
      <w:r w:rsidR="004526CA" w:rsidRPr="00FC4F13">
        <w:t xml:space="preserve"> </w:t>
      </w:r>
      <w:proofErr w:type="spellStart"/>
      <w:r w:rsidR="004526CA" w:rsidRPr="00FC4F13">
        <w:t>phiếu</w:t>
      </w:r>
      <w:proofErr w:type="spellEnd"/>
      <w:r w:rsidR="004526CA" w:rsidRPr="00FC4F13">
        <w:t xml:space="preserve"> </w:t>
      </w:r>
      <w:proofErr w:type="spellStart"/>
      <w:r w:rsidR="004526CA" w:rsidRPr="00FC4F13">
        <w:t>niêm</w:t>
      </w:r>
      <w:proofErr w:type="spellEnd"/>
      <w:r w:rsidR="004526CA" w:rsidRPr="00FC4F13">
        <w:t xml:space="preserve"> </w:t>
      </w:r>
      <w:proofErr w:type="spellStart"/>
      <w:r w:rsidR="004526CA" w:rsidRPr="00FC4F13">
        <w:t>yết</w:t>
      </w:r>
      <w:proofErr w:type="spellEnd"/>
      <w:r w:rsidR="004526CA" w:rsidRPr="00FC4F13">
        <w:t xml:space="preserve">, </w:t>
      </w:r>
      <w:proofErr w:type="spellStart"/>
      <w:r w:rsidR="004526CA" w:rsidRPr="00FC4F13">
        <w:t>trái</w:t>
      </w:r>
      <w:proofErr w:type="spellEnd"/>
      <w:r w:rsidR="004526CA" w:rsidRPr="00FC4F13">
        <w:t xml:space="preserve"> </w:t>
      </w:r>
      <w:proofErr w:type="spellStart"/>
      <w:r w:rsidR="004526CA" w:rsidRPr="00FC4F13">
        <w:t>phiếu</w:t>
      </w:r>
      <w:proofErr w:type="spellEnd"/>
      <w:r w:rsidR="004526CA" w:rsidRPr="00FC4F13">
        <w:t xml:space="preserve"> </w:t>
      </w:r>
      <w:proofErr w:type="spellStart"/>
      <w:r w:rsidR="004526CA" w:rsidRPr="00FC4F13">
        <w:t>niêm</w:t>
      </w:r>
      <w:proofErr w:type="spellEnd"/>
      <w:r w:rsidR="004526CA" w:rsidRPr="00FC4F13">
        <w:t xml:space="preserve"> </w:t>
      </w:r>
      <w:proofErr w:type="spellStart"/>
      <w:r w:rsidR="004526CA" w:rsidRPr="00FC4F13">
        <w:t>yết</w:t>
      </w:r>
      <w:proofErr w:type="spellEnd"/>
      <w:r w:rsidR="004526CA" w:rsidRPr="00FC4F13">
        <w:t xml:space="preserve"> </w:t>
      </w:r>
      <w:proofErr w:type="spellStart"/>
      <w:r w:rsidR="004526CA" w:rsidRPr="00FC4F13">
        <w:t>của</w:t>
      </w:r>
      <w:proofErr w:type="spellEnd"/>
      <w:r w:rsidR="004526CA" w:rsidRPr="00FC4F13">
        <w:t xml:space="preserve"> </w:t>
      </w:r>
      <w:proofErr w:type="spellStart"/>
      <w:r w:rsidR="004526CA" w:rsidRPr="00FC4F13">
        <w:t>các</w:t>
      </w:r>
      <w:proofErr w:type="spellEnd"/>
      <w:r w:rsidR="004526CA" w:rsidRPr="00FC4F13">
        <w:t xml:space="preserve"> </w:t>
      </w:r>
      <w:proofErr w:type="spellStart"/>
      <w:r w:rsidR="004526CA" w:rsidRPr="00FC4F13">
        <w:t>doanh</w:t>
      </w:r>
      <w:proofErr w:type="spellEnd"/>
      <w:r w:rsidR="004526CA" w:rsidRPr="00FC4F13">
        <w:t xml:space="preserve"> </w:t>
      </w:r>
      <w:proofErr w:type="spellStart"/>
      <w:r w:rsidR="004526CA" w:rsidRPr="00FC4F13">
        <w:t>nghiệp</w:t>
      </w:r>
      <w:proofErr w:type="spellEnd"/>
      <w:r w:rsidR="004526CA" w:rsidRPr="00FC4F13">
        <w:t xml:space="preserve">, </w:t>
      </w:r>
      <w:proofErr w:type="spellStart"/>
      <w:r w:rsidR="004526CA" w:rsidRPr="00FC4F13">
        <w:t>cổ</w:t>
      </w:r>
      <w:proofErr w:type="spellEnd"/>
      <w:r w:rsidR="004526CA" w:rsidRPr="00FC4F13">
        <w:t xml:space="preserve"> </w:t>
      </w:r>
      <w:proofErr w:type="spellStart"/>
      <w:r w:rsidR="004526CA" w:rsidRPr="00FC4F13">
        <w:t>phiếu</w:t>
      </w:r>
      <w:proofErr w:type="spellEnd"/>
      <w:r w:rsidR="004526CA" w:rsidRPr="00FC4F13">
        <w:t xml:space="preserve"> </w:t>
      </w:r>
      <w:proofErr w:type="spellStart"/>
      <w:r w:rsidR="004526CA" w:rsidRPr="00FC4F13">
        <w:t>chuẩn</w:t>
      </w:r>
      <w:proofErr w:type="spellEnd"/>
      <w:r w:rsidR="004526CA" w:rsidRPr="00FC4F13">
        <w:t xml:space="preserve"> </w:t>
      </w:r>
      <w:proofErr w:type="spellStart"/>
      <w:r w:rsidR="004526CA" w:rsidRPr="00FC4F13">
        <w:t>bị</w:t>
      </w:r>
      <w:proofErr w:type="spellEnd"/>
      <w:r w:rsidR="004526CA" w:rsidRPr="00FC4F13">
        <w:t xml:space="preserve"> </w:t>
      </w:r>
      <w:proofErr w:type="spellStart"/>
      <w:r w:rsidR="004526CA" w:rsidRPr="00FC4F13">
        <w:t>niêm</w:t>
      </w:r>
      <w:proofErr w:type="spellEnd"/>
      <w:r w:rsidR="004526CA" w:rsidRPr="00FC4F13">
        <w:t xml:space="preserve"> </w:t>
      </w:r>
      <w:proofErr w:type="spellStart"/>
      <w:r w:rsidR="004526CA" w:rsidRPr="00FC4F13">
        <w:t>yết</w:t>
      </w:r>
      <w:proofErr w:type="spellEnd"/>
      <w:r w:rsidR="004526CA" w:rsidRPr="00FC4F13">
        <w:t xml:space="preserve"> </w:t>
      </w:r>
      <w:proofErr w:type="spellStart"/>
      <w:r w:rsidR="004526CA" w:rsidRPr="00FC4F13">
        <w:t>của</w:t>
      </w:r>
      <w:proofErr w:type="spellEnd"/>
      <w:r w:rsidR="004526CA" w:rsidRPr="00FC4F13">
        <w:t xml:space="preserve"> </w:t>
      </w:r>
      <w:proofErr w:type="spellStart"/>
      <w:r w:rsidR="004526CA" w:rsidRPr="00FC4F13">
        <w:t>các</w:t>
      </w:r>
      <w:proofErr w:type="spellEnd"/>
      <w:r w:rsidR="004526CA" w:rsidRPr="00FC4F13">
        <w:t xml:space="preserve"> </w:t>
      </w:r>
      <w:proofErr w:type="spellStart"/>
      <w:r w:rsidR="004526CA" w:rsidRPr="00FC4F13">
        <w:t>tổ</w:t>
      </w:r>
      <w:proofErr w:type="spellEnd"/>
      <w:r w:rsidR="004526CA" w:rsidRPr="00FC4F13">
        <w:t xml:space="preserve"> </w:t>
      </w:r>
      <w:proofErr w:type="spellStart"/>
      <w:r w:rsidR="004526CA" w:rsidRPr="00FC4F13">
        <w:t>chức</w:t>
      </w:r>
      <w:proofErr w:type="spellEnd"/>
      <w:r w:rsidR="004526CA" w:rsidRPr="00FC4F13">
        <w:t xml:space="preserve"> </w:t>
      </w:r>
      <w:proofErr w:type="spellStart"/>
      <w:r w:rsidR="004526CA" w:rsidRPr="00FC4F13">
        <w:t>phát</w:t>
      </w:r>
      <w:proofErr w:type="spellEnd"/>
      <w:r w:rsidR="004526CA" w:rsidRPr="00FC4F13">
        <w:t xml:space="preserve"> </w:t>
      </w:r>
      <w:proofErr w:type="spellStart"/>
      <w:r w:rsidR="004526CA" w:rsidRPr="00FC4F13">
        <w:t>hành</w:t>
      </w:r>
      <w:proofErr w:type="spellEnd"/>
      <w:r w:rsidR="004526CA" w:rsidRPr="00FC4F13">
        <w:t xml:space="preserve">, </w:t>
      </w:r>
      <w:proofErr w:type="spellStart"/>
      <w:r w:rsidR="004526CA" w:rsidRPr="00FC4F13">
        <w:t>chứng</w:t>
      </w:r>
      <w:proofErr w:type="spellEnd"/>
      <w:r w:rsidR="004526CA" w:rsidRPr="00FC4F13">
        <w:t xml:space="preserve"> </w:t>
      </w:r>
      <w:proofErr w:type="spellStart"/>
      <w:r w:rsidR="004526CA" w:rsidRPr="00FC4F13">
        <w:t>khoán</w:t>
      </w:r>
      <w:proofErr w:type="spellEnd"/>
      <w:r w:rsidR="004526CA" w:rsidRPr="00FC4F13">
        <w:t xml:space="preserve"> </w:t>
      </w:r>
      <w:proofErr w:type="spellStart"/>
      <w:r w:rsidR="004526CA" w:rsidRPr="00FC4F13">
        <w:t>phái</w:t>
      </w:r>
      <w:proofErr w:type="spellEnd"/>
      <w:r w:rsidR="004526CA" w:rsidRPr="00FC4F13">
        <w:t xml:space="preserve"> </w:t>
      </w:r>
      <w:proofErr w:type="spellStart"/>
      <w:r w:rsidR="004526CA" w:rsidRPr="00FC4F13">
        <w:t>sinh</w:t>
      </w:r>
      <w:proofErr w:type="spellEnd"/>
      <w:r w:rsidR="004526CA" w:rsidRPr="00FC4F13">
        <w:t xml:space="preserve"> </w:t>
      </w:r>
      <w:proofErr w:type="spellStart"/>
      <w:r w:rsidR="004526CA" w:rsidRPr="00FC4F13">
        <w:t>niêm</w:t>
      </w:r>
      <w:proofErr w:type="spellEnd"/>
      <w:r w:rsidR="004526CA" w:rsidRPr="00FC4F13">
        <w:t xml:space="preserve"> </w:t>
      </w:r>
      <w:proofErr w:type="spellStart"/>
      <w:r w:rsidR="004526CA" w:rsidRPr="00FC4F13">
        <w:t>yết</w:t>
      </w:r>
      <w:proofErr w:type="spellEnd"/>
      <w:r w:rsidR="004526CA" w:rsidRPr="00FC4F13">
        <w:t xml:space="preserve"> </w:t>
      </w:r>
      <w:proofErr w:type="spellStart"/>
      <w:r w:rsidR="004526CA" w:rsidRPr="00FC4F13">
        <w:t>và</w:t>
      </w:r>
      <w:proofErr w:type="spellEnd"/>
      <w:r w:rsidR="004526CA" w:rsidRPr="00FC4F13">
        <w:t xml:space="preserve"> </w:t>
      </w:r>
      <w:proofErr w:type="spellStart"/>
      <w:r w:rsidR="004526CA" w:rsidRPr="00FC4F13">
        <w:t>các</w:t>
      </w:r>
      <w:proofErr w:type="spellEnd"/>
      <w:r w:rsidR="004526CA" w:rsidRPr="00FC4F13">
        <w:t xml:space="preserve"> </w:t>
      </w:r>
      <w:proofErr w:type="spellStart"/>
      <w:r w:rsidR="004526CA" w:rsidRPr="00FC4F13">
        <w:t>loại</w:t>
      </w:r>
      <w:proofErr w:type="spellEnd"/>
      <w:r w:rsidR="004526CA" w:rsidRPr="00FC4F13">
        <w:t xml:space="preserve"> </w:t>
      </w:r>
      <w:proofErr w:type="spellStart"/>
      <w:r w:rsidR="004526CA" w:rsidRPr="00FC4F13">
        <w:t>tài</w:t>
      </w:r>
      <w:proofErr w:type="spellEnd"/>
      <w:r w:rsidR="004526CA" w:rsidRPr="00FC4F13">
        <w:t xml:space="preserve"> </w:t>
      </w:r>
      <w:proofErr w:type="spellStart"/>
      <w:r w:rsidR="004526CA" w:rsidRPr="00FC4F13">
        <w:t>sản</w:t>
      </w:r>
      <w:proofErr w:type="spellEnd"/>
      <w:r w:rsidR="004526CA" w:rsidRPr="00FC4F13">
        <w:t xml:space="preserve"> </w:t>
      </w:r>
      <w:proofErr w:type="spellStart"/>
      <w:r w:rsidR="004526CA" w:rsidRPr="00FC4F13">
        <w:t>tài</w:t>
      </w:r>
      <w:proofErr w:type="spellEnd"/>
      <w:r w:rsidR="004526CA" w:rsidRPr="00FC4F13">
        <w:t xml:space="preserve"> </w:t>
      </w:r>
      <w:proofErr w:type="spellStart"/>
      <w:r w:rsidR="004526CA" w:rsidRPr="00FC4F13">
        <w:t>chính</w:t>
      </w:r>
      <w:proofErr w:type="spellEnd"/>
      <w:r w:rsidR="004526CA" w:rsidRPr="00FC4F13">
        <w:t xml:space="preserve"> </w:t>
      </w:r>
      <w:proofErr w:type="spellStart"/>
      <w:r w:rsidR="004526CA" w:rsidRPr="00FC4F13">
        <w:t>khác</w:t>
      </w:r>
      <w:proofErr w:type="spellEnd"/>
      <w:r w:rsidR="004526CA" w:rsidRPr="00FC4F13">
        <w:t xml:space="preserve"> </w:t>
      </w:r>
      <w:proofErr w:type="spellStart"/>
      <w:r w:rsidR="004526CA" w:rsidRPr="00FC4F13">
        <w:t>theo</w:t>
      </w:r>
      <w:proofErr w:type="spellEnd"/>
      <w:r w:rsidR="004526CA" w:rsidRPr="00FC4F13">
        <w:t xml:space="preserve"> </w:t>
      </w:r>
      <w:proofErr w:type="spellStart"/>
      <w:r w:rsidR="004526CA" w:rsidRPr="00FC4F13">
        <w:t>quy</w:t>
      </w:r>
      <w:proofErr w:type="spellEnd"/>
      <w:r w:rsidR="004526CA" w:rsidRPr="00FC4F13">
        <w:t xml:space="preserve"> </w:t>
      </w:r>
      <w:proofErr w:type="spellStart"/>
      <w:r w:rsidR="004526CA" w:rsidRPr="00FC4F13">
        <w:t>định</w:t>
      </w:r>
      <w:proofErr w:type="spellEnd"/>
      <w:r w:rsidR="004526CA" w:rsidRPr="00FC4F13">
        <w:t xml:space="preserve"> </w:t>
      </w:r>
      <w:proofErr w:type="spellStart"/>
      <w:r w:rsidR="004526CA" w:rsidRPr="00FC4F13">
        <w:t>của</w:t>
      </w:r>
      <w:proofErr w:type="spellEnd"/>
      <w:r w:rsidR="004526CA" w:rsidRPr="00FC4F13">
        <w:t xml:space="preserve"> </w:t>
      </w:r>
      <w:proofErr w:type="spellStart"/>
      <w:r w:rsidR="004526CA" w:rsidRPr="00FC4F13">
        <w:t>pháp</w:t>
      </w:r>
      <w:proofErr w:type="spellEnd"/>
      <w:r w:rsidR="004526CA" w:rsidRPr="00FC4F13">
        <w:t xml:space="preserve"> </w:t>
      </w:r>
      <w:proofErr w:type="spellStart"/>
      <w:r w:rsidR="004526CA" w:rsidRPr="00FC4F13">
        <w:t>luật</w:t>
      </w:r>
      <w:proofErr w:type="spellEnd"/>
      <w:r w:rsidR="004526CA" w:rsidRPr="00FC4F13">
        <w:t>.</w:t>
      </w:r>
    </w:p>
    <w:p w14:paraId="51E847A3" w14:textId="2C100BA1" w:rsidR="00B617CD" w:rsidRPr="00FC4F13" w:rsidRDefault="00B617CD" w:rsidP="00E4394F">
      <w:pPr>
        <w:pStyle w:val="ListParagraph"/>
        <w:numPr>
          <w:ilvl w:val="0"/>
          <w:numId w:val="2"/>
        </w:numPr>
        <w:tabs>
          <w:tab w:val="left" w:pos="270"/>
          <w:tab w:val="left" w:pos="1134"/>
        </w:tabs>
        <w:spacing w:line="276" w:lineRule="auto"/>
        <w:ind w:left="0" w:firstLine="0"/>
        <w:jc w:val="both"/>
        <w:rPr>
          <w:b w:val="0"/>
          <w:lang w:val="en-US"/>
        </w:rPr>
      </w:pPr>
      <w:proofErr w:type="spellStart"/>
      <w:r w:rsidRPr="00FC4F13">
        <w:rPr>
          <w:b w:val="0"/>
          <w:lang w:val="en-US"/>
        </w:rPr>
        <w:t>Thời</w:t>
      </w:r>
      <w:proofErr w:type="spellEnd"/>
      <w:r w:rsidRPr="00FC4F13">
        <w:rPr>
          <w:b w:val="0"/>
          <w:lang w:val="en-US"/>
        </w:rPr>
        <w:t xml:space="preserve"> </w:t>
      </w:r>
      <w:proofErr w:type="spellStart"/>
      <w:r w:rsidRPr="00FC4F13">
        <w:rPr>
          <w:b w:val="0"/>
          <w:lang w:val="en-US"/>
        </w:rPr>
        <w:t>hạn</w:t>
      </w:r>
      <w:proofErr w:type="spellEnd"/>
      <w:r w:rsidRPr="00FC4F13">
        <w:rPr>
          <w:b w:val="0"/>
          <w:lang w:val="en-US"/>
        </w:rPr>
        <w:t xml:space="preserve"> </w:t>
      </w:r>
      <w:proofErr w:type="spellStart"/>
      <w:r w:rsidRPr="00FC4F13">
        <w:rPr>
          <w:b w:val="0"/>
          <w:lang w:val="en-US"/>
        </w:rPr>
        <w:t>hoạt</w:t>
      </w:r>
      <w:proofErr w:type="spellEnd"/>
      <w:r w:rsidRPr="00FC4F13">
        <w:rPr>
          <w:b w:val="0"/>
          <w:lang w:val="en-US"/>
        </w:rPr>
        <w:t xml:space="preserve"> </w:t>
      </w:r>
      <w:proofErr w:type="spellStart"/>
      <w:r w:rsidRPr="00FC4F13">
        <w:rPr>
          <w:b w:val="0"/>
          <w:lang w:val="en-US"/>
        </w:rPr>
        <w:t>động</w:t>
      </w:r>
      <w:proofErr w:type="spellEnd"/>
      <w:r w:rsidRPr="00FC4F13">
        <w:rPr>
          <w:b w:val="0"/>
          <w:lang w:val="en-US"/>
        </w:rPr>
        <w:t xml:space="preserve"> </w:t>
      </w:r>
      <w:proofErr w:type="spellStart"/>
      <w:r w:rsidRPr="00FC4F13">
        <w:rPr>
          <w:b w:val="0"/>
          <w:lang w:val="en-US"/>
        </w:rPr>
        <w:t>của</w:t>
      </w:r>
      <w:proofErr w:type="spellEnd"/>
      <w:r w:rsidRPr="00FC4F13">
        <w:rPr>
          <w:b w:val="0"/>
          <w:lang w:val="en-US"/>
        </w:rPr>
        <w:t xml:space="preserve"> </w:t>
      </w:r>
      <w:proofErr w:type="spellStart"/>
      <w:r w:rsidRPr="00FC4F13">
        <w:rPr>
          <w:b w:val="0"/>
          <w:lang w:val="en-US"/>
        </w:rPr>
        <w:t>quỹ</w:t>
      </w:r>
      <w:proofErr w:type="spellEnd"/>
      <w:r w:rsidRPr="00FC4F13">
        <w:rPr>
          <w:b w:val="0"/>
          <w:lang w:val="en-US"/>
        </w:rPr>
        <w:t xml:space="preserve"> (</w:t>
      </w:r>
      <w:proofErr w:type="spellStart"/>
      <w:r w:rsidRPr="00FC4F13">
        <w:rPr>
          <w:b w:val="0"/>
          <w:lang w:val="en-US"/>
        </w:rPr>
        <w:t>nếu</w:t>
      </w:r>
      <w:proofErr w:type="spellEnd"/>
      <w:r w:rsidRPr="00FC4F13">
        <w:rPr>
          <w:b w:val="0"/>
          <w:lang w:val="en-US"/>
        </w:rPr>
        <w:t xml:space="preserve"> </w:t>
      </w:r>
      <w:proofErr w:type="spellStart"/>
      <w:r w:rsidRPr="00FC4F13">
        <w:rPr>
          <w:b w:val="0"/>
          <w:lang w:val="en-US"/>
        </w:rPr>
        <w:t>có</w:t>
      </w:r>
      <w:proofErr w:type="spellEnd"/>
      <w:r w:rsidRPr="00FC4F13">
        <w:rPr>
          <w:b w:val="0"/>
          <w:lang w:val="en-US"/>
        </w:rPr>
        <w:t xml:space="preserve">): </w:t>
      </w:r>
      <w:proofErr w:type="spellStart"/>
      <w:r w:rsidRPr="00FC4F13">
        <w:rPr>
          <w:b w:val="0"/>
          <w:lang w:val="en-US"/>
        </w:rPr>
        <w:t>được</w:t>
      </w:r>
      <w:proofErr w:type="spellEnd"/>
      <w:r w:rsidRPr="00FC4F13">
        <w:rPr>
          <w:b w:val="0"/>
          <w:lang w:val="en-US"/>
        </w:rPr>
        <w:t xml:space="preserve"> </w:t>
      </w:r>
      <w:proofErr w:type="spellStart"/>
      <w:r w:rsidRPr="00FC4F13">
        <w:rPr>
          <w:b w:val="0"/>
          <w:lang w:val="en-US"/>
        </w:rPr>
        <w:t>tính</w:t>
      </w:r>
      <w:proofErr w:type="spellEnd"/>
      <w:r w:rsidRPr="00FC4F13">
        <w:rPr>
          <w:b w:val="0"/>
          <w:lang w:val="en-US"/>
        </w:rPr>
        <w:t xml:space="preserve"> </w:t>
      </w:r>
      <w:proofErr w:type="spellStart"/>
      <w:r w:rsidRPr="00FC4F13">
        <w:rPr>
          <w:b w:val="0"/>
          <w:lang w:val="en-US"/>
        </w:rPr>
        <w:t>từ</w:t>
      </w:r>
      <w:proofErr w:type="spellEnd"/>
      <w:r w:rsidRPr="00FC4F13">
        <w:rPr>
          <w:b w:val="0"/>
          <w:lang w:val="en-US"/>
        </w:rPr>
        <w:t xml:space="preserve"> </w:t>
      </w:r>
      <w:proofErr w:type="spellStart"/>
      <w:r w:rsidRPr="00FC4F13">
        <w:rPr>
          <w:b w:val="0"/>
          <w:lang w:val="en-US"/>
        </w:rPr>
        <w:t>ngày</w:t>
      </w:r>
      <w:proofErr w:type="spellEnd"/>
      <w:r w:rsidRPr="00FC4F13">
        <w:rPr>
          <w:b w:val="0"/>
          <w:lang w:val="en-US"/>
        </w:rPr>
        <w:t xml:space="preserve"> </w:t>
      </w:r>
      <w:proofErr w:type="spellStart"/>
      <w:r w:rsidRPr="00FC4F13">
        <w:rPr>
          <w:b w:val="0"/>
          <w:lang w:val="en-US"/>
        </w:rPr>
        <w:t>được</w:t>
      </w:r>
      <w:proofErr w:type="spellEnd"/>
      <w:r w:rsidRPr="00FC4F13">
        <w:rPr>
          <w:b w:val="0"/>
          <w:lang w:val="en-US"/>
        </w:rPr>
        <w:t xml:space="preserve"> UBCKNN </w:t>
      </w:r>
      <w:proofErr w:type="spellStart"/>
      <w:r w:rsidRPr="00FC4F13">
        <w:rPr>
          <w:b w:val="0"/>
          <w:lang w:val="en-US"/>
        </w:rPr>
        <w:t>cấp</w:t>
      </w:r>
      <w:proofErr w:type="spellEnd"/>
      <w:r w:rsidRPr="00FC4F13">
        <w:rPr>
          <w:b w:val="0"/>
          <w:lang w:val="en-US"/>
        </w:rPr>
        <w:t xml:space="preserve"> </w:t>
      </w:r>
      <w:proofErr w:type="spellStart"/>
      <w:r w:rsidRPr="00FC4F13">
        <w:rPr>
          <w:b w:val="0"/>
          <w:lang w:val="en-US"/>
        </w:rPr>
        <w:t>giấy</w:t>
      </w:r>
      <w:proofErr w:type="spellEnd"/>
      <w:r w:rsidRPr="00FC4F13">
        <w:rPr>
          <w:b w:val="0"/>
          <w:lang w:val="en-US"/>
        </w:rPr>
        <w:t xml:space="preserve"> </w:t>
      </w:r>
      <w:proofErr w:type="spellStart"/>
      <w:r w:rsidRPr="00FC4F13">
        <w:rPr>
          <w:b w:val="0"/>
          <w:lang w:val="en-US"/>
        </w:rPr>
        <w:t>chứng</w:t>
      </w:r>
      <w:proofErr w:type="spellEnd"/>
      <w:r w:rsidRPr="00FC4F13">
        <w:rPr>
          <w:b w:val="0"/>
          <w:lang w:val="en-US"/>
        </w:rPr>
        <w:t xml:space="preserve"> </w:t>
      </w:r>
      <w:proofErr w:type="spellStart"/>
      <w:r w:rsidRPr="00FC4F13">
        <w:rPr>
          <w:b w:val="0"/>
          <w:lang w:val="en-US"/>
        </w:rPr>
        <w:t>nhận</w:t>
      </w:r>
      <w:proofErr w:type="spellEnd"/>
      <w:r w:rsidRPr="00FC4F13">
        <w:rPr>
          <w:b w:val="0"/>
          <w:lang w:val="en-US"/>
        </w:rPr>
        <w:t xml:space="preserve"> </w:t>
      </w:r>
      <w:proofErr w:type="spellStart"/>
      <w:r w:rsidRPr="00FC4F13">
        <w:rPr>
          <w:b w:val="0"/>
          <w:lang w:val="en-US"/>
        </w:rPr>
        <w:t>đăng</w:t>
      </w:r>
      <w:proofErr w:type="spellEnd"/>
      <w:r w:rsidRPr="00FC4F13">
        <w:rPr>
          <w:b w:val="0"/>
          <w:lang w:val="en-US"/>
        </w:rPr>
        <w:t xml:space="preserve"> </w:t>
      </w:r>
      <w:proofErr w:type="spellStart"/>
      <w:r w:rsidRPr="00FC4F13">
        <w:rPr>
          <w:b w:val="0"/>
          <w:lang w:val="en-US"/>
        </w:rPr>
        <w:t>ký</w:t>
      </w:r>
      <w:proofErr w:type="spellEnd"/>
      <w:r w:rsidRPr="00FC4F13">
        <w:rPr>
          <w:b w:val="0"/>
          <w:lang w:val="en-US"/>
        </w:rPr>
        <w:t xml:space="preserve"> </w:t>
      </w:r>
      <w:proofErr w:type="spellStart"/>
      <w:r w:rsidRPr="00FC4F13">
        <w:rPr>
          <w:b w:val="0"/>
          <w:lang w:val="en-US"/>
        </w:rPr>
        <w:t>lập</w:t>
      </w:r>
      <w:proofErr w:type="spellEnd"/>
      <w:r w:rsidRPr="00FC4F13">
        <w:rPr>
          <w:b w:val="0"/>
          <w:lang w:val="en-US"/>
        </w:rPr>
        <w:t xml:space="preserve"> </w:t>
      </w:r>
      <w:proofErr w:type="spellStart"/>
      <w:r w:rsidRPr="00FC4F13">
        <w:rPr>
          <w:b w:val="0"/>
          <w:lang w:val="en-US"/>
        </w:rPr>
        <w:t>quỹ</w:t>
      </w:r>
      <w:proofErr w:type="spellEnd"/>
      <w:r w:rsidRPr="00FC4F13">
        <w:rPr>
          <w:b w:val="0"/>
          <w:lang w:val="en-US"/>
        </w:rPr>
        <w:t xml:space="preserve">, </w:t>
      </w:r>
      <w:proofErr w:type="spellStart"/>
      <w:r w:rsidRPr="00FC4F13">
        <w:rPr>
          <w:b w:val="0"/>
          <w:lang w:val="en-US"/>
        </w:rPr>
        <w:t>và</w:t>
      </w:r>
      <w:proofErr w:type="spellEnd"/>
      <w:r w:rsidRPr="00FC4F13">
        <w:rPr>
          <w:b w:val="0"/>
          <w:lang w:val="en-US"/>
        </w:rPr>
        <w:t xml:space="preserve"> </w:t>
      </w:r>
      <w:proofErr w:type="spellStart"/>
      <w:r w:rsidRPr="00FC4F13">
        <w:rPr>
          <w:b w:val="0"/>
          <w:lang w:val="en-US"/>
        </w:rPr>
        <w:t>không</w:t>
      </w:r>
      <w:proofErr w:type="spellEnd"/>
      <w:r w:rsidRPr="00FC4F13">
        <w:rPr>
          <w:b w:val="0"/>
          <w:lang w:val="en-US"/>
        </w:rPr>
        <w:t xml:space="preserve"> </w:t>
      </w:r>
      <w:proofErr w:type="spellStart"/>
      <w:r w:rsidRPr="00FC4F13">
        <w:rPr>
          <w:b w:val="0"/>
          <w:lang w:val="en-US"/>
        </w:rPr>
        <w:t>giới</w:t>
      </w:r>
      <w:proofErr w:type="spellEnd"/>
      <w:r w:rsidRPr="00FC4F13">
        <w:rPr>
          <w:b w:val="0"/>
          <w:lang w:val="en-US"/>
        </w:rPr>
        <w:t xml:space="preserve"> </w:t>
      </w:r>
      <w:proofErr w:type="spellStart"/>
      <w:r w:rsidRPr="00FC4F13">
        <w:rPr>
          <w:b w:val="0"/>
          <w:lang w:val="en-US"/>
        </w:rPr>
        <w:t>hạn</w:t>
      </w:r>
      <w:proofErr w:type="spellEnd"/>
      <w:r w:rsidRPr="00FC4F13">
        <w:rPr>
          <w:b w:val="0"/>
          <w:lang w:val="en-US"/>
        </w:rPr>
        <w:t xml:space="preserve"> </w:t>
      </w:r>
      <w:proofErr w:type="spellStart"/>
      <w:r w:rsidRPr="00FC4F13">
        <w:rPr>
          <w:b w:val="0"/>
          <w:lang w:val="en-US"/>
        </w:rPr>
        <w:t>về</w:t>
      </w:r>
      <w:proofErr w:type="spellEnd"/>
      <w:r w:rsidRPr="00FC4F13">
        <w:rPr>
          <w:b w:val="0"/>
          <w:lang w:val="en-US"/>
        </w:rPr>
        <w:t xml:space="preserve"> </w:t>
      </w:r>
      <w:proofErr w:type="spellStart"/>
      <w:r w:rsidRPr="00FC4F13">
        <w:rPr>
          <w:b w:val="0"/>
          <w:lang w:val="en-US"/>
        </w:rPr>
        <w:t>thời</w:t>
      </w:r>
      <w:proofErr w:type="spellEnd"/>
      <w:r w:rsidRPr="00FC4F13">
        <w:rPr>
          <w:b w:val="0"/>
          <w:lang w:val="en-US"/>
        </w:rPr>
        <w:t xml:space="preserve"> </w:t>
      </w:r>
      <w:proofErr w:type="spellStart"/>
      <w:r w:rsidRPr="00FC4F13">
        <w:rPr>
          <w:b w:val="0"/>
          <w:lang w:val="en-US"/>
        </w:rPr>
        <w:t>hạn</w:t>
      </w:r>
      <w:proofErr w:type="spellEnd"/>
      <w:r w:rsidRPr="00FC4F13">
        <w:rPr>
          <w:b w:val="0"/>
          <w:lang w:val="en-US"/>
        </w:rPr>
        <w:t xml:space="preserve"> </w:t>
      </w:r>
      <w:proofErr w:type="spellStart"/>
      <w:r w:rsidRPr="00FC4F13">
        <w:rPr>
          <w:b w:val="0"/>
          <w:lang w:val="en-US"/>
        </w:rPr>
        <w:t>hoạt</w:t>
      </w:r>
      <w:proofErr w:type="spellEnd"/>
      <w:r w:rsidRPr="00FC4F13">
        <w:rPr>
          <w:b w:val="0"/>
          <w:lang w:val="en-US"/>
        </w:rPr>
        <w:t xml:space="preserve"> </w:t>
      </w:r>
      <w:proofErr w:type="spellStart"/>
      <w:r w:rsidRPr="00FC4F13">
        <w:rPr>
          <w:b w:val="0"/>
          <w:lang w:val="en-US"/>
        </w:rPr>
        <w:t>động</w:t>
      </w:r>
      <w:proofErr w:type="spellEnd"/>
      <w:r w:rsidRPr="00FC4F13">
        <w:rPr>
          <w:b w:val="0"/>
          <w:lang w:val="en-US"/>
        </w:rPr>
        <w:t>.</w:t>
      </w:r>
    </w:p>
    <w:p w14:paraId="6C15612A" w14:textId="59DB6CC2" w:rsidR="008F5179" w:rsidRPr="00FC4F13" w:rsidRDefault="00B04C91" w:rsidP="00E4394F">
      <w:pPr>
        <w:pStyle w:val="ListParagraph"/>
        <w:numPr>
          <w:ilvl w:val="0"/>
          <w:numId w:val="2"/>
        </w:numPr>
        <w:tabs>
          <w:tab w:val="left" w:pos="270"/>
          <w:tab w:val="left" w:pos="1134"/>
        </w:tabs>
        <w:spacing w:line="276" w:lineRule="auto"/>
        <w:ind w:left="0" w:firstLine="0"/>
        <w:jc w:val="both"/>
        <w:rPr>
          <w:b w:val="0"/>
        </w:rPr>
      </w:pPr>
      <w:proofErr w:type="spellStart"/>
      <w:r w:rsidRPr="00FC4F13">
        <w:rPr>
          <w:b w:val="0"/>
        </w:rPr>
        <w:t>Danh</w:t>
      </w:r>
      <w:proofErr w:type="spellEnd"/>
      <w:r w:rsidRPr="00FC4F13">
        <w:rPr>
          <w:b w:val="0"/>
        </w:rPr>
        <w:t xml:space="preserve"> </w:t>
      </w:r>
      <w:proofErr w:type="spellStart"/>
      <w:r w:rsidRPr="00FC4F13">
        <w:rPr>
          <w:b w:val="0"/>
        </w:rPr>
        <w:t>mục</w:t>
      </w:r>
      <w:proofErr w:type="spellEnd"/>
      <w:r w:rsidRPr="00FC4F13">
        <w:rPr>
          <w:b w:val="0"/>
        </w:rPr>
        <w:t xml:space="preserve"> </w:t>
      </w:r>
      <w:proofErr w:type="spellStart"/>
      <w:r w:rsidRPr="00FC4F13">
        <w:rPr>
          <w:b w:val="0"/>
        </w:rPr>
        <w:t>tham</w:t>
      </w:r>
      <w:proofErr w:type="spellEnd"/>
      <w:r w:rsidRPr="00FC4F13">
        <w:rPr>
          <w:b w:val="0"/>
        </w:rPr>
        <w:t xml:space="preserve"> </w:t>
      </w:r>
      <w:proofErr w:type="spellStart"/>
      <w:r w:rsidRPr="00FC4F13">
        <w:rPr>
          <w:b w:val="0"/>
        </w:rPr>
        <w:t>chiếu</w:t>
      </w:r>
      <w:proofErr w:type="spellEnd"/>
      <w:r w:rsidRPr="00FC4F13">
        <w:rPr>
          <w:b w:val="0"/>
        </w:rPr>
        <w:t xml:space="preserve"> (</w:t>
      </w:r>
      <w:proofErr w:type="spellStart"/>
      <w:r w:rsidRPr="00FC4F13">
        <w:rPr>
          <w:b w:val="0"/>
        </w:rPr>
        <w:t>nếu</w:t>
      </w:r>
      <w:proofErr w:type="spellEnd"/>
      <w:r w:rsidRPr="00FC4F13">
        <w:rPr>
          <w:b w:val="0"/>
        </w:rPr>
        <w:t xml:space="preserve"> </w:t>
      </w:r>
      <w:proofErr w:type="spellStart"/>
      <w:r w:rsidRPr="00FC4F13">
        <w:rPr>
          <w:b w:val="0"/>
        </w:rPr>
        <w:t>có</w:t>
      </w:r>
      <w:proofErr w:type="spellEnd"/>
      <w:r w:rsidR="003A188B" w:rsidRPr="00FC4F13">
        <w:rPr>
          <w:b w:val="0"/>
        </w:rPr>
        <w:t>)</w:t>
      </w:r>
      <w:r w:rsidR="00936BCC" w:rsidRPr="00FC4F13">
        <w:rPr>
          <w:b w:val="0"/>
        </w:rPr>
        <w:t xml:space="preserve"> </w:t>
      </w:r>
      <w:r w:rsidR="003A188B" w:rsidRPr="00FC4F13">
        <w:rPr>
          <w:b w:val="0"/>
        </w:rPr>
        <w:t>:</w:t>
      </w:r>
      <w:r w:rsidR="00BB5090" w:rsidRPr="00FC4F13">
        <w:rPr>
          <w:b w:val="0"/>
        </w:rPr>
        <w:t xml:space="preserve"> </w:t>
      </w:r>
      <w:proofErr w:type="spellStart"/>
      <w:r w:rsidR="00C60F5A" w:rsidRPr="00FC4F13">
        <w:rPr>
          <w:b w:val="0"/>
        </w:rPr>
        <w:t>không</w:t>
      </w:r>
      <w:proofErr w:type="spellEnd"/>
      <w:r w:rsidR="00C60F5A" w:rsidRPr="00FC4F13">
        <w:rPr>
          <w:b w:val="0"/>
        </w:rPr>
        <w:t xml:space="preserve"> </w:t>
      </w:r>
      <w:proofErr w:type="spellStart"/>
      <w:r w:rsidR="00C60F5A" w:rsidRPr="00FC4F13">
        <w:rPr>
          <w:b w:val="0"/>
        </w:rPr>
        <w:t>có</w:t>
      </w:r>
      <w:proofErr w:type="spellEnd"/>
      <w:r w:rsidR="00C60F5A" w:rsidRPr="00FC4F13">
        <w:rPr>
          <w:b w:val="0"/>
        </w:rPr>
        <w:t xml:space="preserve"> </w:t>
      </w:r>
      <w:proofErr w:type="spellStart"/>
      <w:r w:rsidR="00C60F5A" w:rsidRPr="00FC4F13">
        <w:rPr>
          <w:b w:val="0"/>
        </w:rPr>
        <w:t>danh</w:t>
      </w:r>
      <w:proofErr w:type="spellEnd"/>
      <w:r w:rsidR="00C60F5A" w:rsidRPr="00FC4F13">
        <w:rPr>
          <w:b w:val="0"/>
        </w:rPr>
        <w:t xml:space="preserve"> </w:t>
      </w:r>
      <w:proofErr w:type="spellStart"/>
      <w:r w:rsidR="00C60F5A" w:rsidRPr="00FC4F13">
        <w:rPr>
          <w:b w:val="0"/>
        </w:rPr>
        <w:t>mục</w:t>
      </w:r>
      <w:proofErr w:type="spellEnd"/>
      <w:r w:rsidR="00C60F5A" w:rsidRPr="00FC4F13">
        <w:rPr>
          <w:b w:val="0"/>
        </w:rPr>
        <w:t xml:space="preserve"> </w:t>
      </w:r>
      <w:proofErr w:type="spellStart"/>
      <w:r w:rsidR="00C60F5A" w:rsidRPr="00FC4F13">
        <w:rPr>
          <w:b w:val="0"/>
        </w:rPr>
        <w:t>tham</w:t>
      </w:r>
      <w:proofErr w:type="spellEnd"/>
      <w:r w:rsidR="00C60F5A" w:rsidRPr="00FC4F13">
        <w:rPr>
          <w:b w:val="0"/>
        </w:rPr>
        <w:t xml:space="preserve"> </w:t>
      </w:r>
      <w:proofErr w:type="spellStart"/>
      <w:r w:rsidR="00C60F5A" w:rsidRPr="00FC4F13">
        <w:rPr>
          <w:b w:val="0"/>
        </w:rPr>
        <w:t>chiếu</w:t>
      </w:r>
      <w:proofErr w:type="spellEnd"/>
    </w:p>
    <w:p w14:paraId="15526010" w14:textId="368DDCD9" w:rsidR="00687660" w:rsidRPr="00FC4F13" w:rsidRDefault="009B5CA1" w:rsidP="00E4394F">
      <w:pPr>
        <w:pStyle w:val="ListParagraph"/>
        <w:numPr>
          <w:ilvl w:val="0"/>
          <w:numId w:val="2"/>
        </w:numPr>
        <w:tabs>
          <w:tab w:val="left" w:pos="270"/>
          <w:tab w:val="left" w:pos="1134"/>
        </w:tabs>
        <w:spacing w:line="276" w:lineRule="auto"/>
        <w:ind w:left="0" w:firstLine="0"/>
        <w:jc w:val="both"/>
        <w:rPr>
          <w:b w:val="0"/>
          <w:lang w:val="en-US"/>
        </w:rPr>
      </w:pPr>
      <w:proofErr w:type="spellStart"/>
      <w:r w:rsidRPr="00FC4F13">
        <w:rPr>
          <w:b w:val="0"/>
          <w:lang w:val="en-US"/>
        </w:rPr>
        <w:t>Chính</w:t>
      </w:r>
      <w:proofErr w:type="spellEnd"/>
      <w:r w:rsidRPr="00FC4F13">
        <w:rPr>
          <w:b w:val="0"/>
          <w:lang w:val="en-US"/>
        </w:rPr>
        <w:t xml:space="preserve"> </w:t>
      </w:r>
      <w:proofErr w:type="spellStart"/>
      <w:r w:rsidRPr="00FC4F13">
        <w:rPr>
          <w:b w:val="0"/>
          <w:lang w:val="en-US"/>
        </w:rPr>
        <w:t>sách</w:t>
      </w:r>
      <w:proofErr w:type="spellEnd"/>
      <w:r w:rsidRPr="00FC4F13">
        <w:rPr>
          <w:b w:val="0"/>
          <w:lang w:val="en-US"/>
        </w:rPr>
        <w:t xml:space="preserve"> </w:t>
      </w:r>
      <w:proofErr w:type="spellStart"/>
      <w:r w:rsidRPr="00FC4F13">
        <w:rPr>
          <w:b w:val="0"/>
          <w:lang w:val="en-US"/>
        </w:rPr>
        <w:t>phân</w:t>
      </w:r>
      <w:proofErr w:type="spellEnd"/>
      <w:r w:rsidRPr="00FC4F13">
        <w:rPr>
          <w:b w:val="0"/>
          <w:lang w:val="en-US"/>
        </w:rPr>
        <w:t xml:space="preserve"> chia </w:t>
      </w:r>
      <w:proofErr w:type="spellStart"/>
      <w:r w:rsidRPr="00FC4F13">
        <w:rPr>
          <w:b w:val="0"/>
          <w:lang w:val="en-US"/>
        </w:rPr>
        <w:t>lợi</w:t>
      </w:r>
      <w:proofErr w:type="spellEnd"/>
      <w:r w:rsidRPr="00FC4F13">
        <w:rPr>
          <w:b w:val="0"/>
          <w:lang w:val="en-US"/>
        </w:rPr>
        <w:t xml:space="preserve"> </w:t>
      </w:r>
      <w:proofErr w:type="spellStart"/>
      <w:r w:rsidRPr="00FC4F13">
        <w:rPr>
          <w:b w:val="0"/>
          <w:lang w:val="en-US"/>
        </w:rPr>
        <w:t>nhuận</w:t>
      </w:r>
      <w:proofErr w:type="spellEnd"/>
      <w:r w:rsidRPr="00FC4F13">
        <w:rPr>
          <w:b w:val="0"/>
          <w:lang w:val="en-US"/>
        </w:rPr>
        <w:t>:</w:t>
      </w:r>
    </w:p>
    <w:p w14:paraId="143C0641" w14:textId="77777777" w:rsidR="009B5CA1" w:rsidRPr="00FC4F13" w:rsidRDefault="009C02A6" w:rsidP="00E4394F">
      <w:pPr>
        <w:autoSpaceDE w:val="0"/>
        <w:autoSpaceDN w:val="0"/>
        <w:adjustRightInd w:val="0"/>
        <w:spacing w:line="276" w:lineRule="auto"/>
        <w:jc w:val="both"/>
      </w:pPr>
      <w:proofErr w:type="spellStart"/>
      <w:r w:rsidRPr="00FC4F13">
        <w:t>Được</w:t>
      </w:r>
      <w:proofErr w:type="spellEnd"/>
      <w:r w:rsidRPr="00FC4F13">
        <w:t xml:space="preserve"> </w:t>
      </w:r>
      <w:proofErr w:type="spellStart"/>
      <w:r w:rsidRPr="00FC4F13">
        <w:t>quy</w:t>
      </w:r>
      <w:proofErr w:type="spellEnd"/>
      <w:r w:rsidRPr="00FC4F13">
        <w:t xml:space="preserve"> </w:t>
      </w:r>
      <w:proofErr w:type="spellStart"/>
      <w:r w:rsidRPr="00FC4F13">
        <w:t>định</w:t>
      </w:r>
      <w:proofErr w:type="spellEnd"/>
      <w:r w:rsidRPr="00FC4F13">
        <w:t xml:space="preserve"> </w:t>
      </w:r>
      <w:proofErr w:type="spellStart"/>
      <w:r w:rsidRPr="00FC4F13">
        <w:t>theo</w:t>
      </w:r>
      <w:proofErr w:type="spellEnd"/>
      <w:r w:rsidRPr="00FC4F13">
        <w:t xml:space="preserve"> </w:t>
      </w:r>
      <w:proofErr w:type="spellStart"/>
      <w:r w:rsidRPr="00FC4F13">
        <w:t>điều</w:t>
      </w:r>
      <w:proofErr w:type="spellEnd"/>
      <w:r w:rsidRPr="00FC4F13">
        <w:t xml:space="preserve"> </w:t>
      </w:r>
      <w:proofErr w:type="spellStart"/>
      <w:r w:rsidRPr="00FC4F13">
        <w:t>lệ</w:t>
      </w:r>
      <w:proofErr w:type="spellEnd"/>
      <w:r w:rsidRPr="00FC4F13">
        <w:t xml:space="preserve"> </w:t>
      </w:r>
      <w:proofErr w:type="spellStart"/>
      <w:r w:rsidRPr="00FC4F13">
        <w:t>quỹ</w:t>
      </w:r>
      <w:proofErr w:type="spellEnd"/>
      <w:r w:rsidRPr="00FC4F13">
        <w:t xml:space="preserve">. Theo </w:t>
      </w:r>
      <w:proofErr w:type="spellStart"/>
      <w:r w:rsidRPr="00FC4F13">
        <w:t>đó</w:t>
      </w:r>
      <w:proofErr w:type="spellEnd"/>
      <w:r w:rsidRPr="00FC4F13">
        <w:t xml:space="preserve">, </w:t>
      </w:r>
      <w:proofErr w:type="spellStart"/>
      <w:r w:rsidR="00F7073C" w:rsidRPr="00FC4F13">
        <w:t>Cổ</w:t>
      </w:r>
      <w:proofErr w:type="spellEnd"/>
      <w:r w:rsidR="00F7073C" w:rsidRPr="00FC4F13">
        <w:t xml:space="preserve"> </w:t>
      </w:r>
      <w:proofErr w:type="spellStart"/>
      <w:r w:rsidR="00F7073C" w:rsidRPr="00FC4F13">
        <w:t>tức</w:t>
      </w:r>
      <w:proofErr w:type="spellEnd"/>
      <w:r w:rsidR="00F7073C" w:rsidRPr="00FC4F13">
        <w:t xml:space="preserve"> </w:t>
      </w:r>
      <w:proofErr w:type="spellStart"/>
      <w:r w:rsidR="00F7073C" w:rsidRPr="00FC4F13">
        <w:t>Quỹ</w:t>
      </w:r>
      <w:proofErr w:type="spellEnd"/>
      <w:r w:rsidR="00F7073C" w:rsidRPr="00FC4F13">
        <w:t xml:space="preserve"> </w:t>
      </w:r>
      <w:proofErr w:type="spellStart"/>
      <w:r w:rsidR="00F7073C" w:rsidRPr="00FC4F13">
        <w:t>có</w:t>
      </w:r>
      <w:proofErr w:type="spellEnd"/>
      <w:r w:rsidR="00F7073C" w:rsidRPr="00FC4F13">
        <w:t xml:space="preserve"> </w:t>
      </w:r>
      <w:proofErr w:type="spellStart"/>
      <w:r w:rsidR="00F7073C" w:rsidRPr="00FC4F13">
        <w:t>thể</w:t>
      </w:r>
      <w:proofErr w:type="spellEnd"/>
      <w:r w:rsidR="00F7073C" w:rsidRPr="00FC4F13">
        <w:t xml:space="preserve"> </w:t>
      </w:r>
      <w:proofErr w:type="spellStart"/>
      <w:r w:rsidR="00F7073C" w:rsidRPr="00FC4F13">
        <w:t>được</w:t>
      </w:r>
      <w:proofErr w:type="spellEnd"/>
      <w:r w:rsidR="00F7073C" w:rsidRPr="00FC4F13">
        <w:t xml:space="preserve"> </w:t>
      </w:r>
      <w:proofErr w:type="spellStart"/>
      <w:r w:rsidR="00F7073C" w:rsidRPr="00FC4F13">
        <w:t>phân</w:t>
      </w:r>
      <w:proofErr w:type="spellEnd"/>
      <w:r w:rsidR="00F7073C" w:rsidRPr="00FC4F13">
        <w:t xml:space="preserve"> </w:t>
      </w:r>
      <w:proofErr w:type="spellStart"/>
      <w:r w:rsidR="00F7073C" w:rsidRPr="00FC4F13">
        <w:t>phối</w:t>
      </w:r>
      <w:proofErr w:type="spellEnd"/>
      <w:r w:rsidR="00F7073C" w:rsidRPr="00FC4F13">
        <w:t xml:space="preserve"> </w:t>
      </w:r>
      <w:proofErr w:type="spellStart"/>
      <w:r w:rsidR="00F7073C" w:rsidRPr="00FC4F13">
        <w:t>cho</w:t>
      </w:r>
      <w:proofErr w:type="spellEnd"/>
      <w:r w:rsidR="00F7073C" w:rsidRPr="00FC4F13">
        <w:t xml:space="preserve"> </w:t>
      </w:r>
      <w:proofErr w:type="spellStart"/>
      <w:r w:rsidR="00F7073C" w:rsidRPr="00FC4F13">
        <w:t>nhà</w:t>
      </w:r>
      <w:proofErr w:type="spellEnd"/>
      <w:r w:rsidR="00F7073C" w:rsidRPr="00FC4F13">
        <w:t xml:space="preserve"> </w:t>
      </w:r>
      <w:proofErr w:type="spellStart"/>
      <w:r w:rsidR="00F7073C" w:rsidRPr="00FC4F13">
        <w:t>đầu</w:t>
      </w:r>
      <w:proofErr w:type="spellEnd"/>
      <w:r w:rsidR="00F7073C" w:rsidRPr="00FC4F13">
        <w:t xml:space="preserve"> </w:t>
      </w:r>
      <w:proofErr w:type="spellStart"/>
      <w:r w:rsidR="00F7073C" w:rsidRPr="00FC4F13">
        <w:t>tư</w:t>
      </w:r>
      <w:proofErr w:type="spellEnd"/>
      <w:r w:rsidR="00F7073C" w:rsidRPr="00FC4F13">
        <w:t xml:space="preserve"> </w:t>
      </w:r>
      <w:proofErr w:type="spellStart"/>
      <w:r w:rsidR="00F7073C" w:rsidRPr="00FC4F13">
        <w:t>dựa</w:t>
      </w:r>
      <w:proofErr w:type="spellEnd"/>
      <w:r w:rsidR="00F7073C" w:rsidRPr="00FC4F13">
        <w:t xml:space="preserve"> </w:t>
      </w:r>
      <w:proofErr w:type="spellStart"/>
      <w:r w:rsidR="00F7073C" w:rsidRPr="00FC4F13">
        <w:t>trên</w:t>
      </w:r>
      <w:proofErr w:type="spellEnd"/>
      <w:r w:rsidR="00F7073C" w:rsidRPr="00FC4F13">
        <w:t xml:space="preserve"> </w:t>
      </w:r>
      <w:proofErr w:type="spellStart"/>
      <w:r w:rsidR="00F7073C" w:rsidRPr="00FC4F13">
        <w:t>báo</w:t>
      </w:r>
      <w:proofErr w:type="spellEnd"/>
      <w:r w:rsidR="00F7073C" w:rsidRPr="00FC4F13">
        <w:t xml:space="preserve"> </w:t>
      </w:r>
      <w:proofErr w:type="spellStart"/>
      <w:r w:rsidR="00F7073C" w:rsidRPr="00FC4F13">
        <w:t>cáo</w:t>
      </w:r>
      <w:proofErr w:type="spellEnd"/>
      <w:r w:rsidR="00F7073C" w:rsidRPr="00FC4F13">
        <w:t xml:space="preserve"> </w:t>
      </w:r>
      <w:proofErr w:type="spellStart"/>
      <w:r w:rsidR="00F7073C" w:rsidRPr="00FC4F13">
        <w:t>đã</w:t>
      </w:r>
      <w:proofErr w:type="spellEnd"/>
      <w:r w:rsidR="00F7073C" w:rsidRPr="00FC4F13">
        <w:t xml:space="preserve"> </w:t>
      </w:r>
      <w:proofErr w:type="spellStart"/>
      <w:r w:rsidR="00F7073C" w:rsidRPr="00FC4F13">
        <w:t>được</w:t>
      </w:r>
      <w:proofErr w:type="spellEnd"/>
      <w:r w:rsidR="00F7073C" w:rsidRPr="00FC4F13">
        <w:t xml:space="preserve"> </w:t>
      </w:r>
      <w:proofErr w:type="spellStart"/>
      <w:r w:rsidR="00F7073C" w:rsidRPr="00FC4F13">
        <w:t>kiểm</w:t>
      </w:r>
      <w:proofErr w:type="spellEnd"/>
      <w:r w:rsidR="00F7073C" w:rsidRPr="00FC4F13">
        <w:t xml:space="preserve"> </w:t>
      </w:r>
      <w:proofErr w:type="spellStart"/>
      <w:r w:rsidR="00F7073C" w:rsidRPr="00FC4F13">
        <w:t>toán</w:t>
      </w:r>
      <w:proofErr w:type="spellEnd"/>
      <w:r w:rsidR="00F7073C" w:rsidRPr="00FC4F13">
        <w:t xml:space="preserve">, do </w:t>
      </w:r>
      <w:proofErr w:type="spellStart"/>
      <w:r w:rsidR="00F7073C" w:rsidRPr="00FC4F13">
        <w:t>đề</w:t>
      </w:r>
      <w:proofErr w:type="spellEnd"/>
      <w:r w:rsidR="00F7073C" w:rsidRPr="00FC4F13">
        <w:t xml:space="preserve"> </w:t>
      </w:r>
      <w:proofErr w:type="spellStart"/>
      <w:r w:rsidR="00F7073C" w:rsidRPr="00FC4F13">
        <w:t>xuất</w:t>
      </w:r>
      <w:proofErr w:type="spellEnd"/>
      <w:r w:rsidR="00F7073C" w:rsidRPr="00FC4F13">
        <w:t xml:space="preserve"> </w:t>
      </w:r>
      <w:proofErr w:type="spellStart"/>
      <w:r w:rsidR="00F7073C" w:rsidRPr="00FC4F13">
        <w:t>của</w:t>
      </w:r>
      <w:proofErr w:type="spellEnd"/>
      <w:r w:rsidR="006121A1" w:rsidRPr="00FC4F13">
        <w:t xml:space="preserve"> </w:t>
      </w:r>
      <w:r w:rsidR="00F7073C" w:rsidRPr="00FC4F13">
        <w:t xml:space="preserve">Công ty </w:t>
      </w:r>
      <w:proofErr w:type="spellStart"/>
      <w:r w:rsidR="00F7073C" w:rsidRPr="00FC4F13">
        <w:t>quản</w:t>
      </w:r>
      <w:proofErr w:type="spellEnd"/>
      <w:r w:rsidR="00F7073C" w:rsidRPr="00FC4F13">
        <w:t xml:space="preserve"> </w:t>
      </w:r>
      <w:proofErr w:type="spellStart"/>
      <w:r w:rsidR="00F7073C" w:rsidRPr="00FC4F13">
        <w:t>lý</w:t>
      </w:r>
      <w:proofErr w:type="spellEnd"/>
      <w:r w:rsidR="00F7073C" w:rsidRPr="00FC4F13">
        <w:t xml:space="preserve"> </w:t>
      </w:r>
      <w:proofErr w:type="spellStart"/>
      <w:r w:rsidR="00F7073C" w:rsidRPr="00FC4F13">
        <w:t>quỹ</w:t>
      </w:r>
      <w:proofErr w:type="spellEnd"/>
      <w:r w:rsidR="00F7073C" w:rsidRPr="00FC4F13">
        <w:t xml:space="preserve"> </w:t>
      </w:r>
      <w:proofErr w:type="spellStart"/>
      <w:r w:rsidR="00F7073C" w:rsidRPr="00FC4F13">
        <w:t>và</w:t>
      </w:r>
      <w:proofErr w:type="spellEnd"/>
      <w:r w:rsidR="00F7073C" w:rsidRPr="00FC4F13">
        <w:t xml:space="preserve"> </w:t>
      </w:r>
      <w:proofErr w:type="spellStart"/>
      <w:r w:rsidR="00F7073C" w:rsidRPr="00FC4F13">
        <w:t>trình</w:t>
      </w:r>
      <w:proofErr w:type="spellEnd"/>
      <w:r w:rsidR="00F7073C" w:rsidRPr="00FC4F13">
        <w:t xml:space="preserve"> </w:t>
      </w:r>
      <w:proofErr w:type="spellStart"/>
      <w:r w:rsidR="00F7073C" w:rsidRPr="00FC4F13">
        <w:t>Đại</w:t>
      </w:r>
      <w:proofErr w:type="spellEnd"/>
      <w:r w:rsidR="00F7073C" w:rsidRPr="00FC4F13">
        <w:t xml:space="preserve"> </w:t>
      </w:r>
      <w:proofErr w:type="spellStart"/>
      <w:r w:rsidR="00F7073C" w:rsidRPr="00FC4F13">
        <w:t>hội</w:t>
      </w:r>
      <w:proofErr w:type="spellEnd"/>
      <w:r w:rsidR="00F7073C" w:rsidRPr="00FC4F13">
        <w:t xml:space="preserve"> </w:t>
      </w:r>
      <w:proofErr w:type="spellStart"/>
      <w:r w:rsidR="00F7073C" w:rsidRPr="00FC4F13">
        <w:t>nhà</w:t>
      </w:r>
      <w:proofErr w:type="spellEnd"/>
      <w:r w:rsidR="00F7073C" w:rsidRPr="00FC4F13">
        <w:t xml:space="preserve"> </w:t>
      </w:r>
      <w:proofErr w:type="spellStart"/>
      <w:r w:rsidR="00F7073C" w:rsidRPr="00FC4F13">
        <w:t>đầu</w:t>
      </w:r>
      <w:proofErr w:type="spellEnd"/>
      <w:r w:rsidR="00F7073C" w:rsidRPr="00FC4F13">
        <w:t xml:space="preserve"> </w:t>
      </w:r>
      <w:proofErr w:type="spellStart"/>
      <w:r w:rsidR="00F7073C" w:rsidRPr="00FC4F13">
        <w:t>tư</w:t>
      </w:r>
      <w:proofErr w:type="spellEnd"/>
      <w:r w:rsidR="00F7073C" w:rsidRPr="00FC4F13">
        <w:t xml:space="preserve"> </w:t>
      </w:r>
      <w:proofErr w:type="spellStart"/>
      <w:r w:rsidR="00F7073C" w:rsidRPr="00FC4F13">
        <w:t>gần</w:t>
      </w:r>
      <w:proofErr w:type="spellEnd"/>
      <w:r w:rsidR="00F7073C" w:rsidRPr="00FC4F13">
        <w:t xml:space="preserve"> </w:t>
      </w:r>
      <w:proofErr w:type="spellStart"/>
      <w:r w:rsidR="00F7073C" w:rsidRPr="00FC4F13">
        <w:t>nhất</w:t>
      </w:r>
      <w:proofErr w:type="spellEnd"/>
      <w:r w:rsidR="00F7073C" w:rsidRPr="00FC4F13">
        <w:t xml:space="preserve"> </w:t>
      </w:r>
      <w:proofErr w:type="spellStart"/>
      <w:r w:rsidR="00F7073C" w:rsidRPr="00FC4F13">
        <w:t>thông</w:t>
      </w:r>
      <w:proofErr w:type="spellEnd"/>
      <w:r w:rsidR="00F7073C" w:rsidRPr="00FC4F13">
        <w:t xml:space="preserve"> qua. Lợi </w:t>
      </w:r>
      <w:proofErr w:type="spellStart"/>
      <w:r w:rsidR="00F7073C" w:rsidRPr="00FC4F13">
        <w:t>tức</w:t>
      </w:r>
      <w:proofErr w:type="spellEnd"/>
      <w:r w:rsidR="00F7073C" w:rsidRPr="00FC4F13">
        <w:t xml:space="preserve"> chi </w:t>
      </w:r>
      <w:proofErr w:type="spellStart"/>
      <w:r w:rsidR="00F7073C" w:rsidRPr="00FC4F13">
        <w:t>trả</w:t>
      </w:r>
      <w:proofErr w:type="spellEnd"/>
      <w:r w:rsidR="00F7073C" w:rsidRPr="00FC4F13">
        <w:t xml:space="preserve"> </w:t>
      </w:r>
      <w:proofErr w:type="spellStart"/>
      <w:r w:rsidR="00F7073C" w:rsidRPr="00FC4F13">
        <w:t>cho</w:t>
      </w:r>
      <w:proofErr w:type="spellEnd"/>
      <w:r w:rsidR="00F7073C" w:rsidRPr="00FC4F13">
        <w:t xml:space="preserve"> </w:t>
      </w:r>
      <w:proofErr w:type="spellStart"/>
      <w:r w:rsidR="00F7073C" w:rsidRPr="00FC4F13">
        <w:t>nhà</w:t>
      </w:r>
      <w:proofErr w:type="spellEnd"/>
      <w:r w:rsidR="00F7073C" w:rsidRPr="00FC4F13">
        <w:t xml:space="preserve"> </w:t>
      </w:r>
      <w:proofErr w:type="spellStart"/>
      <w:r w:rsidR="00F7073C" w:rsidRPr="00FC4F13">
        <w:t>đầu</w:t>
      </w:r>
      <w:proofErr w:type="spellEnd"/>
      <w:r w:rsidR="00F7073C" w:rsidRPr="00FC4F13">
        <w:t xml:space="preserve"> </w:t>
      </w:r>
      <w:proofErr w:type="spellStart"/>
      <w:r w:rsidR="00F7073C" w:rsidRPr="00FC4F13">
        <w:t>tư</w:t>
      </w:r>
      <w:proofErr w:type="spellEnd"/>
      <w:r w:rsidR="00F7073C" w:rsidRPr="00FC4F13">
        <w:t xml:space="preserve"> </w:t>
      </w:r>
      <w:proofErr w:type="spellStart"/>
      <w:r w:rsidR="00F7073C" w:rsidRPr="00FC4F13">
        <w:t>được</w:t>
      </w:r>
      <w:proofErr w:type="spellEnd"/>
      <w:r w:rsidR="00F7073C" w:rsidRPr="00FC4F13">
        <w:t xml:space="preserve"> </w:t>
      </w:r>
      <w:proofErr w:type="spellStart"/>
      <w:r w:rsidR="00F7073C" w:rsidRPr="00FC4F13">
        <w:t>thanh</w:t>
      </w:r>
      <w:proofErr w:type="spellEnd"/>
      <w:r w:rsidR="00F7073C" w:rsidRPr="00FC4F13">
        <w:t xml:space="preserve"> </w:t>
      </w:r>
      <w:proofErr w:type="spellStart"/>
      <w:r w:rsidR="00F7073C" w:rsidRPr="00FC4F13">
        <w:t>toán</w:t>
      </w:r>
      <w:proofErr w:type="spellEnd"/>
      <w:r w:rsidR="00F7073C" w:rsidRPr="00FC4F13">
        <w:t xml:space="preserve"> </w:t>
      </w:r>
      <w:proofErr w:type="spellStart"/>
      <w:r w:rsidR="00F7073C" w:rsidRPr="00FC4F13">
        <w:t>bằng</w:t>
      </w:r>
      <w:proofErr w:type="spellEnd"/>
      <w:r w:rsidR="00F7073C" w:rsidRPr="00FC4F13">
        <w:t xml:space="preserve"> </w:t>
      </w:r>
      <w:proofErr w:type="spellStart"/>
      <w:r w:rsidR="00F7073C" w:rsidRPr="00FC4F13">
        <w:t>tiền</w:t>
      </w:r>
      <w:proofErr w:type="spellEnd"/>
      <w:r w:rsidR="00F7073C" w:rsidRPr="00FC4F13">
        <w:t xml:space="preserve"> </w:t>
      </w:r>
      <w:proofErr w:type="spellStart"/>
      <w:r w:rsidR="00F7073C" w:rsidRPr="00FC4F13">
        <w:t>hoặc</w:t>
      </w:r>
      <w:proofErr w:type="spellEnd"/>
      <w:r w:rsidR="00F7073C" w:rsidRPr="00FC4F13">
        <w:t xml:space="preserve"> </w:t>
      </w:r>
      <w:proofErr w:type="spellStart"/>
      <w:r w:rsidR="00F7073C" w:rsidRPr="00FC4F13">
        <w:t>bằng</w:t>
      </w:r>
      <w:proofErr w:type="spellEnd"/>
      <w:r w:rsidR="00F7073C" w:rsidRPr="00FC4F13">
        <w:t xml:space="preserve"> </w:t>
      </w:r>
      <w:proofErr w:type="spellStart"/>
      <w:r w:rsidR="00F7073C" w:rsidRPr="00FC4F13">
        <w:t>chứng</w:t>
      </w:r>
      <w:proofErr w:type="spellEnd"/>
      <w:r w:rsidR="00F7073C" w:rsidRPr="00FC4F13">
        <w:t xml:space="preserve"> </w:t>
      </w:r>
      <w:proofErr w:type="spellStart"/>
      <w:r w:rsidR="00F7073C" w:rsidRPr="00FC4F13">
        <w:t>chỉ</w:t>
      </w:r>
      <w:proofErr w:type="spellEnd"/>
      <w:r w:rsidR="00F7073C" w:rsidRPr="00FC4F13">
        <w:t xml:space="preserve"> </w:t>
      </w:r>
      <w:proofErr w:type="spellStart"/>
      <w:r w:rsidR="00F7073C" w:rsidRPr="00FC4F13">
        <w:t>quỹ</w:t>
      </w:r>
      <w:proofErr w:type="spellEnd"/>
      <w:r w:rsidR="00F7073C" w:rsidRPr="00FC4F13">
        <w:t xml:space="preserve"> </w:t>
      </w:r>
      <w:proofErr w:type="spellStart"/>
      <w:r w:rsidR="00F7073C" w:rsidRPr="00FC4F13">
        <w:t>phát</w:t>
      </w:r>
      <w:proofErr w:type="spellEnd"/>
      <w:r w:rsidR="00F7073C" w:rsidRPr="00FC4F13">
        <w:t xml:space="preserve"> </w:t>
      </w:r>
      <w:proofErr w:type="spellStart"/>
      <w:r w:rsidR="00F7073C" w:rsidRPr="00FC4F13">
        <w:t>hành</w:t>
      </w:r>
      <w:proofErr w:type="spellEnd"/>
      <w:r w:rsidR="00F7073C" w:rsidRPr="00FC4F13">
        <w:t xml:space="preserve"> </w:t>
      </w:r>
      <w:proofErr w:type="spellStart"/>
      <w:r w:rsidR="00F7073C" w:rsidRPr="00FC4F13">
        <w:t>thêm</w:t>
      </w:r>
      <w:proofErr w:type="spellEnd"/>
      <w:r w:rsidR="00F7073C" w:rsidRPr="00FC4F13">
        <w:t>.</w:t>
      </w:r>
    </w:p>
    <w:p w14:paraId="75C2790F" w14:textId="77777777" w:rsidR="00915015" w:rsidRPr="00FC4F13" w:rsidRDefault="00B04C91" w:rsidP="00FC4F13">
      <w:pPr>
        <w:pStyle w:val="ListParagraph"/>
        <w:numPr>
          <w:ilvl w:val="0"/>
          <w:numId w:val="2"/>
        </w:numPr>
        <w:tabs>
          <w:tab w:val="left" w:pos="270"/>
          <w:tab w:val="left" w:pos="1134"/>
        </w:tabs>
        <w:spacing w:before="120" w:after="120" w:line="276" w:lineRule="auto"/>
        <w:ind w:left="0" w:firstLine="0"/>
        <w:contextualSpacing w:val="0"/>
        <w:jc w:val="both"/>
        <w:rPr>
          <w:b w:val="0"/>
          <w:lang w:val="sv-SE"/>
        </w:rPr>
      </w:pPr>
      <w:r w:rsidRPr="00FC4F13">
        <w:rPr>
          <w:b w:val="0"/>
          <w:lang w:val="sv-SE"/>
        </w:rPr>
        <w:t>Số</w:t>
      </w:r>
      <w:r w:rsidR="00F85383" w:rsidRPr="00FC4F13">
        <w:rPr>
          <w:b w:val="0"/>
          <w:lang w:val="sv-SE"/>
        </w:rPr>
        <w:t xml:space="preserve"> lượng đơn vị quỹ đang lưu hành: </w:t>
      </w:r>
    </w:p>
    <w:tbl>
      <w:tblPr>
        <w:tblW w:w="8696" w:type="dxa"/>
        <w:tblInd w:w="93" w:type="dxa"/>
        <w:tblLook w:val="04A0" w:firstRow="1" w:lastRow="0" w:firstColumn="1" w:lastColumn="0" w:noHBand="0" w:noVBand="1"/>
      </w:tblPr>
      <w:tblGrid>
        <w:gridCol w:w="5294"/>
        <w:gridCol w:w="2597"/>
        <w:gridCol w:w="805"/>
      </w:tblGrid>
      <w:tr w:rsidR="00FC4F13" w:rsidRPr="00FC4F13" w14:paraId="3CF334A7" w14:textId="77777777" w:rsidTr="00FC4F13">
        <w:trPr>
          <w:trHeight w:val="397"/>
        </w:trPr>
        <w:tc>
          <w:tcPr>
            <w:tcW w:w="5294" w:type="dxa"/>
            <w:tcBorders>
              <w:top w:val="nil"/>
              <w:left w:val="nil"/>
              <w:bottom w:val="nil"/>
              <w:right w:val="nil"/>
            </w:tcBorders>
            <w:shd w:val="clear" w:color="auto" w:fill="auto"/>
            <w:noWrap/>
            <w:vAlign w:val="center"/>
          </w:tcPr>
          <w:p w14:paraId="33E66FDD" w14:textId="4A102669" w:rsidR="00FC4F13" w:rsidRPr="00FC4F13" w:rsidRDefault="00FC4F13" w:rsidP="00FC4F13">
            <w:pPr>
              <w:spacing w:line="276" w:lineRule="auto"/>
              <w:jc w:val="both"/>
              <w:rPr>
                <w:lang w:val="nl-NL"/>
              </w:rPr>
            </w:pPr>
            <w:r w:rsidRPr="00FC4F13">
              <w:rPr>
                <w:lang w:val="nl-NL"/>
              </w:rPr>
              <w:t xml:space="preserve">Tổng số lượng chứng chỉ Quỹ tại ngày </w:t>
            </w:r>
            <w:r w:rsidR="0049453A">
              <w:rPr>
                <w:lang w:val="nl-NL"/>
              </w:rPr>
              <w:t>31/12/2022</w:t>
            </w:r>
          </w:p>
        </w:tc>
        <w:tc>
          <w:tcPr>
            <w:tcW w:w="2597" w:type="dxa"/>
            <w:tcBorders>
              <w:top w:val="nil"/>
              <w:left w:val="nil"/>
              <w:bottom w:val="nil"/>
              <w:right w:val="nil"/>
            </w:tcBorders>
            <w:shd w:val="clear" w:color="auto" w:fill="auto"/>
            <w:noWrap/>
            <w:vAlign w:val="center"/>
          </w:tcPr>
          <w:p w14:paraId="2A5E45E1" w14:textId="037407A2" w:rsidR="00FC4F13" w:rsidRPr="00FC4F13" w:rsidRDefault="000920C8" w:rsidP="00FC4F13">
            <w:pPr>
              <w:spacing w:line="276" w:lineRule="auto"/>
              <w:jc w:val="right"/>
              <w:rPr>
                <w:lang w:val="en-GB"/>
              </w:rPr>
            </w:pPr>
            <w:r w:rsidRPr="000920C8">
              <w:t>303,807,914.23</w:t>
            </w:r>
          </w:p>
        </w:tc>
        <w:tc>
          <w:tcPr>
            <w:tcW w:w="805" w:type="dxa"/>
            <w:tcBorders>
              <w:top w:val="nil"/>
              <w:left w:val="nil"/>
              <w:bottom w:val="nil"/>
              <w:right w:val="nil"/>
            </w:tcBorders>
            <w:shd w:val="clear" w:color="auto" w:fill="auto"/>
            <w:noWrap/>
            <w:vAlign w:val="center"/>
          </w:tcPr>
          <w:p w14:paraId="7DABA559" w14:textId="61C5BD5D" w:rsidR="00FC4F13" w:rsidRPr="00FC4F13" w:rsidRDefault="00FC4F13" w:rsidP="00FC4F13">
            <w:pPr>
              <w:spacing w:line="276" w:lineRule="auto"/>
              <w:jc w:val="both"/>
            </w:pPr>
            <w:r w:rsidRPr="00FC4F13">
              <w:t>CCQ</w:t>
            </w:r>
          </w:p>
        </w:tc>
      </w:tr>
      <w:tr w:rsidR="00FC4F13" w:rsidRPr="00FC4F13" w14:paraId="5622822F" w14:textId="77777777" w:rsidTr="00FC4F13">
        <w:trPr>
          <w:trHeight w:val="397"/>
        </w:trPr>
        <w:tc>
          <w:tcPr>
            <w:tcW w:w="5294" w:type="dxa"/>
            <w:tcBorders>
              <w:top w:val="nil"/>
              <w:left w:val="nil"/>
              <w:bottom w:val="nil"/>
              <w:right w:val="nil"/>
            </w:tcBorders>
            <w:shd w:val="clear" w:color="auto" w:fill="F2F2F2" w:themeFill="background1" w:themeFillShade="F2"/>
            <w:noWrap/>
            <w:vAlign w:val="center"/>
            <w:hideMark/>
          </w:tcPr>
          <w:p w14:paraId="40ADA260" w14:textId="77777777" w:rsidR="00FC4F13" w:rsidRPr="00FC4F13" w:rsidRDefault="00FC4F13" w:rsidP="00FC4F13">
            <w:pPr>
              <w:spacing w:line="276" w:lineRule="auto"/>
              <w:jc w:val="both"/>
            </w:pPr>
            <w:r w:rsidRPr="00FC4F13">
              <w:rPr>
                <w:lang w:val="nl-NL"/>
              </w:rPr>
              <w:t xml:space="preserve">Tổng số lượng chứng Quỹ phát hành thêm trong kỳ </w:t>
            </w:r>
          </w:p>
        </w:tc>
        <w:tc>
          <w:tcPr>
            <w:tcW w:w="2597" w:type="dxa"/>
            <w:tcBorders>
              <w:top w:val="nil"/>
              <w:left w:val="nil"/>
              <w:bottom w:val="nil"/>
              <w:right w:val="nil"/>
            </w:tcBorders>
            <w:shd w:val="clear" w:color="auto" w:fill="F2F2F2" w:themeFill="background1" w:themeFillShade="F2"/>
            <w:noWrap/>
            <w:vAlign w:val="center"/>
          </w:tcPr>
          <w:p w14:paraId="603B1E81" w14:textId="1CB64C86" w:rsidR="00FC4F13" w:rsidRPr="00FC4F13" w:rsidRDefault="002120EA" w:rsidP="00FC4F13">
            <w:pPr>
              <w:spacing w:line="276" w:lineRule="auto"/>
              <w:jc w:val="right"/>
            </w:pPr>
            <w:r w:rsidRPr="002120EA">
              <w:t>22,760,905.75</w:t>
            </w:r>
          </w:p>
        </w:tc>
        <w:tc>
          <w:tcPr>
            <w:tcW w:w="805" w:type="dxa"/>
            <w:tcBorders>
              <w:top w:val="nil"/>
              <w:left w:val="nil"/>
              <w:bottom w:val="nil"/>
              <w:right w:val="nil"/>
            </w:tcBorders>
            <w:shd w:val="clear" w:color="auto" w:fill="F2F2F2" w:themeFill="background1" w:themeFillShade="F2"/>
            <w:noWrap/>
            <w:vAlign w:val="center"/>
            <w:hideMark/>
          </w:tcPr>
          <w:p w14:paraId="570E2EB4" w14:textId="5F418E04" w:rsidR="00FC4F13" w:rsidRPr="00FC4F13" w:rsidRDefault="00FC4F13" w:rsidP="00FC4F13">
            <w:pPr>
              <w:spacing w:line="276" w:lineRule="auto"/>
              <w:jc w:val="both"/>
            </w:pPr>
            <w:r w:rsidRPr="00FC4F13">
              <w:t>CCQ</w:t>
            </w:r>
          </w:p>
        </w:tc>
      </w:tr>
      <w:tr w:rsidR="00FC4F13" w:rsidRPr="00FC4F13" w14:paraId="358E002F" w14:textId="77777777" w:rsidTr="00FC4F13">
        <w:trPr>
          <w:trHeight w:val="397"/>
        </w:trPr>
        <w:tc>
          <w:tcPr>
            <w:tcW w:w="5294" w:type="dxa"/>
            <w:tcBorders>
              <w:top w:val="nil"/>
              <w:left w:val="nil"/>
              <w:bottom w:val="nil"/>
              <w:right w:val="nil"/>
            </w:tcBorders>
            <w:shd w:val="clear" w:color="auto" w:fill="auto"/>
            <w:noWrap/>
            <w:vAlign w:val="center"/>
            <w:hideMark/>
          </w:tcPr>
          <w:p w14:paraId="04E93A44" w14:textId="77777777" w:rsidR="00FC4F13" w:rsidRPr="00FC4F13" w:rsidRDefault="00FC4F13" w:rsidP="00FC4F13">
            <w:pPr>
              <w:spacing w:line="276" w:lineRule="auto"/>
              <w:jc w:val="both"/>
            </w:pPr>
            <w:r w:rsidRPr="00FC4F13">
              <w:rPr>
                <w:lang w:val="nl-NL"/>
              </w:rPr>
              <w:t>Tổng số lượng chứng Quỹ mua lại trong kỳ</w:t>
            </w:r>
          </w:p>
        </w:tc>
        <w:tc>
          <w:tcPr>
            <w:tcW w:w="2597" w:type="dxa"/>
            <w:tcBorders>
              <w:top w:val="nil"/>
              <w:left w:val="nil"/>
              <w:bottom w:val="nil"/>
              <w:right w:val="nil"/>
            </w:tcBorders>
            <w:shd w:val="clear" w:color="auto" w:fill="auto"/>
            <w:noWrap/>
            <w:vAlign w:val="center"/>
          </w:tcPr>
          <w:p w14:paraId="026CF97B" w14:textId="5A5A9D24" w:rsidR="00FC4F13" w:rsidRPr="00FC4F13" w:rsidRDefault="003A25B8" w:rsidP="00FC4F13">
            <w:pPr>
              <w:spacing w:line="276" w:lineRule="auto"/>
              <w:jc w:val="right"/>
            </w:pPr>
            <w:r w:rsidRPr="003A25B8">
              <w:t>(20,630,000.00)</w:t>
            </w:r>
          </w:p>
        </w:tc>
        <w:tc>
          <w:tcPr>
            <w:tcW w:w="805" w:type="dxa"/>
            <w:tcBorders>
              <w:top w:val="nil"/>
              <w:left w:val="nil"/>
              <w:bottom w:val="nil"/>
              <w:right w:val="nil"/>
            </w:tcBorders>
            <w:shd w:val="clear" w:color="auto" w:fill="auto"/>
            <w:noWrap/>
            <w:vAlign w:val="center"/>
            <w:hideMark/>
          </w:tcPr>
          <w:p w14:paraId="29AB8EB2" w14:textId="10A8F06E" w:rsidR="00FC4F13" w:rsidRPr="00FC4F13" w:rsidRDefault="00FC4F13" w:rsidP="00FC4F13">
            <w:pPr>
              <w:spacing w:line="276" w:lineRule="auto"/>
              <w:jc w:val="both"/>
            </w:pPr>
            <w:r w:rsidRPr="00FC4F13">
              <w:t>CCQ</w:t>
            </w:r>
          </w:p>
        </w:tc>
      </w:tr>
      <w:tr w:rsidR="00FC4F13" w:rsidRPr="00FC4F13" w14:paraId="1A77A7C9" w14:textId="77777777" w:rsidTr="00FC4F13">
        <w:trPr>
          <w:trHeight w:val="397"/>
        </w:trPr>
        <w:tc>
          <w:tcPr>
            <w:tcW w:w="5294" w:type="dxa"/>
            <w:tcBorders>
              <w:top w:val="nil"/>
              <w:left w:val="nil"/>
              <w:bottom w:val="nil"/>
              <w:right w:val="nil"/>
            </w:tcBorders>
            <w:shd w:val="clear" w:color="auto" w:fill="F2F2F2" w:themeFill="background1" w:themeFillShade="F2"/>
            <w:vAlign w:val="center"/>
            <w:hideMark/>
          </w:tcPr>
          <w:p w14:paraId="23A9DA6D" w14:textId="71FF0746" w:rsidR="00FC4F13" w:rsidRPr="00FC4F13" w:rsidRDefault="00FC4F13" w:rsidP="00FC4F13">
            <w:pPr>
              <w:spacing w:line="276" w:lineRule="auto"/>
              <w:jc w:val="both"/>
            </w:pPr>
            <w:r w:rsidRPr="00FC4F13">
              <w:rPr>
                <w:lang w:val="nl-NL"/>
              </w:rPr>
              <w:t xml:space="preserve">Tổng số chứng chỉ Quỹ tại ngày </w:t>
            </w:r>
            <w:r w:rsidR="00503B7C">
              <w:rPr>
                <w:lang w:val="vi-VN"/>
              </w:rPr>
              <w:t>31/12</w:t>
            </w:r>
            <w:r w:rsidR="0049453A">
              <w:rPr>
                <w:lang w:val="nl-NL"/>
              </w:rPr>
              <w:t>/2023</w:t>
            </w:r>
          </w:p>
        </w:tc>
        <w:tc>
          <w:tcPr>
            <w:tcW w:w="2597" w:type="dxa"/>
            <w:tcBorders>
              <w:top w:val="nil"/>
              <w:left w:val="nil"/>
              <w:bottom w:val="nil"/>
              <w:right w:val="nil"/>
            </w:tcBorders>
            <w:shd w:val="clear" w:color="auto" w:fill="F2F2F2" w:themeFill="background1" w:themeFillShade="F2"/>
            <w:noWrap/>
            <w:vAlign w:val="center"/>
          </w:tcPr>
          <w:p w14:paraId="462D48C9" w14:textId="71D1A020" w:rsidR="00FC4F13" w:rsidRPr="00FC4F13" w:rsidRDefault="003A25B8" w:rsidP="00FC4F13">
            <w:pPr>
              <w:spacing w:line="276" w:lineRule="auto"/>
              <w:jc w:val="right"/>
            </w:pPr>
            <w:r w:rsidRPr="003A25B8">
              <w:rPr>
                <w:lang w:val="en-GB"/>
              </w:rPr>
              <w:t>305,938,819.98</w:t>
            </w:r>
          </w:p>
        </w:tc>
        <w:tc>
          <w:tcPr>
            <w:tcW w:w="805" w:type="dxa"/>
            <w:tcBorders>
              <w:top w:val="nil"/>
              <w:left w:val="nil"/>
              <w:bottom w:val="nil"/>
              <w:right w:val="nil"/>
            </w:tcBorders>
            <w:shd w:val="clear" w:color="auto" w:fill="F2F2F2" w:themeFill="background1" w:themeFillShade="F2"/>
            <w:noWrap/>
            <w:vAlign w:val="center"/>
            <w:hideMark/>
          </w:tcPr>
          <w:p w14:paraId="524E21E8" w14:textId="68225B7B" w:rsidR="00FC4F13" w:rsidRPr="00FC4F13" w:rsidRDefault="00FC4F13" w:rsidP="00FC4F13">
            <w:pPr>
              <w:spacing w:line="276" w:lineRule="auto"/>
              <w:jc w:val="both"/>
            </w:pPr>
            <w:r w:rsidRPr="00FC4F13">
              <w:t>CCQ</w:t>
            </w:r>
          </w:p>
        </w:tc>
      </w:tr>
    </w:tbl>
    <w:p w14:paraId="4F92B992" w14:textId="2421BDF9" w:rsidR="00E4394F" w:rsidRPr="00334FBE" w:rsidRDefault="0056609F" w:rsidP="00E4394F">
      <w:pPr>
        <w:pStyle w:val="ListParagraph"/>
        <w:tabs>
          <w:tab w:val="left" w:pos="270"/>
          <w:tab w:val="left" w:pos="1134"/>
        </w:tabs>
        <w:spacing w:before="120" w:after="120" w:line="276" w:lineRule="auto"/>
        <w:ind w:left="0"/>
        <w:contextualSpacing w:val="0"/>
        <w:jc w:val="both"/>
        <w:rPr>
          <w:b w:val="0"/>
          <w:bCs/>
          <w:lang w:val="en-US"/>
        </w:rPr>
      </w:pPr>
      <w:r w:rsidRPr="00FC4F13">
        <w:rPr>
          <w:b w:val="0"/>
          <w:lang w:val="sv-SE"/>
        </w:rPr>
        <w:t xml:space="preserve">g) </w:t>
      </w:r>
      <w:proofErr w:type="spellStart"/>
      <w:r w:rsidR="00DB4887" w:rsidRPr="00FC4F13">
        <w:rPr>
          <w:b w:val="0"/>
          <w:lang w:val="en-US"/>
        </w:rPr>
        <w:t>Nội</w:t>
      </w:r>
      <w:proofErr w:type="spellEnd"/>
      <w:r w:rsidR="00DB4887" w:rsidRPr="00FC4F13">
        <w:rPr>
          <w:b w:val="0"/>
          <w:lang w:val="en-US"/>
        </w:rPr>
        <w:t xml:space="preserve"> dung </w:t>
      </w:r>
      <w:proofErr w:type="spellStart"/>
      <w:r w:rsidR="00DB4887" w:rsidRPr="00FC4F13">
        <w:rPr>
          <w:b w:val="0"/>
          <w:lang w:val="en-US"/>
        </w:rPr>
        <w:t>thay</w:t>
      </w:r>
      <w:proofErr w:type="spellEnd"/>
      <w:r w:rsidR="00DB4887" w:rsidRPr="00FC4F13">
        <w:rPr>
          <w:b w:val="0"/>
          <w:lang w:val="en-US"/>
        </w:rPr>
        <w:t xml:space="preserve"> </w:t>
      </w:r>
      <w:proofErr w:type="spellStart"/>
      <w:r w:rsidR="00DB4887" w:rsidRPr="00FC4F13">
        <w:rPr>
          <w:b w:val="0"/>
          <w:lang w:val="en-US"/>
        </w:rPr>
        <w:t>đổi</w:t>
      </w:r>
      <w:proofErr w:type="spellEnd"/>
      <w:r w:rsidR="00DB4887" w:rsidRPr="00FC4F13">
        <w:rPr>
          <w:b w:val="0"/>
          <w:lang w:val="en-US"/>
        </w:rPr>
        <w:t xml:space="preserve"> </w:t>
      </w:r>
      <w:proofErr w:type="spellStart"/>
      <w:r w:rsidR="00DB4887" w:rsidRPr="00FC4F13">
        <w:rPr>
          <w:b w:val="0"/>
          <w:lang w:val="en-US"/>
        </w:rPr>
        <w:t>tại</w:t>
      </w:r>
      <w:proofErr w:type="spellEnd"/>
      <w:r w:rsidR="00DB4887" w:rsidRPr="00FC4F13">
        <w:rPr>
          <w:b w:val="0"/>
          <w:lang w:val="en-US"/>
        </w:rPr>
        <w:t xml:space="preserve"> </w:t>
      </w:r>
      <w:proofErr w:type="spellStart"/>
      <w:r w:rsidR="00DB4887" w:rsidRPr="00FC4F13">
        <w:rPr>
          <w:b w:val="0"/>
          <w:lang w:val="en-US"/>
        </w:rPr>
        <w:t>Điều</w:t>
      </w:r>
      <w:proofErr w:type="spellEnd"/>
      <w:r w:rsidR="00DB4887" w:rsidRPr="00FC4F13">
        <w:rPr>
          <w:b w:val="0"/>
          <w:lang w:val="en-US"/>
        </w:rPr>
        <w:t xml:space="preserve"> </w:t>
      </w:r>
      <w:proofErr w:type="spellStart"/>
      <w:r w:rsidR="00DB4887" w:rsidRPr="00FC4F13">
        <w:rPr>
          <w:b w:val="0"/>
          <w:lang w:val="en-US"/>
        </w:rPr>
        <w:t>lệ</w:t>
      </w:r>
      <w:proofErr w:type="spellEnd"/>
      <w:r w:rsidR="00DB4887" w:rsidRPr="00FC4F13">
        <w:rPr>
          <w:b w:val="0"/>
          <w:lang w:val="en-US"/>
        </w:rPr>
        <w:t xml:space="preserve"> </w:t>
      </w:r>
      <w:proofErr w:type="spellStart"/>
      <w:r w:rsidR="00DB4887" w:rsidRPr="00FC4F13">
        <w:rPr>
          <w:b w:val="0"/>
          <w:lang w:val="en-US"/>
        </w:rPr>
        <w:t>Quỹ</w:t>
      </w:r>
      <w:proofErr w:type="spellEnd"/>
      <w:r w:rsidR="00DB4887" w:rsidRPr="00FC4F13">
        <w:rPr>
          <w:b w:val="0"/>
          <w:lang w:val="en-US"/>
        </w:rPr>
        <w:t xml:space="preserve"> </w:t>
      </w:r>
      <w:proofErr w:type="spellStart"/>
      <w:r w:rsidR="00DB4887" w:rsidRPr="00FC4F13">
        <w:rPr>
          <w:b w:val="0"/>
          <w:lang w:val="en-US"/>
        </w:rPr>
        <w:t>trong</w:t>
      </w:r>
      <w:proofErr w:type="spellEnd"/>
      <w:r w:rsidR="00DB4887" w:rsidRPr="00FC4F13">
        <w:rPr>
          <w:b w:val="0"/>
          <w:lang w:val="en-US"/>
        </w:rPr>
        <w:t xml:space="preserve"> </w:t>
      </w:r>
      <w:proofErr w:type="spellStart"/>
      <w:r w:rsidR="00DB4887" w:rsidRPr="00FC4F13">
        <w:rPr>
          <w:b w:val="0"/>
          <w:lang w:val="en-US"/>
        </w:rPr>
        <w:t>kỳ</w:t>
      </w:r>
      <w:proofErr w:type="spellEnd"/>
      <w:r w:rsidR="00DB4887" w:rsidRPr="00FC4F13">
        <w:rPr>
          <w:b w:val="0"/>
          <w:lang w:val="en-US"/>
        </w:rPr>
        <w:t xml:space="preserve"> </w:t>
      </w:r>
      <w:proofErr w:type="spellStart"/>
      <w:r w:rsidR="00DB4887" w:rsidRPr="00FC4F13">
        <w:rPr>
          <w:b w:val="0"/>
          <w:lang w:val="en-US"/>
        </w:rPr>
        <w:t>báo</w:t>
      </w:r>
      <w:proofErr w:type="spellEnd"/>
      <w:r w:rsidR="00DB4887" w:rsidRPr="00FC4F13">
        <w:rPr>
          <w:b w:val="0"/>
          <w:lang w:val="en-US"/>
        </w:rPr>
        <w:t xml:space="preserve"> </w:t>
      </w:r>
      <w:proofErr w:type="spellStart"/>
      <w:r w:rsidR="00DB4887" w:rsidRPr="00FC4F13">
        <w:rPr>
          <w:b w:val="0"/>
          <w:lang w:val="en-US"/>
        </w:rPr>
        <w:t>cáo</w:t>
      </w:r>
      <w:proofErr w:type="spellEnd"/>
      <w:r w:rsidR="00DB4887" w:rsidRPr="00FC4F13">
        <w:rPr>
          <w:b w:val="0"/>
          <w:lang w:val="en-US"/>
        </w:rPr>
        <w:t xml:space="preserve"> (</w:t>
      </w:r>
      <w:proofErr w:type="spellStart"/>
      <w:r w:rsidR="00DB4887" w:rsidRPr="00FC4F13">
        <w:rPr>
          <w:b w:val="0"/>
          <w:lang w:val="en-US"/>
        </w:rPr>
        <w:t>nếu</w:t>
      </w:r>
      <w:proofErr w:type="spellEnd"/>
      <w:r w:rsidR="00DB4887" w:rsidRPr="00FC4F13">
        <w:rPr>
          <w:b w:val="0"/>
          <w:lang w:val="en-US"/>
        </w:rPr>
        <w:t xml:space="preserve"> </w:t>
      </w:r>
      <w:proofErr w:type="spellStart"/>
      <w:r w:rsidR="00DB4887" w:rsidRPr="00FC4F13">
        <w:rPr>
          <w:b w:val="0"/>
          <w:lang w:val="en-US"/>
        </w:rPr>
        <w:t>có</w:t>
      </w:r>
      <w:proofErr w:type="spellEnd"/>
      <w:r w:rsidR="00DB4887" w:rsidRPr="00FC4F13">
        <w:rPr>
          <w:b w:val="0"/>
          <w:lang w:val="en-US"/>
        </w:rPr>
        <w:t xml:space="preserve">): </w:t>
      </w:r>
      <w:proofErr w:type="spellStart"/>
      <w:r w:rsidR="00DB4887" w:rsidRPr="00FC4F13">
        <w:rPr>
          <w:b w:val="0"/>
          <w:lang w:val="en-US"/>
        </w:rPr>
        <w:t>Nội</w:t>
      </w:r>
      <w:proofErr w:type="spellEnd"/>
      <w:r w:rsidR="00DB4887" w:rsidRPr="00FC4F13">
        <w:rPr>
          <w:b w:val="0"/>
          <w:lang w:val="en-US"/>
        </w:rPr>
        <w:t xml:space="preserve"> dung </w:t>
      </w:r>
      <w:proofErr w:type="spellStart"/>
      <w:r w:rsidR="00DB4887" w:rsidRPr="00FC4F13">
        <w:rPr>
          <w:b w:val="0"/>
          <w:lang w:val="en-US"/>
        </w:rPr>
        <w:t>thay</w:t>
      </w:r>
      <w:proofErr w:type="spellEnd"/>
      <w:r w:rsidR="00DB4887" w:rsidRPr="00FC4F13">
        <w:rPr>
          <w:b w:val="0"/>
          <w:lang w:val="en-US"/>
        </w:rPr>
        <w:t xml:space="preserve"> </w:t>
      </w:r>
      <w:proofErr w:type="spellStart"/>
      <w:r w:rsidR="00DB4887" w:rsidRPr="00FC4F13">
        <w:rPr>
          <w:b w:val="0"/>
          <w:lang w:val="en-US"/>
        </w:rPr>
        <w:t>đổi</w:t>
      </w:r>
      <w:proofErr w:type="spellEnd"/>
      <w:r w:rsidR="00DB4887" w:rsidRPr="00FC4F13">
        <w:rPr>
          <w:b w:val="0"/>
          <w:lang w:val="en-US"/>
        </w:rPr>
        <w:t xml:space="preserve"> </w:t>
      </w:r>
      <w:proofErr w:type="spellStart"/>
      <w:r w:rsidR="00DB4887" w:rsidRPr="00FC4F13">
        <w:rPr>
          <w:b w:val="0"/>
          <w:lang w:val="en-US"/>
        </w:rPr>
        <w:t>tại</w:t>
      </w:r>
      <w:proofErr w:type="spellEnd"/>
      <w:r w:rsidR="00DB4887" w:rsidRPr="00FC4F13">
        <w:rPr>
          <w:b w:val="0"/>
          <w:lang w:val="en-US"/>
        </w:rPr>
        <w:t xml:space="preserve"> </w:t>
      </w:r>
      <w:proofErr w:type="spellStart"/>
      <w:r w:rsidR="00DB4887" w:rsidRPr="00FC4F13">
        <w:rPr>
          <w:b w:val="0"/>
          <w:lang w:val="en-US"/>
        </w:rPr>
        <w:t>Điều</w:t>
      </w:r>
      <w:proofErr w:type="spellEnd"/>
      <w:r w:rsidR="00DB4887" w:rsidRPr="00FC4F13">
        <w:rPr>
          <w:b w:val="0"/>
          <w:lang w:val="en-US"/>
        </w:rPr>
        <w:t xml:space="preserve"> </w:t>
      </w:r>
      <w:proofErr w:type="spellStart"/>
      <w:r w:rsidR="00DB4887" w:rsidRPr="00FC4F13">
        <w:rPr>
          <w:b w:val="0"/>
          <w:lang w:val="en-US"/>
        </w:rPr>
        <w:t>lệ</w:t>
      </w:r>
      <w:proofErr w:type="spellEnd"/>
      <w:r w:rsidR="00DB4887" w:rsidRPr="00FC4F13">
        <w:rPr>
          <w:b w:val="0"/>
          <w:lang w:val="en-US"/>
        </w:rPr>
        <w:t xml:space="preserve"> </w:t>
      </w:r>
      <w:proofErr w:type="spellStart"/>
      <w:r w:rsidR="00DB4887" w:rsidRPr="00FC4F13">
        <w:rPr>
          <w:b w:val="0"/>
          <w:lang w:val="en-US"/>
        </w:rPr>
        <w:t>Quỹ</w:t>
      </w:r>
      <w:proofErr w:type="spellEnd"/>
      <w:r w:rsidR="00DB4887" w:rsidRPr="00FC4F13">
        <w:rPr>
          <w:b w:val="0"/>
          <w:lang w:val="en-US"/>
        </w:rPr>
        <w:t xml:space="preserve"> </w:t>
      </w:r>
      <w:proofErr w:type="spellStart"/>
      <w:r w:rsidR="00DB4887" w:rsidRPr="00FC4F13">
        <w:rPr>
          <w:b w:val="0"/>
          <w:lang w:val="en-US"/>
        </w:rPr>
        <w:t>trong</w:t>
      </w:r>
      <w:proofErr w:type="spellEnd"/>
      <w:r w:rsidR="00DB4887" w:rsidRPr="00FC4F13">
        <w:rPr>
          <w:b w:val="0"/>
          <w:lang w:val="en-US"/>
        </w:rPr>
        <w:t xml:space="preserve"> </w:t>
      </w:r>
      <w:proofErr w:type="spellStart"/>
      <w:r w:rsidR="00DB4887" w:rsidRPr="00FC4F13">
        <w:rPr>
          <w:b w:val="0"/>
          <w:lang w:val="en-US"/>
        </w:rPr>
        <w:t>kỳ</w:t>
      </w:r>
      <w:proofErr w:type="spellEnd"/>
      <w:r w:rsidR="00DB4887" w:rsidRPr="00FC4F13">
        <w:rPr>
          <w:b w:val="0"/>
          <w:lang w:val="en-US"/>
        </w:rPr>
        <w:t xml:space="preserve"> </w:t>
      </w:r>
      <w:proofErr w:type="spellStart"/>
      <w:r w:rsidR="00DB4887" w:rsidRPr="00FC4F13">
        <w:rPr>
          <w:b w:val="0"/>
          <w:lang w:val="en-US"/>
        </w:rPr>
        <w:t>báo</w:t>
      </w:r>
      <w:proofErr w:type="spellEnd"/>
      <w:r w:rsidR="00DB4887" w:rsidRPr="00FC4F13">
        <w:rPr>
          <w:b w:val="0"/>
          <w:lang w:val="en-US"/>
        </w:rPr>
        <w:t xml:space="preserve"> </w:t>
      </w:r>
      <w:proofErr w:type="spellStart"/>
      <w:r w:rsidR="00DB4887" w:rsidRPr="00FC4F13">
        <w:rPr>
          <w:b w:val="0"/>
          <w:lang w:val="en-US"/>
        </w:rPr>
        <w:t>cáo</w:t>
      </w:r>
      <w:proofErr w:type="spellEnd"/>
      <w:r w:rsidR="00DB4887" w:rsidRPr="00FC4F13">
        <w:rPr>
          <w:b w:val="0"/>
          <w:lang w:val="en-US"/>
        </w:rPr>
        <w:t xml:space="preserve">: </w:t>
      </w:r>
      <w:proofErr w:type="spellStart"/>
      <w:r w:rsidR="00DB4887" w:rsidRPr="00FC4F13">
        <w:rPr>
          <w:b w:val="0"/>
          <w:lang w:val="en-US"/>
        </w:rPr>
        <w:t>được</w:t>
      </w:r>
      <w:proofErr w:type="spellEnd"/>
      <w:r w:rsidR="00DB4887" w:rsidRPr="00FC4F13">
        <w:rPr>
          <w:b w:val="0"/>
          <w:lang w:val="en-US"/>
        </w:rPr>
        <w:t xml:space="preserve"> </w:t>
      </w:r>
      <w:proofErr w:type="spellStart"/>
      <w:r w:rsidR="00DB4887" w:rsidRPr="00FC4F13">
        <w:rPr>
          <w:b w:val="0"/>
          <w:lang w:val="en-US"/>
        </w:rPr>
        <w:t>đề</w:t>
      </w:r>
      <w:proofErr w:type="spellEnd"/>
      <w:r w:rsidR="00DB4887" w:rsidRPr="00FC4F13">
        <w:rPr>
          <w:b w:val="0"/>
          <w:lang w:val="en-US"/>
        </w:rPr>
        <w:t xml:space="preserve"> </w:t>
      </w:r>
      <w:proofErr w:type="spellStart"/>
      <w:r w:rsidR="00DB4887" w:rsidRPr="00FC4F13">
        <w:rPr>
          <w:b w:val="0"/>
          <w:lang w:val="en-US"/>
        </w:rPr>
        <w:t>cập</w:t>
      </w:r>
      <w:proofErr w:type="spellEnd"/>
      <w:r w:rsidR="00DB4887" w:rsidRPr="00FC4F13">
        <w:rPr>
          <w:b w:val="0"/>
          <w:lang w:val="en-US"/>
        </w:rPr>
        <w:t xml:space="preserve"> </w:t>
      </w:r>
      <w:proofErr w:type="spellStart"/>
      <w:r w:rsidR="00DB4887" w:rsidRPr="00FC4F13">
        <w:rPr>
          <w:b w:val="0"/>
          <w:lang w:val="en-US"/>
        </w:rPr>
        <w:t>trong</w:t>
      </w:r>
      <w:proofErr w:type="spellEnd"/>
      <w:r w:rsidR="00DB4887" w:rsidRPr="00FC4F13">
        <w:rPr>
          <w:b w:val="0"/>
          <w:lang w:val="en-US"/>
        </w:rPr>
        <w:t xml:space="preserve"> </w:t>
      </w:r>
      <w:proofErr w:type="spellStart"/>
      <w:r w:rsidR="00DB4887" w:rsidRPr="00FC4F13">
        <w:rPr>
          <w:b w:val="0"/>
          <w:lang w:val="en-US"/>
        </w:rPr>
        <w:t>Nghị</w:t>
      </w:r>
      <w:proofErr w:type="spellEnd"/>
      <w:r w:rsidR="00DB4887" w:rsidRPr="00FC4F13">
        <w:rPr>
          <w:b w:val="0"/>
          <w:lang w:val="en-US"/>
        </w:rPr>
        <w:t xml:space="preserve"> </w:t>
      </w:r>
      <w:proofErr w:type="spellStart"/>
      <w:r w:rsidR="00DB4887" w:rsidRPr="00FC4F13">
        <w:rPr>
          <w:b w:val="0"/>
          <w:lang w:val="en-US"/>
        </w:rPr>
        <w:t>quyết</w:t>
      </w:r>
      <w:proofErr w:type="spellEnd"/>
      <w:r w:rsidR="00DB4887" w:rsidRPr="00FC4F13">
        <w:rPr>
          <w:b w:val="0"/>
          <w:lang w:val="en-US"/>
        </w:rPr>
        <w:t xml:space="preserve"> </w:t>
      </w:r>
      <w:proofErr w:type="spellStart"/>
      <w:r w:rsidR="00DB4887" w:rsidRPr="00FC4F13">
        <w:rPr>
          <w:b w:val="0"/>
          <w:lang w:val="en-US"/>
        </w:rPr>
        <w:t>Đại</w:t>
      </w:r>
      <w:proofErr w:type="spellEnd"/>
      <w:r w:rsidR="00DB4887" w:rsidRPr="00FC4F13">
        <w:rPr>
          <w:b w:val="0"/>
          <w:lang w:val="en-US"/>
        </w:rPr>
        <w:t xml:space="preserve"> </w:t>
      </w:r>
      <w:proofErr w:type="spellStart"/>
      <w:r w:rsidR="00DB4887" w:rsidRPr="00FC4F13">
        <w:rPr>
          <w:b w:val="0"/>
          <w:lang w:val="en-US"/>
        </w:rPr>
        <w:t>hội</w:t>
      </w:r>
      <w:proofErr w:type="spellEnd"/>
      <w:r w:rsidR="00DB4887" w:rsidRPr="00FC4F13">
        <w:rPr>
          <w:b w:val="0"/>
          <w:lang w:val="en-US"/>
        </w:rPr>
        <w:t xml:space="preserve"> </w:t>
      </w:r>
      <w:proofErr w:type="spellStart"/>
      <w:r w:rsidR="00DB4887" w:rsidRPr="00FC4F13">
        <w:rPr>
          <w:b w:val="0"/>
          <w:lang w:val="en-US"/>
        </w:rPr>
        <w:t>Nhà</w:t>
      </w:r>
      <w:proofErr w:type="spellEnd"/>
      <w:r w:rsidR="00DB4887" w:rsidRPr="00FC4F13">
        <w:rPr>
          <w:b w:val="0"/>
          <w:lang w:val="en-US"/>
        </w:rPr>
        <w:t xml:space="preserve"> </w:t>
      </w:r>
      <w:proofErr w:type="spellStart"/>
      <w:r w:rsidR="00DB4887" w:rsidRPr="00FC4F13">
        <w:rPr>
          <w:b w:val="0"/>
          <w:lang w:val="en-US"/>
        </w:rPr>
        <w:t>đầu</w:t>
      </w:r>
      <w:proofErr w:type="spellEnd"/>
      <w:r w:rsidR="00DB4887" w:rsidRPr="00FC4F13">
        <w:rPr>
          <w:b w:val="0"/>
          <w:lang w:val="en-US"/>
        </w:rPr>
        <w:t xml:space="preserve"> </w:t>
      </w:r>
      <w:proofErr w:type="spellStart"/>
      <w:r w:rsidR="00DB4887" w:rsidRPr="00FC4F13">
        <w:rPr>
          <w:b w:val="0"/>
          <w:lang w:val="en-US"/>
        </w:rPr>
        <w:t>tư</w:t>
      </w:r>
      <w:proofErr w:type="spellEnd"/>
      <w:r w:rsidR="00DB4887" w:rsidRPr="00FC4F13">
        <w:rPr>
          <w:b w:val="0"/>
          <w:lang w:val="en-US"/>
        </w:rPr>
        <w:t xml:space="preserve"> </w:t>
      </w:r>
      <w:proofErr w:type="spellStart"/>
      <w:r w:rsidR="00DB4887" w:rsidRPr="00FC4F13">
        <w:rPr>
          <w:b w:val="0"/>
          <w:lang w:val="en-US"/>
        </w:rPr>
        <w:t>thường</w:t>
      </w:r>
      <w:proofErr w:type="spellEnd"/>
      <w:r w:rsidR="00DB4887" w:rsidRPr="00FC4F13">
        <w:rPr>
          <w:b w:val="0"/>
          <w:lang w:val="en-US"/>
        </w:rPr>
        <w:t xml:space="preserve"> </w:t>
      </w:r>
      <w:proofErr w:type="spellStart"/>
      <w:r w:rsidR="00DB4887" w:rsidRPr="00FC4F13">
        <w:rPr>
          <w:b w:val="0"/>
          <w:lang w:val="en-US"/>
        </w:rPr>
        <w:t>niên</w:t>
      </w:r>
      <w:proofErr w:type="spellEnd"/>
      <w:r w:rsidR="00DB4887" w:rsidRPr="00FC4F13">
        <w:rPr>
          <w:b w:val="0"/>
          <w:lang w:val="en-US"/>
        </w:rPr>
        <w:t xml:space="preserve"> </w:t>
      </w:r>
      <w:proofErr w:type="spellStart"/>
      <w:r w:rsidR="00DB4887" w:rsidRPr="00FC4F13">
        <w:rPr>
          <w:b w:val="0"/>
          <w:lang w:val="en-US"/>
        </w:rPr>
        <w:t>năm</w:t>
      </w:r>
      <w:proofErr w:type="spellEnd"/>
      <w:r w:rsidR="00DB4887" w:rsidRPr="00FC4F13">
        <w:rPr>
          <w:b w:val="0"/>
          <w:lang w:val="en-US"/>
        </w:rPr>
        <w:t xml:space="preserve"> </w:t>
      </w:r>
      <w:proofErr w:type="spellStart"/>
      <w:r w:rsidR="00DB4887" w:rsidRPr="00FC4F13">
        <w:rPr>
          <w:b w:val="0"/>
          <w:lang w:val="en-US"/>
        </w:rPr>
        <w:t>tài</w:t>
      </w:r>
      <w:proofErr w:type="spellEnd"/>
      <w:r w:rsidR="00DB4887" w:rsidRPr="00FC4F13">
        <w:rPr>
          <w:b w:val="0"/>
          <w:lang w:val="en-US"/>
        </w:rPr>
        <w:t xml:space="preserve"> </w:t>
      </w:r>
      <w:proofErr w:type="spellStart"/>
      <w:r w:rsidR="00DB4887" w:rsidRPr="00FC4F13">
        <w:rPr>
          <w:b w:val="0"/>
          <w:lang w:val="en-US"/>
        </w:rPr>
        <w:t>chính</w:t>
      </w:r>
      <w:proofErr w:type="spellEnd"/>
      <w:r w:rsidR="00DB4887" w:rsidRPr="00FC4F13">
        <w:rPr>
          <w:b w:val="0"/>
          <w:lang w:val="en-US"/>
        </w:rPr>
        <w:t xml:space="preserve"> 202</w:t>
      </w:r>
      <w:r w:rsidR="00DB4887">
        <w:rPr>
          <w:b w:val="0"/>
          <w:lang w:val="en-US"/>
        </w:rPr>
        <w:t>2</w:t>
      </w:r>
      <w:r w:rsidR="00DB4887" w:rsidRPr="00FC4F13">
        <w:rPr>
          <w:b w:val="0"/>
          <w:lang w:val="en-US"/>
        </w:rPr>
        <w:t xml:space="preserve"> </w:t>
      </w:r>
      <w:proofErr w:type="spellStart"/>
      <w:r w:rsidR="00DB4887" w:rsidRPr="00FC4F13">
        <w:rPr>
          <w:b w:val="0"/>
          <w:lang w:val="en-US"/>
        </w:rPr>
        <w:t>của</w:t>
      </w:r>
      <w:proofErr w:type="spellEnd"/>
      <w:r w:rsidR="00DB4887" w:rsidRPr="00FC4F13">
        <w:rPr>
          <w:b w:val="0"/>
          <w:lang w:val="en-US"/>
        </w:rPr>
        <w:t xml:space="preserve"> </w:t>
      </w:r>
      <w:proofErr w:type="spellStart"/>
      <w:r w:rsidR="00DB4887" w:rsidRPr="00FC4F13">
        <w:rPr>
          <w:b w:val="0"/>
          <w:lang w:val="en-US"/>
        </w:rPr>
        <w:t>Quỹ</w:t>
      </w:r>
      <w:proofErr w:type="spellEnd"/>
      <w:r w:rsidR="00DB4887" w:rsidRPr="00FC4F13">
        <w:rPr>
          <w:b w:val="0"/>
          <w:lang w:val="en-US"/>
        </w:rPr>
        <w:t xml:space="preserve"> </w:t>
      </w:r>
      <w:proofErr w:type="spellStart"/>
      <w:r w:rsidR="00DB4887" w:rsidRPr="00FC4F13">
        <w:rPr>
          <w:b w:val="0"/>
          <w:lang w:val="en-US"/>
        </w:rPr>
        <w:t>Đầu</w:t>
      </w:r>
      <w:proofErr w:type="spellEnd"/>
      <w:r w:rsidR="00DB4887" w:rsidRPr="00FC4F13">
        <w:rPr>
          <w:b w:val="0"/>
          <w:lang w:val="en-US"/>
        </w:rPr>
        <w:t xml:space="preserve"> </w:t>
      </w:r>
      <w:proofErr w:type="spellStart"/>
      <w:r w:rsidR="00DB4887" w:rsidRPr="00FC4F13">
        <w:rPr>
          <w:b w:val="0"/>
          <w:lang w:val="en-US"/>
        </w:rPr>
        <w:t>tư</w:t>
      </w:r>
      <w:proofErr w:type="spellEnd"/>
      <w:r w:rsidR="00DB4887" w:rsidRPr="00FC4F13">
        <w:rPr>
          <w:b w:val="0"/>
          <w:lang w:val="en-US"/>
        </w:rPr>
        <w:t xml:space="preserve"> </w:t>
      </w:r>
      <w:proofErr w:type="spellStart"/>
      <w:r w:rsidR="00DB4887" w:rsidRPr="00FC4F13">
        <w:rPr>
          <w:b w:val="0"/>
          <w:lang w:val="en-US"/>
        </w:rPr>
        <w:t>Cổ</w:t>
      </w:r>
      <w:proofErr w:type="spellEnd"/>
      <w:r w:rsidR="00DB4887" w:rsidRPr="00FC4F13">
        <w:rPr>
          <w:b w:val="0"/>
          <w:lang w:val="en-US"/>
        </w:rPr>
        <w:t xml:space="preserve"> </w:t>
      </w:r>
      <w:proofErr w:type="spellStart"/>
      <w:r w:rsidR="00DB4887" w:rsidRPr="00FC4F13">
        <w:rPr>
          <w:b w:val="0"/>
          <w:lang w:val="en-US"/>
        </w:rPr>
        <w:t>phiếu</w:t>
      </w:r>
      <w:proofErr w:type="spellEnd"/>
      <w:r w:rsidR="00DB4887" w:rsidRPr="00FC4F13">
        <w:rPr>
          <w:b w:val="0"/>
          <w:lang w:val="en-US"/>
        </w:rPr>
        <w:t xml:space="preserve"> Việt Nam </w:t>
      </w:r>
      <w:proofErr w:type="spellStart"/>
      <w:r w:rsidR="00DB4887" w:rsidRPr="00FC4F13">
        <w:rPr>
          <w:b w:val="0"/>
          <w:lang w:val="en-US"/>
        </w:rPr>
        <w:t>Chọn</w:t>
      </w:r>
      <w:proofErr w:type="spellEnd"/>
      <w:r w:rsidR="00DB4887" w:rsidRPr="00FC4F13">
        <w:rPr>
          <w:b w:val="0"/>
          <w:lang w:val="en-US"/>
        </w:rPr>
        <w:t xml:space="preserve"> </w:t>
      </w:r>
      <w:proofErr w:type="spellStart"/>
      <w:r w:rsidR="00DB4887" w:rsidRPr="00FC4F13">
        <w:rPr>
          <w:b w:val="0"/>
          <w:lang w:val="en-US"/>
        </w:rPr>
        <w:t>lọc</w:t>
      </w:r>
      <w:proofErr w:type="spellEnd"/>
      <w:r w:rsidR="00DB4887" w:rsidRPr="00FC4F13">
        <w:rPr>
          <w:b w:val="0"/>
          <w:lang w:val="en-US"/>
        </w:rPr>
        <w:t xml:space="preserve"> </w:t>
      </w:r>
      <w:proofErr w:type="spellStart"/>
      <w:r w:rsidR="00DB4887" w:rsidRPr="00FC4F13">
        <w:rPr>
          <w:b w:val="0"/>
          <w:lang w:val="en-US"/>
        </w:rPr>
        <w:t>ngày</w:t>
      </w:r>
      <w:proofErr w:type="spellEnd"/>
      <w:r w:rsidR="00DB4887" w:rsidRPr="00FC4F13">
        <w:rPr>
          <w:b w:val="0"/>
          <w:lang w:val="en-US"/>
        </w:rPr>
        <w:t xml:space="preserve"> </w:t>
      </w:r>
      <w:r w:rsidR="00DB4887">
        <w:rPr>
          <w:b w:val="0"/>
          <w:lang w:val="en-US"/>
        </w:rPr>
        <w:t>31/03</w:t>
      </w:r>
      <w:r w:rsidR="00DB4887" w:rsidRPr="00FC4F13">
        <w:rPr>
          <w:b w:val="0"/>
          <w:lang w:val="en-US"/>
        </w:rPr>
        <w:t>/202</w:t>
      </w:r>
      <w:r w:rsidR="00DB4887">
        <w:rPr>
          <w:b w:val="0"/>
          <w:lang w:val="en-US"/>
        </w:rPr>
        <w:t>3</w:t>
      </w:r>
      <w:r w:rsidR="00DB4887" w:rsidRPr="00FC4F13">
        <w:rPr>
          <w:b w:val="0"/>
          <w:lang w:val="en-US"/>
        </w:rPr>
        <w:t xml:space="preserve"> </w:t>
      </w:r>
      <w:proofErr w:type="spellStart"/>
      <w:r w:rsidR="00DB4887" w:rsidRPr="00FC4F13">
        <w:rPr>
          <w:b w:val="0"/>
          <w:lang w:val="en-US"/>
        </w:rPr>
        <w:t>thông</w:t>
      </w:r>
      <w:proofErr w:type="spellEnd"/>
      <w:r w:rsidR="00DB4887" w:rsidRPr="00FC4F13">
        <w:rPr>
          <w:b w:val="0"/>
          <w:lang w:val="en-US"/>
        </w:rPr>
        <w:t xml:space="preserve"> qua </w:t>
      </w:r>
      <w:proofErr w:type="spellStart"/>
      <w:r w:rsidR="00DB4887" w:rsidRPr="00FC4F13">
        <w:rPr>
          <w:b w:val="0"/>
          <w:lang w:val="en-US"/>
        </w:rPr>
        <w:t>theo</w:t>
      </w:r>
      <w:proofErr w:type="spellEnd"/>
      <w:r w:rsidR="00DB4887" w:rsidRPr="00FC4F13">
        <w:rPr>
          <w:b w:val="0"/>
          <w:lang w:val="en-US"/>
        </w:rPr>
        <w:t xml:space="preserve"> </w:t>
      </w:r>
      <w:proofErr w:type="spellStart"/>
      <w:r w:rsidR="00DB4887" w:rsidRPr="00FC4F13">
        <w:rPr>
          <w:b w:val="0"/>
          <w:lang w:val="en-US"/>
        </w:rPr>
        <w:t>hình</w:t>
      </w:r>
      <w:proofErr w:type="spellEnd"/>
      <w:r w:rsidR="00DB4887" w:rsidRPr="00FC4F13">
        <w:rPr>
          <w:b w:val="0"/>
          <w:lang w:val="en-US"/>
        </w:rPr>
        <w:t xml:space="preserve"> </w:t>
      </w:r>
      <w:proofErr w:type="spellStart"/>
      <w:r w:rsidR="00DB4887" w:rsidRPr="00FC4F13">
        <w:rPr>
          <w:b w:val="0"/>
          <w:lang w:val="en-US"/>
        </w:rPr>
        <w:t>thức</w:t>
      </w:r>
      <w:proofErr w:type="spellEnd"/>
      <w:r w:rsidR="00DB4887" w:rsidRPr="00FC4F13">
        <w:rPr>
          <w:b w:val="0"/>
          <w:lang w:val="en-US"/>
        </w:rPr>
        <w:t xml:space="preserve"> </w:t>
      </w:r>
      <w:proofErr w:type="spellStart"/>
      <w:r w:rsidR="00DB4887" w:rsidRPr="00FC4F13">
        <w:rPr>
          <w:b w:val="0"/>
          <w:lang w:val="en-US"/>
        </w:rPr>
        <w:t>lấy</w:t>
      </w:r>
      <w:proofErr w:type="spellEnd"/>
      <w:r w:rsidR="00DB4887" w:rsidRPr="00FC4F13">
        <w:rPr>
          <w:b w:val="0"/>
          <w:lang w:val="en-US"/>
        </w:rPr>
        <w:t xml:space="preserve"> ý </w:t>
      </w:r>
      <w:proofErr w:type="spellStart"/>
      <w:r w:rsidR="00DB4887" w:rsidRPr="00FC4F13">
        <w:rPr>
          <w:b w:val="0"/>
          <w:lang w:val="en-US"/>
        </w:rPr>
        <w:t>kiến</w:t>
      </w:r>
      <w:proofErr w:type="spellEnd"/>
      <w:r w:rsidR="00DB4887" w:rsidRPr="00FC4F13">
        <w:rPr>
          <w:b w:val="0"/>
          <w:lang w:val="en-US"/>
        </w:rPr>
        <w:t xml:space="preserve"> </w:t>
      </w:r>
      <w:proofErr w:type="spellStart"/>
      <w:r w:rsidR="00DB4887" w:rsidRPr="00FC4F13">
        <w:rPr>
          <w:b w:val="0"/>
          <w:lang w:val="en-US"/>
        </w:rPr>
        <w:t>bằng</w:t>
      </w:r>
      <w:proofErr w:type="spellEnd"/>
      <w:r w:rsidR="00DB4887" w:rsidRPr="00FC4F13">
        <w:rPr>
          <w:b w:val="0"/>
          <w:lang w:val="en-US"/>
        </w:rPr>
        <w:t xml:space="preserve"> </w:t>
      </w:r>
      <w:proofErr w:type="spellStart"/>
      <w:r w:rsidR="00DB4887" w:rsidRPr="00FC4F13">
        <w:rPr>
          <w:b w:val="0"/>
          <w:lang w:val="en-US"/>
        </w:rPr>
        <w:t>văn</w:t>
      </w:r>
      <w:proofErr w:type="spellEnd"/>
      <w:r w:rsidR="00DB4887" w:rsidRPr="00FC4F13">
        <w:rPr>
          <w:b w:val="0"/>
          <w:lang w:val="en-US"/>
        </w:rPr>
        <w:t xml:space="preserve"> </w:t>
      </w:r>
      <w:proofErr w:type="spellStart"/>
      <w:r w:rsidR="00DB4887" w:rsidRPr="00FC4F13">
        <w:rPr>
          <w:b w:val="0"/>
          <w:lang w:val="en-US"/>
        </w:rPr>
        <w:t>bản</w:t>
      </w:r>
      <w:proofErr w:type="spellEnd"/>
      <w:r w:rsidR="00DB4887">
        <w:rPr>
          <w:b w:val="0"/>
          <w:lang w:val="en-US"/>
        </w:rPr>
        <w:t xml:space="preserve">. </w:t>
      </w:r>
      <w:proofErr w:type="spellStart"/>
      <w:r w:rsidR="00DB4887">
        <w:rPr>
          <w:b w:val="0"/>
          <w:bCs/>
        </w:rPr>
        <w:t>Nội</w:t>
      </w:r>
      <w:proofErr w:type="spellEnd"/>
      <w:r w:rsidR="00DB4887">
        <w:rPr>
          <w:b w:val="0"/>
          <w:bCs/>
        </w:rPr>
        <w:t xml:space="preserve"> </w:t>
      </w:r>
      <w:proofErr w:type="spellStart"/>
      <w:r w:rsidR="00DB4887">
        <w:rPr>
          <w:b w:val="0"/>
          <w:bCs/>
        </w:rPr>
        <w:t>dung</w:t>
      </w:r>
      <w:proofErr w:type="spellEnd"/>
      <w:r w:rsidR="00DB4887">
        <w:rPr>
          <w:b w:val="0"/>
          <w:bCs/>
        </w:rPr>
        <w:t xml:space="preserve"> chi </w:t>
      </w:r>
      <w:proofErr w:type="spellStart"/>
      <w:r w:rsidR="00DB4887">
        <w:rPr>
          <w:b w:val="0"/>
          <w:bCs/>
        </w:rPr>
        <w:t>tiết</w:t>
      </w:r>
      <w:proofErr w:type="spellEnd"/>
      <w:r w:rsidR="00DB4887">
        <w:rPr>
          <w:b w:val="0"/>
          <w:bCs/>
        </w:rPr>
        <w:t xml:space="preserve"> </w:t>
      </w:r>
      <w:proofErr w:type="spellStart"/>
      <w:r w:rsidR="00DB4887" w:rsidRPr="00064350">
        <w:rPr>
          <w:b w:val="0"/>
          <w:sz w:val="22"/>
          <w:szCs w:val="22"/>
        </w:rPr>
        <w:t>được</w:t>
      </w:r>
      <w:proofErr w:type="spellEnd"/>
      <w:r w:rsidR="00DB4887" w:rsidRPr="00064350">
        <w:rPr>
          <w:b w:val="0"/>
          <w:sz w:val="22"/>
          <w:szCs w:val="22"/>
        </w:rPr>
        <w:t xml:space="preserve"> </w:t>
      </w:r>
      <w:proofErr w:type="spellStart"/>
      <w:r w:rsidR="00DB4887" w:rsidRPr="00064350">
        <w:rPr>
          <w:b w:val="0"/>
          <w:sz w:val="22"/>
          <w:szCs w:val="22"/>
        </w:rPr>
        <w:t>công</w:t>
      </w:r>
      <w:proofErr w:type="spellEnd"/>
      <w:r w:rsidR="00DB4887" w:rsidRPr="00064350">
        <w:rPr>
          <w:b w:val="0"/>
          <w:sz w:val="22"/>
          <w:szCs w:val="22"/>
        </w:rPr>
        <w:t xml:space="preserve"> </w:t>
      </w:r>
      <w:proofErr w:type="spellStart"/>
      <w:r w:rsidR="00DB4887" w:rsidRPr="00064350">
        <w:rPr>
          <w:b w:val="0"/>
          <w:sz w:val="22"/>
          <w:szCs w:val="22"/>
        </w:rPr>
        <w:t>bố</w:t>
      </w:r>
      <w:proofErr w:type="spellEnd"/>
      <w:r w:rsidR="00DB4887" w:rsidRPr="00064350">
        <w:rPr>
          <w:b w:val="0"/>
          <w:sz w:val="22"/>
          <w:szCs w:val="22"/>
        </w:rPr>
        <w:t xml:space="preserve"> </w:t>
      </w:r>
      <w:proofErr w:type="spellStart"/>
      <w:r w:rsidR="00DB4887" w:rsidRPr="00064350">
        <w:rPr>
          <w:b w:val="0"/>
          <w:sz w:val="22"/>
          <w:szCs w:val="22"/>
        </w:rPr>
        <w:t>trên</w:t>
      </w:r>
      <w:proofErr w:type="spellEnd"/>
      <w:r w:rsidR="00DB4887" w:rsidRPr="00064350">
        <w:rPr>
          <w:b w:val="0"/>
          <w:sz w:val="22"/>
          <w:szCs w:val="22"/>
        </w:rPr>
        <w:t xml:space="preserve"> </w:t>
      </w:r>
      <w:proofErr w:type="spellStart"/>
      <w:r w:rsidR="00DB4887" w:rsidRPr="00064350">
        <w:rPr>
          <w:b w:val="0"/>
          <w:sz w:val="22"/>
          <w:szCs w:val="22"/>
        </w:rPr>
        <w:t>trang</w:t>
      </w:r>
      <w:proofErr w:type="spellEnd"/>
      <w:r w:rsidR="00DB4887" w:rsidRPr="00064350">
        <w:rPr>
          <w:b w:val="0"/>
          <w:sz w:val="22"/>
          <w:szCs w:val="22"/>
        </w:rPr>
        <w:t xml:space="preserve"> </w:t>
      </w:r>
      <w:proofErr w:type="spellStart"/>
      <w:r w:rsidR="00DB4887" w:rsidRPr="00064350">
        <w:rPr>
          <w:b w:val="0"/>
          <w:sz w:val="22"/>
          <w:szCs w:val="22"/>
        </w:rPr>
        <w:t>thông</w:t>
      </w:r>
      <w:proofErr w:type="spellEnd"/>
      <w:r w:rsidR="00DB4887" w:rsidRPr="00064350">
        <w:rPr>
          <w:b w:val="0"/>
          <w:sz w:val="22"/>
          <w:szCs w:val="22"/>
        </w:rPr>
        <w:t xml:space="preserve"> tin </w:t>
      </w:r>
      <w:proofErr w:type="spellStart"/>
      <w:r w:rsidR="00DB4887" w:rsidRPr="00064350">
        <w:rPr>
          <w:b w:val="0"/>
          <w:sz w:val="22"/>
          <w:szCs w:val="22"/>
        </w:rPr>
        <w:t>điện</w:t>
      </w:r>
      <w:proofErr w:type="spellEnd"/>
      <w:r w:rsidR="00DB4887" w:rsidRPr="00064350">
        <w:rPr>
          <w:b w:val="0"/>
          <w:sz w:val="22"/>
          <w:szCs w:val="22"/>
        </w:rPr>
        <w:t xml:space="preserve"> </w:t>
      </w:r>
      <w:proofErr w:type="spellStart"/>
      <w:r w:rsidR="00DB4887" w:rsidRPr="00064350">
        <w:rPr>
          <w:b w:val="0"/>
          <w:sz w:val="22"/>
          <w:szCs w:val="22"/>
        </w:rPr>
        <w:t>tử</w:t>
      </w:r>
      <w:proofErr w:type="spellEnd"/>
      <w:r w:rsidR="00DB4887" w:rsidRPr="00064350">
        <w:rPr>
          <w:b w:val="0"/>
          <w:sz w:val="22"/>
          <w:szCs w:val="22"/>
        </w:rPr>
        <w:t xml:space="preserve"> </w:t>
      </w:r>
      <w:proofErr w:type="spellStart"/>
      <w:r w:rsidR="00DB4887" w:rsidRPr="00064350">
        <w:rPr>
          <w:b w:val="0"/>
          <w:sz w:val="22"/>
          <w:szCs w:val="22"/>
        </w:rPr>
        <w:t>của</w:t>
      </w:r>
      <w:proofErr w:type="spellEnd"/>
      <w:r w:rsidR="00DB4887" w:rsidRPr="00064350">
        <w:rPr>
          <w:b w:val="0"/>
          <w:sz w:val="22"/>
          <w:szCs w:val="22"/>
        </w:rPr>
        <w:t xml:space="preserve"> </w:t>
      </w:r>
      <w:proofErr w:type="spellStart"/>
      <w:r w:rsidR="00DB4887" w:rsidRPr="00064350">
        <w:rPr>
          <w:b w:val="0"/>
          <w:sz w:val="22"/>
          <w:szCs w:val="22"/>
        </w:rPr>
        <w:t>quỹ</w:t>
      </w:r>
      <w:proofErr w:type="spellEnd"/>
      <w:r w:rsidR="00DB4887" w:rsidRPr="00064350">
        <w:rPr>
          <w:b w:val="0"/>
          <w:sz w:val="22"/>
          <w:szCs w:val="22"/>
        </w:rPr>
        <w:t>/</w:t>
      </w:r>
      <w:proofErr w:type="spellStart"/>
      <w:r w:rsidR="00DB4887" w:rsidRPr="00064350">
        <w:rPr>
          <w:b w:val="0"/>
          <w:sz w:val="22"/>
          <w:szCs w:val="22"/>
        </w:rPr>
        <w:t>công</w:t>
      </w:r>
      <w:proofErr w:type="spellEnd"/>
      <w:r w:rsidR="00DB4887" w:rsidRPr="00064350">
        <w:rPr>
          <w:b w:val="0"/>
          <w:sz w:val="22"/>
          <w:szCs w:val="22"/>
        </w:rPr>
        <w:t xml:space="preserve"> </w:t>
      </w:r>
      <w:proofErr w:type="spellStart"/>
      <w:r w:rsidR="00DB4887" w:rsidRPr="00064350">
        <w:rPr>
          <w:b w:val="0"/>
          <w:sz w:val="22"/>
          <w:szCs w:val="22"/>
        </w:rPr>
        <w:t>ty</w:t>
      </w:r>
      <w:proofErr w:type="spellEnd"/>
      <w:r w:rsidR="00DB4887" w:rsidRPr="00064350">
        <w:rPr>
          <w:b w:val="0"/>
          <w:sz w:val="22"/>
          <w:szCs w:val="22"/>
        </w:rPr>
        <w:t xml:space="preserve"> </w:t>
      </w:r>
      <w:proofErr w:type="spellStart"/>
      <w:r w:rsidR="00DB4887" w:rsidRPr="00064350">
        <w:rPr>
          <w:b w:val="0"/>
          <w:sz w:val="22"/>
          <w:szCs w:val="22"/>
        </w:rPr>
        <w:t>quản</w:t>
      </w:r>
      <w:proofErr w:type="spellEnd"/>
      <w:r w:rsidR="00DB4887" w:rsidRPr="00064350">
        <w:rPr>
          <w:b w:val="0"/>
          <w:sz w:val="22"/>
          <w:szCs w:val="22"/>
        </w:rPr>
        <w:t xml:space="preserve"> </w:t>
      </w:r>
      <w:proofErr w:type="spellStart"/>
      <w:r w:rsidR="00DB4887" w:rsidRPr="00064350">
        <w:rPr>
          <w:b w:val="0"/>
          <w:sz w:val="22"/>
          <w:szCs w:val="22"/>
        </w:rPr>
        <w:t>lý</w:t>
      </w:r>
      <w:proofErr w:type="spellEnd"/>
      <w:r w:rsidR="00DB4887" w:rsidRPr="00064350">
        <w:rPr>
          <w:b w:val="0"/>
          <w:sz w:val="22"/>
          <w:szCs w:val="22"/>
        </w:rPr>
        <w:t xml:space="preserve"> </w:t>
      </w:r>
      <w:proofErr w:type="spellStart"/>
      <w:r w:rsidR="00DB4887" w:rsidRPr="00064350">
        <w:rPr>
          <w:b w:val="0"/>
          <w:sz w:val="22"/>
          <w:szCs w:val="22"/>
        </w:rPr>
        <w:t>quỹ</w:t>
      </w:r>
      <w:proofErr w:type="spellEnd"/>
      <w:r w:rsidR="00DB4887" w:rsidRPr="00064350">
        <w:rPr>
          <w:b w:val="0"/>
          <w:sz w:val="22"/>
          <w:szCs w:val="22"/>
        </w:rPr>
        <w:t xml:space="preserve"> </w:t>
      </w:r>
      <w:proofErr w:type="spellStart"/>
      <w:r w:rsidR="00DB4887" w:rsidRPr="00064350">
        <w:rPr>
          <w:b w:val="0"/>
          <w:sz w:val="22"/>
          <w:szCs w:val="22"/>
        </w:rPr>
        <w:t>tại</w:t>
      </w:r>
      <w:proofErr w:type="spellEnd"/>
      <w:r w:rsidR="00DB4887" w:rsidRPr="00064350">
        <w:rPr>
          <w:b w:val="0"/>
          <w:sz w:val="22"/>
          <w:szCs w:val="22"/>
        </w:rPr>
        <w:t xml:space="preserve"> </w:t>
      </w:r>
      <w:proofErr w:type="spellStart"/>
      <w:r w:rsidR="00DB4887" w:rsidRPr="00064350">
        <w:rPr>
          <w:b w:val="0"/>
          <w:sz w:val="22"/>
          <w:szCs w:val="22"/>
        </w:rPr>
        <w:t>đường</w:t>
      </w:r>
      <w:proofErr w:type="spellEnd"/>
      <w:r w:rsidR="00DB4887" w:rsidRPr="00064350">
        <w:rPr>
          <w:b w:val="0"/>
          <w:sz w:val="22"/>
          <w:szCs w:val="22"/>
        </w:rPr>
        <w:t xml:space="preserve"> </w:t>
      </w:r>
      <w:proofErr w:type="spellStart"/>
      <w:r w:rsidR="00DB4887" w:rsidRPr="00064350">
        <w:rPr>
          <w:b w:val="0"/>
          <w:sz w:val="22"/>
          <w:szCs w:val="22"/>
        </w:rPr>
        <w:t>dẫn</w:t>
      </w:r>
      <w:proofErr w:type="spellEnd"/>
      <w:r w:rsidR="00DB4887">
        <w:rPr>
          <w:b w:val="0"/>
          <w:sz w:val="22"/>
          <w:szCs w:val="22"/>
        </w:rPr>
        <w:t xml:space="preserve"> </w:t>
      </w:r>
      <w:hyperlink r:id="rId11" w:history="1">
        <w:r w:rsidR="00DB4887" w:rsidRPr="00334FBE">
          <w:rPr>
            <w:rStyle w:val="Hyperlink"/>
            <w:b w:val="0"/>
            <w:bCs/>
          </w:rPr>
          <w:t xml:space="preserve">VFMVSF- </w:t>
        </w:r>
        <w:proofErr w:type="spellStart"/>
        <w:r w:rsidR="00DB4887" w:rsidRPr="00334FBE">
          <w:rPr>
            <w:rStyle w:val="Hyperlink"/>
            <w:b w:val="0"/>
            <w:bCs/>
          </w:rPr>
          <w:t>Điều</w:t>
        </w:r>
        <w:proofErr w:type="spellEnd"/>
        <w:r w:rsidR="00DB4887" w:rsidRPr="00334FBE">
          <w:rPr>
            <w:rStyle w:val="Hyperlink"/>
            <w:b w:val="0"/>
            <w:bCs/>
          </w:rPr>
          <w:t xml:space="preserve"> </w:t>
        </w:r>
        <w:proofErr w:type="spellStart"/>
        <w:r w:rsidR="00DB4887" w:rsidRPr="00334FBE">
          <w:rPr>
            <w:rStyle w:val="Hyperlink"/>
            <w:b w:val="0"/>
            <w:bCs/>
          </w:rPr>
          <w:t>lệ</w:t>
        </w:r>
        <w:proofErr w:type="spellEnd"/>
        <w:r w:rsidR="00DB4887" w:rsidRPr="00334FBE">
          <w:rPr>
            <w:rStyle w:val="Hyperlink"/>
            <w:b w:val="0"/>
            <w:bCs/>
          </w:rPr>
          <w:t xml:space="preserve"> </w:t>
        </w:r>
        <w:proofErr w:type="spellStart"/>
        <w:r w:rsidR="00DB4887" w:rsidRPr="00334FBE">
          <w:rPr>
            <w:rStyle w:val="Hyperlink"/>
            <w:b w:val="0"/>
            <w:bCs/>
          </w:rPr>
          <w:t>quỹ</w:t>
        </w:r>
        <w:proofErr w:type="spellEnd"/>
        <w:r w:rsidR="00DB4887" w:rsidRPr="00334FBE">
          <w:rPr>
            <w:rStyle w:val="Hyperlink"/>
            <w:b w:val="0"/>
            <w:bCs/>
          </w:rPr>
          <w:t xml:space="preserve"> </w:t>
        </w:r>
        <w:proofErr w:type="spellStart"/>
        <w:r w:rsidR="00DB4887" w:rsidRPr="00334FBE">
          <w:rPr>
            <w:rStyle w:val="Hyperlink"/>
            <w:b w:val="0"/>
            <w:bCs/>
          </w:rPr>
          <w:t>ngày</w:t>
        </w:r>
        <w:proofErr w:type="spellEnd"/>
        <w:r w:rsidR="00DB4887" w:rsidRPr="00334FBE">
          <w:rPr>
            <w:rStyle w:val="Hyperlink"/>
            <w:b w:val="0"/>
            <w:bCs/>
          </w:rPr>
          <w:t xml:space="preserve"> 31/03/2023 (dragoncapital.com.vn)</w:t>
        </w:r>
      </w:hyperlink>
      <w:r w:rsidR="00DB4887" w:rsidRPr="00334FBE">
        <w:rPr>
          <w:b w:val="0"/>
          <w:bCs/>
        </w:rPr>
        <w:t>.</w:t>
      </w:r>
    </w:p>
    <w:p w14:paraId="7C7DD60A" w14:textId="3EAD1524" w:rsidR="00650CE6" w:rsidRPr="00334FBE" w:rsidRDefault="001070A5" w:rsidP="002B0AB2">
      <w:pPr>
        <w:pStyle w:val="ListParagraph"/>
        <w:tabs>
          <w:tab w:val="left" w:pos="270"/>
          <w:tab w:val="left" w:pos="1134"/>
        </w:tabs>
        <w:spacing w:before="120" w:line="276" w:lineRule="auto"/>
        <w:ind w:left="0"/>
        <w:contextualSpacing w:val="0"/>
        <w:jc w:val="both"/>
        <w:rPr>
          <w:b w:val="0"/>
          <w:bCs/>
        </w:rPr>
      </w:pPr>
      <w:r w:rsidRPr="00E4394F">
        <w:rPr>
          <w:b w:val="0"/>
          <w:bCs/>
        </w:rPr>
        <w:t xml:space="preserve">h) </w:t>
      </w:r>
      <w:proofErr w:type="spellStart"/>
      <w:r w:rsidR="00650CE6" w:rsidRPr="00E4394F">
        <w:rPr>
          <w:b w:val="0"/>
          <w:bCs/>
        </w:rPr>
        <w:t>Nội</w:t>
      </w:r>
      <w:proofErr w:type="spellEnd"/>
      <w:r w:rsidR="00650CE6" w:rsidRPr="00E4394F">
        <w:rPr>
          <w:b w:val="0"/>
          <w:bCs/>
        </w:rPr>
        <w:t xml:space="preserve"> </w:t>
      </w:r>
      <w:proofErr w:type="spellStart"/>
      <w:r w:rsidR="00650CE6" w:rsidRPr="00E4394F">
        <w:rPr>
          <w:b w:val="0"/>
          <w:bCs/>
        </w:rPr>
        <w:t>dung</w:t>
      </w:r>
      <w:proofErr w:type="spellEnd"/>
      <w:r w:rsidR="00650CE6" w:rsidRPr="00E4394F">
        <w:rPr>
          <w:b w:val="0"/>
          <w:bCs/>
        </w:rPr>
        <w:t xml:space="preserve"> </w:t>
      </w:r>
      <w:proofErr w:type="spellStart"/>
      <w:r w:rsidR="00650CE6" w:rsidRPr="00E4394F">
        <w:rPr>
          <w:b w:val="0"/>
          <w:bCs/>
        </w:rPr>
        <w:t>Nghị</w:t>
      </w:r>
      <w:proofErr w:type="spellEnd"/>
      <w:r w:rsidR="00650CE6" w:rsidRPr="00E4394F">
        <w:rPr>
          <w:b w:val="0"/>
          <w:bCs/>
        </w:rPr>
        <w:t xml:space="preserve"> </w:t>
      </w:r>
      <w:proofErr w:type="spellStart"/>
      <w:r w:rsidR="00650CE6" w:rsidRPr="00E4394F">
        <w:rPr>
          <w:b w:val="0"/>
          <w:bCs/>
        </w:rPr>
        <w:t>quyết</w:t>
      </w:r>
      <w:proofErr w:type="spellEnd"/>
      <w:r w:rsidR="00650CE6" w:rsidRPr="00E4394F">
        <w:rPr>
          <w:b w:val="0"/>
          <w:bCs/>
        </w:rPr>
        <w:t xml:space="preserve"> </w:t>
      </w:r>
      <w:proofErr w:type="spellStart"/>
      <w:r w:rsidR="00650CE6" w:rsidRPr="00E4394F">
        <w:rPr>
          <w:b w:val="0"/>
          <w:bCs/>
        </w:rPr>
        <w:t>Đại</w:t>
      </w:r>
      <w:proofErr w:type="spellEnd"/>
      <w:r w:rsidR="00650CE6" w:rsidRPr="00E4394F">
        <w:rPr>
          <w:b w:val="0"/>
          <w:bCs/>
        </w:rPr>
        <w:t xml:space="preserve"> </w:t>
      </w:r>
      <w:proofErr w:type="spellStart"/>
      <w:r w:rsidR="00650CE6" w:rsidRPr="00E4394F">
        <w:rPr>
          <w:b w:val="0"/>
          <w:bCs/>
        </w:rPr>
        <w:t>hội</w:t>
      </w:r>
      <w:proofErr w:type="spellEnd"/>
      <w:r w:rsidR="00650CE6" w:rsidRPr="00E4394F">
        <w:rPr>
          <w:b w:val="0"/>
          <w:bCs/>
        </w:rPr>
        <w:t xml:space="preserve"> </w:t>
      </w:r>
      <w:proofErr w:type="spellStart"/>
      <w:r w:rsidR="00650CE6" w:rsidRPr="00E4394F">
        <w:rPr>
          <w:b w:val="0"/>
          <w:bCs/>
        </w:rPr>
        <w:t>nhà</w:t>
      </w:r>
      <w:proofErr w:type="spellEnd"/>
      <w:r w:rsidR="00650CE6" w:rsidRPr="00E4394F">
        <w:rPr>
          <w:b w:val="0"/>
          <w:bCs/>
        </w:rPr>
        <w:t xml:space="preserve"> </w:t>
      </w:r>
      <w:proofErr w:type="spellStart"/>
      <w:r w:rsidR="00650CE6" w:rsidRPr="00E4394F">
        <w:rPr>
          <w:b w:val="0"/>
          <w:bCs/>
        </w:rPr>
        <w:t>đầu</w:t>
      </w:r>
      <w:proofErr w:type="spellEnd"/>
      <w:r w:rsidR="00650CE6" w:rsidRPr="00E4394F">
        <w:rPr>
          <w:b w:val="0"/>
          <w:bCs/>
        </w:rPr>
        <w:t xml:space="preserve"> </w:t>
      </w:r>
      <w:proofErr w:type="spellStart"/>
      <w:r w:rsidR="00650CE6" w:rsidRPr="00E4394F">
        <w:rPr>
          <w:b w:val="0"/>
          <w:bCs/>
        </w:rPr>
        <w:t>tư</w:t>
      </w:r>
      <w:proofErr w:type="spellEnd"/>
      <w:r w:rsidR="00650CE6" w:rsidRPr="00E4394F">
        <w:rPr>
          <w:b w:val="0"/>
          <w:bCs/>
        </w:rPr>
        <w:t xml:space="preserve"> </w:t>
      </w:r>
      <w:proofErr w:type="spellStart"/>
      <w:r w:rsidR="00650CE6" w:rsidRPr="00E4394F">
        <w:rPr>
          <w:b w:val="0"/>
          <w:bCs/>
        </w:rPr>
        <w:t>trong</w:t>
      </w:r>
      <w:proofErr w:type="spellEnd"/>
      <w:r w:rsidR="00650CE6" w:rsidRPr="00E4394F">
        <w:rPr>
          <w:b w:val="0"/>
          <w:bCs/>
        </w:rPr>
        <w:t xml:space="preserve"> </w:t>
      </w:r>
      <w:proofErr w:type="spellStart"/>
      <w:r w:rsidR="00650CE6" w:rsidRPr="00E4394F">
        <w:rPr>
          <w:b w:val="0"/>
          <w:bCs/>
        </w:rPr>
        <w:t>kỳ</w:t>
      </w:r>
      <w:proofErr w:type="spellEnd"/>
      <w:r w:rsidR="00650CE6" w:rsidRPr="00E4394F">
        <w:rPr>
          <w:b w:val="0"/>
          <w:bCs/>
        </w:rPr>
        <w:t xml:space="preserve"> </w:t>
      </w:r>
      <w:proofErr w:type="spellStart"/>
      <w:r w:rsidR="00650CE6" w:rsidRPr="00E4394F">
        <w:rPr>
          <w:b w:val="0"/>
          <w:bCs/>
        </w:rPr>
        <w:t>báo</w:t>
      </w:r>
      <w:proofErr w:type="spellEnd"/>
      <w:r w:rsidR="00650CE6" w:rsidRPr="00E4394F">
        <w:rPr>
          <w:b w:val="0"/>
          <w:bCs/>
        </w:rPr>
        <w:t xml:space="preserve"> </w:t>
      </w:r>
      <w:proofErr w:type="spellStart"/>
      <w:r w:rsidR="00650CE6" w:rsidRPr="00E4394F">
        <w:rPr>
          <w:b w:val="0"/>
          <w:bCs/>
        </w:rPr>
        <w:t>cáo</w:t>
      </w:r>
      <w:proofErr w:type="spellEnd"/>
      <w:r w:rsidR="00650CE6" w:rsidRPr="00E4394F">
        <w:rPr>
          <w:b w:val="0"/>
          <w:bCs/>
        </w:rPr>
        <w:t xml:space="preserve">: </w:t>
      </w:r>
      <w:proofErr w:type="spellStart"/>
      <w:r w:rsidR="002B0AB2" w:rsidRPr="00E4394F">
        <w:rPr>
          <w:b w:val="0"/>
          <w:bCs/>
        </w:rPr>
        <w:t>Nghị</w:t>
      </w:r>
      <w:proofErr w:type="spellEnd"/>
      <w:r w:rsidR="002B0AB2" w:rsidRPr="00E4394F">
        <w:rPr>
          <w:b w:val="0"/>
          <w:bCs/>
        </w:rPr>
        <w:t xml:space="preserve"> </w:t>
      </w:r>
      <w:proofErr w:type="spellStart"/>
      <w:r w:rsidR="002B0AB2" w:rsidRPr="00E4394F">
        <w:rPr>
          <w:b w:val="0"/>
          <w:bCs/>
        </w:rPr>
        <w:t>quyết</w:t>
      </w:r>
      <w:proofErr w:type="spellEnd"/>
      <w:r w:rsidR="002B0AB2" w:rsidRPr="00E4394F">
        <w:rPr>
          <w:b w:val="0"/>
          <w:bCs/>
        </w:rPr>
        <w:t xml:space="preserve"> </w:t>
      </w:r>
      <w:proofErr w:type="spellStart"/>
      <w:r w:rsidR="002B0AB2" w:rsidRPr="00E4394F">
        <w:rPr>
          <w:b w:val="0"/>
          <w:bCs/>
        </w:rPr>
        <w:t>Đại</w:t>
      </w:r>
      <w:proofErr w:type="spellEnd"/>
      <w:r w:rsidR="002B0AB2" w:rsidRPr="00E4394F">
        <w:rPr>
          <w:b w:val="0"/>
          <w:bCs/>
        </w:rPr>
        <w:t xml:space="preserve"> </w:t>
      </w:r>
      <w:proofErr w:type="spellStart"/>
      <w:r w:rsidR="002B0AB2" w:rsidRPr="00E4394F">
        <w:rPr>
          <w:b w:val="0"/>
          <w:bCs/>
        </w:rPr>
        <w:t>hội</w:t>
      </w:r>
      <w:proofErr w:type="spellEnd"/>
      <w:r w:rsidR="002B0AB2" w:rsidRPr="00E4394F">
        <w:rPr>
          <w:b w:val="0"/>
          <w:bCs/>
        </w:rPr>
        <w:t xml:space="preserve"> </w:t>
      </w:r>
      <w:proofErr w:type="spellStart"/>
      <w:r w:rsidR="002B0AB2" w:rsidRPr="00E4394F">
        <w:rPr>
          <w:b w:val="0"/>
          <w:bCs/>
        </w:rPr>
        <w:t>Nhà</w:t>
      </w:r>
      <w:proofErr w:type="spellEnd"/>
      <w:r w:rsidR="002B0AB2" w:rsidRPr="00E4394F">
        <w:rPr>
          <w:b w:val="0"/>
          <w:bCs/>
        </w:rPr>
        <w:t xml:space="preserve"> </w:t>
      </w:r>
      <w:proofErr w:type="spellStart"/>
      <w:r w:rsidR="002B0AB2" w:rsidRPr="00E4394F">
        <w:rPr>
          <w:b w:val="0"/>
          <w:bCs/>
        </w:rPr>
        <w:t>đầu</w:t>
      </w:r>
      <w:proofErr w:type="spellEnd"/>
      <w:r w:rsidR="002B0AB2" w:rsidRPr="00E4394F">
        <w:rPr>
          <w:b w:val="0"/>
          <w:bCs/>
        </w:rPr>
        <w:t xml:space="preserve"> </w:t>
      </w:r>
      <w:proofErr w:type="spellStart"/>
      <w:r w:rsidR="002B0AB2" w:rsidRPr="00E4394F">
        <w:rPr>
          <w:b w:val="0"/>
          <w:bCs/>
        </w:rPr>
        <w:t>tư</w:t>
      </w:r>
      <w:proofErr w:type="spellEnd"/>
      <w:r w:rsidR="002B0AB2" w:rsidRPr="00E4394F">
        <w:rPr>
          <w:b w:val="0"/>
          <w:bCs/>
        </w:rPr>
        <w:t xml:space="preserve"> </w:t>
      </w:r>
      <w:proofErr w:type="spellStart"/>
      <w:r w:rsidR="002B0AB2" w:rsidRPr="00E4394F">
        <w:rPr>
          <w:b w:val="0"/>
          <w:bCs/>
        </w:rPr>
        <w:t>thường</w:t>
      </w:r>
      <w:proofErr w:type="spellEnd"/>
      <w:r w:rsidR="002B0AB2" w:rsidRPr="00E4394F">
        <w:rPr>
          <w:b w:val="0"/>
          <w:bCs/>
        </w:rPr>
        <w:t xml:space="preserve"> </w:t>
      </w:r>
      <w:proofErr w:type="spellStart"/>
      <w:r w:rsidR="002B0AB2" w:rsidRPr="00E4394F">
        <w:rPr>
          <w:b w:val="0"/>
          <w:bCs/>
        </w:rPr>
        <w:t>niên</w:t>
      </w:r>
      <w:proofErr w:type="spellEnd"/>
      <w:r w:rsidR="002B0AB2" w:rsidRPr="00E4394F">
        <w:rPr>
          <w:b w:val="0"/>
          <w:bCs/>
        </w:rPr>
        <w:t xml:space="preserve"> </w:t>
      </w:r>
      <w:proofErr w:type="spellStart"/>
      <w:r w:rsidR="002B0AB2" w:rsidRPr="00E4394F">
        <w:rPr>
          <w:b w:val="0"/>
          <w:bCs/>
        </w:rPr>
        <w:t>năm</w:t>
      </w:r>
      <w:proofErr w:type="spellEnd"/>
      <w:r w:rsidR="002B0AB2" w:rsidRPr="00E4394F">
        <w:rPr>
          <w:b w:val="0"/>
          <w:bCs/>
        </w:rPr>
        <w:t xml:space="preserve"> </w:t>
      </w:r>
      <w:proofErr w:type="spellStart"/>
      <w:r w:rsidR="002B0AB2" w:rsidRPr="00E4394F">
        <w:rPr>
          <w:b w:val="0"/>
          <w:bCs/>
        </w:rPr>
        <w:t>tài</w:t>
      </w:r>
      <w:proofErr w:type="spellEnd"/>
      <w:r w:rsidR="002B0AB2" w:rsidRPr="00E4394F">
        <w:rPr>
          <w:b w:val="0"/>
          <w:bCs/>
        </w:rPr>
        <w:t xml:space="preserve"> </w:t>
      </w:r>
      <w:proofErr w:type="spellStart"/>
      <w:r w:rsidR="002B0AB2" w:rsidRPr="00E4394F">
        <w:rPr>
          <w:b w:val="0"/>
          <w:bCs/>
        </w:rPr>
        <w:t>chính</w:t>
      </w:r>
      <w:proofErr w:type="spellEnd"/>
      <w:r w:rsidR="002B0AB2" w:rsidRPr="00E4394F">
        <w:rPr>
          <w:b w:val="0"/>
          <w:bCs/>
        </w:rPr>
        <w:t xml:space="preserve"> 202</w:t>
      </w:r>
      <w:r w:rsidR="002B0AB2">
        <w:rPr>
          <w:b w:val="0"/>
          <w:bCs/>
        </w:rPr>
        <w:t>2</w:t>
      </w:r>
      <w:r w:rsidR="002B0AB2" w:rsidRPr="00E4394F">
        <w:rPr>
          <w:b w:val="0"/>
          <w:bCs/>
        </w:rPr>
        <w:t xml:space="preserve"> </w:t>
      </w:r>
      <w:proofErr w:type="spellStart"/>
      <w:r w:rsidR="002B0AB2" w:rsidRPr="00E4394F">
        <w:rPr>
          <w:b w:val="0"/>
          <w:bCs/>
        </w:rPr>
        <w:t>của</w:t>
      </w:r>
      <w:proofErr w:type="spellEnd"/>
      <w:r w:rsidR="002B0AB2" w:rsidRPr="00E4394F">
        <w:rPr>
          <w:b w:val="0"/>
          <w:bCs/>
        </w:rPr>
        <w:t xml:space="preserve"> </w:t>
      </w:r>
      <w:proofErr w:type="spellStart"/>
      <w:r w:rsidR="002B0AB2" w:rsidRPr="00E4394F">
        <w:rPr>
          <w:b w:val="0"/>
          <w:bCs/>
        </w:rPr>
        <w:t>Quỹ</w:t>
      </w:r>
      <w:proofErr w:type="spellEnd"/>
      <w:r w:rsidR="002B0AB2" w:rsidRPr="00E4394F">
        <w:rPr>
          <w:b w:val="0"/>
          <w:bCs/>
        </w:rPr>
        <w:t xml:space="preserve"> </w:t>
      </w:r>
      <w:proofErr w:type="spellStart"/>
      <w:r w:rsidR="002B0AB2" w:rsidRPr="00E4394F">
        <w:rPr>
          <w:b w:val="0"/>
          <w:bCs/>
        </w:rPr>
        <w:t>Đầu</w:t>
      </w:r>
      <w:proofErr w:type="spellEnd"/>
      <w:r w:rsidR="002B0AB2" w:rsidRPr="00E4394F">
        <w:rPr>
          <w:b w:val="0"/>
          <w:bCs/>
        </w:rPr>
        <w:t xml:space="preserve"> </w:t>
      </w:r>
      <w:proofErr w:type="spellStart"/>
      <w:r w:rsidR="002B0AB2" w:rsidRPr="00E4394F">
        <w:rPr>
          <w:b w:val="0"/>
          <w:bCs/>
        </w:rPr>
        <w:t>tư</w:t>
      </w:r>
      <w:proofErr w:type="spellEnd"/>
      <w:r w:rsidR="002B0AB2" w:rsidRPr="00E4394F">
        <w:rPr>
          <w:b w:val="0"/>
          <w:bCs/>
        </w:rPr>
        <w:t xml:space="preserve"> </w:t>
      </w:r>
      <w:proofErr w:type="spellStart"/>
      <w:r w:rsidR="002B0AB2" w:rsidRPr="00E4394F">
        <w:rPr>
          <w:b w:val="0"/>
          <w:bCs/>
        </w:rPr>
        <w:t>Cổ</w:t>
      </w:r>
      <w:proofErr w:type="spellEnd"/>
      <w:r w:rsidR="002B0AB2" w:rsidRPr="00E4394F">
        <w:rPr>
          <w:b w:val="0"/>
          <w:bCs/>
        </w:rPr>
        <w:t xml:space="preserve"> </w:t>
      </w:r>
      <w:proofErr w:type="spellStart"/>
      <w:r w:rsidR="002B0AB2" w:rsidRPr="00E4394F">
        <w:rPr>
          <w:b w:val="0"/>
          <w:bCs/>
        </w:rPr>
        <w:t>phiếu</w:t>
      </w:r>
      <w:proofErr w:type="spellEnd"/>
      <w:r w:rsidR="002B0AB2" w:rsidRPr="00E4394F">
        <w:rPr>
          <w:b w:val="0"/>
          <w:bCs/>
        </w:rPr>
        <w:t xml:space="preserve"> </w:t>
      </w:r>
      <w:proofErr w:type="spellStart"/>
      <w:r w:rsidR="002B0AB2" w:rsidRPr="00E4394F">
        <w:rPr>
          <w:b w:val="0"/>
          <w:bCs/>
        </w:rPr>
        <w:t>Việt</w:t>
      </w:r>
      <w:proofErr w:type="spellEnd"/>
      <w:r w:rsidR="002B0AB2" w:rsidRPr="00E4394F">
        <w:rPr>
          <w:b w:val="0"/>
          <w:bCs/>
        </w:rPr>
        <w:t xml:space="preserve"> Nam </w:t>
      </w:r>
      <w:proofErr w:type="spellStart"/>
      <w:r w:rsidR="002B0AB2" w:rsidRPr="00E4394F">
        <w:rPr>
          <w:b w:val="0"/>
          <w:bCs/>
        </w:rPr>
        <w:t>Chọn</w:t>
      </w:r>
      <w:proofErr w:type="spellEnd"/>
      <w:r w:rsidR="002B0AB2" w:rsidRPr="00E4394F">
        <w:rPr>
          <w:b w:val="0"/>
          <w:bCs/>
        </w:rPr>
        <w:t xml:space="preserve"> </w:t>
      </w:r>
      <w:proofErr w:type="spellStart"/>
      <w:r w:rsidR="002B0AB2" w:rsidRPr="00E4394F">
        <w:rPr>
          <w:b w:val="0"/>
          <w:bCs/>
        </w:rPr>
        <w:t>lọc</w:t>
      </w:r>
      <w:proofErr w:type="spellEnd"/>
      <w:r w:rsidR="002B0AB2" w:rsidRPr="00E4394F">
        <w:rPr>
          <w:b w:val="0"/>
          <w:bCs/>
        </w:rPr>
        <w:t xml:space="preserve"> </w:t>
      </w:r>
      <w:proofErr w:type="spellStart"/>
      <w:r w:rsidR="002B0AB2" w:rsidRPr="00E4394F">
        <w:rPr>
          <w:b w:val="0"/>
          <w:bCs/>
        </w:rPr>
        <w:t>ngày</w:t>
      </w:r>
      <w:proofErr w:type="spellEnd"/>
      <w:r w:rsidR="002B0AB2" w:rsidRPr="00E4394F">
        <w:rPr>
          <w:b w:val="0"/>
          <w:bCs/>
        </w:rPr>
        <w:t xml:space="preserve"> </w:t>
      </w:r>
      <w:r w:rsidR="002B0AB2">
        <w:rPr>
          <w:b w:val="0"/>
          <w:lang w:val="en-US"/>
        </w:rPr>
        <w:t>31/03</w:t>
      </w:r>
      <w:r w:rsidR="002B0AB2" w:rsidRPr="00FC4F13">
        <w:rPr>
          <w:b w:val="0"/>
          <w:lang w:val="en-US"/>
        </w:rPr>
        <w:t>/202</w:t>
      </w:r>
      <w:r w:rsidR="002B0AB2">
        <w:rPr>
          <w:b w:val="0"/>
          <w:lang w:val="en-US"/>
        </w:rPr>
        <w:t>3</w:t>
      </w:r>
      <w:r w:rsidR="002B0AB2" w:rsidRPr="00FC4F13">
        <w:rPr>
          <w:b w:val="0"/>
          <w:lang w:val="en-US"/>
        </w:rPr>
        <w:t xml:space="preserve"> </w:t>
      </w:r>
      <w:proofErr w:type="spellStart"/>
      <w:r w:rsidR="002B0AB2" w:rsidRPr="00E4394F">
        <w:rPr>
          <w:b w:val="0"/>
          <w:bCs/>
        </w:rPr>
        <w:lastRenderedPageBreak/>
        <w:t>thông</w:t>
      </w:r>
      <w:proofErr w:type="spellEnd"/>
      <w:r w:rsidR="002B0AB2" w:rsidRPr="00E4394F">
        <w:rPr>
          <w:b w:val="0"/>
          <w:bCs/>
        </w:rPr>
        <w:t xml:space="preserve"> qua </w:t>
      </w:r>
      <w:proofErr w:type="spellStart"/>
      <w:r w:rsidR="002B0AB2" w:rsidRPr="00E4394F">
        <w:rPr>
          <w:b w:val="0"/>
          <w:bCs/>
        </w:rPr>
        <w:t>theo</w:t>
      </w:r>
      <w:proofErr w:type="spellEnd"/>
      <w:r w:rsidR="002B0AB2" w:rsidRPr="00E4394F">
        <w:rPr>
          <w:b w:val="0"/>
          <w:bCs/>
        </w:rPr>
        <w:t xml:space="preserve"> </w:t>
      </w:r>
      <w:proofErr w:type="spellStart"/>
      <w:r w:rsidR="002B0AB2" w:rsidRPr="00E4394F">
        <w:rPr>
          <w:b w:val="0"/>
          <w:bCs/>
        </w:rPr>
        <w:t>hình</w:t>
      </w:r>
      <w:proofErr w:type="spellEnd"/>
      <w:r w:rsidR="002B0AB2" w:rsidRPr="00E4394F">
        <w:rPr>
          <w:b w:val="0"/>
          <w:bCs/>
        </w:rPr>
        <w:t xml:space="preserve"> </w:t>
      </w:r>
      <w:proofErr w:type="spellStart"/>
      <w:r w:rsidR="002B0AB2" w:rsidRPr="00E4394F">
        <w:rPr>
          <w:b w:val="0"/>
          <w:bCs/>
        </w:rPr>
        <w:t>thức</w:t>
      </w:r>
      <w:proofErr w:type="spellEnd"/>
      <w:r w:rsidR="002B0AB2" w:rsidRPr="00E4394F">
        <w:rPr>
          <w:b w:val="0"/>
          <w:bCs/>
        </w:rPr>
        <w:t xml:space="preserve"> </w:t>
      </w:r>
      <w:proofErr w:type="spellStart"/>
      <w:r w:rsidR="002B0AB2" w:rsidRPr="00E4394F">
        <w:rPr>
          <w:b w:val="0"/>
          <w:bCs/>
        </w:rPr>
        <w:t>lấy</w:t>
      </w:r>
      <w:proofErr w:type="spellEnd"/>
      <w:r w:rsidR="002B0AB2" w:rsidRPr="00E4394F">
        <w:rPr>
          <w:b w:val="0"/>
          <w:bCs/>
        </w:rPr>
        <w:t xml:space="preserve"> ý </w:t>
      </w:r>
      <w:proofErr w:type="spellStart"/>
      <w:r w:rsidR="002B0AB2" w:rsidRPr="00E4394F">
        <w:rPr>
          <w:b w:val="0"/>
          <w:bCs/>
        </w:rPr>
        <w:t>kiến</w:t>
      </w:r>
      <w:proofErr w:type="spellEnd"/>
      <w:r w:rsidR="002B0AB2" w:rsidRPr="00E4394F">
        <w:rPr>
          <w:b w:val="0"/>
          <w:bCs/>
        </w:rPr>
        <w:t xml:space="preserve"> </w:t>
      </w:r>
      <w:proofErr w:type="spellStart"/>
      <w:r w:rsidR="002B0AB2" w:rsidRPr="00E4394F">
        <w:rPr>
          <w:b w:val="0"/>
          <w:bCs/>
        </w:rPr>
        <w:t>bằng</w:t>
      </w:r>
      <w:proofErr w:type="spellEnd"/>
      <w:r w:rsidR="002B0AB2" w:rsidRPr="00E4394F">
        <w:rPr>
          <w:b w:val="0"/>
          <w:bCs/>
        </w:rPr>
        <w:t xml:space="preserve"> </w:t>
      </w:r>
      <w:proofErr w:type="spellStart"/>
      <w:r w:rsidR="002B0AB2" w:rsidRPr="00E4394F">
        <w:rPr>
          <w:b w:val="0"/>
          <w:bCs/>
        </w:rPr>
        <w:t>văn</w:t>
      </w:r>
      <w:proofErr w:type="spellEnd"/>
      <w:r w:rsidR="002B0AB2" w:rsidRPr="00E4394F">
        <w:rPr>
          <w:b w:val="0"/>
          <w:bCs/>
        </w:rPr>
        <w:t xml:space="preserve"> </w:t>
      </w:r>
      <w:proofErr w:type="spellStart"/>
      <w:r w:rsidR="002B0AB2" w:rsidRPr="00E4394F">
        <w:rPr>
          <w:b w:val="0"/>
          <w:bCs/>
        </w:rPr>
        <w:t>bản</w:t>
      </w:r>
      <w:proofErr w:type="spellEnd"/>
      <w:r w:rsidR="002B0AB2" w:rsidRPr="00E4394F">
        <w:rPr>
          <w:b w:val="0"/>
          <w:bCs/>
        </w:rPr>
        <w:t xml:space="preserve"> </w:t>
      </w:r>
      <w:proofErr w:type="spellStart"/>
      <w:r w:rsidR="002B0AB2" w:rsidRPr="00E4394F">
        <w:rPr>
          <w:b w:val="0"/>
          <w:bCs/>
        </w:rPr>
        <w:t>đã</w:t>
      </w:r>
      <w:proofErr w:type="spellEnd"/>
      <w:r w:rsidR="002B0AB2" w:rsidRPr="00E4394F">
        <w:rPr>
          <w:b w:val="0"/>
          <w:bCs/>
        </w:rPr>
        <w:t xml:space="preserve"> </w:t>
      </w:r>
      <w:proofErr w:type="spellStart"/>
      <w:r w:rsidR="002B0AB2" w:rsidRPr="00E4394F">
        <w:rPr>
          <w:b w:val="0"/>
          <w:bCs/>
        </w:rPr>
        <w:t>thông</w:t>
      </w:r>
      <w:proofErr w:type="spellEnd"/>
      <w:r w:rsidR="002B0AB2" w:rsidRPr="00E4394F">
        <w:rPr>
          <w:b w:val="0"/>
          <w:bCs/>
        </w:rPr>
        <w:t xml:space="preserve"> qua </w:t>
      </w:r>
      <w:proofErr w:type="spellStart"/>
      <w:r w:rsidR="002B0AB2" w:rsidRPr="00E4394F">
        <w:rPr>
          <w:b w:val="0"/>
          <w:bCs/>
        </w:rPr>
        <w:t>nội</w:t>
      </w:r>
      <w:proofErr w:type="spellEnd"/>
      <w:r w:rsidR="002B0AB2" w:rsidRPr="00E4394F">
        <w:rPr>
          <w:b w:val="0"/>
          <w:bCs/>
        </w:rPr>
        <w:t xml:space="preserve"> </w:t>
      </w:r>
      <w:proofErr w:type="spellStart"/>
      <w:r w:rsidR="002B0AB2" w:rsidRPr="00E4394F">
        <w:rPr>
          <w:b w:val="0"/>
          <w:bCs/>
        </w:rPr>
        <w:t>dung</w:t>
      </w:r>
      <w:proofErr w:type="spellEnd"/>
      <w:r w:rsidR="002B0AB2" w:rsidRPr="00E4394F">
        <w:rPr>
          <w:b w:val="0"/>
          <w:bCs/>
        </w:rPr>
        <w:t xml:space="preserve"> </w:t>
      </w:r>
      <w:proofErr w:type="spellStart"/>
      <w:r w:rsidR="002B0AB2" w:rsidRPr="00E4394F">
        <w:rPr>
          <w:b w:val="0"/>
          <w:bCs/>
        </w:rPr>
        <w:t>kết</w:t>
      </w:r>
      <w:proofErr w:type="spellEnd"/>
      <w:r w:rsidR="002B0AB2" w:rsidRPr="00E4394F">
        <w:rPr>
          <w:b w:val="0"/>
          <w:bCs/>
        </w:rPr>
        <w:t xml:space="preserve"> </w:t>
      </w:r>
      <w:proofErr w:type="spellStart"/>
      <w:r w:rsidR="002B0AB2" w:rsidRPr="00E4394F">
        <w:rPr>
          <w:b w:val="0"/>
          <w:bCs/>
        </w:rPr>
        <w:t>quả</w:t>
      </w:r>
      <w:proofErr w:type="spellEnd"/>
      <w:r w:rsidR="002B0AB2" w:rsidRPr="00E4394F">
        <w:rPr>
          <w:b w:val="0"/>
          <w:bCs/>
        </w:rPr>
        <w:t xml:space="preserve"> </w:t>
      </w:r>
      <w:proofErr w:type="spellStart"/>
      <w:r w:rsidR="002B0AB2" w:rsidRPr="00E4394F">
        <w:rPr>
          <w:b w:val="0"/>
          <w:bCs/>
        </w:rPr>
        <w:t>hoạt</w:t>
      </w:r>
      <w:proofErr w:type="spellEnd"/>
      <w:r w:rsidR="002B0AB2" w:rsidRPr="00E4394F">
        <w:rPr>
          <w:b w:val="0"/>
          <w:bCs/>
        </w:rPr>
        <w:t xml:space="preserve"> </w:t>
      </w:r>
      <w:proofErr w:type="spellStart"/>
      <w:r w:rsidR="002B0AB2" w:rsidRPr="00E4394F">
        <w:rPr>
          <w:b w:val="0"/>
          <w:bCs/>
        </w:rPr>
        <w:t>động</w:t>
      </w:r>
      <w:proofErr w:type="spellEnd"/>
      <w:r w:rsidR="002B0AB2" w:rsidRPr="00E4394F">
        <w:rPr>
          <w:b w:val="0"/>
          <w:bCs/>
        </w:rPr>
        <w:t xml:space="preserve"> </w:t>
      </w:r>
      <w:proofErr w:type="spellStart"/>
      <w:r w:rsidR="002B0AB2" w:rsidRPr="00E4394F">
        <w:rPr>
          <w:b w:val="0"/>
          <w:bCs/>
        </w:rPr>
        <w:t>của</w:t>
      </w:r>
      <w:proofErr w:type="spellEnd"/>
      <w:r w:rsidR="002B0AB2" w:rsidRPr="00E4394F">
        <w:rPr>
          <w:b w:val="0"/>
          <w:bCs/>
        </w:rPr>
        <w:t xml:space="preserve"> </w:t>
      </w:r>
      <w:proofErr w:type="spellStart"/>
      <w:r w:rsidR="002B0AB2" w:rsidRPr="00E4394F">
        <w:rPr>
          <w:b w:val="0"/>
          <w:bCs/>
        </w:rPr>
        <w:t>Quỹ</w:t>
      </w:r>
      <w:proofErr w:type="spellEnd"/>
      <w:r w:rsidR="002B0AB2" w:rsidRPr="00E4394F">
        <w:rPr>
          <w:b w:val="0"/>
          <w:bCs/>
        </w:rPr>
        <w:t xml:space="preserve"> </w:t>
      </w:r>
      <w:proofErr w:type="spellStart"/>
      <w:r w:rsidR="002B0AB2" w:rsidRPr="00E4394F">
        <w:rPr>
          <w:b w:val="0"/>
          <w:bCs/>
        </w:rPr>
        <w:t>năm</w:t>
      </w:r>
      <w:proofErr w:type="spellEnd"/>
      <w:r w:rsidR="002B0AB2" w:rsidRPr="00E4394F">
        <w:rPr>
          <w:b w:val="0"/>
          <w:bCs/>
        </w:rPr>
        <w:t xml:space="preserve"> 202</w:t>
      </w:r>
      <w:r w:rsidR="002B0AB2">
        <w:rPr>
          <w:b w:val="0"/>
          <w:bCs/>
        </w:rPr>
        <w:t>2</w:t>
      </w:r>
      <w:r w:rsidR="002B0AB2" w:rsidRPr="00E4394F">
        <w:rPr>
          <w:b w:val="0"/>
          <w:bCs/>
        </w:rPr>
        <w:t xml:space="preserve">, </w:t>
      </w:r>
      <w:proofErr w:type="spellStart"/>
      <w:r w:rsidR="002B0AB2">
        <w:rPr>
          <w:b w:val="0"/>
          <w:bCs/>
        </w:rPr>
        <w:t>báo</w:t>
      </w:r>
      <w:proofErr w:type="spellEnd"/>
      <w:r w:rsidR="002B0AB2">
        <w:rPr>
          <w:b w:val="0"/>
          <w:bCs/>
        </w:rPr>
        <w:t xml:space="preserve"> </w:t>
      </w:r>
      <w:proofErr w:type="spellStart"/>
      <w:r w:rsidR="002B0AB2">
        <w:rPr>
          <w:b w:val="0"/>
          <w:bCs/>
        </w:rPr>
        <w:t>cáo</w:t>
      </w:r>
      <w:proofErr w:type="spellEnd"/>
      <w:r w:rsidR="002B0AB2">
        <w:rPr>
          <w:b w:val="0"/>
          <w:bCs/>
        </w:rPr>
        <w:t xml:space="preserve"> </w:t>
      </w:r>
      <w:proofErr w:type="spellStart"/>
      <w:r w:rsidR="002B0AB2">
        <w:rPr>
          <w:b w:val="0"/>
          <w:bCs/>
        </w:rPr>
        <w:t>tài</w:t>
      </w:r>
      <w:proofErr w:type="spellEnd"/>
      <w:r w:rsidR="002B0AB2">
        <w:rPr>
          <w:b w:val="0"/>
          <w:bCs/>
        </w:rPr>
        <w:t xml:space="preserve"> </w:t>
      </w:r>
      <w:proofErr w:type="spellStart"/>
      <w:r w:rsidR="002B0AB2">
        <w:rPr>
          <w:b w:val="0"/>
          <w:bCs/>
        </w:rPr>
        <w:t>chính</w:t>
      </w:r>
      <w:proofErr w:type="spellEnd"/>
      <w:r w:rsidR="002B0AB2">
        <w:rPr>
          <w:b w:val="0"/>
          <w:bCs/>
        </w:rPr>
        <w:t xml:space="preserve"> </w:t>
      </w:r>
      <w:proofErr w:type="spellStart"/>
      <w:r w:rsidR="002B0AB2">
        <w:rPr>
          <w:b w:val="0"/>
          <w:bCs/>
        </w:rPr>
        <w:t>đã</w:t>
      </w:r>
      <w:proofErr w:type="spellEnd"/>
      <w:r w:rsidR="002B0AB2">
        <w:rPr>
          <w:b w:val="0"/>
          <w:bCs/>
        </w:rPr>
        <w:t xml:space="preserve"> </w:t>
      </w:r>
      <w:proofErr w:type="spellStart"/>
      <w:r w:rsidR="002B0AB2">
        <w:rPr>
          <w:b w:val="0"/>
          <w:bCs/>
        </w:rPr>
        <w:t>kiểm</w:t>
      </w:r>
      <w:proofErr w:type="spellEnd"/>
      <w:r w:rsidR="002B0AB2">
        <w:rPr>
          <w:b w:val="0"/>
          <w:bCs/>
        </w:rPr>
        <w:t xml:space="preserve"> </w:t>
      </w:r>
      <w:proofErr w:type="spellStart"/>
      <w:r w:rsidR="002B0AB2">
        <w:rPr>
          <w:b w:val="0"/>
          <w:bCs/>
        </w:rPr>
        <w:t>toán</w:t>
      </w:r>
      <w:proofErr w:type="spellEnd"/>
      <w:r w:rsidR="002B0AB2">
        <w:rPr>
          <w:b w:val="0"/>
          <w:bCs/>
        </w:rPr>
        <w:t xml:space="preserve"> </w:t>
      </w:r>
      <w:proofErr w:type="spellStart"/>
      <w:r w:rsidR="002B0AB2">
        <w:rPr>
          <w:b w:val="0"/>
          <w:bCs/>
        </w:rPr>
        <w:t>của</w:t>
      </w:r>
      <w:proofErr w:type="spellEnd"/>
      <w:r w:rsidR="002B0AB2">
        <w:rPr>
          <w:b w:val="0"/>
          <w:bCs/>
        </w:rPr>
        <w:t xml:space="preserve"> </w:t>
      </w:r>
      <w:proofErr w:type="spellStart"/>
      <w:r w:rsidR="002B0AB2">
        <w:rPr>
          <w:b w:val="0"/>
          <w:bCs/>
        </w:rPr>
        <w:t>quỹ</w:t>
      </w:r>
      <w:proofErr w:type="spellEnd"/>
      <w:r w:rsidR="002B0AB2">
        <w:rPr>
          <w:b w:val="0"/>
          <w:bCs/>
        </w:rPr>
        <w:t xml:space="preserve"> </w:t>
      </w:r>
      <w:proofErr w:type="spellStart"/>
      <w:r w:rsidR="002B0AB2">
        <w:rPr>
          <w:b w:val="0"/>
          <w:bCs/>
        </w:rPr>
        <w:t>năm</w:t>
      </w:r>
      <w:proofErr w:type="spellEnd"/>
      <w:r w:rsidR="002B0AB2">
        <w:rPr>
          <w:b w:val="0"/>
          <w:bCs/>
        </w:rPr>
        <w:t xml:space="preserve"> 2022, </w:t>
      </w:r>
      <w:proofErr w:type="spellStart"/>
      <w:r w:rsidR="002B0AB2">
        <w:rPr>
          <w:b w:val="0"/>
          <w:bCs/>
        </w:rPr>
        <w:t>k</w:t>
      </w:r>
      <w:r w:rsidR="002B0AB2" w:rsidRPr="00E4394F">
        <w:rPr>
          <w:b w:val="0"/>
          <w:bCs/>
        </w:rPr>
        <w:t>ế</w:t>
      </w:r>
      <w:proofErr w:type="spellEnd"/>
      <w:r w:rsidR="002B0AB2" w:rsidRPr="00E4394F">
        <w:rPr>
          <w:b w:val="0"/>
          <w:bCs/>
        </w:rPr>
        <w:t xml:space="preserve"> </w:t>
      </w:r>
      <w:proofErr w:type="spellStart"/>
      <w:r w:rsidR="002B0AB2" w:rsidRPr="00E4394F">
        <w:rPr>
          <w:b w:val="0"/>
          <w:bCs/>
        </w:rPr>
        <w:t>hoạch</w:t>
      </w:r>
      <w:proofErr w:type="spellEnd"/>
      <w:r w:rsidR="002B0AB2" w:rsidRPr="00E4394F">
        <w:rPr>
          <w:b w:val="0"/>
          <w:bCs/>
        </w:rPr>
        <w:t xml:space="preserve"> </w:t>
      </w:r>
      <w:proofErr w:type="spellStart"/>
      <w:r w:rsidR="002B0AB2" w:rsidRPr="00E4394F">
        <w:rPr>
          <w:b w:val="0"/>
          <w:bCs/>
        </w:rPr>
        <w:t>hoạt</w:t>
      </w:r>
      <w:proofErr w:type="spellEnd"/>
      <w:r w:rsidR="002B0AB2" w:rsidRPr="00E4394F">
        <w:rPr>
          <w:b w:val="0"/>
          <w:bCs/>
        </w:rPr>
        <w:t xml:space="preserve"> </w:t>
      </w:r>
      <w:proofErr w:type="spellStart"/>
      <w:r w:rsidR="002B0AB2" w:rsidRPr="00E4394F">
        <w:rPr>
          <w:b w:val="0"/>
          <w:bCs/>
        </w:rPr>
        <w:t>động</w:t>
      </w:r>
      <w:proofErr w:type="spellEnd"/>
      <w:r w:rsidR="002B0AB2" w:rsidRPr="00E4394F">
        <w:rPr>
          <w:b w:val="0"/>
          <w:bCs/>
        </w:rPr>
        <w:t xml:space="preserve"> </w:t>
      </w:r>
      <w:proofErr w:type="spellStart"/>
      <w:r w:rsidR="002B0AB2" w:rsidRPr="00E4394F">
        <w:rPr>
          <w:b w:val="0"/>
          <w:bCs/>
        </w:rPr>
        <w:t>năm</w:t>
      </w:r>
      <w:proofErr w:type="spellEnd"/>
      <w:r w:rsidR="002B0AB2" w:rsidRPr="00E4394F">
        <w:rPr>
          <w:b w:val="0"/>
          <w:bCs/>
        </w:rPr>
        <w:t xml:space="preserve"> 202</w:t>
      </w:r>
      <w:r w:rsidR="002B0AB2">
        <w:rPr>
          <w:b w:val="0"/>
          <w:bCs/>
        </w:rPr>
        <w:t>3</w:t>
      </w:r>
      <w:r w:rsidR="002B0AB2" w:rsidRPr="00E4394F">
        <w:rPr>
          <w:b w:val="0"/>
          <w:bCs/>
        </w:rPr>
        <w:t xml:space="preserve">, </w:t>
      </w:r>
      <w:proofErr w:type="spellStart"/>
      <w:r w:rsidR="002B0AB2" w:rsidRPr="00E4394F">
        <w:rPr>
          <w:b w:val="0"/>
          <w:bCs/>
        </w:rPr>
        <w:t>lựa</w:t>
      </w:r>
      <w:proofErr w:type="spellEnd"/>
      <w:r w:rsidR="002B0AB2" w:rsidRPr="00E4394F">
        <w:rPr>
          <w:b w:val="0"/>
          <w:bCs/>
        </w:rPr>
        <w:t xml:space="preserve"> </w:t>
      </w:r>
      <w:proofErr w:type="spellStart"/>
      <w:r w:rsidR="002B0AB2" w:rsidRPr="00E4394F">
        <w:rPr>
          <w:b w:val="0"/>
          <w:bCs/>
        </w:rPr>
        <w:t>chọn</w:t>
      </w:r>
      <w:proofErr w:type="spellEnd"/>
      <w:r w:rsidR="002B0AB2" w:rsidRPr="00E4394F">
        <w:rPr>
          <w:b w:val="0"/>
          <w:bCs/>
        </w:rPr>
        <w:t xml:space="preserve"> </w:t>
      </w:r>
      <w:proofErr w:type="spellStart"/>
      <w:r w:rsidR="002B0AB2" w:rsidRPr="00E4394F">
        <w:rPr>
          <w:b w:val="0"/>
          <w:bCs/>
        </w:rPr>
        <w:t>công</w:t>
      </w:r>
      <w:proofErr w:type="spellEnd"/>
      <w:r w:rsidR="002B0AB2" w:rsidRPr="00E4394F">
        <w:rPr>
          <w:b w:val="0"/>
          <w:bCs/>
        </w:rPr>
        <w:t xml:space="preserve"> </w:t>
      </w:r>
      <w:proofErr w:type="spellStart"/>
      <w:r w:rsidR="002B0AB2" w:rsidRPr="00E4394F">
        <w:rPr>
          <w:b w:val="0"/>
          <w:bCs/>
        </w:rPr>
        <w:t>ty</w:t>
      </w:r>
      <w:proofErr w:type="spellEnd"/>
      <w:r w:rsidR="002B0AB2" w:rsidRPr="00E4394F">
        <w:rPr>
          <w:b w:val="0"/>
          <w:bCs/>
        </w:rPr>
        <w:t xml:space="preserve"> </w:t>
      </w:r>
      <w:proofErr w:type="spellStart"/>
      <w:r w:rsidR="002B0AB2" w:rsidRPr="00E4394F">
        <w:rPr>
          <w:b w:val="0"/>
          <w:bCs/>
        </w:rPr>
        <w:t>kiểm</w:t>
      </w:r>
      <w:proofErr w:type="spellEnd"/>
      <w:r w:rsidR="002B0AB2" w:rsidRPr="00E4394F">
        <w:rPr>
          <w:b w:val="0"/>
          <w:bCs/>
        </w:rPr>
        <w:t xml:space="preserve"> </w:t>
      </w:r>
      <w:proofErr w:type="spellStart"/>
      <w:r w:rsidR="002B0AB2" w:rsidRPr="00E4394F">
        <w:rPr>
          <w:b w:val="0"/>
          <w:bCs/>
        </w:rPr>
        <w:t>toán</w:t>
      </w:r>
      <w:proofErr w:type="spellEnd"/>
      <w:r w:rsidR="002B0AB2" w:rsidRPr="00E4394F">
        <w:rPr>
          <w:b w:val="0"/>
          <w:bCs/>
        </w:rPr>
        <w:t xml:space="preserve">, </w:t>
      </w:r>
      <w:proofErr w:type="spellStart"/>
      <w:r w:rsidR="002B0AB2" w:rsidRPr="00E4394F">
        <w:rPr>
          <w:b w:val="0"/>
          <w:bCs/>
        </w:rPr>
        <w:t>ngân</w:t>
      </w:r>
      <w:proofErr w:type="spellEnd"/>
      <w:r w:rsidR="002B0AB2" w:rsidRPr="00E4394F">
        <w:rPr>
          <w:b w:val="0"/>
          <w:bCs/>
        </w:rPr>
        <w:t xml:space="preserve"> </w:t>
      </w:r>
      <w:proofErr w:type="spellStart"/>
      <w:r w:rsidR="002B0AB2" w:rsidRPr="00E4394F">
        <w:rPr>
          <w:b w:val="0"/>
          <w:bCs/>
        </w:rPr>
        <w:t>sách</w:t>
      </w:r>
      <w:proofErr w:type="spellEnd"/>
      <w:r w:rsidR="002B0AB2" w:rsidRPr="00E4394F">
        <w:rPr>
          <w:b w:val="0"/>
          <w:bCs/>
        </w:rPr>
        <w:t xml:space="preserve"> ban </w:t>
      </w:r>
      <w:proofErr w:type="spellStart"/>
      <w:r w:rsidR="002B0AB2" w:rsidRPr="00E4394F">
        <w:rPr>
          <w:b w:val="0"/>
          <w:bCs/>
        </w:rPr>
        <w:t>đại</w:t>
      </w:r>
      <w:proofErr w:type="spellEnd"/>
      <w:r w:rsidR="002B0AB2" w:rsidRPr="00E4394F">
        <w:rPr>
          <w:b w:val="0"/>
          <w:bCs/>
        </w:rPr>
        <w:t xml:space="preserve"> </w:t>
      </w:r>
      <w:proofErr w:type="spellStart"/>
      <w:r w:rsidR="002B0AB2" w:rsidRPr="00E4394F">
        <w:rPr>
          <w:b w:val="0"/>
          <w:bCs/>
        </w:rPr>
        <w:t>diện</w:t>
      </w:r>
      <w:proofErr w:type="spellEnd"/>
      <w:r w:rsidR="002B0AB2" w:rsidRPr="00E4394F">
        <w:rPr>
          <w:b w:val="0"/>
          <w:bCs/>
        </w:rPr>
        <w:t xml:space="preserve"> </w:t>
      </w:r>
      <w:proofErr w:type="spellStart"/>
      <w:r w:rsidR="002B0AB2" w:rsidRPr="00E4394F">
        <w:rPr>
          <w:b w:val="0"/>
          <w:bCs/>
        </w:rPr>
        <w:t>quỹ</w:t>
      </w:r>
      <w:proofErr w:type="spellEnd"/>
      <w:r w:rsidR="002B0AB2" w:rsidRPr="00E4394F">
        <w:rPr>
          <w:b w:val="0"/>
          <w:bCs/>
        </w:rPr>
        <w:t xml:space="preserve">, </w:t>
      </w:r>
      <w:proofErr w:type="spellStart"/>
      <w:r w:rsidR="002B0AB2" w:rsidRPr="00E4394F">
        <w:rPr>
          <w:b w:val="0"/>
          <w:bCs/>
        </w:rPr>
        <w:t>những</w:t>
      </w:r>
      <w:proofErr w:type="spellEnd"/>
      <w:r w:rsidR="002B0AB2" w:rsidRPr="00E4394F">
        <w:rPr>
          <w:b w:val="0"/>
          <w:bCs/>
        </w:rPr>
        <w:t xml:space="preserve"> </w:t>
      </w:r>
      <w:proofErr w:type="spellStart"/>
      <w:r w:rsidR="002B0AB2" w:rsidRPr="00E4394F">
        <w:rPr>
          <w:b w:val="0"/>
          <w:bCs/>
        </w:rPr>
        <w:t>thay</w:t>
      </w:r>
      <w:proofErr w:type="spellEnd"/>
      <w:r w:rsidR="002B0AB2" w:rsidRPr="00E4394F">
        <w:rPr>
          <w:b w:val="0"/>
          <w:bCs/>
        </w:rPr>
        <w:t xml:space="preserve"> </w:t>
      </w:r>
      <w:proofErr w:type="spellStart"/>
      <w:r w:rsidR="002B0AB2" w:rsidRPr="00E4394F">
        <w:rPr>
          <w:b w:val="0"/>
          <w:bCs/>
        </w:rPr>
        <w:t>đổi</w:t>
      </w:r>
      <w:proofErr w:type="spellEnd"/>
      <w:r w:rsidR="002B0AB2" w:rsidRPr="00E4394F">
        <w:rPr>
          <w:b w:val="0"/>
          <w:bCs/>
        </w:rPr>
        <w:t xml:space="preserve"> </w:t>
      </w:r>
      <w:proofErr w:type="spellStart"/>
      <w:r w:rsidR="002B0AB2" w:rsidRPr="00E4394F">
        <w:rPr>
          <w:b w:val="0"/>
          <w:bCs/>
        </w:rPr>
        <w:t>về</w:t>
      </w:r>
      <w:proofErr w:type="spellEnd"/>
      <w:r w:rsidR="002B0AB2" w:rsidRPr="00E4394F">
        <w:rPr>
          <w:b w:val="0"/>
          <w:bCs/>
        </w:rPr>
        <w:t xml:space="preserve"> </w:t>
      </w:r>
      <w:proofErr w:type="spellStart"/>
      <w:r w:rsidR="002B0AB2" w:rsidRPr="00E4394F">
        <w:rPr>
          <w:b w:val="0"/>
          <w:bCs/>
        </w:rPr>
        <w:t>điều</w:t>
      </w:r>
      <w:proofErr w:type="spellEnd"/>
      <w:r w:rsidR="002B0AB2" w:rsidRPr="00E4394F">
        <w:rPr>
          <w:b w:val="0"/>
          <w:bCs/>
        </w:rPr>
        <w:t xml:space="preserve"> </w:t>
      </w:r>
      <w:proofErr w:type="spellStart"/>
      <w:r w:rsidR="002B0AB2" w:rsidRPr="00E4394F">
        <w:rPr>
          <w:b w:val="0"/>
          <w:bCs/>
        </w:rPr>
        <w:t>lệ</w:t>
      </w:r>
      <w:proofErr w:type="spellEnd"/>
      <w:r w:rsidR="002B0AB2" w:rsidRPr="00E4394F">
        <w:rPr>
          <w:b w:val="0"/>
          <w:bCs/>
        </w:rPr>
        <w:t xml:space="preserve"> </w:t>
      </w:r>
      <w:proofErr w:type="spellStart"/>
      <w:r w:rsidR="002B0AB2" w:rsidRPr="00E4394F">
        <w:rPr>
          <w:b w:val="0"/>
          <w:bCs/>
        </w:rPr>
        <w:t>quỹ</w:t>
      </w:r>
      <w:proofErr w:type="spellEnd"/>
      <w:r w:rsidR="002B0AB2" w:rsidRPr="00E4394F">
        <w:rPr>
          <w:b w:val="0"/>
          <w:bCs/>
        </w:rPr>
        <w:t xml:space="preserve"> </w:t>
      </w:r>
      <w:proofErr w:type="spellStart"/>
      <w:r w:rsidR="002B0AB2" w:rsidRPr="00E4394F">
        <w:rPr>
          <w:b w:val="0"/>
          <w:bCs/>
        </w:rPr>
        <w:t>phù</w:t>
      </w:r>
      <w:proofErr w:type="spellEnd"/>
      <w:r w:rsidR="002B0AB2" w:rsidRPr="00E4394F">
        <w:rPr>
          <w:b w:val="0"/>
          <w:bCs/>
        </w:rPr>
        <w:t xml:space="preserve"> </w:t>
      </w:r>
      <w:proofErr w:type="spellStart"/>
      <w:r w:rsidR="002B0AB2" w:rsidRPr="00E4394F">
        <w:rPr>
          <w:b w:val="0"/>
          <w:bCs/>
        </w:rPr>
        <w:t>hợp</w:t>
      </w:r>
      <w:proofErr w:type="spellEnd"/>
      <w:r w:rsidR="002B0AB2" w:rsidRPr="00E4394F">
        <w:rPr>
          <w:b w:val="0"/>
          <w:bCs/>
        </w:rPr>
        <w:t xml:space="preserve"> </w:t>
      </w:r>
      <w:proofErr w:type="spellStart"/>
      <w:r w:rsidR="002B0AB2" w:rsidRPr="00E4394F">
        <w:rPr>
          <w:b w:val="0"/>
          <w:bCs/>
        </w:rPr>
        <w:t>với</w:t>
      </w:r>
      <w:proofErr w:type="spellEnd"/>
      <w:r w:rsidR="002B0AB2" w:rsidRPr="00E4394F">
        <w:rPr>
          <w:b w:val="0"/>
          <w:bCs/>
        </w:rPr>
        <w:t xml:space="preserve"> </w:t>
      </w:r>
      <w:proofErr w:type="spellStart"/>
      <w:r w:rsidR="002B0AB2" w:rsidRPr="00E4394F">
        <w:rPr>
          <w:b w:val="0"/>
          <w:bCs/>
        </w:rPr>
        <w:t>pháp</w:t>
      </w:r>
      <w:proofErr w:type="spellEnd"/>
      <w:r w:rsidR="002B0AB2" w:rsidRPr="00E4394F">
        <w:rPr>
          <w:b w:val="0"/>
          <w:bCs/>
        </w:rPr>
        <w:t xml:space="preserve"> </w:t>
      </w:r>
      <w:proofErr w:type="spellStart"/>
      <w:r w:rsidR="002B0AB2" w:rsidRPr="00E4394F">
        <w:rPr>
          <w:b w:val="0"/>
          <w:bCs/>
        </w:rPr>
        <w:t>luật</w:t>
      </w:r>
      <w:proofErr w:type="spellEnd"/>
      <w:r w:rsidR="002B0AB2" w:rsidRPr="00E4394F">
        <w:rPr>
          <w:b w:val="0"/>
          <w:bCs/>
        </w:rPr>
        <w:t xml:space="preserve">… </w:t>
      </w:r>
      <w:proofErr w:type="spellStart"/>
      <w:r w:rsidR="002B0AB2" w:rsidRPr="00E4394F">
        <w:rPr>
          <w:b w:val="0"/>
          <w:bCs/>
        </w:rPr>
        <w:t>Nội</w:t>
      </w:r>
      <w:proofErr w:type="spellEnd"/>
      <w:r w:rsidR="002B0AB2" w:rsidRPr="00E4394F">
        <w:rPr>
          <w:b w:val="0"/>
          <w:bCs/>
        </w:rPr>
        <w:t xml:space="preserve"> </w:t>
      </w:r>
      <w:proofErr w:type="spellStart"/>
      <w:r w:rsidR="002B0AB2" w:rsidRPr="00E4394F">
        <w:rPr>
          <w:b w:val="0"/>
          <w:bCs/>
        </w:rPr>
        <w:t>dung</w:t>
      </w:r>
      <w:proofErr w:type="spellEnd"/>
      <w:r w:rsidR="002B0AB2" w:rsidRPr="00E4394F">
        <w:rPr>
          <w:b w:val="0"/>
          <w:bCs/>
        </w:rPr>
        <w:t xml:space="preserve"> chi </w:t>
      </w:r>
      <w:proofErr w:type="spellStart"/>
      <w:r w:rsidR="002B0AB2" w:rsidRPr="00E4394F">
        <w:rPr>
          <w:b w:val="0"/>
          <w:bCs/>
        </w:rPr>
        <w:t>tiết</w:t>
      </w:r>
      <w:proofErr w:type="spellEnd"/>
      <w:r w:rsidR="002B0AB2" w:rsidRPr="00E4394F">
        <w:rPr>
          <w:b w:val="0"/>
          <w:bCs/>
        </w:rPr>
        <w:t xml:space="preserve"> </w:t>
      </w:r>
      <w:proofErr w:type="spellStart"/>
      <w:r w:rsidR="002B0AB2" w:rsidRPr="00E4394F">
        <w:rPr>
          <w:b w:val="0"/>
          <w:bCs/>
          <w:sz w:val="22"/>
          <w:szCs w:val="22"/>
        </w:rPr>
        <w:t>được</w:t>
      </w:r>
      <w:proofErr w:type="spellEnd"/>
      <w:r w:rsidR="002B0AB2" w:rsidRPr="00E4394F">
        <w:rPr>
          <w:b w:val="0"/>
          <w:bCs/>
          <w:sz w:val="22"/>
          <w:szCs w:val="22"/>
        </w:rPr>
        <w:t xml:space="preserve"> </w:t>
      </w:r>
      <w:proofErr w:type="spellStart"/>
      <w:r w:rsidR="002B0AB2" w:rsidRPr="00E4394F">
        <w:rPr>
          <w:b w:val="0"/>
          <w:bCs/>
          <w:sz w:val="22"/>
          <w:szCs w:val="22"/>
        </w:rPr>
        <w:t>công</w:t>
      </w:r>
      <w:proofErr w:type="spellEnd"/>
      <w:r w:rsidR="002B0AB2" w:rsidRPr="00E4394F">
        <w:rPr>
          <w:b w:val="0"/>
          <w:bCs/>
          <w:sz w:val="22"/>
          <w:szCs w:val="22"/>
        </w:rPr>
        <w:t xml:space="preserve"> </w:t>
      </w:r>
      <w:proofErr w:type="spellStart"/>
      <w:r w:rsidR="002B0AB2" w:rsidRPr="00E4394F">
        <w:rPr>
          <w:b w:val="0"/>
          <w:bCs/>
          <w:sz w:val="22"/>
          <w:szCs w:val="22"/>
        </w:rPr>
        <w:t>bố</w:t>
      </w:r>
      <w:proofErr w:type="spellEnd"/>
      <w:r w:rsidR="002B0AB2" w:rsidRPr="00E4394F">
        <w:rPr>
          <w:b w:val="0"/>
          <w:bCs/>
          <w:sz w:val="22"/>
          <w:szCs w:val="22"/>
        </w:rPr>
        <w:t xml:space="preserve"> </w:t>
      </w:r>
      <w:proofErr w:type="spellStart"/>
      <w:r w:rsidR="002B0AB2" w:rsidRPr="00E4394F">
        <w:rPr>
          <w:b w:val="0"/>
          <w:bCs/>
          <w:sz w:val="22"/>
          <w:szCs w:val="22"/>
        </w:rPr>
        <w:t>trên</w:t>
      </w:r>
      <w:proofErr w:type="spellEnd"/>
      <w:r w:rsidR="002B0AB2" w:rsidRPr="00E4394F">
        <w:rPr>
          <w:b w:val="0"/>
          <w:bCs/>
          <w:sz w:val="22"/>
          <w:szCs w:val="22"/>
        </w:rPr>
        <w:t xml:space="preserve"> </w:t>
      </w:r>
      <w:proofErr w:type="spellStart"/>
      <w:r w:rsidR="002B0AB2" w:rsidRPr="00E4394F">
        <w:rPr>
          <w:b w:val="0"/>
          <w:bCs/>
          <w:sz w:val="22"/>
          <w:szCs w:val="22"/>
        </w:rPr>
        <w:t>trang</w:t>
      </w:r>
      <w:proofErr w:type="spellEnd"/>
      <w:r w:rsidR="002B0AB2" w:rsidRPr="00E4394F">
        <w:rPr>
          <w:b w:val="0"/>
          <w:bCs/>
          <w:sz w:val="22"/>
          <w:szCs w:val="22"/>
        </w:rPr>
        <w:t xml:space="preserve"> </w:t>
      </w:r>
      <w:proofErr w:type="spellStart"/>
      <w:r w:rsidR="002B0AB2" w:rsidRPr="00E4394F">
        <w:rPr>
          <w:b w:val="0"/>
          <w:bCs/>
          <w:sz w:val="22"/>
          <w:szCs w:val="22"/>
        </w:rPr>
        <w:t>thông</w:t>
      </w:r>
      <w:proofErr w:type="spellEnd"/>
      <w:r w:rsidR="002B0AB2" w:rsidRPr="00E4394F">
        <w:rPr>
          <w:b w:val="0"/>
          <w:bCs/>
          <w:sz w:val="22"/>
          <w:szCs w:val="22"/>
        </w:rPr>
        <w:t xml:space="preserve"> tin </w:t>
      </w:r>
      <w:proofErr w:type="spellStart"/>
      <w:r w:rsidR="002B0AB2" w:rsidRPr="00E4394F">
        <w:rPr>
          <w:b w:val="0"/>
          <w:bCs/>
          <w:sz w:val="22"/>
          <w:szCs w:val="22"/>
        </w:rPr>
        <w:t>điện</w:t>
      </w:r>
      <w:proofErr w:type="spellEnd"/>
      <w:r w:rsidR="002B0AB2" w:rsidRPr="00E4394F">
        <w:rPr>
          <w:b w:val="0"/>
          <w:bCs/>
          <w:sz w:val="22"/>
          <w:szCs w:val="22"/>
        </w:rPr>
        <w:t xml:space="preserve"> </w:t>
      </w:r>
      <w:proofErr w:type="spellStart"/>
      <w:r w:rsidR="002B0AB2" w:rsidRPr="00E4394F">
        <w:rPr>
          <w:b w:val="0"/>
          <w:bCs/>
          <w:sz w:val="22"/>
          <w:szCs w:val="22"/>
        </w:rPr>
        <w:t>tử</w:t>
      </w:r>
      <w:proofErr w:type="spellEnd"/>
      <w:r w:rsidR="002B0AB2" w:rsidRPr="00E4394F">
        <w:rPr>
          <w:b w:val="0"/>
          <w:bCs/>
          <w:sz w:val="22"/>
          <w:szCs w:val="22"/>
        </w:rPr>
        <w:t xml:space="preserve"> </w:t>
      </w:r>
      <w:proofErr w:type="spellStart"/>
      <w:r w:rsidR="002B0AB2" w:rsidRPr="00E4394F">
        <w:rPr>
          <w:b w:val="0"/>
          <w:bCs/>
          <w:sz w:val="22"/>
          <w:szCs w:val="22"/>
        </w:rPr>
        <w:t>của</w:t>
      </w:r>
      <w:proofErr w:type="spellEnd"/>
      <w:r w:rsidR="002B0AB2" w:rsidRPr="00E4394F">
        <w:rPr>
          <w:b w:val="0"/>
          <w:bCs/>
          <w:sz w:val="22"/>
          <w:szCs w:val="22"/>
        </w:rPr>
        <w:t xml:space="preserve"> </w:t>
      </w:r>
      <w:proofErr w:type="spellStart"/>
      <w:r w:rsidR="002B0AB2" w:rsidRPr="00E4394F">
        <w:rPr>
          <w:b w:val="0"/>
          <w:bCs/>
          <w:sz w:val="22"/>
          <w:szCs w:val="22"/>
        </w:rPr>
        <w:t>quỹ</w:t>
      </w:r>
      <w:proofErr w:type="spellEnd"/>
      <w:r w:rsidR="002B0AB2" w:rsidRPr="00E4394F">
        <w:rPr>
          <w:b w:val="0"/>
          <w:bCs/>
          <w:sz w:val="22"/>
          <w:szCs w:val="22"/>
        </w:rPr>
        <w:t>/</w:t>
      </w:r>
      <w:proofErr w:type="spellStart"/>
      <w:r w:rsidR="002B0AB2" w:rsidRPr="00E4394F">
        <w:rPr>
          <w:b w:val="0"/>
          <w:bCs/>
          <w:sz w:val="22"/>
          <w:szCs w:val="22"/>
        </w:rPr>
        <w:t>công</w:t>
      </w:r>
      <w:proofErr w:type="spellEnd"/>
      <w:r w:rsidR="002B0AB2" w:rsidRPr="00E4394F">
        <w:rPr>
          <w:b w:val="0"/>
          <w:bCs/>
          <w:sz w:val="22"/>
          <w:szCs w:val="22"/>
        </w:rPr>
        <w:t xml:space="preserve"> </w:t>
      </w:r>
      <w:proofErr w:type="spellStart"/>
      <w:r w:rsidR="002B0AB2" w:rsidRPr="00E4394F">
        <w:rPr>
          <w:b w:val="0"/>
          <w:bCs/>
          <w:sz w:val="22"/>
          <w:szCs w:val="22"/>
        </w:rPr>
        <w:t>ty</w:t>
      </w:r>
      <w:proofErr w:type="spellEnd"/>
      <w:r w:rsidR="002B0AB2" w:rsidRPr="00E4394F">
        <w:rPr>
          <w:b w:val="0"/>
          <w:bCs/>
          <w:sz w:val="22"/>
          <w:szCs w:val="22"/>
        </w:rPr>
        <w:t xml:space="preserve"> </w:t>
      </w:r>
      <w:proofErr w:type="spellStart"/>
      <w:r w:rsidR="002B0AB2" w:rsidRPr="00E4394F">
        <w:rPr>
          <w:b w:val="0"/>
          <w:bCs/>
          <w:sz w:val="22"/>
          <w:szCs w:val="22"/>
        </w:rPr>
        <w:t>quản</w:t>
      </w:r>
      <w:proofErr w:type="spellEnd"/>
      <w:r w:rsidR="002B0AB2" w:rsidRPr="00E4394F">
        <w:rPr>
          <w:b w:val="0"/>
          <w:bCs/>
          <w:sz w:val="22"/>
          <w:szCs w:val="22"/>
        </w:rPr>
        <w:t xml:space="preserve"> </w:t>
      </w:r>
      <w:proofErr w:type="spellStart"/>
      <w:r w:rsidR="002B0AB2" w:rsidRPr="00E4394F">
        <w:rPr>
          <w:b w:val="0"/>
          <w:bCs/>
          <w:sz w:val="22"/>
          <w:szCs w:val="22"/>
        </w:rPr>
        <w:t>lý</w:t>
      </w:r>
      <w:proofErr w:type="spellEnd"/>
      <w:r w:rsidR="002B0AB2" w:rsidRPr="00E4394F">
        <w:rPr>
          <w:b w:val="0"/>
          <w:bCs/>
          <w:sz w:val="22"/>
          <w:szCs w:val="22"/>
        </w:rPr>
        <w:t xml:space="preserve"> </w:t>
      </w:r>
      <w:proofErr w:type="spellStart"/>
      <w:r w:rsidR="002B0AB2" w:rsidRPr="00E4394F">
        <w:rPr>
          <w:b w:val="0"/>
          <w:bCs/>
          <w:sz w:val="22"/>
          <w:szCs w:val="22"/>
        </w:rPr>
        <w:t>quỹ</w:t>
      </w:r>
      <w:proofErr w:type="spellEnd"/>
      <w:r w:rsidR="002B0AB2" w:rsidRPr="00E4394F">
        <w:rPr>
          <w:b w:val="0"/>
          <w:bCs/>
          <w:sz w:val="22"/>
          <w:szCs w:val="22"/>
        </w:rPr>
        <w:t xml:space="preserve"> </w:t>
      </w:r>
      <w:proofErr w:type="spellStart"/>
      <w:r w:rsidR="002B0AB2" w:rsidRPr="00E4394F">
        <w:rPr>
          <w:b w:val="0"/>
          <w:bCs/>
          <w:sz w:val="22"/>
          <w:szCs w:val="22"/>
        </w:rPr>
        <w:t>tại</w:t>
      </w:r>
      <w:proofErr w:type="spellEnd"/>
      <w:r w:rsidR="002B0AB2" w:rsidRPr="00E4394F">
        <w:rPr>
          <w:b w:val="0"/>
          <w:bCs/>
          <w:sz w:val="22"/>
          <w:szCs w:val="22"/>
        </w:rPr>
        <w:t xml:space="preserve"> </w:t>
      </w:r>
      <w:proofErr w:type="spellStart"/>
      <w:r w:rsidR="002B0AB2" w:rsidRPr="00E4394F">
        <w:rPr>
          <w:b w:val="0"/>
          <w:bCs/>
          <w:sz w:val="22"/>
          <w:szCs w:val="22"/>
        </w:rPr>
        <w:t>đường</w:t>
      </w:r>
      <w:proofErr w:type="spellEnd"/>
      <w:r w:rsidR="002B0AB2" w:rsidRPr="00E4394F">
        <w:rPr>
          <w:b w:val="0"/>
          <w:bCs/>
          <w:sz w:val="22"/>
          <w:szCs w:val="22"/>
        </w:rPr>
        <w:t xml:space="preserve"> </w:t>
      </w:r>
      <w:proofErr w:type="spellStart"/>
      <w:r w:rsidR="002B0AB2" w:rsidRPr="00E4394F">
        <w:rPr>
          <w:b w:val="0"/>
          <w:bCs/>
          <w:sz w:val="22"/>
          <w:szCs w:val="22"/>
        </w:rPr>
        <w:t>dẫn</w:t>
      </w:r>
      <w:proofErr w:type="spellEnd"/>
      <w:r w:rsidR="002B0AB2">
        <w:rPr>
          <w:sz w:val="22"/>
          <w:szCs w:val="22"/>
        </w:rPr>
        <w:t xml:space="preserve"> </w:t>
      </w:r>
      <w:hyperlink r:id="rId12" w:history="1">
        <w:r w:rsidR="002B0AB2" w:rsidRPr="00334FBE">
          <w:rPr>
            <w:rStyle w:val="Hyperlink"/>
            <w:b w:val="0"/>
            <w:bCs/>
          </w:rPr>
          <w:t xml:space="preserve">VFMVSF- </w:t>
        </w:r>
        <w:proofErr w:type="spellStart"/>
        <w:r w:rsidR="002B0AB2" w:rsidRPr="00334FBE">
          <w:rPr>
            <w:rStyle w:val="Hyperlink"/>
            <w:b w:val="0"/>
            <w:bCs/>
          </w:rPr>
          <w:t>Biên</w:t>
        </w:r>
        <w:proofErr w:type="spellEnd"/>
        <w:r w:rsidR="002B0AB2" w:rsidRPr="00334FBE">
          <w:rPr>
            <w:rStyle w:val="Hyperlink"/>
            <w:b w:val="0"/>
            <w:bCs/>
          </w:rPr>
          <w:t xml:space="preserve"> </w:t>
        </w:r>
        <w:proofErr w:type="spellStart"/>
        <w:r w:rsidR="002B0AB2" w:rsidRPr="00334FBE">
          <w:rPr>
            <w:rStyle w:val="Hyperlink"/>
            <w:b w:val="0"/>
            <w:bCs/>
          </w:rPr>
          <w:t>bản</w:t>
        </w:r>
        <w:proofErr w:type="spellEnd"/>
        <w:r w:rsidR="002B0AB2" w:rsidRPr="00334FBE">
          <w:rPr>
            <w:rStyle w:val="Hyperlink"/>
            <w:b w:val="0"/>
            <w:bCs/>
          </w:rPr>
          <w:t xml:space="preserve">, </w:t>
        </w:r>
        <w:proofErr w:type="spellStart"/>
        <w:r w:rsidR="002B0AB2" w:rsidRPr="00334FBE">
          <w:rPr>
            <w:rStyle w:val="Hyperlink"/>
            <w:b w:val="0"/>
            <w:bCs/>
          </w:rPr>
          <w:t>nghị</w:t>
        </w:r>
        <w:proofErr w:type="spellEnd"/>
        <w:r w:rsidR="002B0AB2" w:rsidRPr="00334FBE">
          <w:rPr>
            <w:rStyle w:val="Hyperlink"/>
            <w:b w:val="0"/>
            <w:bCs/>
          </w:rPr>
          <w:t xml:space="preserve"> </w:t>
        </w:r>
        <w:proofErr w:type="spellStart"/>
        <w:r w:rsidR="002B0AB2" w:rsidRPr="00334FBE">
          <w:rPr>
            <w:rStyle w:val="Hyperlink"/>
            <w:b w:val="0"/>
            <w:bCs/>
          </w:rPr>
          <w:t>quyết</w:t>
        </w:r>
        <w:proofErr w:type="spellEnd"/>
        <w:r w:rsidR="002B0AB2" w:rsidRPr="00334FBE">
          <w:rPr>
            <w:rStyle w:val="Hyperlink"/>
            <w:b w:val="0"/>
            <w:bCs/>
          </w:rPr>
          <w:t xml:space="preserve"> </w:t>
        </w:r>
        <w:proofErr w:type="spellStart"/>
        <w:r w:rsidR="002B0AB2" w:rsidRPr="00334FBE">
          <w:rPr>
            <w:rStyle w:val="Hyperlink"/>
            <w:b w:val="0"/>
            <w:bCs/>
          </w:rPr>
          <w:t>đại</w:t>
        </w:r>
        <w:proofErr w:type="spellEnd"/>
        <w:r w:rsidR="002B0AB2" w:rsidRPr="00334FBE">
          <w:rPr>
            <w:rStyle w:val="Hyperlink"/>
            <w:b w:val="0"/>
            <w:bCs/>
          </w:rPr>
          <w:t xml:space="preserve"> </w:t>
        </w:r>
        <w:proofErr w:type="spellStart"/>
        <w:r w:rsidR="002B0AB2" w:rsidRPr="00334FBE">
          <w:rPr>
            <w:rStyle w:val="Hyperlink"/>
            <w:b w:val="0"/>
            <w:bCs/>
          </w:rPr>
          <w:t>hội</w:t>
        </w:r>
        <w:proofErr w:type="spellEnd"/>
        <w:r w:rsidR="002B0AB2" w:rsidRPr="00334FBE">
          <w:rPr>
            <w:rStyle w:val="Hyperlink"/>
            <w:b w:val="0"/>
            <w:bCs/>
          </w:rPr>
          <w:t xml:space="preserve"> </w:t>
        </w:r>
        <w:proofErr w:type="spellStart"/>
        <w:r w:rsidR="002B0AB2" w:rsidRPr="00334FBE">
          <w:rPr>
            <w:rStyle w:val="Hyperlink"/>
            <w:b w:val="0"/>
            <w:bCs/>
          </w:rPr>
          <w:t>nhà</w:t>
        </w:r>
        <w:proofErr w:type="spellEnd"/>
        <w:r w:rsidR="002B0AB2" w:rsidRPr="00334FBE">
          <w:rPr>
            <w:rStyle w:val="Hyperlink"/>
            <w:b w:val="0"/>
            <w:bCs/>
          </w:rPr>
          <w:t xml:space="preserve"> </w:t>
        </w:r>
        <w:proofErr w:type="spellStart"/>
        <w:r w:rsidR="002B0AB2" w:rsidRPr="00334FBE">
          <w:rPr>
            <w:rStyle w:val="Hyperlink"/>
            <w:b w:val="0"/>
            <w:bCs/>
          </w:rPr>
          <w:t>đầu</w:t>
        </w:r>
        <w:proofErr w:type="spellEnd"/>
        <w:r w:rsidR="002B0AB2" w:rsidRPr="00334FBE">
          <w:rPr>
            <w:rStyle w:val="Hyperlink"/>
            <w:b w:val="0"/>
            <w:bCs/>
          </w:rPr>
          <w:t xml:space="preserve"> </w:t>
        </w:r>
        <w:proofErr w:type="spellStart"/>
        <w:r w:rsidR="002B0AB2" w:rsidRPr="00334FBE">
          <w:rPr>
            <w:rStyle w:val="Hyperlink"/>
            <w:b w:val="0"/>
            <w:bCs/>
          </w:rPr>
          <w:t>tư</w:t>
        </w:r>
        <w:proofErr w:type="spellEnd"/>
        <w:r w:rsidR="002B0AB2" w:rsidRPr="00334FBE">
          <w:rPr>
            <w:rStyle w:val="Hyperlink"/>
            <w:b w:val="0"/>
            <w:bCs/>
          </w:rPr>
          <w:t xml:space="preserve"> </w:t>
        </w:r>
        <w:proofErr w:type="spellStart"/>
        <w:r w:rsidR="002B0AB2" w:rsidRPr="00334FBE">
          <w:rPr>
            <w:rStyle w:val="Hyperlink"/>
            <w:b w:val="0"/>
            <w:bCs/>
          </w:rPr>
          <w:t>thường</w:t>
        </w:r>
        <w:proofErr w:type="spellEnd"/>
        <w:r w:rsidR="002B0AB2" w:rsidRPr="00334FBE">
          <w:rPr>
            <w:rStyle w:val="Hyperlink"/>
            <w:b w:val="0"/>
            <w:bCs/>
          </w:rPr>
          <w:t xml:space="preserve"> </w:t>
        </w:r>
        <w:proofErr w:type="spellStart"/>
        <w:r w:rsidR="002B0AB2" w:rsidRPr="00334FBE">
          <w:rPr>
            <w:rStyle w:val="Hyperlink"/>
            <w:b w:val="0"/>
            <w:bCs/>
          </w:rPr>
          <w:t>niên</w:t>
        </w:r>
        <w:proofErr w:type="spellEnd"/>
        <w:r w:rsidR="002B0AB2" w:rsidRPr="00334FBE">
          <w:rPr>
            <w:rStyle w:val="Hyperlink"/>
            <w:b w:val="0"/>
            <w:bCs/>
          </w:rPr>
          <w:t xml:space="preserve"> </w:t>
        </w:r>
        <w:proofErr w:type="spellStart"/>
        <w:r w:rsidR="002B0AB2" w:rsidRPr="00334FBE">
          <w:rPr>
            <w:rStyle w:val="Hyperlink"/>
            <w:b w:val="0"/>
            <w:bCs/>
          </w:rPr>
          <w:t>năm</w:t>
        </w:r>
        <w:proofErr w:type="spellEnd"/>
        <w:r w:rsidR="002B0AB2" w:rsidRPr="00334FBE">
          <w:rPr>
            <w:rStyle w:val="Hyperlink"/>
            <w:b w:val="0"/>
            <w:bCs/>
          </w:rPr>
          <w:t xml:space="preserve"> </w:t>
        </w:r>
        <w:proofErr w:type="spellStart"/>
        <w:r w:rsidR="002B0AB2" w:rsidRPr="00334FBE">
          <w:rPr>
            <w:rStyle w:val="Hyperlink"/>
            <w:b w:val="0"/>
            <w:bCs/>
          </w:rPr>
          <w:t>tài</w:t>
        </w:r>
        <w:proofErr w:type="spellEnd"/>
        <w:r w:rsidR="002B0AB2" w:rsidRPr="00334FBE">
          <w:rPr>
            <w:rStyle w:val="Hyperlink"/>
            <w:b w:val="0"/>
            <w:bCs/>
          </w:rPr>
          <w:t xml:space="preserve"> </w:t>
        </w:r>
        <w:proofErr w:type="spellStart"/>
        <w:r w:rsidR="002B0AB2" w:rsidRPr="00334FBE">
          <w:rPr>
            <w:rStyle w:val="Hyperlink"/>
            <w:b w:val="0"/>
            <w:bCs/>
          </w:rPr>
          <w:t>chính</w:t>
        </w:r>
        <w:proofErr w:type="spellEnd"/>
        <w:r w:rsidR="002B0AB2" w:rsidRPr="00334FBE">
          <w:rPr>
            <w:rStyle w:val="Hyperlink"/>
            <w:b w:val="0"/>
            <w:bCs/>
          </w:rPr>
          <w:t xml:space="preserve"> 2022- </w:t>
        </w:r>
        <w:proofErr w:type="spellStart"/>
        <w:r w:rsidR="002B0AB2" w:rsidRPr="00334FBE">
          <w:rPr>
            <w:rStyle w:val="Hyperlink"/>
            <w:b w:val="0"/>
            <w:bCs/>
          </w:rPr>
          <w:t>ngày</w:t>
        </w:r>
        <w:proofErr w:type="spellEnd"/>
        <w:r w:rsidR="002B0AB2" w:rsidRPr="00334FBE">
          <w:rPr>
            <w:rStyle w:val="Hyperlink"/>
            <w:b w:val="0"/>
            <w:bCs/>
          </w:rPr>
          <w:t xml:space="preserve"> 31/03/2023. (</w:t>
        </w:r>
        <w:proofErr w:type="gramStart"/>
        <w:r w:rsidR="002B0AB2" w:rsidRPr="00334FBE">
          <w:rPr>
            <w:rStyle w:val="Hyperlink"/>
            <w:b w:val="0"/>
            <w:bCs/>
          </w:rPr>
          <w:t>dragoncapital.com.vn</w:t>
        </w:r>
        <w:proofErr w:type="gramEnd"/>
        <w:r w:rsidR="002B0AB2" w:rsidRPr="00334FBE">
          <w:rPr>
            <w:rStyle w:val="Hyperlink"/>
            <w:b w:val="0"/>
            <w:bCs/>
          </w:rPr>
          <w:t>)</w:t>
        </w:r>
      </w:hyperlink>
      <w:r w:rsidR="002B0AB2" w:rsidRPr="00334FBE">
        <w:rPr>
          <w:b w:val="0"/>
          <w:bCs/>
        </w:rPr>
        <w:t>.</w:t>
      </w:r>
    </w:p>
    <w:p w14:paraId="50E67AF9" w14:textId="77777777" w:rsidR="002B0AB2" w:rsidRPr="002B0AB2" w:rsidRDefault="002B0AB2" w:rsidP="002B0AB2">
      <w:pPr>
        <w:pStyle w:val="ListParagraph"/>
        <w:tabs>
          <w:tab w:val="left" w:pos="270"/>
          <w:tab w:val="left" w:pos="1134"/>
        </w:tabs>
        <w:spacing w:before="120" w:line="276" w:lineRule="auto"/>
        <w:ind w:left="0"/>
        <w:contextualSpacing w:val="0"/>
        <w:jc w:val="both"/>
        <w:rPr>
          <w:b w:val="0"/>
          <w:bCs/>
        </w:rPr>
      </w:pPr>
    </w:p>
    <w:p w14:paraId="7E6F425C" w14:textId="5F3C882D" w:rsidR="00B01899" w:rsidRPr="00650CE6" w:rsidRDefault="00650CE6" w:rsidP="00E4394F">
      <w:pPr>
        <w:tabs>
          <w:tab w:val="left" w:pos="1134"/>
        </w:tabs>
        <w:spacing w:line="276" w:lineRule="auto"/>
        <w:jc w:val="both"/>
        <w:rPr>
          <w:lang w:val="sv-SE"/>
        </w:rPr>
      </w:pPr>
      <w:r>
        <w:rPr>
          <w:lang w:val="sv-SE"/>
        </w:rPr>
        <w:t xml:space="preserve">i) </w:t>
      </w:r>
      <w:r w:rsidR="00B01899" w:rsidRPr="00650CE6">
        <w:rPr>
          <w:lang w:val="sv-SE"/>
        </w:rPr>
        <w:t>Ý kiến nhận xét của ngân hàng giám sát về các nội dung quy định tại Thông tư hướng dẫn về hoạt động và quản lý các quỹ đầu tư chứng khoán.</w:t>
      </w:r>
    </w:p>
    <w:p w14:paraId="0D51BEFB" w14:textId="4B1BC95C" w:rsidR="00B01899" w:rsidRPr="00FC4F13" w:rsidRDefault="00B01899" w:rsidP="00E4394F">
      <w:pPr>
        <w:spacing w:line="276" w:lineRule="auto"/>
        <w:ind w:firstLine="142"/>
        <w:jc w:val="both"/>
        <w:rPr>
          <w:color w:val="0D0D0D" w:themeColor="text1" w:themeTint="F2"/>
        </w:rPr>
      </w:pPr>
      <w:r w:rsidRPr="00FC4F13">
        <w:rPr>
          <w:color w:val="000000" w:themeColor="text1"/>
        </w:rPr>
        <w:t xml:space="preserve">Xin </w:t>
      </w:r>
      <w:proofErr w:type="spellStart"/>
      <w:r w:rsidRPr="00FC4F13">
        <w:rPr>
          <w:color w:val="000000" w:themeColor="text1"/>
        </w:rPr>
        <w:t>xem</w:t>
      </w:r>
      <w:proofErr w:type="spellEnd"/>
      <w:r w:rsidRPr="00FC4F13">
        <w:rPr>
          <w:color w:val="000000" w:themeColor="text1"/>
        </w:rPr>
        <w:t xml:space="preserve"> chi </w:t>
      </w:r>
      <w:proofErr w:type="spellStart"/>
      <w:r w:rsidRPr="00FC4F13">
        <w:rPr>
          <w:color w:val="000000" w:themeColor="text1"/>
        </w:rPr>
        <w:t>tiết</w:t>
      </w:r>
      <w:proofErr w:type="spellEnd"/>
      <w:r w:rsidRPr="00FC4F13">
        <w:rPr>
          <w:color w:val="000000" w:themeColor="text1"/>
        </w:rPr>
        <w:t xml:space="preserve"> </w:t>
      </w:r>
      <w:proofErr w:type="spellStart"/>
      <w:r w:rsidRPr="00FC4F13">
        <w:rPr>
          <w:color w:val="000000" w:themeColor="text1"/>
        </w:rPr>
        <w:t>tại</w:t>
      </w:r>
      <w:proofErr w:type="spellEnd"/>
      <w:r w:rsidRPr="00FC4F13">
        <w:rPr>
          <w:color w:val="000000" w:themeColor="text1"/>
        </w:rPr>
        <w:t xml:space="preserve"> </w:t>
      </w:r>
      <w:proofErr w:type="spellStart"/>
      <w:r w:rsidRPr="00FC4F13">
        <w:rPr>
          <w:color w:val="000000" w:themeColor="text1"/>
        </w:rPr>
        <w:t>Mục</w:t>
      </w:r>
      <w:proofErr w:type="spellEnd"/>
      <w:r w:rsidRPr="00FC4F13">
        <w:rPr>
          <w:color w:val="000000" w:themeColor="text1"/>
        </w:rPr>
        <w:t xml:space="preserve"> 4. Báo </w:t>
      </w:r>
      <w:proofErr w:type="spellStart"/>
      <w:r w:rsidRPr="00FC4F13">
        <w:rPr>
          <w:color w:val="000000" w:themeColor="text1"/>
        </w:rPr>
        <w:t>cáo</w:t>
      </w:r>
      <w:proofErr w:type="spellEnd"/>
      <w:r w:rsidRPr="00FC4F13">
        <w:rPr>
          <w:color w:val="000000" w:themeColor="text1"/>
        </w:rPr>
        <w:t xml:space="preserve"> </w:t>
      </w:r>
      <w:proofErr w:type="spellStart"/>
      <w:r w:rsidRPr="00FC4F13">
        <w:rPr>
          <w:color w:val="000000" w:themeColor="text1"/>
        </w:rPr>
        <w:t>về</w:t>
      </w:r>
      <w:proofErr w:type="spellEnd"/>
      <w:r w:rsidRPr="00FC4F13">
        <w:rPr>
          <w:color w:val="000000" w:themeColor="text1"/>
        </w:rPr>
        <w:t xml:space="preserve"> </w:t>
      </w:r>
      <w:proofErr w:type="spellStart"/>
      <w:r w:rsidRPr="00FC4F13">
        <w:rPr>
          <w:color w:val="000000" w:themeColor="text1"/>
        </w:rPr>
        <w:t>hoạt</w:t>
      </w:r>
      <w:proofErr w:type="spellEnd"/>
      <w:r w:rsidRPr="00FC4F13">
        <w:rPr>
          <w:color w:val="000000" w:themeColor="text1"/>
        </w:rPr>
        <w:t xml:space="preserve"> </w:t>
      </w:r>
      <w:proofErr w:type="spellStart"/>
      <w:r w:rsidRPr="00FC4F13">
        <w:rPr>
          <w:color w:val="000000" w:themeColor="text1"/>
        </w:rPr>
        <w:t>động</w:t>
      </w:r>
      <w:proofErr w:type="spellEnd"/>
      <w:r w:rsidRPr="00FC4F13">
        <w:rPr>
          <w:color w:val="000000" w:themeColor="text1"/>
        </w:rPr>
        <w:t xml:space="preserve"> </w:t>
      </w:r>
      <w:proofErr w:type="spellStart"/>
      <w:r w:rsidRPr="00FC4F13">
        <w:rPr>
          <w:color w:val="000000" w:themeColor="text1"/>
        </w:rPr>
        <w:t>giám</w:t>
      </w:r>
      <w:proofErr w:type="spellEnd"/>
      <w:r w:rsidRPr="00FC4F13">
        <w:rPr>
          <w:color w:val="000000" w:themeColor="text1"/>
        </w:rPr>
        <w:t xml:space="preserve"> </w:t>
      </w:r>
      <w:proofErr w:type="spellStart"/>
      <w:r w:rsidRPr="00FC4F13">
        <w:rPr>
          <w:color w:val="000000" w:themeColor="text1"/>
        </w:rPr>
        <w:t>sát</w:t>
      </w:r>
      <w:proofErr w:type="spellEnd"/>
      <w:r w:rsidRPr="00FC4F13">
        <w:rPr>
          <w:color w:val="000000" w:themeColor="text1"/>
        </w:rPr>
        <w:t xml:space="preserve"> </w:t>
      </w:r>
      <w:proofErr w:type="spellStart"/>
      <w:r w:rsidRPr="00FC4F13">
        <w:rPr>
          <w:color w:val="000000" w:themeColor="text1"/>
        </w:rPr>
        <w:t>của</w:t>
      </w:r>
      <w:proofErr w:type="spellEnd"/>
      <w:r w:rsidRPr="00FC4F13">
        <w:rPr>
          <w:color w:val="000000" w:themeColor="text1"/>
        </w:rPr>
        <w:t xml:space="preserve"> </w:t>
      </w:r>
      <w:proofErr w:type="spellStart"/>
      <w:r w:rsidRPr="00FC4F13">
        <w:rPr>
          <w:color w:val="000000" w:themeColor="text1"/>
        </w:rPr>
        <w:t>ngân</w:t>
      </w:r>
      <w:proofErr w:type="spellEnd"/>
      <w:r w:rsidRPr="00FC4F13">
        <w:rPr>
          <w:color w:val="000000" w:themeColor="text1"/>
        </w:rPr>
        <w:t xml:space="preserve"> </w:t>
      </w:r>
      <w:proofErr w:type="spellStart"/>
      <w:r w:rsidRPr="00FC4F13">
        <w:rPr>
          <w:color w:val="000000" w:themeColor="text1"/>
        </w:rPr>
        <w:t>hàng</w:t>
      </w:r>
      <w:proofErr w:type="spellEnd"/>
      <w:r w:rsidRPr="00FC4F13">
        <w:rPr>
          <w:color w:val="000000" w:themeColor="text1"/>
        </w:rPr>
        <w:t xml:space="preserve"> </w:t>
      </w:r>
      <w:proofErr w:type="spellStart"/>
      <w:r w:rsidRPr="00FC4F13">
        <w:rPr>
          <w:color w:val="000000" w:themeColor="text1"/>
        </w:rPr>
        <w:t>giám</w:t>
      </w:r>
      <w:proofErr w:type="spellEnd"/>
      <w:r w:rsidRPr="00FC4F13">
        <w:rPr>
          <w:color w:val="000000" w:themeColor="text1"/>
        </w:rPr>
        <w:t xml:space="preserve"> </w:t>
      </w:r>
      <w:proofErr w:type="spellStart"/>
      <w:r w:rsidRPr="00FC4F13">
        <w:rPr>
          <w:color w:val="000000" w:themeColor="text1"/>
        </w:rPr>
        <w:t>sát</w:t>
      </w:r>
      <w:proofErr w:type="spellEnd"/>
      <w:r w:rsidRPr="00FC4F13">
        <w:rPr>
          <w:color w:val="000000" w:themeColor="text1"/>
        </w:rPr>
        <w:t>.</w:t>
      </w:r>
      <w:r w:rsidRPr="00FC4F13">
        <w:rPr>
          <w:color w:val="0D0D0D" w:themeColor="text1" w:themeTint="F2"/>
        </w:rPr>
        <w:t xml:space="preserve">  </w:t>
      </w:r>
    </w:p>
    <w:p w14:paraId="0FB94EB2" w14:textId="77777777" w:rsidR="00F413F6" w:rsidRPr="00FC4F13" w:rsidRDefault="00F413F6" w:rsidP="00FC4F13">
      <w:pPr>
        <w:pStyle w:val="ListParagraph"/>
        <w:tabs>
          <w:tab w:val="left" w:pos="270"/>
          <w:tab w:val="left" w:pos="1134"/>
        </w:tabs>
        <w:autoSpaceDE w:val="0"/>
        <w:autoSpaceDN w:val="0"/>
        <w:adjustRightInd w:val="0"/>
        <w:spacing w:before="120" w:after="100" w:afterAutospacing="1" w:line="276" w:lineRule="auto"/>
        <w:ind w:left="0"/>
        <w:jc w:val="both"/>
        <w:rPr>
          <w:b w:val="0"/>
          <w:lang w:val="sv-SE"/>
        </w:rPr>
      </w:pPr>
    </w:p>
    <w:p w14:paraId="530CB491" w14:textId="77777777" w:rsidR="00B04C91" w:rsidRPr="00FC4F13" w:rsidRDefault="00D5760E" w:rsidP="00FC4F13">
      <w:pPr>
        <w:pStyle w:val="ListParagraph"/>
        <w:numPr>
          <w:ilvl w:val="0"/>
          <w:numId w:val="1"/>
        </w:numPr>
        <w:tabs>
          <w:tab w:val="left" w:pos="270"/>
          <w:tab w:val="left" w:pos="1134"/>
        </w:tabs>
        <w:spacing w:after="120" w:line="276" w:lineRule="auto"/>
        <w:ind w:left="0" w:firstLine="0"/>
        <w:jc w:val="both"/>
        <w:rPr>
          <w:lang w:val="sv-SE"/>
        </w:rPr>
      </w:pPr>
      <w:r w:rsidRPr="00FC4F13">
        <w:rPr>
          <w:lang w:val="sv-SE"/>
        </w:rPr>
        <w:t>Báo cáo về kết quả hoạt động của quỹ</w:t>
      </w:r>
    </w:p>
    <w:p w14:paraId="29780E78" w14:textId="0EE43580" w:rsidR="00B04C91" w:rsidRPr="00FC4F13" w:rsidRDefault="00494DE8" w:rsidP="00FC4F13">
      <w:pPr>
        <w:pStyle w:val="ListParagraph"/>
        <w:tabs>
          <w:tab w:val="left" w:pos="270"/>
          <w:tab w:val="left" w:pos="1134"/>
        </w:tabs>
        <w:spacing w:after="120" w:line="276" w:lineRule="auto"/>
        <w:ind w:left="0"/>
        <w:jc w:val="both"/>
        <w:rPr>
          <w:b w:val="0"/>
          <w:lang w:val="sv-SE"/>
        </w:rPr>
      </w:pPr>
      <w:r w:rsidRPr="00FC4F13">
        <w:rPr>
          <w:b w:val="0"/>
          <w:lang w:val="sv-SE"/>
        </w:rPr>
        <w:t>-</w:t>
      </w:r>
      <w:r w:rsidR="00FC4F13">
        <w:rPr>
          <w:b w:val="0"/>
          <w:lang w:val="sv-SE"/>
        </w:rPr>
        <w:t xml:space="preserve"> </w:t>
      </w:r>
      <w:r w:rsidR="00B04C91" w:rsidRPr="00FC4F13">
        <w:rPr>
          <w:b w:val="0"/>
          <w:lang w:val="sv-SE"/>
        </w:rPr>
        <w:t>Thông tin về danh mục đầu tư và giá trị tài sản ròng của quỹ tại thời điểm 3</w:t>
      </w:r>
      <w:r w:rsidR="0046422B" w:rsidRPr="00FC4F13">
        <w:rPr>
          <w:b w:val="0"/>
          <w:lang w:val="sv-SE"/>
        </w:rPr>
        <w:t>0/06</w:t>
      </w:r>
      <w:r w:rsidR="00F85383" w:rsidRPr="00FC4F13">
        <w:rPr>
          <w:b w:val="0"/>
          <w:lang w:val="sv-SE"/>
        </w:rPr>
        <w:t xml:space="preserve"> của 3 năm gần nhất</w:t>
      </w:r>
      <w:r w:rsidR="00B04C91" w:rsidRPr="00FC4F13">
        <w:rPr>
          <w:b w:val="0"/>
          <w:lang w:val="sv-SE"/>
        </w:rPr>
        <w:t>:</w:t>
      </w:r>
      <w:r w:rsidR="00F85383" w:rsidRPr="00FC4F13">
        <w:rPr>
          <w:b w:val="0"/>
          <w:lang w:val="sv-SE"/>
        </w:rPr>
        <w:t xml:space="preserve"> Quỹ được Ủy Ban Chứng Khoán nhà nước cấp giấy chứng nhận lập quỹ vào ngày </w:t>
      </w:r>
      <w:r w:rsidR="002E7B9D" w:rsidRPr="00FC4F13">
        <w:rPr>
          <w:b w:val="0"/>
          <w:lang w:val="sv-SE"/>
        </w:rPr>
        <w:t>2/3/2018</w:t>
      </w:r>
      <w:r w:rsidR="00043971" w:rsidRPr="00FC4F13">
        <w:rPr>
          <w:b w:val="0"/>
          <w:lang w:val="sv-SE"/>
        </w:rPr>
        <w:t xml:space="preserve"> theo giấy chứng nhận số </w:t>
      </w:r>
      <w:r w:rsidR="002E7B9D" w:rsidRPr="00FC4F13">
        <w:rPr>
          <w:b w:val="0"/>
          <w:lang w:val="sv-SE"/>
        </w:rPr>
        <w:t>31</w:t>
      </w:r>
      <w:r w:rsidR="00F85383" w:rsidRPr="00FC4F13">
        <w:rPr>
          <w:b w:val="0"/>
          <w:lang w:val="sv-SE"/>
        </w:rPr>
        <w:t>/GCN-UBCK</w:t>
      </w:r>
      <w:r w:rsidR="00043971" w:rsidRPr="00FC4F13">
        <w:rPr>
          <w:b w:val="0"/>
          <w:lang w:val="sv-SE"/>
        </w:rPr>
        <w:t>.</w:t>
      </w:r>
    </w:p>
    <w:p w14:paraId="7DCFEBBB" w14:textId="110BDB2E" w:rsidR="00B04C91" w:rsidRPr="00FC4F13" w:rsidRDefault="00FC4F13" w:rsidP="00FC4F13">
      <w:pPr>
        <w:pStyle w:val="ListParagraph"/>
        <w:tabs>
          <w:tab w:val="left" w:pos="270"/>
          <w:tab w:val="left" w:pos="1134"/>
        </w:tabs>
        <w:spacing w:after="120" w:line="276" w:lineRule="auto"/>
        <w:ind w:left="0"/>
        <w:jc w:val="both"/>
        <w:rPr>
          <w:b w:val="0"/>
          <w:lang w:val="sv-SE"/>
        </w:rPr>
      </w:pPr>
      <w:r>
        <w:rPr>
          <w:b w:val="0"/>
          <w:lang w:val="sv-SE"/>
        </w:rPr>
        <w:t xml:space="preserve">- </w:t>
      </w:r>
      <w:r w:rsidR="00B04C91" w:rsidRPr="00FC4F13">
        <w:rPr>
          <w:b w:val="0"/>
          <w:lang w:val="sv-SE"/>
        </w:rPr>
        <w:t>Danh mục đầu tư của quỹ phân bố theo ngành, lĩnh vực và loại sản phẩm (cổ phiếu, trái phiếu…) (</w:t>
      </w:r>
      <w:r w:rsidR="00B04C91" w:rsidRPr="00FC4F13">
        <w:rPr>
          <w:b w:val="0"/>
          <w:i/>
          <w:lang w:val="sv-SE"/>
        </w:rPr>
        <w:t>không nêu chi tiết cả danh mục</w:t>
      </w:r>
      <w:r w:rsidR="00B04C91" w:rsidRPr="00FC4F13">
        <w:rPr>
          <w:b w:val="0"/>
          <w:lang w:val="sv-SE"/>
        </w:rPr>
        <w:t xml:space="preserve"> </w:t>
      </w:r>
      <w:r w:rsidR="00B04C91" w:rsidRPr="00FC4F13">
        <w:rPr>
          <w:b w:val="0"/>
          <w:i/>
          <w:lang w:val="sv-SE"/>
        </w:rPr>
        <w:t>theo mã chứng khoán</w:t>
      </w:r>
      <w:r w:rsidR="00B04C91" w:rsidRPr="00FC4F13">
        <w:rPr>
          <w:b w:val="0"/>
          <w:lang w:val="sv-SE"/>
        </w:rPr>
        <w:t>);</w:t>
      </w:r>
    </w:p>
    <w:p w14:paraId="64621ACC" w14:textId="77777777" w:rsidR="008F5179" w:rsidRPr="00FC4F13" w:rsidRDefault="008F5179" w:rsidP="00FC4F13">
      <w:pPr>
        <w:spacing w:after="120" w:line="276" w:lineRule="auto"/>
        <w:jc w:val="both"/>
        <w:rPr>
          <w:lang w:val="sv-SE"/>
        </w:rPr>
      </w:pPr>
      <w:r w:rsidRPr="00FC4F13">
        <w:rPr>
          <w:lang w:val="sv-SE"/>
        </w:rPr>
        <w:t xml:space="preserve">Danh mục đầu tư được phân bổ theo tài sản như sau :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95"/>
        <w:gridCol w:w="2295"/>
        <w:gridCol w:w="2180"/>
      </w:tblGrid>
      <w:tr w:rsidR="00B02E32" w:rsidRPr="00FC4F13" w14:paraId="4A16EAE7" w14:textId="44445FE6" w:rsidTr="007A552A">
        <w:trPr>
          <w:trHeight w:val="300"/>
        </w:trPr>
        <w:tc>
          <w:tcPr>
            <w:tcW w:w="2520" w:type="dxa"/>
            <w:shd w:val="clear" w:color="auto" w:fill="auto"/>
            <w:vAlign w:val="center"/>
            <w:hideMark/>
          </w:tcPr>
          <w:p w14:paraId="12528BF7" w14:textId="77777777" w:rsidR="00B02E32" w:rsidRPr="00FC4F13" w:rsidRDefault="00B02E32" w:rsidP="00FC4F13">
            <w:pPr>
              <w:spacing w:line="276" w:lineRule="auto"/>
              <w:jc w:val="center"/>
              <w:rPr>
                <w:b/>
                <w:bCs/>
                <w:color w:val="000000"/>
              </w:rPr>
            </w:pPr>
            <w:proofErr w:type="spellStart"/>
            <w:r w:rsidRPr="00FC4F13">
              <w:rPr>
                <w:b/>
                <w:bCs/>
                <w:color w:val="000000"/>
              </w:rPr>
              <w:t>Cơ</w:t>
            </w:r>
            <w:proofErr w:type="spellEnd"/>
            <w:r w:rsidRPr="00FC4F13">
              <w:rPr>
                <w:b/>
                <w:bCs/>
                <w:color w:val="000000"/>
              </w:rPr>
              <w:t xml:space="preserve"> </w:t>
            </w:r>
            <w:proofErr w:type="spellStart"/>
            <w:r w:rsidRPr="00FC4F13">
              <w:rPr>
                <w:b/>
                <w:bCs/>
                <w:color w:val="000000"/>
              </w:rPr>
              <w:t>cấu</w:t>
            </w:r>
            <w:proofErr w:type="spellEnd"/>
            <w:r w:rsidRPr="00FC4F13">
              <w:rPr>
                <w:b/>
                <w:bCs/>
                <w:color w:val="000000"/>
              </w:rPr>
              <w:t xml:space="preserve"> </w:t>
            </w:r>
            <w:proofErr w:type="spellStart"/>
            <w:r w:rsidRPr="00FC4F13">
              <w:rPr>
                <w:b/>
                <w:bCs/>
                <w:color w:val="000000"/>
              </w:rPr>
              <w:t>tài</w:t>
            </w:r>
            <w:proofErr w:type="spellEnd"/>
            <w:r w:rsidRPr="00FC4F13">
              <w:rPr>
                <w:b/>
                <w:bCs/>
                <w:color w:val="000000"/>
              </w:rPr>
              <w:t xml:space="preserve"> </w:t>
            </w:r>
            <w:proofErr w:type="spellStart"/>
            <w:r w:rsidRPr="00FC4F13">
              <w:rPr>
                <w:b/>
                <w:bCs/>
                <w:color w:val="000000"/>
              </w:rPr>
              <w:t>sản</w:t>
            </w:r>
            <w:proofErr w:type="spellEnd"/>
            <w:r w:rsidRPr="00FC4F13">
              <w:rPr>
                <w:b/>
                <w:bCs/>
                <w:color w:val="000000"/>
              </w:rPr>
              <w:t xml:space="preserve"> </w:t>
            </w:r>
            <w:proofErr w:type="spellStart"/>
            <w:r w:rsidRPr="00FC4F13">
              <w:rPr>
                <w:b/>
                <w:bCs/>
                <w:color w:val="000000"/>
              </w:rPr>
              <w:t>quỹ</w:t>
            </w:r>
            <w:proofErr w:type="spellEnd"/>
          </w:p>
        </w:tc>
        <w:tc>
          <w:tcPr>
            <w:tcW w:w="2295" w:type="dxa"/>
            <w:shd w:val="clear" w:color="auto" w:fill="auto"/>
            <w:vAlign w:val="center"/>
            <w:hideMark/>
          </w:tcPr>
          <w:p w14:paraId="03D02BA5" w14:textId="36524875" w:rsidR="00B02E32" w:rsidRPr="00E93EA7" w:rsidRDefault="00890245" w:rsidP="007A552A">
            <w:pPr>
              <w:spacing w:line="276" w:lineRule="auto"/>
              <w:jc w:val="center"/>
              <w:rPr>
                <w:b/>
                <w:bCs/>
                <w:color w:val="000000"/>
                <w:lang w:val="vi-VN"/>
              </w:rPr>
            </w:pPr>
            <w:r>
              <w:rPr>
                <w:b/>
                <w:bCs/>
                <w:color w:val="000000"/>
              </w:rPr>
              <w:t>31/12</w:t>
            </w:r>
            <w:r w:rsidR="00B02E32" w:rsidRPr="00FC4F13">
              <w:rPr>
                <w:b/>
                <w:bCs/>
                <w:color w:val="000000"/>
              </w:rPr>
              <w:t>/</w:t>
            </w:r>
            <w:r w:rsidR="007A552A">
              <w:rPr>
                <w:b/>
                <w:bCs/>
                <w:color w:val="000000"/>
              </w:rPr>
              <w:t>20</w:t>
            </w:r>
            <w:r w:rsidR="00B02E32" w:rsidRPr="00FC4F13">
              <w:rPr>
                <w:b/>
                <w:bCs/>
                <w:color w:val="000000"/>
              </w:rPr>
              <w:t>2</w:t>
            </w:r>
            <w:r w:rsidR="00E93EA7">
              <w:rPr>
                <w:b/>
                <w:bCs/>
                <w:color w:val="000000"/>
                <w:lang w:val="vi-VN"/>
              </w:rPr>
              <w:t>3</w:t>
            </w:r>
          </w:p>
        </w:tc>
        <w:tc>
          <w:tcPr>
            <w:tcW w:w="2295" w:type="dxa"/>
            <w:shd w:val="clear" w:color="auto" w:fill="auto"/>
            <w:vAlign w:val="center"/>
            <w:hideMark/>
          </w:tcPr>
          <w:p w14:paraId="64271329" w14:textId="11EB8C41" w:rsidR="00B02E32" w:rsidRPr="00E93EA7" w:rsidRDefault="00890245" w:rsidP="007A552A">
            <w:pPr>
              <w:spacing w:line="276" w:lineRule="auto"/>
              <w:jc w:val="center"/>
              <w:rPr>
                <w:b/>
                <w:bCs/>
                <w:color w:val="000000"/>
                <w:lang w:val="vi-VN"/>
              </w:rPr>
            </w:pPr>
            <w:r>
              <w:rPr>
                <w:b/>
                <w:bCs/>
                <w:color w:val="000000"/>
              </w:rPr>
              <w:t>31/12</w:t>
            </w:r>
            <w:r w:rsidR="00B02E32" w:rsidRPr="00FC4F13">
              <w:rPr>
                <w:b/>
                <w:bCs/>
                <w:color w:val="000000"/>
              </w:rPr>
              <w:t>/</w:t>
            </w:r>
            <w:r w:rsidR="007A552A">
              <w:rPr>
                <w:b/>
                <w:bCs/>
                <w:color w:val="000000"/>
              </w:rPr>
              <w:t>20</w:t>
            </w:r>
            <w:r w:rsidR="00B02E32" w:rsidRPr="00FC4F13">
              <w:rPr>
                <w:b/>
                <w:bCs/>
                <w:color w:val="000000"/>
              </w:rPr>
              <w:t>2</w:t>
            </w:r>
            <w:r w:rsidR="00E93EA7">
              <w:rPr>
                <w:b/>
                <w:bCs/>
                <w:color w:val="000000"/>
                <w:lang w:val="vi-VN"/>
              </w:rPr>
              <w:t>2</w:t>
            </w:r>
          </w:p>
        </w:tc>
        <w:tc>
          <w:tcPr>
            <w:tcW w:w="2180" w:type="dxa"/>
            <w:vAlign w:val="center"/>
          </w:tcPr>
          <w:p w14:paraId="72573DBF" w14:textId="31AC4FA7" w:rsidR="00B02E32" w:rsidRPr="00E93EA7" w:rsidRDefault="00890245" w:rsidP="007A552A">
            <w:pPr>
              <w:spacing w:line="276" w:lineRule="auto"/>
              <w:jc w:val="center"/>
              <w:rPr>
                <w:b/>
                <w:bCs/>
                <w:color w:val="000000"/>
                <w:lang w:val="vi-VN"/>
              </w:rPr>
            </w:pPr>
            <w:r>
              <w:rPr>
                <w:b/>
                <w:bCs/>
                <w:color w:val="000000"/>
              </w:rPr>
              <w:t>31/12</w:t>
            </w:r>
            <w:r w:rsidR="00B02E32" w:rsidRPr="00FC4F13">
              <w:rPr>
                <w:b/>
                <w:bCs/>
                <w:color w:val="000000"/>
              </w:rPr>
              <w:t>/</w:t>
            </w:r>
            <w:r w:rsidR="007A552A">
              <w:rPr>
                <w:b/>
                <w:bCs/>
                <w:color w:val="000000"/>
              </w:rPr>
              <w:t>20</w:t>
            </w:r>
            <w:r w:rsidR="00B02E32" w:rsidRPr="00FC4F13">
              <w:rPr>
                <w:b/>
                <w:bCs/>
                <w:color w:val="000000"/>
              </w:rPr>
              <w:t>2</w:t>
            </w:r>
            <w:r w:rsidR="00E93EA7">
              <w:rPr>
                <w:b/>
                <w:bCs/>
                <w:color w:val="000000"/>
                <w:lang w:val="vi-VN"/>
              </w:rPr>
              <w:t>1</w:t>
            </w:r>
          </w:p>
        </w:tc>
      </w:tr>
      <w:tr w:rsidR="00EE2CE8" w:rsidRPr="00FC4F13" w14:paraId="1A7C6373" w14:textId="574592BE" w:rsidTr="00890245">
        <w:trPr>
          <w:trHeight w:val="371"/>
        </w:trPr>
        <w:tc>
          <w:tcPr>
            <w:tcW w:w="2520" w:type="dxa"/>
            <w:shd w:val="clear" w:color="auto" w:fill="auto"/>
            <w:vAlign w:val="center"/>
            <w:hideMark/>
          </w:tcPr>
          <w:p w14:paraId="1C2FBE96" w14:textId="77777777" w:rsidR="00EE2CE8" w:rsidRPr="00FC4F13" w:rsidRDefault="00EE2CE8" w:rsidP="00EE2CE8">
            <w:pPr>
              <w:spacing w:before="120" w:line="276" w:lineRule="auto"/>
              <w:jc w:val="both"/>
            </w:pPr>
            <w:r w:rsidRPr="00FC4F13">
              <w:t xml:space="preserve">Danh </w:t>
            </w:r>
            <w:proofErr w:type="spellStart"/>
            <w:r w:rsidRPr="00FC4F13">
              <w:t>mục</w:t>
            </w:r>
            <w:proofErr w:type="spellEnd"/>
            <w:r w:rsidRPr="00FC4F13">
              <w:t xml:space="preserve"> </w:t>
            </w:r>
            <w:proofErr w:type="spellStart"/>
            <w:r w:rsidRPr="00FC4F13">
              <w:t>chứng</w:t>
            </w:r>
            <w:proofErr w:type="spellEnd"/>
            <w:r w:rsidRPr="00FC4F13">
              <w:t xml:space="preserve"> </w:t>
            </w:r>
            <w:proofErr w:type="spellStart"/>
            <w:r w:rsidRPr="00FC4F13">
              <w:t>khoán</w:t>
            </w:r>
            <w:proofErr w:type="spellEnd"/>
          </w:p>
        </w:tc>
        <w:tc>
          <w:tcPr>
            <w:tcW w:w="2295" w:type="dxa"/>
            <w:shd w:val="clear" w:color="auto" w:fill="auto"/>
            <w:vAlign w:val="center"/>
          </w:tcPr>
          <w:p w14:paraId="6EAF5037" w14:textId="01EE0493" w:rsidR="00EE2CE8" w:rsidRPr="00EE2CE8" w:rsidRDefault="00EE2CE8" w:rsidP="00EE2CE8">
            <w:pPr>
              <w:spacing w:before="120" w:line="276" w:lineRule="auto"/>
              <w:jc w:val="right"/>
            </w:pPr>
            <w:r w:rsidRPr="00EE2CE8">
              <w:t>95.82%</w:t>
            </w:r>
          </w:p>
        </w:tc>
        <w:tc>
          <w:tcPr>
            <w:tcW w:w="2295" w:type="dxa"/>
            <w:shd w:val="clear" w:color="auto" w:fill="auto"/>
            <w:vAlign w:val="center"/>
          </w:tcPr>
          <w:p w14:paraId="56A53202" w14:textId="5534F6D2" w:rsidR="00EE2CE8" w:rsidRPr="00EE2CE8" w:rsidRDefault="00EE2CE8" w:rsidP="00EE2CE8">
            <w:pPr>
              <w:spacing w:before="120" w:line="276" w:lineRule="auto"/>
              <w:jc w:val="right"/>
            </w:pPr>
            <w:r w:rsidRPr="00EE2CE8">
              <w:t>98.02%</w:t>
            </w:r>
          </w:p>
        </w:tc>
        <w:tc>
          <w:tcPr>
            <w:tcW w:w="2180" w:type="dxa"/>
            <w:vAlign w:val="center"/>
          </w:tcPr>
          <w:p w14:paraId="0432356F" w14:textId="18B8B198" w:rsidR="00EE2CE8" w:rsidRPr="00EE2CE8" w:rsidRDefault="00EE2CE8" w:rsidP="00EE2CE8">
            <w:pPr>
              <w:spacing w:before="120" w:line="276" w:lineRule="auto"/>
              <w:jc w:val="right"/>
            </w:pPr>
            <w:r w:rsidRPr="00EE2CE8">
              <w:t>98.89%</w:t>
            </w:r>
          </w:p>
        </w:tc>
      </w:tr>
      <w:tr w:rsidR="00EE2CE8" w:rsidRPr="00FC4F13" w14:paraId="3D306D10" w14:textId="6B9E1DC4" w:rsidTr="00890245">
        <w:trPr>
          <w:trHeight w:val="340"/>
        </w:trPr>
        <w:tc>
          <w:tcPr>
            <w:tcW w:w="2520" w:type="dxa"/>
            <w:shd w:val="clear" w:color="auto" w:fill="auto"/>
            <w:vAlign w:val="center"/>
            <w:hideMark/>
          </w:tcPr>
          <w:p w14:paraId="30FFFBC2" w14:textId="77777777" w:rsidR="00EE2CE8" w:rsidRPr="00FC4F13" w:rsidRDefault="00EE2CE8" w:rsidP="00EE2CE8">
            <w:pPr>
              <w:spacing w:before="120" w:line="276" w:lineRule="auto"/>
              <w:jc w:val="both"/>
            </w:pPr>
            <w:r w:rsidRPr="00FC4F13">
              <w:t xml:space="preserve">Tài </w:t>
            </w:r>
            <w:proofErr w:type="spellStart"/>
            <w:r w:rsidRPr="00FC4F13">
              <w:t>sản</w:t>
            </w:r>
            <w:proofErr w:type="spellEnd"/>
            <w:r w:rsidRPr="00FC4F13">
              <w:t xml:space="preserve"> </w:t>
            </w:r>
            <w:proofErr w:type="spellStart"/>
            <w:r w:rsidRPr="00FC4F13">
              <w:t>khác</w:t>
            </w:r>
            <w:proofErr w:type="spellEnd"/>
          </w:p>
        </w:tc>
        <w:tc>
          <w:tcPr>
            <w:tcW w:w="2295" w:type="dxa"/>
            <w:shd w:val="clear" w:color="auto" w:fill="auto"/>
            <w:vAlign w:val="center"/>
          </w:tcPr>
          <w:p w14:paraId="676A182B" w14:textId="0F69373C" w:rsidR="00EE2CE8" w:rsidRPr="00EE2CE8" w:rsidRDefault="00EE2CE8" w:rsidP="00EE2CE8">
            <w:pPr>
              <w:spacing w:before="120" w:line="276" w:lineRule="auto"/>
              <w:jc w:val="right"/>
            </w:pPr>
            <w:r w:rsidRPr="00EE2CE8">
              <w:t>4.18%</w:t>
            </w:r>
          </w:p>
        </w:tc>
        <w:tc>
          <w:tcPr>
            <w:tcW w:w="2295" w:type="dxa"/>
            <w:shd w:val="clear" w:color="auto" w:fill="auto"/>
            <w:vAlign w:val="center"/>
          </w:tcPr>
          <w:p w14:paraId="6C2E0987" w14:textId="7A2B19F6" w:rsidR="00EE2CE8" w:rsidRPr="00EE2CE8" w:rsidRDefault="00EE2CE8" w:rsidP="00EE2CE8">
            <w:pPr>
              <w:spacing w:before="120" w:line="276" w:lineRule="auto"/>
              <w:jc w:val="right"/>
            </w:pPr>
            <w:r w:rsidRPr="00EE2CE8">
              <w:t>1.98%</w:t>
            </w:r>
          </w:p>
        </w:tc>
        <w:tc>
          <w:tcPr>
            <w:tcW w:w="2180" w:type="dxa"/>
            <w:shd w:val="clear" w:color="auto" w:fill="auto"/>
            <w:vAlign w:val="center"/>
          </w:tcPr>
          <w:p w14:paraId="37EC9D69" w14:textId="48483220" w:rsidR="00EE2CE8" w:rsidRPr="00EE2CE8" w:rsidRDefault="00EE2CE8" w:rsidP="00EE2CE8">
            <w:pPr>
              <w:spacing w:before="120" w:line="276" w:lineRule="auto"/>
              <w:jc w:val="right"/>
            </w:pPr>
            <w:r w:rsidRPr="00EE2CE8">
              <w:t>1.11%</w:t>
            </w:r>
          </w:p>
        </w:tc>
      </w:tr>
      <w:tr w:rsidR="00B02E32" w:rsidRPr="00FC4F13" w14:paraId="7AD73476" w14:textId="29C7FACE" w:rsidTr="00B02E32">
        <w:trPr>
          <w:trHeight w:val="340"/>
        </w:trPr>
        <w:tc>
          <w:tcPr>
            <w:tcW w:w="2520" w:type="dxa"/>
            <w:shd w:val="clear" w:color="auto" w:fill="auto"/>
            <w:vAlign w:val="center"/>
            <w:hideMark/>
          </w:tcPr>
          <w:p w14:paraId="6BA0E2A6" w14:textId="77777777" w:rsidR="00B02E32" w:rsidRPr="00FC4F13" w:rsidRDefault="00B02E32" w:rsidP="00B02E32">
            <w:pPr>
              <w:spacing w:before="120" w:line="276" w:lineRule="auto"/>
              <w:jc w:val="both"/>
              <w:rPr>
                <w:b/>
                <w:bCs/>
              </w:rPr>
            </w:pPr>
            <w:proofErr w:type="spellStart"/>
            <w:r w:rsidRPr="00FC4F13">
              <w:rPr>
                <w:b/>
                <w:bCs/>
              </w:rPr>
              <w:t>Cộng</w:t>
            </w:r>
            <w:proofErr w:type="spellEnd"/>
          </w:p>
        </w:tc>
        <w:tc>
          <w:tcPr>
            <w:tcW w:w="2295" w:type="dxa"/>
            <w:shd w:val="clear" w:color="auto" w:fill="auto"/>
            <w:vAlign w:val="center"/>
            <w:hideMark/>
          </w:tcPr>
          <w:p w14:paraId="1623D9C4" w14:textId="77777777" w:rsidR="00B02E32" w:rsidRPr="00FC4F13" w:rsidRDefault="00B02E32" w:rsidP="00B02E32">
            <w:pPr>
              <w:spacing w:before="120" w:line="276" w:lineRule="auto"/>
              <w:jc w:val="right"/>
              <w:rPr>
                <w:b/>
                <w:bCs/>
              </w:rPr>
            </w:pPr>
            <w:r w:rsidRPr="00FC4F13">
              <w:rPr>
                <w:b/>
                <w:bCs/>
              </w:rPr>
              <w:t>100.00%</w:t>
            </w:r>
          </w:p>
        </w:tc>
        <w:tc>
          <w:tcPr>
            <w:tcW w:w="2295" w:type="dxa"/>
            <w:shd w:val="clear" w:color="auto" w:fill="auto"/>
            <w:vAlign w:val="center"/>
            <w:hideMark/>
          </w:tcPr>
          <w:p w14:paraId="7865F78F" w14:textId="77777777" w:rsidR="00B02E32" w:rsidRPr="00FC4F13" w:rsidRDefault="00B02E32" w:rsidP="00B02E32">
            <w:pPr>
              <w:spacing w:before="120" w:line="276" w:lineRule="auto"/>
              <w:jc w:val="right"/>
              <w:rPr>
                <w:b/>
                <w:bCs/>
              </w:rPr>
            </w:pPr>
            <w:r w:rsidRPr="00FC4F13">
              <w:rPr>
                <w:b/>
                <w:bCs/>
              </w:rPr>
              <w:t>100.00%</w:t>
            </w:r>
          </w:p>
        </w:tc>
        <w:tc>
          <w:tcPr>
            <w:tcW w:w="2180" w:type="dxa"/>
            <w:vAlign w:val="center"/>
          </w:tcPr>
          <w:p w14:paraId="16FBCE2D" w14:textId="49558C0F" w:rsidR="00B02E32" w:rsidRPr="00FC4F13" w:rsidRDefault="00B02E32" w:rsidP="00B02E32">
            <w:pPr>
              <w:spacing w:before="120" w:line="276" w:lineRule="auto"/>
              <w:jc w:val="right"/>
              <w:rPr>
                <w:b/>
                <w:bCs/>
              </w:rPr>
            </w:pPr>
            <w:r w:rsidRPr="00FC4F13">
              <w:rPr>
                <w:b/>
                <w:bCs/>
              </w:rPr>
              <w:t>100.00%</w:t>
            </w:r>
          </w:p>
        </w:tc>
      </w:tr>
    </w:tbl>
    <w:p w14:paraId="684662C1" w14:textId="4139899B" w:rsidR="009C6D51" w:rsidRPr="00FC4F13" w:rsidRDefault="009C6D51" w:rsidP="00B02E32">
      <w:pPr>
        <w:spacing w:before="120" w:after="120" w:line="276" w:lineRule="auto"/>
        <w:jc w:val="both"/>
        <w:rPr>
          <w:lang w:val="sv-SE"/>
        </w:rPr>
      </w:pPr>
      <w:r w:rsidRPr="00FC4F13">
        <w:rPr>
          <w:lang w:val="sv-SE"/>
        </w:rPr>
        <w:t>Danh mục đầu tư được phân bổ theo ngành như sau:</w:t>
      </w:r>
    </w:p>
    <w:tbl>
      <w:tblPr>
        <w:tblW w:w="8325" w:type="dxa"/>
        <w:jc w:val="center"/>
        <w:tblLook w:val="04A0" w:firstRow="1" w:lastRow="0" w:firstColumn="1" w:lastColumn="0" w:noHBand="0" w:noVBand="1"/>
      </w:tblPr>
      <w:tblGrid>
        <w:gridCol w:w="670"/>
        <w:gridCol w:w="3110"/>
        <w:gridCol w:w="1510"/>
        <w:gridCol w:w="1467"/>
        <w:gridCol w:w="1568"/>
      </w:tblGrid>
      <w:tr w:rsidR="00B96570" w:rsidRPr="00B02E32" w14:paraId="09BFBEB6" w14:textId="77777777" w:rsidTr="00531A1E">
        <w:trPr>
          <w:trHeight w:val="270"/>
          <w:jc w:val="center"/>
        </w:trPr>
        <w:tc>
          <w:tcPr>
            <w:tcW w:w="670" w:type="dxa"/>
            <w:tcBorders>
              <w:top w:val="single" w:sz="4" w:space="0" w:color="auto"/>
              <w:left w:val="single" w:sz="4" w:space="0" w:color="auto"/>
              <w:bottom w:val="single" w:sz="4" w:space="0" w:color="auto"/>
              <w:right w:val="single" w:sz="4" w:space="0" w:color="auto"/>
            </w:tcBorders>
          </w:tcPr>
          <w:p w14:paraId="22BB21D7" w14:textId="0434BF7A" w:rsidR="00B96570" w:rsidRPr="00B96570" w:rsidRDefault="00B96570" w:rsidP="00B96570">
            <w:pPr>
              <w:spacing w:line="276" w:lineRule="auto"/>
              <w:jc w:val="center"/>
              <w:rPr>
                <w:b/>
                <w:bCs/>
              </w:rPr>
            </w:pPr>
            <w:r w:rsidRPr="00B96570">
              <w:rPr>
                <w:b/>
                <w:bCs/>
              </w:rPr>
              <w:t>STT</w:t>
            </w:r>
          </w:p>
        </w:tc>
        <w:tc>
          <w:tcPr>
            <w:tcW w:w="3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DFE17" w14:textId="4FF2F492" w:rsidR="00B96570" w:rsidRPr="00B96570" w:rsidRDefault="00B96570" w:rsidP="00B96570">
            <w:pPr>
              <w:spacing w:line="276" w:lineRule="auto"/>
              <w:jc w:val="center"/>
              <w:rPr>
                <w:b/>
                <w:bCs/>
              </w:rPr>
            </w:pPr>
            <w:proofErr w:type="spellStart"/>
            <w:r w:rsidRPr="00B96570">
              <w:rPr>
                <w:b/>
                <w:bCs/>
              </w:rPr>
              <w:t>Ngành</w:t>
            </w:r>
            <w:proofErr w:type="spellEnd"/>
          </w:p>
        </w:tc>
        <w:tc>
          <w:tcPr>
            <w:tcW w:w="1510" w:type="dxa"/>
            <w:tcBorders>
              <w:top w:val="single" w:sz="4" w:space="0" w:color="auto"/>
              <w:left w:val="single" w:sz="4" w:space="0" w:color="auto"/>
              <w:bottom w:val="single" w:sz="4" w:space="0" w:color="auto"/>
              <w:right w:val="single" w:sz="4" w:space="0" w:color="auto"/>
            </w:tcBorders>
          </w:tcPr>
          <w:p w14:paraId="33D968AF" w14:textId="50759694" w:rsidR="00B96570" w:rsidRPr="00B96570" w:rsidRDefault="00B96570" w:rsidP="00B96570">
            <w:pPr>
              <w:spacing w:line="276" w:lineRule="auto"/>
              <w:jc w:val="center"/>
              <w:rPr>
                <w:b/>
                <w:bCs/>
              </w:rPr>
            </w:pPr>
            <w:r w:rsidRPr="00B96570">
              <w:rPr>
                <w:b/>
                <w:bCs/>
              </w:rPr>
              <w:t>31/12/2021</w:t>
            </w:r>
          </w:p>
        </w:tc>
        <w:tc>
          <w:tcPr>
            <w:tcW w:w="1467" w:type="dxa"/>
            <w:tcBorders>
              <w:top w:val="single" w:sz="4" w:space="0" w:color="auto"/>
              <w:left w:val="single" w:sz="4" w:space="0" w:color="auto"/>
              <w:bottom w:val="single" w:sz="4" w:space="0" w:color="auto"/>
              <w:right w:val="single" w:sz="4" w:space="0" w:color="auto"/>
            </w:tcBorders>
          </w:tcPr>
          <w:p w14:paraId="3691E17C" w14:textId="120F04EE" w:rsidR="00B96570" w:rsidRPr="00B96570" w:rsidRDefault="00B96570" w:rsidP="00B96570">
            <w:pPr>
              <w:spacing w:line="276" w:lineRule="auto"/>
              <w:jc w:val="center"/>
              <w:rPr>
                <w:b/>
                <w:bCs/>
              </w:rPr>
            </w:pPr>
            <w:r w:rsidRPr="00B96570">
              <w:rPr>
                <w:b/>
                <w:bCs/>
              </w:rPr>
              <w:t>31/12/2022</w:t>
            </w:r>
          </w:p>
        </w:tc>
        <w:tc>
          <w:tcPr>
            <w:tcW w:w="1568" w:type="dxa"/>
            <w:tcBorders>
              <w:top w:val="single" w:sz="4" w:space="0" w:color="auto"/>
              <w:left w:val="single" w:sz="4" w:space="0" w:color="auto"/>
              <w:bottom w:val="single" w:sz="4" w:space="0" w:color="auto"/>
              <w:right w:val="single" w:sz="4" w:space="0" w:color="auto"/>
            </w:tcBorders>
          </w:tcPr>
          <w:p w14:paraId="15842658" w14:textId="695A3557" w:rsidR="00B96570" w:rsidRPr="00B96570" w:rsidRDefault="00B96570" w:rsidP="00B96570">
            <w:pPr>
              <w:spacing w:line="276" w:lineRule="auto"/>
              <w:jc w:val="center"/>
              <w:rPr>
                <w:b/>
                <w:bCs/>
              </w:rPr>
            </w:pPr>
            <w:r w:rsidRPr="00B96570">
              <w:rPr>
                <w:b/>
                <w:bCs/>
              </w:rPr>
              <w:t>31/12/2023</w:t>
            </w:r>
          </w:p>
        </w:tc>
      </w:tr>
      <w:tr w:rsidR="00B96570" w:rsidRPr="00B02E32" w14:paraId="014AD7B9" w14:textId="77777777" w:rsidTr="000610B4">
        <w:trPr>
          <w:trHeight w:val="270"/>
          <w:jc w:val="center"/>
        </w:trPr>
        <w:tc>
          <w:tcPr>
            <w:tcW w:w="670" w:type="dxa"/>
            <w:tcBorders>
              <w:top w:val="single" w:sz="4" w:space="0" w:color="auto"/>
              <w:left w:val="single" w:sz="4" w:space="0" w:color="auto"/>
              <w:bottom w:val="single" w:sz="4" w:space="0" w:color="auto"/>
              <w:right w:val="single" w:sz="4" w:space="0" w:color="auto"/>
            </w:tcBorders>
          </w:tcPr>
          <w:p w14:paraId="1C03FD33" w14:textId="2A62161A" w:rsidR="00B96570" w:rsidRPr="00B96570" w:rsidRDefault="00B96570" w:rsidP="00B96570">
            <w:pPr>
              <w:spacing w:line="276" w:lineRule="auto"/>
              <w:jc w:val="center"/>
            </w:pPr>
            <w:r w:rsidRPr="00B96570">
              <w:t>1</w:t>
            </w:r>
          </w:p>
        </w:tc>
        <w:tc>
          <w:tcPr>
            <w:tcW w:w="3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54007" w14:textId="038F9BD2" w:rsidR="00B96570" w:rsidRPr="00B96570" w:rsidRDefault="00B96570" w:rsidP="00B96570">
            <w:pPr>
              <w:spacing w:line="276" w:lineRule="auto"/>
            </w:pPr>
            <w:r w:rsidRPr="00B96570">
              <w:t xml:space="preserve">Ngân </w:t>
            </w:r>
            <w:proofErr w:type="spellStart"/>
            <w:r w:rsidRPr="00B96570">
              <w:t>Hàng</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2A4636B8" w14:textId="00F529CA" w:rsidR="00B96570" w:rsidRPr="00B96570" w:rsidRDefault="00B96570" w:rsidP="00B96570">
            <w:pPr>
              <w:spacing w:line="276" w:lineRule="auto"/>
              <w:jc w:val="center"/>
            </w:pPr>
            <w:r w:rsidRPr="00B96570">
              <w:t>38.8</w:t>
            </w:r>
          </w:p>
        </w:tc>
        <w:tc>
          <w:tcPr>
            <w:tcW w:w="1467" w:type="dxa"/>
            <w:tcBorders>
              <w:top w:val="single" w:sz="4" w:space="0" w:color="auto"/>
              <w:left w:val="single" w:sz="4" w:space="0" w:color="auto"/>
              <w:bottom w:val="single" w:sz="4" w:space="0" w:color="auto"/>
              <w:right w:val="single" w:sz="4" w:space="0" w:color="auto"/>
            </w:tcBorders>
            <w:vAlign w:val="bottom"/>
          </w:tcPr>
          <w:p w14:paraId="62ADF314" w14:textId="323688C4" w:rsidR="00B96570" w:rsidRPr="00B96570" w:rsidRDefault="00B96570" w:rsidP="00B96570">
            <w:pPr>
              <w:spacing w:line="276" w:lineRule="auto"/>
              <w:jc w:val="center"/>
            </w:pPr>
            <w:r w:rsidRPr="00B96570">
              <w:t>23.0</w:t>
            </w:r>
          </w:p>
        </w:tc>
        <w:tc>
          <w:tcPr>
            <w:tcW w:w="1568" w:type="dxa"/>
            <w:tcBorders>
              <w:top w:val="single" w:sz="4" w:space="0" w:color="auto"/>
              <w:left w:val="single" w:sz="4" w:space="0" w:color="auto"/>
              <w:bottom w:val="single" w:sz="4" w:space="0" w:color="auto"/>
              <w:right w:val="single" w:sz="4" w:space="0" w:color="auto"/>
            </w:tcBorders>
          </w:tcPr>
          <w:p w14:paraId="465335FC" w14:textId="65C90C85" w:rsidR="00B96570" w:rsidRPr="00B96570" w:rsidRDefault="00B96570" w:rsidP="00B96570">
            <w:pPr>
              <w:spacing w:line="276" w:lineRule="auto"/>
              <w:jc w:val="center"/>
            </w:pPr>
            <w:r w:rsidRPr="00B96570">
              <w:t>26.6</w:t>
            </w:r>
          </w:p>
        </w:tc>
      </w:tr>
      <w:tr w:rsidR="00B96570" w:rsidRPr="00B02E32" w14:paraId="7E4D7953"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2F427926" w14:textId="21A99576" w:rsidR="00B96570" w:rsidRPr="00B96570" w:rsidRDefault="00B96570" w:rsidP="00B96570">
            <w:pPr>
              <w:spacing w:line="276" w:lineRule="auto"/>
              <w:jc w:val="center"/>
            </w:pPr>
            <w:r w:rsidRPr="00B96570">
              <w:t>2</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242E6F57" w14:textId="481AE77F" w:rsidR="00B96570" w:rsidRPr="00B96570" w:rsidRDefault="00B96570" w:rsidP="00B96570">
            <w:pPr>
              <w:spacing w:line="276" w:lineRule="auto"/>
            </w:pPr>
            <w:proofErr w:type="spellStart"/>
            <w:r w:rsidRPr="00B96570">
              <w:t>Tiền</w:t>
            </w:r>
            <w:proofErr w:type="spellEnd"/>
          </w:p>
        </w:tc>
        <w:tc>
          <w:tcPr>
            <w:tcW w:w="1510" w:type="dxa"/>
            <w:tcBorders>
              <w:top w:val="nil"/>
              <w:left w:val="single" w:sz="4" w:space="0" w:color="auto"/>
              <w:bottom w:val="single" w:sz="4" w:space="0" w:color="auto"/>
              <w:right w:val="single" w:sz="4" w:space="0" w:color="auto"/>
            </w:tcBorders>
            <w:vAlign w:val="bottom"/>
          </w:tcPr>
          <w:p w14:paraId="247214FE" w14:textId="04CEB061" w:rsidR="00B96570" w:rsidRPr="00B96570" w:rsidRDefault="00B96570" w:rsidP="00B96570">
            <w:pPr>
              <w:spacing w:line="276" w:lineRule="auto"/>
              <w:jc w:val="center"/>
            </w:pPr>
            <w:r w:rsidRPr="00B96570">
              <w:t>0.7</w:t>
            </w:r>
          </w:p>
        </w:tc>
        <w:tc>
          <w:tcPr>
            <w:tcW w:w="1467" w:type="dxa"/>
            <w:tcBorders>
              <w:top w:val="nil"/>
              <w:left w:val="single" w:sz="4" w:space="0" w:color="auto"/>
              <w:bottom w:val="single" w:sz="4" w:space="0" w:color="auto"/>
              <w:right w:val="single" w:sz="4" w:space="0" w:color="auto"/>
            </w:tcBorders>
            <w:vAlign w:val="bottom"/>
          </w:tcPr>
          <w:p w14:paraId="479C0ED4" w14:textId="2A617A5B" w:rsidR="00B96570" w:rsidRPr="00B96570" w:rsidRDefault="00B96570" w:rsidP="00B96570">
            <w:pPr>
              <w:spacing w:line="276" w:lineRule="auto"/>
              <w:jc w:val="center"/>
            </w:pPr>
            <w:r w:rsidRPr="00B96570">
              <w:t>0.7</w:t>
            </w:r>
          </w:p>
        </w:tc>
        <w:tc>
          <w:tcPr>
            <w:tcW w:w="1568" w:type="dxa"/>
            <w:tcBorders>
              <w:top w:val="nil"/>
              <w:left w:val="single" w:sz="4" w:space="0" w:color="auto"/>
              <w:bottom w:val="single" w:sz="4" w:space="0" w:color="auto"/>
              <w:right w:val="single" w:sz="4" w:space="0" w:color="auto"/>
            </w:tcBorders>
          </w:tcPr>
          <w:p w14:paraId="48F1C633" w14:textId="244D10B0" w:rsidR="00B96570" w:rsidRPr="00B96570" w:rsidRDefault="00B96570" w:rsidP="00B96570">
            <w:pPr>
              <w:spacing w:line="276" w:lineRule="auto"/>
              <w:jc w:val="center"/>
            </w:pPr>
            <w:r w:rsidRPr="00B96570">
              <w:t>2.1</w:t>
            </w:r>
          </w:p>
        </w:tc>
      </w:tr>
      <w:tr w:rsidR="00B96570" w:rsidRPr="00B02E32" w14:paraId="5537FFB8"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7D346D72" w14:textId="1D468A98" w:rsidR="00B96570" w:rsidRPr="00B96570" w:rsidRDefault="00B96570" w:rsidP="00B96570">
            <w:pPr>
              <w:spacing w:line="276" w:lineRule="auto"/>
              <w:jc w:val="center"/>
            </w:pPr>
            <w:r w:rsidRPr="00B96570">
              <w:t>3</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5F5797D6" w14:textId="40F26FC5" w:rsidR="00B96570" w:rsidRPr="00B96570" w:rsidRDefault="00B96570" w:rsidP="00B96570">
            <w:pPr>
              <w:spacing w:line="276" w:lineRule="auto"/>
            </w:pPr>
            <w:proofErr w:type="spellStart"/>
            <w:r w:rsidRPr="00B96570">
              <w:t>Chứng</w:t>
            </w:r>
            <w:proofErr w:type="spellEnd"/>
            <w:r w:rsidRPr="00B96570">
              <w:t xml:space="preserve"> </w:t>
            </w:r>
            <w:proofErr w:type="spellStart"/>
            <w:r w:rsidRPr="00B96570">
              <w:t>khoán</w:t>
            </w:r>
            <w:proofErr w:type="spellEnd"/>
            <w:r w:rsidRPr="00B96570">
              <w:t xml:space="preserve"> </w:t>
            </w:r>
            <w:proofErr w:type="spellStart"/>
            <w:r w:rsidRPr="00B96570">
              <w:t>nợ</w:t>
            </w:r>
            <w:proofErr w:type="spellEnd"/>
          </w:p>
        </w:tc>
        <w:tc>
          <w:tcPr>
            <w:tcW w:w="1510" w:type="dxa"/>
            <w:tcBorders>
              <w:top w:val="nil"/>
              <w:left w:val="single" w:sz="4" w:space="0" w:color="auto"/>
              <w:bottom w:val="single" w:sz="4" w:space="0" w:color="auto"/>
              <w:right w:val="single" w:sz="4" w:space="0" w:color="auto"/>
            </w:tcBorders>
            <w:vAlign w:val="bottom"/>
          </w:tcPr>
          <w:p w14:paraId="3E68DC76" w14:textId="0C073290" w:rsidR="00B96570" w:rsidRPr="00B96570" w:rsidRDefault="00B96570" w:rsidP="00B96570">
            <w:pPr>
              <w:spacing w:line="276" w:lineRule="auto"/>
              <w:jc w:val="center"/>
            </w:pPr>
            <w:r w:rsidRPr="00B96570">
              <w:t>0.0</w:t>
            </w:r>
          </w:p>
        </w:tc>
        <w:tc>
          <w:tcPr>
            <w:tcW w:w="1467" w:type="dxa"/>
            <w:tcBorders>
              <w:top w:val="nil"/>
              <w:left w:val="single" w:sz="4" w:space="0" w:color="auto"/>
              <w:bottom w:val="single" w:sz="4" w:space="0" w:color="auto"/>
              <w:right w:val="single" w:sz="4" w:space="0" w:color="auto"/>
            </w:tcBorders>
            <w:vAlign w:val="bottom"/>
          </w:tcPr>
          <w:p w14:paraId="57DE6E09" w14:textId="1F87C3BA" w:rsidR="00B96570" w:rsidRPr="00B96570" w:rsidRDefault="00B96570" w:rsidP="00B96570">
            <w:pPr>
              <w:spacing w:line="276" w:lineRule="auto"/>
              <w:jc w:val="center"/>
            </w:pPr>
            <w:r w:rsidRPr="00B96570">
              <w:t>0.0</w:t>
            </w:r>
          </w:p>
        </w:tc>
        <w:tc>
          <w:tcPr>
            <w:tcW w:w="1568" w:type="dxa"/>
            <w:tcBorders>
              <w:top w:val="nil"/>
              <w:left w:val="single" w:sz="4" w:space="0" w:color="auto"/>
              <w:bottom w:val="single" w:sz="4" w:space="0" w:color="auto"/>
              <w:right w:val="single" w:sz="4" w:space="0" w:color="auto"/>
            </w:tcBorders>
          </w:tcPr>
          <w:p w14:paraId="0B3040F0" w14:textId="78F0973C" w:rsidR="00B96570" w:rsidRPr="00B96570" w:rsidRDefault="00B96570" w:rsidP="00B96570">
            <w:pPr>
              <w:spacing w:line="276" w:lineRule="auto"/>
              <w:jc w:val="center"/>
            </w:pPr>
            <w:r w:rsidRPr="00B96570">
              <w:t>0.0</w:t>
            </w:r>
          </w:p>
        </w:tc>
      </w:tr>
      <w:tr w:rsidR="00B96570" w:rsidRPr="00B02E32" w14:paraId="57526824"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605A0916" w14:textId="714DFBB2" w:rsidR="00B96570" w:rsidRPr="00B96570" w:rsidRDefault="00B96570" w:rsidP="00B96570">
            <w:pPr>
              <w:spacing w:line="276" w:lineRule="auto"/>
              <w:jc w:val="center"/>
            </w:pPr>
            <w:r w:rsidRPr="00B96570">
              <w:t>4</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791B89A0" w14:textId="273321A5" w:rsidR="00B96570" w:rsidRPr="00B96570" w:rsidRDefault="00B96570" w:rsidP="00B96570">
            <w:pPr>
              <w:spacing w:line="276" w:lineRule="auto"/>
            </w:pPr>
            <w:proofErr w:type="spellStart"/>
            <w:r w:rsidRPr="00B96570">
              <w:t>Bất</w:t>
            </w:r>
            <w:proofErr w:type="spellEnd"/>
            <w:r w:rsidRPr="00B96570">
              <w:t xml:space="preserve"> </w:t>
            </w:r>
            <w:proofErr w:type="spellStart"/>
            <w:r w:rsidRPr="00B96570">
              <w:t>Động</w:t>
            </w:r>
            <w:proofErr w:type="spellEnd"/>
            <w:r w:rsidRPr="00B96570">
              <w:t xml:space="preserve"> </w:t>
            </w:r>
            <w:proofErr w:type="spellStart"/>
            <w:r w:rsidRPr="00B96570">
              <w:t>Sản</w:t>
            </w:r>
            <w:proofErr w:type="spellEnd"/>
          </w:p>
        </w:tc>
        <w:tc>
          <w:tcPr>
            <w:tcW w:w="1510" w:type="dxa"/>
            <w:tcBorders>
              <w:top w:val="nil"/>
              <w:left w:val="single" w:sz="4" w:space="0" w:color="auto"/>
              <w:bottom w:val="single" w:sz="4" w:space="0" w:color="auto"/>
              <w:right w:val="single" w:sz="4" w:space="0" w:color="auto"/>
            </w:tcBorders>
            <w:vAlign w:val="bottom"/>
          </w:tcPr>
          <w:p w14:paraId="307BA9E6" w14:textId="2E595A88" w:rsidR="00B96570" w:rsidRPr="00B96570" w:rsidRDefault="00B96570" w:rsidP="00B96570">
            <w:pPr>
              <w:spacing w:line="276" w:lineRule="auto"/>
              <w:jc w:val="center"/>
            </w:pPr>
            <w:r w:rsidRPr="00B96570">
              <w:t>5.9</w:t>
            </w:r>
          </w:p>
        </w:tc>
        <w:tc>
          <w:tcPr>
            <w:tcW w:w="1467" w:type="dxa"/>
            <w:tcBorders>
              <w:top w:val="nil"/>
              <w:left w:val="single" w:sz="4" w:space="0" w:color="auto"/>
              <w:bottom w:val="single" w:sz="4" w:space="0" w:color="auto"/>
              <w:right w:val="single" w:sz="4" w:space="0" w:color="auto"/>
            </w:tcBorders>
            <w:vAlign w:val="bottom"/>
          </w:tcPr>
          <w:p w14:paraId="1331B041" w14:textId="65032CE3" w:rsidR="00B96570" w:rsidRPr="00B96570" w:rsidRDefault="00B96570" w:rsidP="00B96570">
            <w:pPr>
              <w:spacing w:line="276" w:lineRule="auto"/>
              <w:jc w:val="center"/>
            </w:pPr>
            <w:r w:rsidRPr="00B96570">
              <w:t>5.9</w:t>
            </w:r>
          </w:p>
        </w:tc>
        <w:tc>
          <w:tcPr>
            <w:tcW w:w="1568" w:type="dxa"/>
            <w:tcBorders>
              <w:top w:val="nil"/>
              <w:left w:val="single" w:sz="4" w:space="0" w:color="auto"/>
              <w:bottom w:val="single" w:sz="4" w:space="0" w:color="auto"/>
              <w:right w:val="single" w:sz="4" w:space="0" w:color="auto"/>
            </w:tcBorders>
          </w:tcPr>
          <w:p w14:paraId="74435CF7" w14:textId="6D401AA8" w:rsidR="00B96570" w:rsidRPr="00B96570" w:rsidRDefault="00B96570" w:rsidP="00B96570">
            <w:pPr>
              <w:spacing w:line="276" w:lineRule="auto"/>
              <w:jc w:val="center"/>
            </w:pPr>
            <w:r w:rsidRPr="00B96570">
              <w:t>14.4</w:t>
            </w:r>
          </w:p>
        </w:tc>
      </w:tr>
      <w:tr w:rsidR="00B96570" w:rsidRPr="00B02E32" w14:paraId="10F5596E"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0F720306" w14:textId="22C6D6F1" w:rsidR="00B96570" w:rsidRPr="00B96570" w:rsidRDefault="00B96570" w:rsidP="00B96570">
            <w:pPr>
              <w:spacing w:line="276" w:lineRule="auto"/>
              <w:jc w:val="center"/>
            </w:pPr>
            <w:r w:rsidRPr="00B96570">
              <w:t>5</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23EABDC5" w14:textId="03A5FAC6" w:rsidR="00B96570" w:rsidRPr="00B96570" w:rsidRDefault="00B96570" w:rsidP="00B96570">
            <w:pPr>
              <w:spacing w:line="276" w:lineRule="auto"/>
            </w:pPr>
            <w:proofErr w:type="spellStart"/>
            <w:r w:rsidRPr="00B96570">
              <w:t>Chứng</w:t>
            </w:r>
            <w:proofErr w:type="spellEnd"/>
            <w:r w:rsidRPr="00B96570">
              <w:t xml:space="preserve"> </w:t>
            </w:r>
            <w:proofErr w:type="spellStart"/>
            <w:r w:rsidRPr="00B96570">
              <w:t>khoán</w:t>
            </w:r>
            <w:proofErr w:type="spellEnd"/>
          </w:p>
        </w:tc>
        <w:tc>
          <w:tcPr>
            <w:tcW w:w="1510" w:type="dxa"/>
            <w:tcBorders>
              <w:top w:val="nil"/>
              <w:left w:val="single" w:sz="4" w:space="0" w:color="auto"/>
              <w:bottom w:val="single" w:sz="4" w:space="0" w:color="auto"/>
              <w:right w:val="single" w:sz="4" w:space="0" w:color="auto"/>
            </w:tcBorders>
            <w:vAlign w:val="bottom"/>
          </w:tcPr>
          <w:p w14:paraId="7F7EF811" w14:textId="2F22641A" w:rsidR="00B96570" w:rsidRPr="00B96570" w:rsidRDefault="00B96570" w:rsidP="00B96570">
            <w:pPr>
              <w:spacing w:line="276" w:lineRule="auto"/>
              <w:jc w:val="center"/>
            </w:pPr>
            <w:r w:rsidRPr="00B96570">
              <w:t>6.2</w:t>
            </w:r>
          </w:p>
        </w:tc>
        <w:tc>
          <w:tcPr>
            <w:tcW w:w="1467" w:type="dxa"/>
            <w:tcBorders>
              <w:top w:val="nil"/>
              <w:left w:val="single" w:sz="4" w:space="0" w:color="auto"/>
              <w:bottom w:val="single" w:sz="4" w:space="0" w:color="auto"/>
              <w:right w:val="single" w:sz="4" w:space="0" w:color="auto"/>
            </w:tcBorders>
            <w:vAlign w:val="bottom"/>
          </w:tcPr>
          <w:p w14:paraId="44FFABA5" w14:textId="6E478A18" w:rsidR="00B96570" w:rsidRPr="00B96570" w:rsidRDefault="00B96570" w:rsidP="00B96570">
            <w:pPr>
              <w:spacing w:line="276" w:lineRule="auto"/>
              <w:jc w:val="center"/>
            </w:pPr>
            <w:r w:rsidRPr="00B96570">
              <w:t>2.5</w:t>
            </w:r>
          </w:p>
        </w:tc>
        <w:tc>
          <w:tcPr>
            <w:tcW w:w="1568" w:type="dxa"/>
            <w:tcBorders>
              <w:top w:val="nil"/>
              <w:left w:val="single" w:sz="4" w:space="0" w:color="auto"/>
              <w:bottom w:val="single" w:sz="4" w:space="0" w:color="auto"/>
              <w:right w:val="single" w:sz="4" w:space="0" w:color="auto"/>
            </w:tcBorders>
          </w:tcPr>
          <w:p w14:paraId="1F68C25E" w14:textId="425672C2" w:rsidR="00B96570" w:rsidRPr="00B96570" w:rsidRDefault="00B96570" w:rsidP="00B96570">
            <w:pPr>
              <w:spacing w:line="276" w:lineRule="auto"/>
              <w:jc w:val="center"/>
            </w:pPr>
            <w:r w:rsidRPr="00B96570">
              <w:t>7.2</w:t>
            </w:r>
          </w:p>
        </w:tc>
      </w:tr>
      <w:tr w:rsidR="00B96570" w:rsidRPr="00B02E32" w14:paraId="256F0FE5"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2F749D2A" w14:textId="26516B06" w:rsidR="00B96570" w:rsidRPr="00B96570" w:rsidRDefault="00B96570" w:rsidP="00B96570">
            <w:pPr>
              <w:spacing w:line="276" w:lineRule="auto"/>
              <w:jc w:val="center"/>
            </w:pPr>
            <w:r w:rsidRPr="00B96570">
              <w:t>6</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27BE23AF" w14:textId="7FAC3DAB" w:rsidR="00B96570" w:rsidRPr="00B96570" w:rsidRDefault="00B96570" w:rsidP="00B96570">
            <w:pPr>
              <w:spacing w:line="276" w:lineRule="auto"/>
            </w:pPr>
            <w:proofErr w:type="spellStart"/>
            <w:r w:rsidRPr="00B96570">
              <w:t>Vật</w:t>
            </w:r>
            <w:proofErr w:type="spellEnd"/>
            <w:r w:rsidRPr="00B96570">
              <w:t xml:space="preserve"> Liệu</w:t>
            </w:r>
          </w:p>
        </w:tc>
        <w:tc>
          <w:tcPr>
            <w:tcW w:w="1510" w:type="dxa"/>
            <w:tcBorders>
              <w:top w:val="nil"/>
              <w:left w:val="single" w:sz="4" w:space="0" w:color="auto"/>
              <w:bottom w:val="single" w:sz="4" w:space="0" w:color="auto"/>
              <w:right w:val="single" w:sz="4" w:space="0" w:color="auto"/>
            </w:tcBorders>
            <w:vAlign w:val="bottom"/>
          </w:tcPr>
          <w:p w14:paraId="446BB8BB" w14:textId="1BF00074" w:rsidR="00B96570" w:rsidRPr="00B96570" w:rsidRDefault="00B96570" w:rsidP="00B96570">
            <w:pPr>
              <w:spacing w:line="276" w:lineRule="auto"/>
              <w:jc w:val="center"/>
            </w:pPr>
            <w:r w:rsidRPr="00B96570">
              <w:t>8.4</w:t>
            </w:r>
          </w:p>
        </w:tc>
        <w:tc>
          <w:tcPr>
            <w:tcW w:w="1467" w:type="dxa"/>
            <w:tcBorders>
              <w:top w:val="nil"/>
              <w:left w:val="single" w:sz="4" w:space="0" w:color="auto"/>
              <w:bottom w:val="single" w:sz="4" w:space="0" w:color="auto"/>
              <w:right w:val="single" w:sz="4" w:space="0" w:color="auto"/>
            </w:tcBorders>
            <w:vAlign w:val="bottom"/>
          </w:tcPr>
          <w:p w14:paraId="739AB4B3" w14:textId="0E941E10" w:rsidR="00B96570" w:rsidRPr="00B96570" w:rsidRDefault="00B96570" w:rsidP="00B96570">
            <w:pPr>
              <w:spacing w:line="276" w:lineRule="auto"/>
              <w:jc w:val="center"/>
            </w:pPr>
            <w:r w:rsidRPr="00B96570">
              <w:t>8.4</w:t>
            </w:r>
          </w:p>
        </w:tc>
        <w:tc>
          <w:tcPr>
            <w:tcW w:w="1568" w:type="dxa"/>
            <w:tcBorders>
              <w:top w:val="nil"/>
              <w:left w:val="single" w:sz="4" w:space="0" w:color="auto"/>
              <w:bottom w:val="single" w:sz="4" w:space="0" w:color="auto"/>
              <w:right w:val="single" w:sz="4" w:space="0" w:color="auto"/>
            </w:tcBorders>
          </w:tcPr>
          <w:p w14:paraId="11131DE8" w14:textId="5A377D03" w:rsidR="00B96570" w:rsidRPr="00B96570" w:rsidRDefault="00B96570" w:rsidP="00B96570">
            <w:pPr>
              <w:spacing w:line="276" w:lineRule="auto"/>
              <w:jc w:val="center"/>
            </w:pPr>
            <w:r w:rsidRPr="00B96570">
              <w:t>16.0</w:t>
            </w:r>
          </w:p>
        </w:tc>
      </w:tr>
      <w:tr w:rsidR="00B96570" w:rsidRPr="00B02E32" w14:paraId="1F715A65"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30C18A07" w14:textId="7AF8BCAB" w:rsidR="00B96570" w:rsidRPr="00B96570" w:rsidRDefault="00B96570" w:rsidP="00B96570">
            <w:pPr>
              <w:spacing w:line="276" w:lineRule="auto"/>
              <w:jc w:val="center"/>
            </w:pPr>
            <w:r w:rsidRPr="00B96570">
              <w:t>7</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0BD8ED1D" w14:textId="281E5C25" w:rsidR="00B96570" w:rsidRPr="00B96570" w:rsidRDefault="00B96570" w:rsidP="00B96570">
            <w:pPr>
              <w:spacing w:line="276" w:lineRule="auto"/>
            </w:pPr>
            <w:r w:rsidRPr="00B96570">
              <w:t xml:space="preserve">Bán </w:t>
            </w:r>
            <w:proofErr w:type="spellStart"/>
            <w:r w:rsidRPr="00B96570">
              <w:t>lẻ</w:t>
            </w:r>
            <w:proofErr w:type="spellEnd"/>
          </w:p>
        </w:tc>
        <w:tc>
          <w:tcPr>
            <w:tcW w:w="1510" w:type="dxa"/>
            <w:tcBorders>
              <w:top w:val="nil"/>
              <w:left w:val="single" w:sz="4" w:space="0" w:color="auto"/>
              <w:bottom w:val="single" w:sz="4" w:space="0" w:color="auto"/>
              <w:right w:val="single" w:sz="4" w:space="0" w:color="auto"/>
            </w:tcBorders>
            <w:vAlign w:val="bottom"/>
          </w:tcPr>
          <w:p w14:paraId="1C0D185A" w14:textId="372DC3DC" w:rsidR="00B96570" w:rsidRPr="00B96570" w:rsidRDefault="00B96570" w:rsidP="00B96570">
            <w:pPr>
              <w:spacing w:line="276" w:lineRule="auto"/>
              <w:jc w:val="center"/>
            </w:pPr>
            <w:r w:rsidRPr="00B96570">
              <w:t>20.5</w:t>
            </w:r>
          </w:p>
        </w:tc>
        <w:tc>
          <w:tcPr>
            <w:tcW w:w="1467" w:type="dxa"/>
            <w:tcBorders>
              <w:top w:val="nil"/>
              <w:left w:val="single" w:sz="4" w:space="0" w:color="auto"/>
              <w:bottom w:val="single" w:sz="4" w:space="0" w:color="auto"/>
              <w:right w:val="single" w:sz="4" w:space="0" w:color="auto"/>
            </w:tcBorders>
            <w:vAlign w:val="bottom"/>
          </w:tcPr>
          <w:p w14:paraId="3D6BEB9E" w14:textId="5D8117A0" w:rsidR="00B96570" w:rsidRPr="00B96570" w:rsidRDefault="00B96570" w:rsidP="00B96570">
            <w:pPr>
              <w:spacing w:line="276" w:lineRule="auto"/>
              <w:jc w:val="center"/>
            </w:pPr>
            <w:r w:rsidRPr="00B96570">
              <w:t>29.9</w:t>
            </w:r>
          </w:p>
        </w:tc>
        <w:tc>
          <w:tcPr>
            <w:tcW w:w="1568" w:type="dxa"/>
            <w:tcBorders>
              <w:top w:val="nil"/>
              <w:left w:val="single" w:sz="4" w:space="0" w:color="auto"/>
              <w:bottom w:val="single" w:sz="4" w:space="0" w:color="auto"/>
              <w:right w:val="single" w:sz="4" w:space="0" w:color="auto"/>
            </w:tcBorders>
          </w:tcPr>
          <w:p w14:paraId="703AEBB4" w14:textId="54F1D516" w:rsidR="00B96570" w:rsidRPr="00B96570" w:rsidRDefault="00B96570" w:rsidP="00B96570">
            <w:pPr>
              <w:spacing w:line="276" w:lineRule="auto"/>
              <w:jc w:val="center"/>
            </w:pPr>
            <w:r w:rsidRPr="00B96570">
              <w:t>14.5</w:t>
            </w:r>
          </w:p>
        </w:tc>
      </w:tr>
      <w:tr w:rsidR="00B96570" w:rsidRPr="00B02E32" w14:paraId="4F3075B4"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5AA58DDC" w14:textId="7BEBB395" w:rsidR="00B96570" w:rsidRPr="00B96570" w:rsidRDefault="00B96570" w:rsidP="00B96570">
            <w:pPr>
              <w:spacing w:line="276" w:lineRule="auto"/>
              <w:jc w:val="center"/>
            </w:pPr>
            <w:r w:rsidRPr="00B96570">
              <w:t>8</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1C402177" w14:textId="12109875" w:rsidR="00B96570" w:rsidRPr="00B96570" w:rsidRDefault="00B96570" w:rsidP="00B96570">
            <w:pPr>
              <w:spacing w:line="276" w:lineRule="auto"/>
            </w:pPr>
            <w:proofErr w:type="spellStart"/>
            <w:r w:rsidRPr="00B96570">
              <w:t>Dệt</w:t>
            </w:r>
            <w:proofErr w:type="spellEnd"/>
            <w:r w:rsidRPr="00B96570">
              <w:t xml:space="preserve"> May &amp; </w:t>
            </w:r>
            <w:proofErr w:type="spellStart"/>
            <w:r w:rsidRPr="00B96570">
              <w:t>Thiết</w:t>
            </w:r>
            <w:proofErr w:type="spellEnd"/>
            <w:r w:rsidRPr="00B96570">
              <w:t xml:space="preserve"> </w:t>
            </w:r>
            <w:proofErr w:type="spellStart"/>
            <w:r w:rsidRPr="00B96570">
              <w:t>Bị</w:t>
            </w:r>
            <w:proofErr w:type="spellEnd"/>
            <w:r w:rsidRPr="00B96570">
              <w:t xml:space="preserve"> </w:t>
            </w:r>
            <w:proofErr w:type="spellStart"/>
            <w:r w:rsidRPr="00B96570">
              <w:t>Tiêu</w:t>
            </w:r>
            <w:proofErr w:type="spellEnd"/>
            <w:r w:rsidRPr="00B96570">
              <w:t xml:space="preserve"> </w:t>
            </w:r>
            <w:proofErr w:type="spellStart"/>
            <w:r w:rsidRPr="00B96570">
              <w:t>Dùng</w:t>
            </w:r>
            <w:proofErr w:type="spellEnd"/>
          </w:p>
        </w:tc>
        <w:tc>
          <w:tcPr>
            <w:tcW w:w="1510" w:type="dxa"/>
            <w:tcBorders>
              <w:top w:val="nil"/>
              <w:left w:val="single" w:sz="4" w:space="0" w:color="auto"/>
              <w:bottom w:val="single" w:sz="4" w:space="0" w:color="auto"/>
              <w:right w:val="single" w:sz="4" w:space="0" w:color="auto"/>
            </w:tcBorders>
            <w:vAlign w:val="bottom"/>
          </w:tcPr>
          <w:p w14:paraId="6350A553" w14:textId="48745E43" w:rsidR="00B96570" w:rsidRPr="00B96570" w:rsidRDefault="00B96570" w:rsidP="00B96570">
            <w:pPr>
              <w:spacing w:line="276" w:lineRule="auto"/>
              <w:jc w:val="center"/>
            </w:pPr>
            <w:r w:rsidRPr="00B96570">
              <w:t>0.0</w:t>
            </w:r>
          </w:p>
        </w:tc>
        <w:tc>
          <w:tcPr>
            <w:tcW w:w="1467" w:type="dxa"/>
            <w:tcBorders>
              <w:top w:val="nil"/>
              <w:left w:val="single" w:sz="4" w:space="0" w:color="auto"/>
              <w:bottom w:val="single" w:sz="4" w:space="0" w:color="auto"/>
              <w:right w:val="single" w:sz="4" w:space="0" w:color="auto"/>
            </w:tcBorders>
            <w:vAlign w:val="bottom"/>
          </w:tcPr>
          <w:p w14:paraId="27E34BDA" w14:textId="46D53A53" w:rsidR="00B96570" w:rsidRPr="00B96570" w:rsidRDefault="00B96570" w:rsidP="00B96570">
            <w:pPr>
              <w:spacing w:line="276" w:lineRule="auto"/>
              <w:jc w:val="center"/>
            </w:pPr>
            <w:r w:rsidRPr="00B96570">
              <w:t>0.0</w:t>
            </w:r>
          </w:p>
        </w:tc>
        <w:tc>
          <w:tcPr>
            <w:tcW w:w="1568" w:type="dxa"/>
            <w:tcBorders>
              <w:top w:val="nil"/>
              <w:left w:val="single" w:sz="4" w:space="0" w:color="auto"/>
              <w:bottom w:val="single" w:sz="4" w:space="0" w:color="auto"/>
              <w:right w:val="single" w:sz="4" w:space="0" w:color="auto"/>
            </w:tcBorders>
          </w:tcPr>
          <w:p w14:paraId="55E1B6D9" w14:textId="0127AB76" w:rsidR="00B96570" w:rsidRPr="00B96570" w:rsidRDefault="00B96570" w:rsidP="00B96570">
            <w:pPr>
              <w:spacing w:line="276" w:lineRule="auto"/>
              <w:jc w:val="center"/>
            </w:pPr>
            <w:r w:rsidRPr="00B96570">
              <w:t>0.0</w:t>
            </w:r>
          </w:p>
        </w:tc>
      </w:tr>
      <w:tr w:rsidR="00B96570" w:rsidRPr="00B02E32" w14:paraId="6BAD26C0"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11205030" w14:textId="3E251DDE" w:rsidR="00B96570" w:rsidRPr="00B96570" w:rsidRDefault="00B96570" w:rsidP="00B96570">
            <w:pPr>
              <w:spacing w:line="276" w:lineRule="auto"/>
              <w:jc w:val="center"/>
            </w:pPr>
            <w:r w:rsidRPr="00B96570">
              <w:t>9</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1FB0F417" w14:textId="25D32FC0" w:rsidR="00B96570" w:rsidRPr="00B96570" w:rsidRDefault="00B96570" w:rsidP="00B96570">
            <w:pPr>
              <w:spacing w:line="276" w:lineRule="auto"/>
            </w:pPr>
            <w:proofErr w:type="spellStart"/>
            <w:r w:rsidRPr="00B96570">
              <w:t>Hàng</w:t>
            </w:r>
            <w:proofErr w:type="spellEnd"/>
            <w:r w:rsidRPr="00B96570">
              <w:t xml:space="preserve"> </w:t>
            </w:r>
            <w:proofErr w:type="spellStart"/>
            <w:r w:rsidRPr="00B96570">
              <w:t>Hóa</w:t>
            </w:r>
            <w:proofErr w:type="spellEnd"/>
            <w:r w:rsidRPr="00B96570">
              <w:t xml:space="preserve"> Công </w:t>
            </w:r>
            <w:proofErr w:type="spellStart"/>
            <w:r w:rsidRPr="00B96570">
              <w:t>Nghiệp</w:t>
            </w:r>
            <w:proofErr w:type="spellEnd"/>
          </w:p>
        </w:tc>
        <w:tc>
          <w:tcPr>
            <w:tcW w:w="1510" w:type="dxa"/>
            <w:tcBorders>
              <w:top w:val="nil"/>
              <w:left w:val="single" w:sz="4" w:space="0" w:color="auto"/>
              <w:bottom w:val="single" w:sz="4" w:space="0" w:color="auto"/>
              <w:right w:val="single" w:sz="4" w:space="0" w:color="auto"/>
            </w:tcBorders>
            <w:vAlign w:val="bottom"/>
          </w:tcPr>
          <w:p w14:paraId="6290E81A" w14:textId="5256D3EF" w:rsidR="00B96570" w:rsidRPr="00B96570" w:rsidRDefault="00B96570" w:rsidP="00B96570">
            <w:pPr>
              <w:spacing w:line="276" w:lineRule="auto"/>
              <w:jc w:val="center"/>
            </w:pPr>
            <w:r w:rsidRPr="00B96570">
              <w:t>0.0</w:t>
            </w:r>
          </w:p>
        </w:tc>
        <w:tc>
          <w:tcPr>
            <w:tcW w:w="1467" w:type="dxa"/>
            <w:tcBorders>
              <w:top w:val="nil"/>
              <w:left w:val="single" w:sz="4" w:space="0" w:color="auto"/>
              <w:bottom w:val="single" w:sz="4" w:space="0" w:color="auto"/>
              <w:right w:val="single" w:sz="4" w:space="0" w:color="auto"/>
            </w:tcBorders>
            <w:vAlign w:val="bottom"/>
          </w:tcPr>
          <w:p w14:paraId="6C250DCD" w14:textId="647DFBD9" w:rsidR="00B96570" w:rsidRPr="00B96570" w:rsidRDefault="00B96570" w:rsidP="00B96570">
            <w:pPr>
              <w:spacing w:line="276" w:lineRule="auto"/>
              <w:jc w:val="center"/>
            </w:pPr>
            <w:r w:rsidRPr="00B96570">
              <w:t>0.0</w:t>
            </w:r>
          </w:p>
        </w:tc>
        <w:tc>
          <w:tcPr>
            <w:tcW w:w="1568" w:type="dxa"/>
            <w:tcBorders>
              <w:top w:val="nil"/>
              <w:left w:val="single" w:sz="4" w:space="0" w:color="auto"/>
              <w:bottom w:val="single" w:sz="4" w:space="0" w:color="auto"/>
              <w:right w:val="single" w:sz="4" w:space="0" w:color="auto"/>
            </w:tcBorders>
          </w:tcPr>
          <w:p w14:paraId="648F61F0" w14:textId="663BE0BB" w:rsidR="00B96570" w:rsidRPr="00B96570" w:rsidRDefault="00B96570" w:rsidP="00B96570">
            <w:pPr>
              <w:spacing w:line="276" w:lineRule="auto"/>
              <w:jc w:val="center"/>
            </w:pPr>
            <w:r w:rsidRPr="00B96570">
              <w:t>0.0</w:t>
            </w:r>
          </w:p>
        </w:tc>
      </w:tr>
      <w:tr w:rsidR="00B96570" w:rsidRPr="00B02E32" w14:paraId="54CE1A1A"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6CB48989" w14:textId="257D29B6" w:rsidR="00B96570" w:rsidRPr="00B96570" w:rsidRDefault="00B96570" w:rsidP="00B96570">
            <w:pPr>
              <w:spacing w:line="276" w:lineRule="auto"/>
              <w:jc w:val="center"/>
            </w:pPr>
            <w:r w:rsidRPr="00B96570">
              <w:t>10</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650D3B49" w14:textId="5AC39E5B" w:rsidR="00B96570" w:rsidRPr="00B96570" w:rsidRDefault="00B96570" w:rsidP="00B96570">
            <w:pPr>
              <w:spacing w:line="276" w:lineRule="auto"/>
            </w:pPr>
            <w:proofErr w:type="spellStart"/>
            <w:r w:rsidRPr="00B96570">
              <w:t>Vận</w:t>
            </w:r>
            <w:proofErr w:type="spellEnd"/>
            <w:r w:rsidRPr="00B96570">
              <w:t xml:space="preserve"> </w:t>
            </w:r>
            <w:proofErr w:type="spellStart"/>
            <w:r w:rsidRPr="00B96570">
              <w:t>Tải</w:t>
            </w:r>
            <w:proofErr w:type="spellEnd"/>
          </w:p>
        </w:tc>
        <w:tc>
          <w:tcPr>
            <w:tcW w:w="1510" w:type="dxa"/>
            <w:tcBorders>
              <w:top w:val="nil"/>
              <w:left w:val="single" w:sz="4" w:space="0" w:color="auto"/>
              <w:bottom w:val="single" w:sz="4" w:space="0" w:color="auto"/>
              <w:right w:val="single" w:sz="4" w:space="0" w:color="auto"/>
            </w:tcBorders>
            <w:vAlign w:val="bottom"/>
          </w:tcPr>
          <w:p w14:paraId="47A85CB9" w14:textId="75A9A9BF" w:rsidR="00B96570" w:rsidRPr="00B96570" w:rsidRDefault="00B96570" w:rsidP="00B96570">
            <w:pPr>
              <w:spacing w:line="276" w:lineRule="auto"/>
              <w:jc w:val="center"/>
            </w:pPr>
            <w:r w:rsidRPr="00B96570">
              <w:t>0.8</w:t>
            </w:r>
          </w:p>
        </w:tc>
        <w:tc>
          <w:tcPr>
            <w:tcW w:w="1467" w:type="dxa"/>
            <w:tcBorders>
              <w:top w:val="nil"/>
              <w:left w:val="single" w:sz="4" w:space="0" w:color="auto"/>
              <w:bottom w:val="single" w:sz="4" w:space="0" w:color="auto"/>
              <w:right w:val="single" w:sz="4" w:space="0" w:color="auto"/>
            </w:tcBorders>
            <w:vAlign w:val="bottom"/>
          </w:tcPr>
          <w:p w14:paraId="20FA130E" w14:textId="60D7122F" w:rsidR="00B96570" w:rsidRPr="00B96570" w:rsidRDefault="00B96570" w:rsidP="00B96570">
            <w:pPr>
              <w:spacing w:line="276" w:lineRule="auto"/>
              <w:jc w:val="center"/>
            </w:pPr>
            <w:r w:rsidRPr="00B96570">
              <w:t>0.0</w:t>
            </w:r>
          </w:p>
        </w:tc>
        <w:tc>
          <w:tcPr>
            <w:tcW w:w="1568" w:type="dxa"/>
            <w:tcBorders>
              <w:top w:val="nil"/>
              <w:left w:val="single" w:sz="4" w:space="0" w:color="auto"/>
              <w:bottom w:val="single" w:sz="4" w:space="0" w:color="auto"/>
              <w:right w:val="single" w:sz="4" w:space="0" w:color="auto"/>
            </w:tcBorders>
          </w:tcPr>
          <w:p w14:paraId="34B9BE81" w14:textId="29A73C49" w:rsidR="00B96570" w:rsidRPr="00B96570" w:rsidRDefault="00B96570" w:rsidP="00B96570">
            <w:pPr>
              <w:spacing w:line="276" w:lineRule="auto"/>
              <w:jc w:val="center"/>
            </w:pPr>
            <w:r w:rsidRPr="00B96570">
              <w:t>3.3</w:t>
            </w:r>
          </w:p>
        </w:tc>
      </w:tr>
      <w:tr w:rsidR="00B96570" w:rsidRPr="00B02E32" w14:paraId="60F6F393"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01CC3CFA" w14:textId="694F84DC" w:rsidR="00B96570" w:rsidRPr="00B96570" w:rsidRDefault="00B96570" w:rsidP="00B96570">
            <w:pPr>
              <w:spacing w:line="276" w:lineRule="auto"/>
              <w:jc w:val="center"/>
            </w:pPr>
            <w:r w:rsidRPr="00B96570">
              <w:t>11</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134BFB05" w14:textId="2C1B88F2" w:rsidR="00B96570" w:rsidRPr="00B96570" w:rsidRDefault="00B96570" w:rsidP="00B96570">
            <w:pPr>
              <w:spacing w:line="276" w:lineRule="auto"/>
            </w:pPr>
            <w:proofErr w:type="spellStart"/>
            <w:r w:rsidRPr="00B96570">
              <w:t>Dịch</w:t>
            </w:r>
            <w:proofErr w:type="spellEnd"/>
            <w:r w:rsidRPr="00B96570">
              <w:t xml:space="preserve"> </w:t>
            </w:r>
            <w:proofErr w:type="spellStart"/>
            <w:r w:rsidRPr="00B96570">
              <w:t>Vụ</w:t>
            </w:r>
            <w:proofErr w:type="spellEnd"/>
            <w:r w:rsidRPr="00B96570">
              <w:t xml:space="preserve"> Tài </w:t>
            </w:r>
            <w:proofErr w:type="spellStart"/>
            <w:r w:rsidRPr="00B96570">
              <w:t>Chính</w:t>
            </w:r>
            <w:proofErr w:type="spellEnd"/>
          </w:p>
        </w:tc>
        <w:tc>
          <w:tcPr>
            <w:tcW w:w="1510" w:type="dxa"/>
            <w:tcBorders>
              <w:top w:val="nil"/>
              <w:left w:val="single" w:sz="4" w:space="0" w:color="auto"/>
              <w:bottom w:val="single" w:sz="4" w:space="0" w:color="auto"/>
              <w:right w:val="single" w:sz="4" w:space="0" w:color="auto"/>
            </w:tcBorders>
            <w:vAlign w:val="bottom"/>
          </w:tcPr>
          <w:p w14:paraId="64E9AB22" w14:textId="3340EFB1" w:rsidR="00B96570" w:rsidRPr="00B96570" w:rsidRDefault="00B96570" w:rsidP="00B96570">
            <w:pPr>
              <w:spacing w:line="276" w:lineRule="auto"/>
              <w:jc w:val="center"/>
            </w:pPr>
            <w:r w:rsidRPr="00B96570">
              <w:t>0.0</w:t>
            </w:r>
          </w:p>
        </w:tc>
        <w:tc>
          <w:tcPr>
            <w:tcW w:w="1467" w:type="dxa"/>
            <w:tcBorders>
              <w:top w:val="nil"/>
              <w:left w:val="single" w:sz="4" w:space="0" w:color="auto"/>
              <w:bottom w:val="single" w:sz="4" w:space="0" w:color="auto"/>
              <w:right w:val="single" w:sz="4" w:space="0" w:color="auto"/>
            </w:tcBorders>
            <w:vAlign w:val="bottom"/>
          </w:tcPr>
          <w:p w14:paraId="735730A8" w14:textId="4E906EF3" w:rsidR="00B96570" w:rsidRPr="00B96570" w:rsidRDefault="00B96570" w:rsidP="00B96570">
            <w:pPr>
              <w:spacing w:line="276" w:lineRule="auto"/>
              <w:jc w:val="center"/>
            </w:pPr>
            <w:r w:rsidRPr="00B96570">
              <w:t>0.0</w:t>
            </w:r>
          </w:p>
        </w:tc>
        <w:tc>
          <w:tcPr>
            <w:tcW w:w="1568" w:type="dxa"/>
            <w:tcBorders>
              <w:top w:val="nil"/>
              <w:left w:val="single" w:sz="4" w:space="0" w:color="auto"/>
              <w:bottom w:val="single" w:sz="4" w:space="0" w:color="auto"/>
              <w:right w:val="single" w:sz="4" w:space="0" w:color="auto"/>
            </w:tcBorders>
          </w:tcPr>
          <w:p w14:paraId="72F2A027" w14:textId="3040B056" w:rsidR="00B96570" w:rsidRPr="00B96570" w:rsidRDefault="00B96570" w:rsidP="00B96570">
            <w:pPr>
              <w:spacing w:line="276" w:lineRule="auto"/>
              <w:jc w:val="center"/>
            </w:pPr>
            <w:r w:rsidRPr="00B96570">
              <w:t>0.0</w:t>
            </w:r>
          </w:p>
        </w:tc>
      </w:tr>
      <w:tr w:rsidR="00B96570" w:rsidRPr="00B02E32" w14:paraId="14EE12B2" w14:textId="77777777" w:rsidTr="004F22E9">
        <w:trPr>
          <w:trHeight w:val="270"/>
          <w:jc w:val="center"/>
        </w:trPr>
        <w:tc>
          <w:tcPr>
            <w:tcW w:w="670" w:type="dxa"/>
            <w:tcBorders>
              <w:top w:val="nil"/>
              <w:left w:val="single" w:sz="4" w:space="0" w:color="auto"/>
              <w:bottom w:val="single" w:sz="4" w:space="0" w:color="auto"/>
              <w:right w:val="single" w:sz="4" w:space="0" w:color="auto"/>
            </w:tcBorders>
          </w:tcPr>
          <w:p w14:paraId="7CEB2E88" w14:textId="3948FAC7" w:rsidR="00B96570" w:rsidRPr="00B96570" w:rsidRDefault="00B96570" w:rsidP="00B96570">
            <w:pPr>
              <w:spacing w:line="276" w:lineRule="auto"/>
              <w:jc w:val="center"/>
            </w:pPr>
            <w:r w:rsidRPr="00B96570">
              <w:t>12</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65651954" w14:textId="2E2FA496" w:rsidR="00B96570" w:rsidRPr="00B96570" w:rsidRDefault="00B96570" w:rsidP="00B96570">
            <w:pPr>
              <w:spacing w:line="276" w:lineRule="auto"/>
            </w:pPr>
            <w:proofErr w:type="spellStart"/>
            <w:r w:rsidRPr="00B96570">
              <w:t>Thiết</w:t>
            </w:r>
            <w:proofErr w:type="spellEnd"/>
            <w:r w:rsidRPr="00B96570">
              <w:t xml:space="preserve"> </w:t>
            </w:r>
            <w:proofErr w:type="spellStart"/>
            <w:r w:rsidRPr="00B96570">
              <w:t>Bị</w:t>
            </w:r>
            <w:proofErr w:type="spellEnd"/>
            <w:r w:rsidRPr="00B96570">
              <w:t xml:space="preserve"> </w:t>
            </w:r>
            <w:proofErr w:type="spellStart"/>
            <w:r w:rsidRPr="00B96570">
              <w:t>và</w:t>
            </w:r>
            <w:proofErr w:type="spellEnd"/>
            <w:r w:rsidRPr="00B96570">
              <w:t xml:space="preserve"> </w:t>
            </w:r>
            <w:proofErr w:type="spellStart"/>
            <w:r w:rsidRPr="00B96570">
              <w:t>Phần</w:t>
            </w:r>
            <w:proofErr w:type="spellEnd"/>
            <w:r w:rsidRPr="00B96570">
              <w:t xml:space="preserve"> </w:t>
            </w:r>
            <w:proofErr w:type="spellStart"/>
            <w:r w:rsidRPr="00B96570">
              <w:t>Cứng</w:t>
            </w:r>
            <w:proofErr w:type="spellEnd"/>
            <w:r w:rsidRPr="00B96570">
              <w:t xml:space="preserve"> Công </w:t>
            </w:r>
            <w:proofErr w:type="spellStart"/>
            <w:r w:rsidRPr="00B96570">
              <w:t>Nghệ</w:t>
            </w:r>
            <w:proofErr w:type="spellEnd"/>
          </w:p>
        </w:tc>
        <w:tc>
          <w:tcPr>
            <w:tcW w:w="1510" w:type="dxa"/>
            <w:tcBorders>
              <w:top w:val="nil"/>
              <w:left w:val="single" w:sz="4" w:space="0" w:color="auto"/>
              <w:bottom w:val="single" w:sz="4" w:space="0" w:color="auto"/>
              <w:right w:val="single" w:sz="4" w:space="0" w:color="auto"/>
            </w:tcBorders>
          </w:tcPr>
          <w:p w14:paraId="7289AA84" w14:textId="01477207" w:rsidR="00B96570" w:rsidRPr="00B96570" w:rsidRDefault="00B96570" w:rsidP="004F22E9">
            <w:pPr>
              <w:spacing w:line="276" w:lineRule="auto"/>
              <w:jc w:val="center"/>
            </w:pPr>
            <w:r w:rsidRPr="00B96570">
              <w:t>0.0</w:t>
            </w:r>
          </w:p>
        </w:tc>
        <w:tc>
          <w:tcPr>
            <w:tcW w:w="1467" w:type="dxa"/>
            <w:tcBorders>
              <w:top w:val="nil"/>
              <w:left w:val="single" w:sz="4" w:space="0" w:color="auto"/>
              <w:bottom w:val="single" w:sz="4" w:space="0" w:color="auto"/>
              <w:right w:val="single" w:sz="4" w:space="0" w:color="auto"/>
            </w:tcBorders>
          </w:tcPr>
          <w:p w14:paraId="265F8596" w14:textId="4922043B" w:rsidR="00B96570" w:rsidRPr="00B96570" w:rsidRDefault="00B96570" w:rsidP="004F22E9">
            <w:pPr>
              <w:spacing w:line="276" w:lineRule="auto"/>
              <w:jc w:val="center"/>
            </w:pPr>
            <w:r w:rsidRPr="00B96570">
              <w:t>0.0</w:t>
            </w:r>
          </w:p>
        </w:tc>
        <w:tc>
          <w:tcPr>
            <w:tcW w:w="1568" w:type="dxa"/>
            <w:tcBorders>
              <w:top w:val="nil"/>
              <w:left w:val="single" w:sz="4" w:space="0" w:color="auto"/>
              <w:bottom w:val="single" w:sz="4" w:space="0" w:color="auto"/>
              <w:right w:val="single" w:sz="4" w:space="0" w:color="auto"/>
            </w:tcBorders>
          </w:tcPr>
          <w:p w14:paraId="39949A3E" w14:textId="2CAD29D0" w:rsidR="00B96570" w:rsidRPr="00B96570" w:rsidRDefault="00B96570" w:rsidP="00B96570">
            <w:pPr>
              <w:spacing w:line="276" w:lineRule="auto"/>
              <w:jc w:val="center"/>
            </w:pPr>
            <w:r w:rsidRPr="00B96570">
              <w:t>0.0</w:t>
            </w:r>
          </w:p>
        </w:tc>
      </w:tr>
      <w:tr w:rsidR="00B96570" w:rsidRPr="00B02E32" w14:paraId="42DD69CD"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0C4FE5CC" w14:textId="01A2AAAB" w:rsidR="00B96570" w:rsidRPr="00B96570" w:rsidRDefault="00B96570" w:rsidP="00B96570">
            <w:pPr>
              <w:spacing w:line="276" w:lineRule="auto"/>
              <w:jc w:val="center"/>
            </w:pPr>
            <w:r w:rsidRPr="00B96570">
              <w:t>13</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702F8040" w14:textId="5DCC6991" w:rsidR="00B96570" w:rsidRPr="00B96570" w:rsidRDefault="00B96570" w:rsidP="00B96570">
            <w:pPr>
              <w:spacing w:line="276" w:lineRule="auto"/>
            </w:pPr>
            <w:proofErr w:type="spellStart"/>
            <w:r w:rsidRPr="00B96570">
              <w:t>Thực</w:t>
            </w:r>
            <w:proofErr w:type="spellEnd"/>
            <w:r w:rsidRPr="00B96570">
              <w:t xml:space="preserve"> </w:t>
            </w:r>
            <w:proofErr w:type="spellStart"/>
            <w:r w:rsidRPr="00B96570">
              <w:t>Phẩm</w:t>
            </w:r>
            <w:proofErr w:type="spellEnd"/>
            <w:r w:rsidRPr="00B96570">
              <w:t xml:space="preserve">, </w:t>
            </w:r>
            <w:proofErr w:type="spellStart"/>
            <w:r w:rsidRPr="00B96570">
              <w:t>Nước</w:t>
            </w:r>
            <w:proofErr w:type="spellEnd"/>
            <w:r w:rsidRPr="00B96570">
              <w:t xml:space="preserve"> </w:t>
            </w:r>
            <w:proofErr w:type="spellStart"/>
            <w:r w:rsidRPr="00B96570">
              <w:t>Giải</w:t>
            </w:r>
            <w:proofErr w:type="spellEnd"/>
            <w:r w:rsidRPr="00B96570">
              <w:t xml:space="preserve"> </w:t>
            </w:r>
            <w:proofErr w:type="spellStart"/>
            <w:r w:rsidRPr="00B96570">
              <w:t>Khát</w:t>
            </w:r>
            <w:proofErr w:type="spellEnd"/>
            <w:r w:rsidRPr="00B96570">
              <w:t xml:space="preserve"> &amp; </w:t>
            </w:r>
            <w:proofErr w:type="spellStart"/>
            <w:r w:rsidRPr="00B96570">
              <w:t>Thuốc</w:t>
            </w:r>
            <w:proofErr w:type="spellEnd"/>
            <w:r w:rsidRPr="00B96570">
              <w:t xml:space="preserve"> </w:t>
            </w:r>
            <w:proofErr w:type="spellStart"/>
            <w:r w:rsidRPr="00B96570">
              <w:t>Lá</w:t>
            </w:r>
            <w:proofErr w:type="spellEnd"/>
          </w:p>
        </w:tc>
        <w:tc>
          <w:tcPr>
            <w:tcW w:w="1510" w:type="dxa"/>
            <w:tcBorders>
              <w:top w:val="nil"/>
              <w:left w:val="single" w:sz="4" w:space="0" w:color="auto"/>
              <w:bottom w:val="single" w:sz="4" w:space="0" w:color="auto"/>
              <w:right w:val="single" w:sz="4" w:space="0" w:color="auto"/>
            </w:tcBorders>
            <w:vAlign w:val="bottom"/>
          </w:tcPr>
          <w:p w14:paraId="6957F97B" w14:textId="7ECB6D33" w:rsidR="00B96570" w:rsidRPr="00B96570" w:rsidRDefault="00B96570" w:rsidP="00B96570">
            <w:pPr>
              <w:spacing w:line="276" w:lineRule="auto"/>
              <w:jc w:val="center"/>
            </w:pPr>
            <w:r w:rsidRPr="00B96570">
              <w:t>2.6</w:t>
            </w:r>
          </w:p>
        </w:tc>
        <w:tc>
          <w:tcPr>
            <w:tcW w:w="1467" w:type="dxa"/>
            <w:tcBorders>
              <w:top w:val="nil"/>
              <w:left w:val="single" w:sz="4" w:space="0" w:color="auto"/>
              <w:bottom w:val="single" w:sz="4" w:space="0" w:color="auto"/>
              <w:right w:val="single" w:sz="4" w:space="0" w:color="auto"/>
            </w:tcBorders>
            <w:vAlign w:val="bottom"/>
          </w:tcPr>
          <w:p w14:paraId="6F0AC29D" w14:textId="11156D69" w:rsidR="00B96570" w:rsidRPr="00B96570" w:rsidRDefault="00B96570" w:rsidP="00B96570">
            <w:pPr>
              <w:spacing w:line="276" w:lineRule="auto"/>
              <w:jc w:val="center"/>
            </w:pPr>
            <w:r w:rsidRPr="00B96570">
              <w:t>3.8</w:t>
            </w:r>
          </w:p>
        </w:tc>
        <w:tc>
          <w:tcPr>
            <w:tcW w:w="1568" w:type="dxa"/>
            <w:tcBorders>
              <w:top w:val="nil"/>
              <w:left w:val="single" w:sz="4" w:space="0" w:color="auto"/>
              <w:bottom w:val="single" w:sz="4" w:space="0" w:color="auto"/>
              <w:right w:val="single" w:sz="4" w:space="0" w:color="auto"/>
            </w:tcBorders>
          </w:tcPr>
          <w:p w14:paraId="0AD90690" w14:textId="3ED3842E" w:rsidR="00B96570" w:rsidRPr="00B96570" w:rsidRDefault="00B96570" w:rsidP="00B96570">
            <w:pPr>
              <w:spacing w:line="276" w:lineRule="auto"/>
              <w:jc w:val="center"/>
            </w:pPr>
            <w:r w:rsidRPr="00B96570">
              <w:t>0.0</w:t>
            </w:r>
          </w:p>
        </w:tc>
      </w:tr>
      <w:tr w:rsidR="00B96570" w:rsidRPr="00B02E32" w14:paraId="60219042"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4330ACBF" w14:textId="56706F42" w:rsidR="00B96570" w:rsidRPr="00B96570" w:rsidRDefault="00B96570" w:rsidP="00B96570">
            <w:pPr>
              <w:spacing w:line="276" w:lineRule="auto"/>
              <w:jc w:val="center"/>
            </w:pPr>
            <w:r w:rsidRPr="00B96570">
              <w:t>14</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3D5FFBF8" w14:textId="051B6391" w:rsidR="00B96570" w:rsidRPr="00B96570" w:rsidRDefault="00B96570" w:rsidP="00B96570">
            <w:pPr>
              <w:spacing w:line="276" w:lineRule="auto"/>
            </w:pPr>
            <w:proofErr w:type="spellStart"/>
            <w:r w:rsidRPr="00B96570">
              <w:t>Năng</w:t>
            </w:r>
            <w:proofErr w:type="spellEnd"/>
            <w:r w:rsidRPr="00B96570">
              <w:t xml:space="preserve"> </w:t>
            </w:r>
            <w:proofErr w:type="spellStart"/>
            <w:r w:rsidRPr="00B96570">
              <w:t>Lượng</w:t>
            </w:r>
            <w:proofErr w:type="spellEnd"/>
          </w:p>
        </w:tc>
        <w:tc>
          <w:tcPr>
            <w:tcW w:w="1510" w:type="dxa"/>
            <w:tcBorders>
              <w:top w:val="nil"/>
              <w:left w:val="single" w:sz="4" w:space="0" w:color="auto"/>
              <w:bottom w:val="single" w:sz="4" w:space="0" w:color="auto"/>
              <w:right w:val="single" w:sz="4" w:space="0" w:color="auto"/>
            </w:tcBorders>
            <w:vAlign w:val="bottom"/>
          </w:tcPr>
          <w:p w14:paraId="2652381B" w14:textId="2897B0D4" w:rsidR="00B96570" w:rsidRPr="00B96570" w:rsidRDefault="00B96570" w:rsidP="00B96570">
            <w:pPr>
              <w:spacing w:line="276" w:lineRule="auto"/>
              <w:jc w:val="center"/>
            </w:pPr>
            <w:r w:rsidRPr="00B96570">
              <w:t>0.0</w:t>
            </w:r>
          </w:p>
        </w:tc>
        <w:tc>
          <w:tcPr>
            <w:tcW w:w="1467" w:type="dxa"/>
            <w:tcBorders>
              <w:top w:val="nil"/>
              <w:left w:val="single" w:sz="4" w:space="0" w:color="auto"/>
              <w:bottom w:val="single" w:sz="4" w:space="0" w:color="auto"/>
              <w:right w:val="single" w:sz="4" w:space="0" w:color="auto"/>
            </w:tcBorders>
            <w:vAlign w:val="bottom"/>
          </w:tcPr>
          <w:p w14:paraId="3B3F2393" w14:textId="41906AE4" w:rsidR="00B96570" w:rsidRPr="00B96570" w:rsidRDefault="00B96570" w:rsidP="00B96570">
            <w:pPr>
              <w:spacing w:line="276" w:lineRule="auto"/>
              <w:jc w:val="center"/>
            </w:pPr>
            <w:r w:rsidRPr="00B96570">
              <w:t>4.2</w:t>
            </w:r>
          </w:p>
        </w:tc>
        <w:tc>
          <w:tcPr>
            <w:tcW w:w="1568" w:type="dxa"/>
            <w:tcBorders>
              <w:top w:val="nil"/>
              <w:left w:val="single" w:sz="4" w:space="0" w:color="auto"/>
              <w:bottom w:val="single" w:sz="4" w:space="0" w:color="auto"/>
              <w:right w:val="single" w:sz="4" w:space="0" w:color="auto"/>
            </w:tcBorders>
          </w:tcPr>
          <w:p w14:paraId="004487FC" w14:textId="25D6D004" w:rsidR="00B96570" w:rsidRPr="00B96570" w:rsidRDefault="00B96570" w:rsidP="00B96570">
            <w:pPr>
              <w:spacing w:line="276" w:lineRule="auto"/>
              <w:jc w:val="center"/>
            </w:pPr>
            <w:r w:rsidRPr="00B96570">
              <w:t>5.5</w:t>
            </w:r>
          </w:p>
        </w:tc>
      </w:tr>
      <w:tr w:rsidR="00B96570" w:rsidRPr="00B02E32" w14:paraId="208ADA46"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02A81949" w14:textId="6A99ADAD" w:rsidR="00B96570" w:rsidRPr="00B96570" w:rsidRDefault="00B96570" w:rsidP="00B96570">
            <w:pPr>
              <w:spacing w:line="276" w:lineRule="auto"/>
              <w:jc w:val="center"/>
            </w:pPr>
            <w:r w:rsidRPr="00B96570">
              <w:lastRenderedPageBreak/>
              <w:t>15</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05DEB733" w14:textId="768117E5" w:rsidR="00B96570" w:rsidRPr="00B96570" w:rsidRDefault="00B96570" w:rsidP="00B96570">
            <w:pPr>
              <w:spacing w:line="276" w:lineRule="auto"/>
            </w:pPr>
            <w:r w:rsidRPr="00B96570">
              <w:t xml:space="preserve">Ô </w:t>
            </w:r>
            <w:proofErr w:type="spellStart"/>
            <w:r w:rsidRPr="00B96570">
              <w:t>tô</w:t>
            </w:r>
            <w:proofErr w:type="spellEnd"/>
            <w:r w:rsidRPr="00B96570">
              <w:t xml:space="preserve"> &amp; </w:t>
            </w:r>
            <w:proofErr w:type="spellStart"/>
            <w:r w:rsidRPr="00B96570">
              <w:t>Phụ</w:t>
            </w:r>
            <w:proofErr w:type="spellEnd"/>
            <w:r w:rsidRPr="00B96570">
              <w:t xml:space="preserve"> </w:t>
            </w:r>
            <w:proofErr w:type="spellStart"/>
            <w:r w:rsidRPr="00B96570">
              <w:t>tùng</w:t>
            </w:r>
            <w:proofErr w:type="spellEnd"/>
            <w:r w:rsidRPr="00B96570">
              <w:t xml:space="preserve"> ô </w:t>
            </w:r>
            <w:proofErr w:type="spellStart"/>
            <w:r w:rsidRPr="00B96570">
              <w:t>tô</w:t>
            </w:r>
            <w:proofErr w:type="spellEnd"/>
          </w:p>
        </w:tc>
        <w:tc>
          <w:tcPr>
            <w:tcW w:w="1510" w:type="dxa"/>
            <w:tcBorders>
              <w:top w:val="nil"/>
              <w:left w:val="single" w:sz="4" w:space="0" w:color="auto"/>
              <w:bottom w:val="single" w:sz="4" w:space="0" w:color="auto"/>
              <w:right w:val="single" w:sz="4" w:space="0" w:color="auto"/>
            </w:tcBorders>
            <w:vAlign w:val="bottom"/>
          </w:tcPr>
          <w:p w14:paraId="4C26E36A" w14:textId="04776721" w:rsidR="00B96570" w:rsidRPr="00B96570" w:rsidRDefault="00B96570" w:rsidP="00B96570">
            <w:pPr>
              <w:spacing w:line="276" w:lineRule="auto"/>
              <w:jc w:val="center"/>
            </w:pPr>
            <w:r w:rsidRPr="00B96570">
              <w:t>0.0</w:t>
            </w:r>
          </w:p>
        </w:tc>
        <w:tc>
          <w:tcPr>
            <w:tcW w:w="1467" w:type="dxa"/>
            <w:tcBorders>
              <w:top w:val="nil"/>
              <w:left w:val="single" w:sz="4" w:space="0" w:color="auto"/>
              <w:bottom w:val="single" w:sz="4" w:space="0" w:color="auto"/>
              <w:right w:val="single" w:sz="4" w:space="0" w:color="auto"/>
            </w:tcBorders>
            <w:vAlign w:val="bottom"/>
          </w:tcPr>
          <w:p w14:paraId="0AEF39B6" w14:textId="13517A11" w:rsidR="00B96570" w:rsidRPr="00B96570" w:rsidRDefault="00B96570" w:rsidP="00B96570">
            <w:pPr>
              <w:spacing w:line="276" w:lineRule="auto"/>
              <w:jc w:val="center"/>
            </w:pPr>
            <w:r w:rsidRPr="00B96570">
              <w:t>0.0</w:t>
            </w:r>
          </w:p>
        </w:tc>
        <w:tc>
          <w:tcPr>
            <w:tcW w:w="1568" w:type="dxa"/>
            <w:tcBorders>
              <w:top w:val="nil"/>
              <w:left w:val="single" w:sz="4" w:space="0" w:color="auto"/>
              <w:bottom w:val="single" w:sz="4" w:space="0" w:color="auto"/>
              <w:right w:val="single" w:sz="4" w:space="0" w:color="auto"/>
            </w:tcBorders>
          </w:tcPr>
          <w:p w14:paraId="1685A801" w14:textId="0B484304" w:rsidR="00B96570" w:rsidRPr="00B96570" w:rsidRDefault="00B96570" w:rsidP="00B96570">
            <w:pPr>
              <w:spacing w:line="276" w:lineRule="auto"/>
              <w:jc w:val="center"/>
            </w:pPr>
            <w:r w:rsidRPr="00B96570">
              <w:t>0.0</w:t>
            </w:r>
          </w:p>
        </w:tc>
      </w:tr>
      <w:tr w:rsidR="00B96570" w:rsidRPr="00B02E32" w14:paraId="4A64F6A4"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09E473D8" w14:textId="1AD12F84" w:rsidR="00B96570" w:rsidRPr="00B96570" w:rsidRDefault="00B96570" w:rsidP="00B96570">
            <w:pPr>
              <w:spacing w:line="276" w:lineRule="auto"/>
              <w:jc w:val="center"/>
            </w:pPr>
            <w:r w:rsidRPr="00B96570">
              <w:t>16</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1C3CD2BA" w14:textId="5705E4AB" w:rsidR="00B96570" w:rsidRPr="00B96570" w:rsidRDefault="00B96570" w:rsidP="00B96570">
            <w:pPr>
              <w:spacing w:line="276" w:lineRule="auto"/>
            </w:pPr>
            <w:proofErr w:type="spellStart"/>
            <w:r w:rsidRPr="00B96570">
              <w:t>Dịch</w:t>
            </w:r>
            <w:proofErr w:type="spellEnd"/>
            <w:r w:rsidRPr="00B96570">
              <w:t xml:space="preserve"> </w:t>
            </w:r>
            <w:proofErr w:type="spellStart"/>
            <w:r w:rsidRPr="00B96570">
              <w:t>Vụ</w:t>
            </w:r>
            <w:proofErr w:type="spellEnd"/>
            <w:r w:rsidRPr="00B96570">
              <w:t xml:space="preserve"> </w:t>
            </w:r>
            <w:proofErr w:type="spellStart"/>
            <w:r w:rsidRPr="00B96570">
              <w:t>Tiêu</w:t>
            </w:r>
            <w:proofErr w:type="spellEnd"/>
            <w:r w:rsidRPr="00B96570">
              <w:t xml:space="preserve"> </w:t>
            </w:r>
            <w:proofErr w:type="spellStart"/>
            <w:r w:rsidRPr="00B96570">
              <w:t>Dùng</w:t>
            </w:r>
            <w:proofErr w:type="spellEnd"/>
          </w:p>
        </w:tc>
        <w:tc>
          <w:tcPr>
            <w:tcW w:w="1510" w:type="dxa"/>
            <w:tcBorders>
              <w:top w:val="nil"/>
              <w:left w:val="single" w:sz="4" w:space="0" w:color="auto"/>
              <w:bottom w:val="single" w:sz="4" w:space="0" w:color="auto"/>
              <w:right w:val="single" w:sz="4" w:space="0" w:color="auto"/>
            </w:tcBorders>
            <w:vAlign w:val="bottom"/>
          </w:tcPr>
          <w:p w14:paraId="646CF851" w14:textId="76357220" w:rsidR="00B96570" w:rsidRPr="00B96570" w:rsidRDefault="00B96570" w:rsidP="00B96570">
            <w:pPr>
              <w:spacing w:line="276" w:lineRule="auto"/>
              <w:jc w:val="center"/>
            </w:pPr>
            <w:r w:rsidRPr="00B96570">
              <w:t>0.0</w:t>
            </w:r>
          </w:p>
        </w:tc>
        <w:tc>
          <w:tcPr>
            <w:tcW w:w="1467" w:type="dxa"/>
            <w:tcBorders>
              <w:top w:val="nil"/>
              <w:left w:val="single" w:sz="4" w:space="0" w:color="auto"/>
              <w:bottom w:val="single" w:sz="4" w:space="0" w:color="auto"/>
              <w:right w:val="single" w:sz="4" w:space="0" w:color="auto"/>
            </w:tcBorders>
            <w:vAlign w:val="bottom"/>
          </w:tcPr>
          <w:p w14:paraId="437F37F5" w14:textId="644281A9" w:rsidR="00B96570" w:rsidRPr="00B96570" w:rsidRDefault="00B96570" w:rsidP="00B96570">
            <w:pPr>
              <w:spacing w:line="276" w:lineRule="auto"/>
              <w:jc w:val="center"/>
            </w:pPr>
            <w:r w:rsidRPr="00B96570">
              <w:t>0.0</w:t>
            </w:r>
          </w:p>
        </w:tc>
        <w:tc>
          <w:tcPr>
            <w:tcW w:w="1568" w:type="dxa"/>
            <w:tcBorders>
              <w:top w:val="nil"/>
              <w:left w:val="single" w:sz="4" w:space="0" w:color="auto"/>
              <w:bottom w:val="single" w:sz="4" w:space="0" w:color="auto"/>
              <w:right w:val="single" w:sz="4" w:space="0" w:color="auto"/>
            </w:tcBorders>
          </w:tcPr>
          <w:p w14:paraId="02928780" w14:textId="38B3B0CE" w:rsidR="00B96570" w:rsidRPr="00B96570" w:rsidRDefault="00B96570" w:rsidP="00B96570">
            <w:pPr>
              <w:spacing w:line="276" w:lineRule="auto"/>
              <w:jc w:val="center"/>
            </w:pPr>
            <w:r w:rsidRPr="00B96570">
              <w:t>0.0</w:t>
            </w:r>
          </w:p>
        </w:tc>
      </w:tr>
      <w:tr w:rsidR="00B96570" w:rsidRPr="00B02E32" w14:paraId="3E7266DE"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1E56D3D0" w14:textId="76F5F427" w:rsidR="00B96570" w:rsidRPr="00B96570" w:rsidRDefault="00B96570" w:rsidP="00B96570">
            <w:pPr>
              <w:spacing w:line="276" w:lineRule="auto"/>
              <w:jc w:val="center"/>
            </w:pPr>
            <w:r w:rsidRPr="00B96570">
              <w:t>17</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0408A211" w14:textId="43BD2BD9" w:rsidR="00B96570" w:rsidRPr="00B96570" w:rsidRDefault="00B96570" w:rsidP="00B96570">
            <w:pPr>
              <w:spacing w:line="276" w:lineRule="auto"/>
            </w:pPr>
            <w:r w:rsidRPr="00B96570">
              <w:t xml:space="preserve">Bảo </w:t>
            </w:r>
            <w:proofErr w:type="spellStart"/>
            <w:r w:rsidRPr="00B96570">
              <w:t>Hiểm</w:t>
            </w:r>
            <w:proofErr w:type="spellEnd"/>
          </w:p>
        </w:tc>
        <w:tc>
          <w:tcPr>
            <w:tcW w:w="1510" w:type="dxa"/>
            <w:tcBorders>
              <w:top w:val="nil"/>
              <w:left w:val="single" w:sz="4" w:space="0" w:color="auto"/>
              <w:bottom w:val="single" w:sz="4" w:space="0" w:color="auto"/>
              <w:right w:val="single" w:sz="4" w:space="0" w:color="auto"/>
            </w:tcBorders>
            <w:vAlign w:val="bottom"/>
          </w:tcPr>
          <w:p w14:paraId="5A3E0EEF" w14:textId="2296AFC6" w:rsidR="00B96570" w:rsidRPr="00B96570" w:rsidRDefault="00B96570" w:rsidP="00B96570">
            <w:pPr>
              <w:spacing w:line="276" w:lineRule="auto"/>
              <w:jc w:val="center"/>
            </w:pPr>
            <w:r w:rsidRPr="00B96570">
              <w:t>0.0</w:t>
            </w:r>
          </w:p>
        </w:tc>
        <w:tc>
          <w:tcPr>
            <w:tcW w:w="1467" w:type="dxa"/>
            <w:tcBorders>
              <w:top w:val="nil"/>
              <w:left w:val="single" w:sz="4" w:space="0" w:color="auto"/>
              <w:bottom w:val="single" w:sz="4" w:space="0" w:color="auto"/>
              <w:right w:val="single" w:sz="4" w:space="0" w:color="auto"/>
            </w:tcBorders>
            <w:vAlign w:val="bottom"/>
          </w:tcPr>
          <w:p w14:paraId="19CFDFD6" w14:textId="3CD8290C" w:rsidR="00B96570" w:rsidRPr="00B96570" w:rsidRDefault="00B96570" w:rsidP="00B96570">
            <w:pPr>
              <w:spacing w:line="276" w:lineRule="auto"/>
              <w:jc w:val="center"/>
            </w:pPr>
            <w:r w:rsidRPr="00B96570">
              <w:t>0.0</w:t>
            </w:r>
          </w:p>
        </w:tc>
        <w:tc>
          <w:tcPr>
            <w:tcW w:w="1568" w:type="dxa"/>
            <w:tcBorders>
              <w:top w:val="nil"/>
              <w:left w:val="single" w:sz="4" w:space="0" w:color="auto"/>
              <w:bottom w:val="single" w:sz="4" w:space="0" w:color="auto"/>
              <w:right w:val="single" w:sz="4" w:space="0" w:color="auto"/>
            </w:tcBorders>
          </w:tcPr>
          <w:p w14:paraId="56CAD5A1" w14:textId="0F1094D1" w:rsidR="00B96570" w:rsidRPr="00B96570" w:rsidRDefault="00B96570" w:rsidP="00B96570">
            <w:pPr>
              <w:spacing w:line="276" w:lineRule="auto"/>
              <w:jc w:val="center"/>
            </w:pPr>
            <w:r w:rsidRPr="00B96570">
              <w:t>0.0</w:t>
            </w:r>
          </w:p>
        </w:tc>
      </w:tr>
      <w:tr w:rsidR="00B96570" w:rsidRPr="00B02E32" w14:paraId="1C51CB3D" w14:textId="77777777" w:rsidTr="004F22E9">
        <w:trPr>
          <w:trHeight w:val="270"/>
          <w:jc w:val="center"/>
        </w:trPr>
        <w:tc>
          <w:tcPr>
            <w:tcW w:w="670" w:type="dxa"/>
            <w:tcBorders>
              <w:top w:val="nil"/>
              <w:left w:val="single" w:sz="4" w:space="0" w:color="auto"/>
              <w:bottom w:val="single" w:sz="4" w:space="0" w:color="auto"/>
              <w:right w:val="single" w:sz="4" w:space="0" w:color="auto"/>
            </w:tcBorders>
          </w:tcPr>
          <w:p w14:paraId="45E12345" w14:textId="7E34BC33" w:rsidR="00B96570" w:rsidRPr="00B96570" w:rsidRDefault="00B96570" w:rsidP="00B96570">
            <w:pPr>
              <w:spacing w:line="276" w:lineRule="auto"/>
              <w:jc w:val="center"/>
            </w:pPr>
            <w:r w:rsidRPr="00B96570">
              <w:t>18</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6912F8FD" w14:textId="4E421017" w:rsidR="00B96570" w:rsidRPr="00B96570" w:rsidRDefault="00B96570" w:rsidP="00B96570">
            <w:pPr>
              <w:spacing w:line="276" w:lineRule="auto"/>
            </w:pPr>
            <w:proofErr w:type="spellStart"/>
            <w:r w:rsidRPr="00B96570">
              <w:t>Dược</w:t>
            </w:r>
            <w:proofErr w:type="spellEnd"/>
            <w:r w:rsidRPr="00B96570">
              <w:t xml:space="preserve"> </w:t>
            </w:r>
            <w:proofErr w:type="spellStart"/>
            <w:r w:rsidRPr="00B96570">
              <w:t>Phẩm</w:t>
            </w:r>
            <w:proofErr w:type="spellEnd"/>
            <w:r w:rsidRPr="00B96570">
              <w:t xml:space="preserve"> &amp; Công </w:t>
            </w:r>
            <w:proofErr w:type="spellStart"/>
            <w:r w:rsidRPr="00B96570">
              <w:t>Nghệ</w:t>
            </w:r>
            <w:proofErr w:type="spellEnd"/>
            <w:r w:rsidRPr="00B96570">
              <w:t xml:space="preserve"> Sinh Học</w:t>
            </w:r>
          </w:p>
        </w:tc>
        <w:tc>
          <w:tcPr>
            <w:tcW w:w="1510" w:type="dxa"/>
            <w:tcBorders>
              <w:top w:val="nil"/>
              <w:left w:val="single" w:sz="4" w:space="0" w:color="auto"/>
              <w:bottom w:val="single" w:sz="4" w:space="0" w:color="auto"/>
              <w:right w:val="single" w:sz="4" w:space="0" w:color="auto"/>
            </w:tcBorders>
          </w:tcPr>
          <w:p w14:paraId="17E6E378" w14:textId="01333025" w:rsidR="00B96570" w:rsidRPr="00B96570" w:rsidRDefault="00B96570" w:rsidP="004F22E9">
            <w:pPr>
              <w:spacing w:line="276" w:lineRule="auto"/>
              <w:jc w:val="center"/>
            </w:pPr>
            <w:r w:rsidRPr="00B96570">
              <w:t>0.0</w:t>
            </w:r>
          </w:p>
        </w:tc>
        <w:tc>
          <w:tcPr>
            <w:tcW w:w="1467" w:type="dxa"/>
            <w:tcBorders>
              <w:top w:val="nil"/>
              <w:left w:val="single" w:sz="4" w:space="0" w:color="auto"/>
              <w:bottom w:val="single" w:sz="4" w:space="0" w:color="auto"/>
              <w:right w:val="single" w:sz="4" w:space="0" w:color="auto"/>
            </w:tcBorders>
          </w:tcPr>
          <w:p w14:paraId="0FB1391B" w14:textId="30CDA8BF" w:rsidR="00B96570" w:rsidRPr="00B96570" w:rsidRDefault="00B96570" w:rsidP="004F22E9">
            <w:pPr>
              <w:spacing w:line="276" w:lineRule="auto"/>
              <w:jc w:val="center"/>
            </w:pPr>
            <w:r w:rsidRPr="00B96570">
              <w:t>0.0</w:t>
            </w:r>
          </w:p>
        </w:tc>
        <w:tc>
          <w:tcPr>
            <w:tcW w:w="1568" w:type="dxa"/>
            <w:tcBorders>
              <w:top w:val="nil"/>
              <w:left w:val="single" w:sz="4" w:space="0" w:color="auto"/>
              <w:bottom w:val="single" w:sz="4" w:space="0" w:color="auto"/>
              <w:right w:val="single" w:sz="4" w:space="0" w:color="auto"/>
            </w:tcBorders>
          </w:tcPr>
          <w:p w14:paraId="1CE8715D" w14:textId="1BD8FB22" w:rsidR="00B96570" w:rsidRPr="00B96570" w:rsidRDefault="00B96570" w:rsidP="00B96570">
            <w:pPr>
              <w:spacing w:line="276" w:lineRule="auto"/>
              <w:jc w:val="center"/>
            </w:pPr>
            <w:r w:rsidRPr="00B96570">
              <w:t>0.0</w:t>
            </w:r>
          </w:p>
        </w:tc>
      </w:tr>
      <w:tr w:rsidR="00B96570" w:rsidRPr="00B02E32" w14:paraId="5B00E664" w14:textId="77777777" w:rsidTr="004F22E9">
        <w:trPr>
          <w:trHeight w:val="270"/>
          <w:jc w:val="center"/>
        </w:trPr>
        <w:tc>
          <w:tcPr>
            <w:tcW w:w="670" w:type="dxa"/>
            <w:tcBorders>
              <w:top w:val="nil"/>
              <w:left w:val="single" w:sz="4" w:space="0" w:color="auto"/>
              <w:bottom w:val="single" w:sz="4" w:space="0" w:color="auto"/>
              <w:right w:val="single" w:sz="4" w:space="0" w:color="auto"/>
            </w:tcBorders>
          </w:tcPr>
          <w:p w14:paraId="08EE9D75" w14:textId="6B7C65A3" w:rsidR="00B96570" w:rsidRPr="00B96570" w:rsidRDefault="00B96570" w:rsidP="00B96570">
            <w:pPr>
              <w:spacing w:line="276" w:lineRule="auto"/>
              <w:jc w:val="center"/>
            </w:pPr>
            <w:r w:rsidRPr="00B96570">
              <w:t>19</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451B511E" w14:textId="1B6D88A3" w:rsidR="00B96570" w:rsidRPr="00B96570" w:rsidRDefault="00B96570" w:rsidP="00B96570">
            <w:pPr>
              <w:spacing w:line="276" w:lineRule="auto"/>
            </w:pPr>
            <w:proofErr w:type="spellStart"/>
            <w:r w:rsidRPr="00B96570">
              <w:t>Phần</w:t>
            </w:r>
            <w:proofErr w:type="spellEnd"/>
            <w:r w:rsidRPr="00B96570">
              <w:t xml:space="preserve"> </w:t>
            </w:r>
            <w:proofErr w:type="spellStart"/>
            <w:r w:rsidRPr="00B96570">
              <w:t>Mềm</w:t>
            </w:r>
            <w:proofErr w:type="spellEnd"/>
            <w:r w:rsidRPr="00B96570">
              <w:t xml:space="preserve"> &amp; </w:t>
            </w:r>
            <w:proofErr w:type="spellStart"/>
            <w:r w:rsidRPr="00B96570">
              <w:t>Dịch</w:t>
            </w:r>
            <w:proofErr w:type="spellEnd"/>
            <w:r w:rsidRPr="00B96570">
              <w:t xml:space="preserve"> </w:t>
            </w:r>
            <w:proofErr w:type="spellStart"/>
            <w:r w:rsidRPr="00B96570">
              <w:t>Vụ</w:t>
            </w:r>
            <w:proofErr w:type="spellEnd"/>
            <w:r w:rsidRPr="00B96570">
              <w:t xml:space="preserve"> </w:t>
            </w:r>
            <w:proofErr w:type="spellStart"/>
            <w:r w:rsidRPr="00B96570">
              <w:t>Phần</w:t>
            </w:r>
            <w:proofErr w:type="spellEnd"/>
            <w:r w:rsidRPr="00B96570">
              <w:t xml:space="preserve"> </w:t>
            </w:r>
            <w:proofErr w:type="spellStart"/>
            <w:r w:rsidRPr="00B96570">
              <w:t>Mềm</w:t>
            </w:r>
            <w:proofErr w:type="spellEnd"/>
          </w:p>
        </w:tc>
        <w:tc>
          <w:tcPr>
            <w:tcW w:w="1510" w:type="dxa"/>
            <w:tcBorders>
              <w:top w:val="nil"/>
              <w:left w:val="single" w:sz="4" w:space="0" w:color="auto"/>
              <w:bottom w:val="single" w:sz="4" w:space="0" w:color="auto"/>
              <w:right w:val="single" w:sz="4" w:space="0" w:color="auto"/>
            </w:tcBorders>
          </w:tcPr>
          <w:p w14:paraId="4403CDE8" w14:textId="5D916902" w:rsidR="00B96570" w:rsidRPr="00B96570" w:rsidRDefault="00B96570" w:rsidP="004F22E9">
            <w:pPr>
              <w:spacing w:line="276" w:lineRule="auto"/>
              <w:jc w:val="center"/>
            </w:pPr>
            <w:r w:rsidRPr="00B96570">
              <w:t>4.4</w:t>
            </w:r>
          </w:p>
        </w:tc>
        <w:tc>
          <w:tcPr>
            <w:tcW w:w="1467" w:type="dxa"/>
            <w:tcBorders>
              <w:top w:val="nil"/>
              <w:left w:val="single" w:sz="4" w:space="0" w:color="auto"/>
              <w:bottom w:val="single" w:sz="4" w:space="0" w:color="auto"/>
              <w:right w:val="single" w:sz="4" w:space="0" w:color="auto"/>
            </w:tcBorders>
          </w:tcPr>
          <w:p w14:paraId="60FF073C" w14:textId="0D29553C" w:rsidR="00B96570" w:rsidRPr="00B96570" w:rsidRDefault="00B96570" w:rsidP="004F22E9">
            <w:pPr>
              <w:spacing w:line="276" w:lineRule="auto"/>
              <w:jc w:val="center"/>
            </w:pPr>
            <w:r w:rsidRPr="00B96570">
              <w:t>10.4</w:t>
            </w:r>
          </w:p>
        </w:tc>
        <w:tc>
          <w:tcPr>
            <w:tcW w:w="1568" w:type="dxa"/>
            <w:tcBorders>
              <w:top w:val="nil"/>
              <w:left w:val="single" w:sz="4" w:space="0" w:color="auto"/>
              <w:bottom w:val="single" w:sz="4" w:space="0" w:color="auto"/>
              <w:right w:val="single" w:sz="4" w:space="0" w:color="auto"/>
            </w:tcBorders>
          </w:tcPr>
          <w:p w14:paraId="32C56D5A" w14:textId="7202901A" w:rsidR="00B96570" w:rsidRPr="00B96570" w:rsidRDefault="00B96570" w:rsidP="00B96570">
            <w:pPr>
              <w:spacing w:line="276" w:lineRule="auto"/>
              <w:jc w:val="center"/>
            </w:pPr>
            <w:r w:rsidRPr="00B96570">
              <w:t>10.5</w:t>
            </w:r>
          </w:p>
        </w:tc>
      </w:tr>
      <w:tr w:rsidR="00B96570" w:rsidRPr="00B02E32" w14:paraId="47D329C8"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4C937C38" w14:textId="4A3B1765" w:rsidR="00B96570" w:rsidRPr="00B96570" w:rsidRDefault="00B96570" w:rsidP="00B96570">
            <w:pPr>
              <w:spacing w:line="276" w:lineRule="auto"/>
              <w:jc w:val="center"/>
            </w:pPr>
            <w:r w:rsidRPr="00B96570">
              <w:t>20</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51114DC7" w14:textId="2C7B74EF" w:rsidR="00B96570" w:rsidRPr="00B96570" w:rsidRDefault="00B96570" w:rsidP="00B96570">
            <w:pPr>
              <w:spacing w:line="276" w:lineRule="auto"/>
            </w:pPr>
            <w:proofErr w:type="spellStart"/>
            <w:r w:rsidRPr="00B96570">
              <w:t>Dịch</w:t>
            </w:r>
            <w:proofErr w:type="spellEnd"/>
            <w:r w:rsidRPr="00B96570">
              <w:t xml:space="preserve"> </w:t>
            </w:r>
            <w:proofErr w:type="spellStart"/>
            <w:r w:rsidRPr="00B96570">
              <w:t>Vụ</w:t>
            </w:r>
            <w:proofErr w:type="spellEnd"/>
            <w:r w:rsidRPr="00B96570">
              <w:t xml:space="preserve"> </w:t>
            </w:r>
            <w:proofErr w:type="spellStart"/>
            <w:r w:rsidRPr="00B96570">
              <w:t>Viễn</w:t>
            </w:r>
            <w:proofErr w:type="spellEnd"/>
            <w:r w:rsidRPr="00B96570">
              <w:t xml:space="preserve"> Thông</w:t>
            </w:r>
          </w:p>
        </w:tc>
        <w:tc>
          <w:tcPr>
            <w:tcW w:w="1510" w:type="dxa"/>
            <w:tcBorders>
              <w:top w:val="nil"/>
              <w:left w:val="single" w:sz="4" w:space="0" w:color="auto"/>
              <w:bottom w:val="single" w:sz="4" w:space="0" w:color="auto"/>
              <w:right w:val="single" w:sz="4" w:space="0" w:color="auto"/>
            </w:tcBorders>
            <w:vAlign w:val="bottom"/>
          </w:tcPr>
          <w:p w14:paraId="1FE1B88A" w14:textId="50CD9682" w:rsidR="00B96570" w:rsidRPr="00B96570" w:rsidRDefault="00B96570" w:rsidP="00B96570">
            <w:pPr>
              <w:spacing w:line="276" w:lineRule="auto"/>
              <w:jc w:val="center"/>
            </w:pPr>
            <w:r w:rsidRPr="00B96570">
              <w:t>0.0</w:t>
            </w:r>
          </w:p>
        </w:tc>
        <w:tc>
          <w:tcPr>
            <w:tcW w:w="1467" w:type="dxa"/>
            <w:tcBorders>
              <w:top w:val="nil"/>
              <w:left w:val="single" w:sz="4" w:space="0" w:color="auto"/>
              <w:bottom w:val="single" w:sz="4" w:space="0" w:color="auto"/>
              <w:right w:val="single" w:sz="4" w:space="0" w:color="auto"/>
            </w:tcBorders>
            <w:vAlign w:val="bottom"/>
          </w:tcPr>
          <w:p w14:paraId="31715987" w14:textId="687203DE" w:rsidR="00B96570" w:rsidRPr="00B96570" w:rsidRDefault="00B96570" w:rsidP="00B96570">
            <w:pPr>
              <w:spacing w:line="276" w:lineRule="auto"/>
              <w:jc w:val="center"/>
            </w:pPr>
            <w:r w:rsidRPr="00B96570">
              <w:t>0.0</w:t>
            </w:r>
          </w:p>
        </w:tc>
        <w:tc>
          <w:tcPr>
            <w:tcW w:w="1568" w:type="dxa"/>
            <w:tcBorders>
              <w:top w:val="nil"/>
              <w:left w:val="single" w:sz="4" w:space="0" w:color="auto"/>
              <w:bottom w:val="single" w:sz="4" w:space="0" w:color="auto"/>
              <w:right w:val="single" w:sz="4" w:space="0" w:color="auto"/>
            </w:tcBorders>
          </w:tcPr>
          <w:p w14:paraId="64847040" w14:textId="417F6682" w:rsidR="00B96570" w:rsidRPr="00B96570" w:rsidRDefault="00B96570" w:rsidP="00B96570">
            <w:pPr>
              <w:spacing w:line="276" w:lineRule="auto"/>
              <w:jc w:val="center"/>
            </w:pPr>
            <w:r w:rsidRPr="00B96570">
              <w:t>0.0</w:t>
            </w:r>
          </w:p>
        </w:tc>
      </w:tr>
      <w:tr w:rsidR="00B96570" w:rsidRPr="00B02E32" w14:paraId="04AE056A"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0AF6B207" w14:textId="586DCD16" w:rsidR="00B96570" w:rsidRPr="00B96570" w:rsidRDefault="00B96570" w:rsidP="00B96570">
            <w:pPr>
              <w:spacing w:line="276" w:lineRule="auto"/>
              <w:jc w:val="center"/>
            </w:pPr>
            <w:r w:rsidRPr="00B96570">
              <w:t>21</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35187E40" w14:textId="4A363F19" w:rsidR="00B96570" w:rsidRPr="00B96570" w:rsidRDefault="00B96570" w:rsidP="00B96570">
            <w:pPr>
              <w:spacing w:line="276" w:lineRule="auto"/>
            </w:pPr>
            <w:proofErr w:type="spellStart"/>
            <w:r w:rsidRPr="00B96570">
              <w:t>Tiện</w:t>
            </w:r>
            <w:proofErr w:type="spellEnd"/>
            <w:r w:rsidRPr="00B96570">
              <w:t xml:space="preserve"> </w:t>
            </w:r>
            <w:proofErr w:type="spellStart"/>
            <w:r w:rsidRPr="00B96570">
              <w:t>ích</w:t>
            </w:r>
            <w:proofErr w:type="spellEnd"/>
            <w:r w:rsidRPr="00B96570">
              <w:t xml:space="preserve"> Công </w:t>
            </w:r>
            <w:proofErr w:type="spellStart"/>
            <w:r w:rsidRPr="00B96570">
              <w:t>Cộng</w:t>
            </w:r>
            <w:proofErr w:type="spellEnd"/>
          </w:p>
        </w:tc>
        <w:tc>
          <w:tcPr>
            <w:tcW w:w="1510" w:type="dxa"/>
            <w:tcBorders>
              <w:top w:val="nil"/>
              <w:left w:val="single" w:sz="4" w:space="0" w:color="auto"/>
              <w:bottom w:val="single" w:sz="4" w:space="0" w:color="auto"/>
              <w:right w:val="single" w:sz="4" w:space="0" w:color="auto"/>
            </w:tcBorders>
            <w:vAlign w:val="bottom"/>
          </w:tcPr>
          <w:p w14:paraId="07B03093" w14:textId="3999D621" w:rsidR="00B96570" w:rsidRPr="00B96570" w:rsidRDefault="00B96570" w:rsidP="00B96570">
            <w:pPr>
              <w:spacing w:line="276" w:lineRule="auto"/>
              <w:jc w:val="center"/>
            </w:pPr>
            <w:r w:rsidRPr="00B96570">
              <w:t>0.0</w:t>
            </w:r>
          </w:p>
        </w:tc>
        <w:tc>
          <w:tcPr>
            <w:tcW w:w="1467" w:type="dxa"/>
            <w:tcBorders>
              <w:top w:val="nil"/>
              <w:left w:val="single" w:sz="4" w:space="0" w:color="auto"/>
              <w:bottom w:val="single" w:sz="4" w:space="0" w:color="auto"/>
              <w:right w:val="single" w:sz="4" w:space="0" w:color="auto"/>
            </w:tcBorders>
            <w:vAlign w:val="bottom"/>
          </w:tcPr>
          <w:p w14:paraId="0D442A48" w14:textId="0C331431" w:rsidR="00B96570" w:rsidRPr="00B96570" w:rsidRDefault="00B96570" w:rsidP="00B96570">
            <w:pPr>
              <w:spacing w:line="276" w:lineRule="auto"/>
              <w:jc w:val="center"/>
            </w:pPr>
            <w:r w:rsidRPr="00B96570">
              <w:t>3.5</w:t>
            </w:r>
          </w:p>
        </w:tc>
        <w:tc>
          <w:tcPr>
            <w:tcW w:w="1568" w:type="dxa"/>
            <w:tcBorders>
              <w:top w:val="nil"/>
              <w:left w:val="single" w:sz="4" w:space="0" w:color="auto"/>
              <w:bottom w:val="single" w:sz="4" w:space="0" w:color="auto"/>
              <w:right w:val="single" w:sz="4" w:space="0" w:color="auto"/>
            </w:tcBorders>
          </w:tcPr>
          <w:p w14:paraId="0B16CC73" w14:textId="1F7BB881" w:rsidR="00B96570" w:rsidRPr="00B96570" w:rsidRDefault="00B96570" w:rsidP="00B96570">
            <w:pPr>
              <w:spacing w:line="276" w:lineRule="auto"/>
              <w:jc w:val="center"/>
            </w:pPr>
            <w:r w:rsidRPr="00B96570">
              <w:t>0.0</w:t>
            </w:r>
          </w:p>
        </w:tc>
      </w:tr>
      <w:tr w:rsidR="00B96570" w:rsidRPr="00B02E32" w14:paraId="304BF976" w14:textId="77777777" w:rsidTr="000610B4">
        <w:trPr>
          <w:trHeight w:val="270"/>
          <w:jc w:val="center"/>
        </w:trPr>
        <w:tc>
          <w:tcPr>
            <w:tcW w:w="670" w:type="dxa"/>
            <w:tcBorders>
              <w:top w:val="nil"/>
              <w:left w:val="single" w:sz="4" w:space="0" w:color="auto"/>
              <w:bottom w:val="single" w:sz="4" w:space="0" w:color="auto"/>
              <w:right w:val="single" w:sz="4" w:space="0" w:color="auto"/>
            </w:tcBorders>
          </w:tcPr>
          <w:p w14:paraId="4E2BC148" w14:textId="6861EC2D" w:rsidR="00B96570" w:rsidRPr="00B96570" w:rsidRDefault="00B96570" w:rsidP="00B96570">
            <w:pPr>
              <w:spacing w:line="276" w:lineRule="auto"/>
              <w:jc w:val="center"/>
            </w:pPr>
            <w:r w:rsidRPr="00B96570">
              <w:t>22</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7FA2B3BB" w14:textId="0FAE66D9" w:rsidR="00B96570" w:rsidRPr="00B96570" w:rsidRDefault="00B96570" w:rsidP="00B96570">
            <w:pPr>
              <w:spacing w:line="276" w:lineRule="auto"/>
              <w:jc w:val="both"/>
              <w:rPr>
                <w:b/>
                <w:bCs/>
              </w:rPr>
            </w:pPr>
            <w:r w:rsidRPr="00B96570">
              <w:t>Conglomerate</w:t>
            </w:r>
          </w:p>
        </w:tc>
        <w:tc>
          <w:tcPr>
            <w:tcW w:w="1510" w:type="dxa"/>
            <w:tcBorders>
              <w:top w:val="nil"/>
              <w:left w:val="single" w:sz="4" w:space="0" w:color="auto"/>
              <w:bottom w:val="single" w:sz="4" w:space="0" w:color="auto"/>
              <w:right w:val="single" w:sz="4" w:space="0" w:color="auto"/>
            </w:tcBorders>
            <w:vAlign w:val="bottom"/>
          </w:tcPr>
          <w:p w14:paraId="1FD5FF34" w14:textId="30AC46E9" w:rsidR="00B96570" w:rsidRPr="00B96570" w:rsidRDefault="00B96570" w:rsidP="00B96570">
            <w:pPr>
              <w:spacing w:line="276" w:lineRule="auto"/>
              <w:jc w:val="center"/>
              <w:rPr>
                <w:b/>
                <w:bCs/>
              </w:rPr>
            </w:pPr>
            <w:r w:rsidRPr="00B96570">
              <w:t>2.1</w:t>
            </w:r>
          </w:p>
        </w:tc>
        <w:tc>
          <w:tcPr>
            <w:tcW w:w="1467" w:type="dxa"/>
            <w:tcBorders>
              <w:top w:val="nil"/>
              <w:left w:val="single" w:sz="4" w:space="0" w:color="auto"/>
              <w:bottom w:val="single" w:sz="4" w:space="0" w:color="auto"/>
              <w:right w:val="single" w:sz="4" w:space="0" w:color="auto"/>
            </w:tcBorders>
            <w:vAlign w:val="bottom"/>
          </w:tcPr>
          <w:p w14:paraId="6FAC2183" w14:textId="5C291556" w:rsidR="00B96570" w:rsidRPr="00B96570" w:rsidRDefault="00B96570" w:rsidP="00B96570">
            <w:pPr>
              <w:spacing w:line="276" w:lineRule="auto"/>
              <w:jc w:val="center"/>
              <w:rPr>
                <w:b/>
                <w:bCs/>
              </w:rPr>
            </w:pPr>
            <w:r w:rsidRPr="00B96570">
              <w:t>7.9</w:t>
            </w:r>
          </w:p>
        </w:tc>
        <w:tc>
          <w:tcPr>
            <w:tcW w:w="1568" w:type="dxa"/>
            <w:tcBorders>
              <w:top w:val="nil"/>
              <w:left w:val="single" w:sz="4" w:space="0" w:color="auto"/>
              <w:bottom w:val="single" w:sz="4" w:space="0" w:color="auto"/>
              <w:right w:val="single" w:sz="4" w:space="0" w:color="auto"/>
            </w:tcBorders>
          </w:tcPr>
          <w:p w14:paraId="398EA490" w14:textId="2F246307" w:rsidR="00B96570" w:rsidRPr="00B96570" w:rsidRDefault="00B96570" w:rsidP="00B96570">
            <w:pPr>
              <w:spacing w:line="276" w:lineRule="auto"/>
              <w:jc w:val="center"/>
              <w:rPr>
                <w:b/>
                <w:bCs/>
              </w:rPr>
            </w:pPr>
            <w:r w:rsidRPr="00B96570">
              <w:t>0.0</w:t>
            </w:r>
          </w:p>
        </w:tc>
      </w:tr>
      <w:tr w:rsidR="00B96570" w:rsidRPr="00B02E32" w14:paraId="2E69658C"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23125860" w14:textId="77777777" w:rsidR="00B96570" w:rsidRPr="00B96570" w:rsidRDefault="00B96570" w:rsidP="00B96570">
            <w:pPr>
              <w:spacing w:line="276" w:lineRule="auto"/>
              <w:jc w:val="center"/>
            </w:pPr>
          </w:p>
        </w:tc>
        <w:tc>
          <w:tcPr>
            <w:tcW w:w="3110" w:type="dxa"/>
            <w:tcBorders>
              <w:top w:val="nil"/>
              <w:left w:val="single" w:sz="4" w:space="0" w:color="auto"/>
              <w:bottom w:val="single" w:sz="4" w:space="0" w:color="auto"/>
              <w:right w:val="single" w:sz="4" w:space="0" w:color="auto"/>
            </w:tcBorders>
            <w:shd w:val="clear" w:color="auto" w:fill="auto"/>
            <w:noWrap/>
            <w:vAlign w:val="bottom"/>
            <w:hideMark/>
          </w:tcPr>
          <w:p w14:paraId="11D51C71" w14:textId="3BAA3925" w:rsidR="00B96570" w:rsidRPr="00B96570" w:rsidRDefault="00B96570" w:rsidP="00B96570">
            <w:pPr>
              <w:spacing w:line="276" w:lineRule="auto"/>
              <w:jc w:val="both"/>
              <w:rPr>
                <w:b/>
                <w:bCs/>
              </w:rPr>
            </w:pPr>
            <w:proofErr w:type="spellStart"/>
            <w:r w:rsidRPr="00B96570">
              <w:rPr>
                <w:b/>
                <w:bCs/>
              </w:rPr>
              <w:t>Tổng</w:t>
            </w:r>
            <w:proofErr w:type="spellEnd"/>
          </w:p>
        </w:tc>
        <w:tc>
          <w:tcPr>
            <w:tcW w:w="1510" w:type="dxa"/>
            <w:tcBorders>
              <w:top w:val="nil"/>
              <w:left w:val="single" w:sz="4" w:space="0" w:color="auto"/>
              <w:bottom w:val="single" w:sz="4" w:space="0" w:color="auto"/>
              <w:right w:val="single" w:sz="4" w:space="0" w:color="auto"/>
            </w:tcBorders>
          </w:tcPr>
          <w:p w14:paraId="37B0CC0E" w14:textId="39771732" w:rsidR="00B96570" w:rsidRPr="00B96570" w:rsidRDefault="00B96570" w:rsidP="00B96570">
            <w:pPr>
              <w:spacing w:line="276" w:lineRule="auto"/>
              <w:jc w:val="center"/>
              <w:rPr>
                <w:b/>
                <w:bCs/>
              </w:rPr>
            </w:pPr>
            <w:r w:rsidRPr="00B96570">
              <w:rPr>
                <w:b/>
                <w:bCs/>
              </w:rPr>
              <w:t>100.0</w:t>
            </w:r>
          </w:p>
        </w:tc>
        <w:tc>
          <w:tcPr>
            <w:tcW w:w="1467" w:type="dxa"/>
            <w:tcBorders>
              <w:top w:val="nil"/>
              <w:left w:val="single" w:sz="4" w:space="0" w:color="auto"/>
              <w:bottom w:val="single" w:sz="4" w:space="0" w:color="auto"/>
              <w:right w:val="single" w:sz="4" w:space="0" w:color="auto"/>
            </w:tcBorders>
          </w:tcPr>
          <w:p w14:paraId="149106FC" w14:textId="2B13D27E" w:rsidR="00B96570" w:rsidRPr="00B96570" w:rsidRDefault="00B96570" w:rsidP="00B96570">
            <w:pPr>
              <w:spacing w:line="276" w:lineRule="auto"/>
              <w:jc w:val="center"/>
              <w:rPr>
                <w:b/>
                <w:bCs/>
              </w:rPr>
            </w:pPr>
            <w:r w:rsidRPr="00B96570">
              <w:rPr>
                <w:b/>
                <w:bCs/>
              </w:rPr>
              <w:t>100.0</w:t>
            </w:r>
          </w:p>
        </w:tc>
        <w:tc>
          <w:tcPr>
            <w:tcW w:w="1568" w:type="dxa"/>
            <w:tcBorders>
              <w:top w:val="nil"/>
              <w:left w:val="single" w:sz="4" w:space="0" w:color="auto"/>
              <w:bottom w:val="single" w:sz="4" w:space="0" w:color="auto"/>
              <w:right w:val="single" w:sz="4" w:space="0" w:color="auto"/>
            </w:tcBorders>
          </w:tcPr>
          <w:p w14:paraId="1AC5B97B" w14:textId="4B8BE64A" w:rsidR="00B96570" w:rsidRPr="00B96570" w:rsidRDefault="00B96570" w:rsidP="00B96570">
            <w:pPr>
              <w:spacing w:line="276" w:lineRule="auto"/>
              <w:jc w:val="center"/>
              <w:rPr>
                <w:b/>
                <w:bCs/>
              </w:rPr>
            </w:pPr>
            <w:r w:rsidRPr="00B96570">
              <w:rPr>
                <w:b/>
                <w:bCs/>
              </w:rPr>
              <w:t>100.0</w:t>
            </w:r>
          </w:p>
        </w:tc>
      </w:tr>
    </w:tbl>
    <w:p w14:paraId="379517EC" w14:textId="7B5DE775" w:rsidR="0054165D" w:rsidRPr="00FC4F13" w:rsidRDefault="0054165D" w:rsidP="00FC4F13">
      <w:pPr>
        <w:spacing w:before="120" w:after="120" w:line="276" w:lineRule="auto"/>
        <w:jc w:val="both"/>
        <w:rPr>
          <w:lang w:val="sv-SE"/>
        </w:rPr>
      </w:pPr>
      <w:r w:rsidRPr="00FC4F13">
        <w:rPr>
          <w:lang w:val="sv-SE"/>
        </w:rPr>
        <w:t>- Giá trị tài sản ròng của quỹ; giá trị tài sản ròng trên một đơn vị quỹ; số lượng chứng chỉ quỹ chứng khoán đang lưu hành; giá trị tài sản ròng trên một đơn vị quỹ/một cổ phiếu công ty đầu tư chứng khoán cao nhất/thấp nhất trong năm:</w:t>
      </w:r>
    </w:p>
    <w:tbl>
      <w:tblPr>
        <w:tblW w:w="9833"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595"/>
        <w:gridCol w:w="2114"/>
        <w:gridCol w:w="2118"/>
        <w:gridCol w:w="2006"/>
      </w:tblGrid>
      <w:tr w:rsidR="0054165D" w:rsidRPr="00FC4F13" w14:paraId="6C63DDDF" w14:textId="77777777" w:rsidTr="0091396D">
        <w:trPr>
          <w:trHeight w:val="535"/>
        </w:trPr>
        <w:tc>
          <w:tcPr>
            <w:tcW w:w="1828" w:type="pct"/>
            <w:shd w:val="clear" w:color="auto" w:fill="auto"/>
            <w:vAlign w:val="center"/>
          </w:tcPr>
          <w:p w14:paraId="3834D007" w14:textId="77777777" w:rsidR="0054165D" w:rsidRPr="00B02E32" w:rsidRDefault="0054165D" w:rsidP="00FC4F13">
            <w:pPr>
              <w:tabs>
                <w:tab w:val="left" w:pos="540"/>
              </w:tabs>
              <w:spacing w:before="120" w:line="276" w:lineRule="auto"/>
              <w:jc w:val="center"/>
              <w:rPr>
                <w:b/>
                <w:bCs/>
                <w:color w:val="000000" w:themeColor="text1"/>
                <w:lang w:val="nl-NL"/>
              </w:rPr>
            </w:pPr>
            <w:r w:rsidRPr="00B02E32">
              <w:rPr>
                <w:b/>
                <w:bCs/>
                <w:color w:val="000000" w:themeColor="text1"/>
                <w:lang w:val="nl-NL"/>
              </w:rPr>
              <w:t>Chỉ tiêu</w:t>
            </w:r>
          </w:p>
        </w:tc>
        <w:tc>
          <w:tcPr>
            <w:tcW w:w="1075" w:type="pct"/>
            <w:shd w:val="clear" w:color="auto" w:fill="auto"/>
            <w:vAlign w:val="center"/>
          </w:tcPr>
          <w:p w14:paraId="5D1D5F9A" w14:textId="31BEB2FF" w:rsidR="0054165D" w:rsidRPr="002E08E7" w:rsidRDefault="00890245" w:rsidP="00FC4F13">
            <w:pPr>
              <w:tabs>
                <w:tab w:val="left" w:pos="540"/>
              </w:tabs>
              <w:spacing w:before="120" w:line="276" w:lineRule="auto"/>
              <w:jc w:val="center"/>
              <w:rPr>
                <w:b/>
                <w:bCs/>
                <w:color w:val="000000" w:themeColor="text1"/>
                <w:lang w:val="vi-VN"/>
              </w:rPr>
            </w:pPr>
            <w:r>
              <w:rPr>
                <w:b/>
                <w:bCs/>
                <w:color w:val="000000" w:themeColor="text1"/>
              </w:rPr>
              <w:t>31/12</w:t>
            </w:r>
            <w:r w:rsidR="0054165D" w:rsidRPr="00B02E32">
              <w:rPr>
                <w:b/>
                <w:bCs/>
                <w:color w:val="000000" w:themeColor="text1"/>
              </w:rPr>
              <w:t>/202</w:t>
            </w:r>
            <w:r w:rsidR="002E08E7">
              <w:rPr>
                <w:b/>
                <w:bCs/>
                <w:color w:val="000000" w:themeColor="text1"/>
                <w:lang w:val="vi-VN"/>
              </w:rPr>
              <w:t>3</w:t>
            </w:r>
          </w:p>
        </w:tc>
        <w:tc>
          <w:tcPr>
            <w:tcW w:w="1077" w:type="pct"/>
            <w:shd w:val="clear" w:color="auto" w:fill="auto"/>
            <w:vAlign w:val="center"/>
          </w:tcPr>
          <w:p w14:paraId="4AE98697" w14:textId="36B6F16D" w:rsidR="0054165D" w:rsidRPr="002E08E7" w:rsidRDefault="00890245" w:rsidP="00FC4F13">
            <w:pPr>
              <w:tabs>
                <w:tab w:val="left" w:pos="540"/>
              </w:tabs>
              <w:spacing w:before="120" w:line="276" w:lineRule="auto"/>
              <w:jc w:val="center"/>
              <w:rPr>
                <w:b/>
                <w:bCs/>
                <w:color w:val="000000" w:themeColor="text1"/>
                <w:lang w:val="vi-VN"/>
              </w:rPr>
            </w:pPr>
            <w:r>
              <w:rPr>
                <w:b/>
                <w:bCs/>
                <w:color w:val="000000" w:themeColor="text1"/>
              </w:rPr>
              <w:t>31/12</w:t>
            </w:r>
            <w:r w:rsidR="0054165D" w:rsidRPr="00B02E32">
              <w:rPr>
                <w:b/>
                <w:bCs/>
                <w:color w:val="000000" w:themeColor="text1"/>
              </w:rPr>
              <w:t>/202</w:t>
            </w:r>
            <w:r w:rsidR="002E08E7">
              <w:rPr>
                <w:b/>
                <w:bCs/>
                <w:color w:val="000000" w:themeColor="text1"/>
                <w:lang w:val="vi-VN"/>
              </w:rPr>
              <w:t>2</w:t>
            </w:r>
          </w:p>
        </w:tc>
        <w:tc>
          <w:tcPr>
            <w:tcW w:w="1020" w:type="pct"/>
            <w:shd w:val="clear" w:color="auto" w:fill="auto"/>
            <w:vAlign w:val="center"/>
          </w:tcPr>
          <w:p w14:paraId="7BDD1B0E" w14:textId="1B620778" w:rsidR="0054165D" w:rsidRPr="002E08E7" w:rsidRDefault="00890245" w:rsidP="00FC4F13">
            <w:pPr>
              <w:tabs>
                <w:tab w:val="left" w:pos="540"/>
              </w:tabs>
              <w:spacing w:before="120" w:line="276" w:lineRule="auto"/>
              <w:jc w:val="center"/>
              <w:rPr>
                <w:b/>
                <w:bCs/>
                <w:color w:val="000000" w:themeColor="text1"/>
                <w:lang w:val="vi-VN"/>
              </w:rPr>
            </w:pPr>
            <w:r>
              <w:rPr>
                <w:b/>
                <w:bCs/>
                <w:color w:val="000000" w:themeColor="text1"/>
              </w:rPr>
              <w:t>31/12</w:t>
            </w:r>
            <w:r w:rsidR="0054165D" w:rsidRPr="00B02E32">
              <w:rPr>
                <w:b/>
                <w:bCs/>
                <w:color w:val="000000" w:themeColor="text1"/>
              </w:rPr>
              <w:t>/20</w:t>
            </w:r>
            <w:r w:rsidR="00514704" w:rsidRPr="00B02E32">
              <w:rPr>
                <w:b/>
                <w:bCs/>
                <w:color w:val="000000" w:themeColor="text1"/>
              </w:rPr>
              <w:t>2</w:t>
            </w:r>
            <w:r w:rsidR="002E08E7">
              <w:rPr>
                <w:b/>
                <w:bCs/>
                <w:color w:val="000000" w:themeColor="text1"/>
                <w:lang w:val="vi-VN"/>
              </w:rPr>
              <w:t>1</w:t>
            </w:r>
          </w:p>
        </w:tc>
      </w:tr>
      <w:tr w:rsidR="0049521A" w:rsidRPr="00FC4F13" w14:paraId="748255B8" w14:textId="77777777" w:rsidTr="0091396D">
        <w:trPr>
          <w:trHeight w:val="445"/>
        </w:trPr>
        <w:tc>
          <w:tcPr>
            <w:tcW w:w="1828" w:type="pct"/>
            <w:shd w:val="clear" w:color="auto" w:fill="auto"/>
            <w:vAlign w:val="center"/>
          </w:tcPr>
          <w:p w14:paraId="4E43A288" w14:textId="14F00C25" w:rsidR="0049521A" w:rsidRPr="00FC4F13" w:rsidRDefault="0049521A" w:rsidP="0049521A">
            <w:pPr>
              <w:tabs>
                <w:tab w:val="left" w:pos="540"/>
              </w:tabs>
              <w:spacing w:before="120" w:line="276" w:lineRule="auto"/>
              <w:ind w:left="194" w:right="138"/>
              <w:rPr>
                <w:color w:val="000000" w:themeColor="text1"/>
                <w:lang w:val="nl-NL"/>
              </w:rPr>
            </w:pPr>
            <w:r w:rsidRPr="00FC4F13">
              <w:rPr>
                <w:color w:val="000000" w:themeColor="text1"/>
                <w:lang w:val="nl-NL"/>
              </w:rPr>
              <w:t>1.Giá trị tài sản ròng của Quỹ</w:t>
            </w:r>
          </w:p>
        </w:tc>
        <w:tc>
          <w:tcPr>
            <w:tcW w:w="1075" w:type="pct"/>
            <w:shd w:val="clear" w:color="auto" w:fill="auto"/>
            <w:vAlign w:val="center"/>
          </w:tcPr>
          <w:p w14:paraId="13BF1240" w14:textId="22181FF7" w:rsidR="0049521A" w:rsidRPr="00FC4F13" w:rsidRDefault="0049521A" w:rsidP="0049521A">
            <w:pPr>
              <w:spacing w:line="276" w:lineRule="auto"/>
              <w:ind w:right="166"/>
              <w:jc w:val="right"/>
              <w:rPr>
                <w:color w:val="000000" w:themeColor="text1"/>
              </w:rPr>
            </w:pPr>
            <w:r>
              <w:t>4,077,702,574,486</w:t>
            </w:r>
          </w:p>
        </w:tc>
        <w:tc>
          <w:tcPr>
            <w:tcW w:w="1077" w:type="pct"/>
            <w:shd w:val="clear" w:color="auto" w:fill="auto"/>
            <w:vAlign w:val="center"/>
          </w:tcPr>
          <w:p w14:paraId="242BE8BC" w14:textId="17181BC4" w:rsidR="0049521A" w:rsidRPr="00FC4F13" w:rsidRDefault="0049521A" w:rsidP="0049521A">
            <w:pPr>
              <w:spacing w:line="276" w:lineRule="auto"/>
              <w:ind w:right="166"/>
              <w:jc w:val="right"/>
              <w:rPr>
                <w:b/>
                <w:bCs/>
                <w:color w:val="000000" w:themeColor="text1"/>
              </w:rPr>
            </w:pPr>
            <w:r>
              <w:t>3,319,991,546,358</w:t>
            </w:r>
          </w:p>
        </w:tc>
        <w:tc>
          <w:tcPr>
            <w:tcW w:w="1020" w:type="pct"/>
            <w:shd w:val="clear" w:color="auto" w:fill="auto"/>
            <w:vAlign w:val="center"/>
          </w:tcPr>
          <w:p w14:paraId="438C32B6" w14:textId="4DE30042" w:rsidR="0049521A" w:rsidRPr="00FC4F13" w:rsidRDefault="0049521A" w:rsidP="0049521A">
            <w:pPr>
              <w:spacing w:line="276" w:lineRule="auto"/>
              <w:ind w:right="57"/>
              <w:jc w:val="right"/>
              <w:rPr>
                <w:color w:val="000000" w:themeColor="text1"/>
              </w:rPr>
            </w:pPr>
            <w:r>
              <w:t>5,401,131,696,403</w:t>
            </w:r>
          </w:p>
        </w:tc>
      </w:tr>
      <w:tr w:rsidR="0049521A" w:rsidRPr="00FC4F13" w14:paraId="4BD3B156" w14:textId="77777777" w:rsidTr="0091396D">
        <w:trPr>
          <w:trHeight w:val="526"/>
        </w:trPr>
        <w:tc>
          <w:tcPr>
            <w:tcW w:w="1828" w:type="pct"/>
            <w:shd w:val="clear" w:color="auto" w:fill="auto"/>
            <w:vAlign w:val="center"/>
          </w:tcPr>
          <w:p w14:paraId="471F595F" w14:textId="122991C1" w:rsidR="0049521A" w:rsidRPr="00FC4F13" w:rsidRDefault="0049521A" w:rsidP="0049521A">
            <w:pPr>
              <w:tabs>
                <w:tab w:val="left" w:pos="540"/>
              </w:tabs>
              <w:spacing w:before="120" w:line="276" w:lineRule="auto"/>
              <w:ind w:left="194" w:right="138"/>
              <w:rPr>
                <w:color w:val="000000" w:themeColor="text1"/>
                <w:lang w:val="nl-NL"/>
              </w:rPr>
            </w:pPr>
            <w:r w:rsidRPr="00FC4F13">
              <w:rPr>
                <w:color w:val="000000" w:themeColor="text1"/>
                <w:lang w:val="nl-NL"/>
              </w:rPr>
              <w:t>2.Giá trị tài sản ròng của một đơn vị Chứng chỉ quỹ (CCQ)</w:t>
            </w:r>
          </w:p>
        </w:tc>
        <w:tc>
          <w:tcPr>
            <w:tcW w:w="1075" w:type="pct"/>
            <w:shd w:val="clear" w:color="auto" w:fill="auto"/>
            <w:vAlign w:val="center"/>
          </w:tcPr>
          <w:p w14:paraId="18B47026" w14:textId="110E08B9" w:rsidR="0049521A" w:rsidRPr="00FC4F13" w:rsidRDefault="0049521A" w:rsidP="0049521A">
            <w:pPr>
              <w:spacing w:line="276" w:lineRule="auto"/>
              <w:ind w:right="166"/>
              <w:jc w:val="right"/>
              <w:rPr>
                <w:color w:val="000000" w:themeColor="text1"/>
                <w:lang w:val="nl-NL"/>
              </w:rPr>
            </w:pPr>
            <w:r>
              <w:rPr>
                <w:color w:val="000000"/>
              </w:rPr>
              <w:t xml:space="preserve">                      305,938,819.98 </w:t>
            </w:r>
          </w:p>
        </w:tc>
        <w:tc>
          <w:tcPr>
            <w:tcW w:w="1077" w:type="pct"/>
            <w:shd w:val="clear" w:color="auto" w:fill="auto"/>
            <w:vAlign w:val="center"/>
          </w:tcPr>
          <w:p w14:paraId="5D3F2517" w14:textId="2F719EC4" w:rsidR="0049521A" w:rsidRPr="00FC4F13" w:rsidRDefault="0049521A" w:rsidP="0049521A">
            <w:pPr>
              <w:spacing w:line="276" w:lineRule="auto"/>
              <w:ind w:right="166"/>
              <w:jc w:val="right"/>
              <w:rPr>
                <w:color w:val="000000" w:themeColor="text1"/>
              </w:rPr>
            </w:pPr>
            <w:r>
              <w:rPr>
                <w:color w:val="000000"/>
              </w:rPr>
              <w:t xml:space="preserve">                303,807,914.23 </w:t>
            </w:r>
          </w:p>
        </w:tc>
        <w:tc>
          <w:tcPr>
            <w:tcW w:w="1020" w:type="pct"/>
            <w:shd w:val="clear" w:color="auto" w:fill="auto"/>
            <w:vAlign w:val="center"/>
          </w:tcPr>
          <w:p w14:paraId="5A7EC18A" w14:textId="410402B0" w:rsidR="0049521A" w:rsidRPr="00FC4F13" w:rsidRDefault="0049521A" w:rsidP="0049521A">
            <w:pPr>
              <w:tabs>
                <w:tab w:val="left" w:pos="540"/>
              </w:tabs>
              <w:spacing w:before="120" w:line="276" w:lineRule="auto"/>
              <w:ind w:right="57"/>
              <w:jc w:val="right"/>
              <w:rPr>
                <w:color w:val="000000" w:themeColor="text1"/>
                <w:lang w:val="nl-NL"/>
              </w:rPr>
            </w:pPr>
            <w:r>
              <w:rPr>
                <w:color w:val="000000"/>
              </w:rPr>
              <w:t xml:space="preserve">                368,787,914.23 </w:t>
            </w:r>
          </w:p>
        </w:tc>
      </w:tr>
      <w:tr w:rsidR="0049521A" w:rsidRPr="00FC4F13" w14:paraId="0199AB17" w14:textId="77777777" w:rsidTr="0091396D">
        <w:trPr>
          <w:trHeight w:val="445"/>
        </w:trPr>
        <w:tc>
          <w:tcPr>
            <w:tcW w:w="1828" w:type="pct"/>
            <w:shd w:val="clear" w:color="auto" w:fill="auto"/>
            <w:vAlign w:val="center"/>
          </w:tcPr>
          <w:p w14:paraId="134700CB" w14:textId="101AEBFD" w:rsidR="0049521A" w:rsidRPr="00FC4F13" w:rsidRDefault="0049521A" w:rsidP="0049521A">
            <w:pPr>
              <w:tabs>
                <w:tab w:val="left" w:pos="540"/>
              </w:tabs>
              <w:spacing w:before="120" w:line="276" w:lineRule="auto"/>
              <w:ind w:left="194" w:right="138"/>
              <w:rPr>
                <w:color w:val="000000" w:themeColor="text1"/>
                <w:lang w:val="nl-NL"/>
              </w:rPr>
            </w:pPr>
            <w:r w:rsidRPr="00FC4F13">
              <w:rPr>
                <w:color w:val="000000" w:themeColor="text1"/>
                <w:lang w:val="nl-NL"/>
              </w:rPr>
              <w:t>3.Tổng số chứng chỉ quỹ đang lưu hành</w:t>
            </w:r>
          </w:p>
        </w:tc>
        <w:tc>
          <w:tcPr>
            <w:tcW w:w="1075" w:type="pct"/>
            <w:shd w:val="clear" w:color="auto" w:fill="auto"/>
            <w:vAlign w:val="center"/>
          </w:tcPr>
          <w:p w14:paraId="25F62957" w14:textId="487A823E" w:rsidR="0049521A" w:rsidRPr="00FC4F13" w:rsidRDefault="0049521A" w:rsidP="0049521A">
            <w:pPr>
              <w:spacing w:line="276" w:lineRule="auto"/>
              <w:ind w:right="166"/>
              <w:jc w:val="right"/>
              <w:rPr>
                <w:color w:val="000000" w:themeColor="text1"/>
              </w:rPr>
            </w:pPr>
            <w:r>
              <w:rPr>
                <w:color w:val="000000"/>
              </w:rPr>
              <w:t>13,328.49</w:t>
            </w:r>
          </w:p>
        </w:tc>
        <w:tc>
          <w:tcPr>
            <w:tcW w:w="1077" w:type="pct"/>
            <w:shd w:val="clear" w:color="auto" w:fill="auto"/>
            <w:vAlign w:val="center"/>
          </w:tcPr>
          <w:p w14:paraId="6F9CADEB" w14:textId="158511FE" w:rsidR="0049521A" w:rsidRPr="00FC4F13" w:rsidRDefault="0049521A" w:rsidP="0049521A">
            <w:pPr>
              <w:spacing w:line="276" w:lineRule="auto"/>
              <w:ind w:right="166"/>
              <w:jc w:val="right"/>
              <w:rPr>
                <w:color w:val="000000" w:themeColor="text1"/>
              </w:rPr>
            </w:pPr>
            <w:r>
              <w:rPr>
                <w:color w:val="000000"/>
              </w:rPr>
              <w:t>10,927.92</w:t>
            </w:r>
          </w:p>
        </w:tc>
        <w:tc>
          <w:tcPr>
            <w:tcW w:w="1020" w:type="pct"/>
            <w:shd w:val="clear" w:color="auto" w:fill="auto"/>
            <w:vAlign w:val="center"/>
          </w:tcPr>
          <w:p w14:paraId="68C8FCDD" w14:textId="5879BD13" w:rsidR="0049521A" w:rsidRPr="00FC4F13" w:rsidRDefault="0049521A" w:rsidP="0049521A">
            <w:pPr>
              <w:tabs>
                <w:tab w:val="left" w:pos="540"/>
              </w:tabs>
              <w:spacing w:before="120" w:line="276" w:lineRule="auto"/>
              <w:ind w:right="57"/>
              <w:jc w:val="right"/>
              <w:rPr>
                <w:color w:val="000000" w:themeColor="text1"/>
                <w:lang w:val="nl-NL"/>
              </w:rPr>
            </w:pPr>
            <w:r>
              <w:rPr>
                <w:color w:val="000000"/>
              </w:rPr>
              <w:t>14,645.63</w:t>
            </w:r>
          </w:p>
        </w:tc>
      </w:tr>
      <w:tr w:rsidR="0049521A" w:rsidRPr="00FC4F13" w14:paraId="579CCB08" w14:textId="77777777" w:rsidTr="0091396D">
        <w:trPr>
          <w:trHeight w:val="791"/>
        </w:trPr>
        <w:tc>
          <w:tcPr>
            <w:tcW w:w="1828" w:type="pct"/>
            <w:shd w:val="clear" w:color="auto" w:fill="auto"/>
            <w:vAlign w:val="center"/>
          </w:tcPr>
          <w:p w14:paraId="7F454E0B" w14:textId="2B3E7A4A" w:rsidR="0049521A" w:rsidRPr="00FC4F13" w:rsidRDefault="0049521A" w:rsidP="0049521A">
            <w:pPr>
              <w:tabs>
                <w:tab w:val="left" w:pos="540"/>
              </w:tabs>
              <w:spacing w:before="120" w:line="276" w:lineRule="auto"/>
              <w:ind w:left="194" w:right="138"/>
              <w:rPr>
                <w:color w:val="000000" w:themeColor="text1"/>
                <w:lang w:val="nl-NL"/>
              </w:rPr>
            </w:pPr>
            <w:r w:rsidRPr="00FC4F13">
              <w:rPr>
                <w:color w:val="000000" w:themeColor="text1"/>
                <w:lang w:val="nl-NL"/>
              </w:rPr>
              <w:t>4.Giá trị tài sản ròng cao nhất của 1 đơn vị CCQ trong kỳ báo cáo</w:t>
            </w:r>
          </w:p>
        </w:tc>
        <w:tc>
          <w:tcPr>
            <w:tcW w:w="1075" w:type="pct"/>
            <w:shd w:val="clear" w:color="auto" w:fill="auto"/>
            <w:vAlign w:val="center"/>
          </w:tcPr>
          <w:p w14:paraId="20D00126" w14:textId="21ABFF93" w:rsidR="0049521A" w:rsidRPr="00FC4F13" w:rsidRDefault="0049521A" w:rsidP="0049521A">
            <w:pPr>
              <w:spacing w:line="276" w:lineRule="auto"/>
              <w:ind w:right="166"/>
              <w:jc w:val="right"/>
              <w:rPr>
                <w:color w:val="000000" w:themeColor="text1"/>
              </w:rPr>
            </w:pPr>
            <w:r>
              <w:rPr>
                <w:color w:val="000000"/>
              </w:rPr>
              <w:t>14,175.88</w:t>
            </w:r>
          </w:p>
        </w:tc>
        <w:tc>
          <w:tcPr>
            <w:tcW w:w="1077" w:type="pct"/>
            <w:shd w:val="clear" w:color="auto" w:fill="auto"/>
            <w:vAlign w:val="center"/>
          </w:tcPr>
          <w:p w14:paraId="66C8C547" w14:textId="4C5FBF45" w:rsidR="0049521A" w:rsidRPr="00FC4F13" w:rsidRDefault="0049521A" w:rsidP="0049521A">
            <w:pPr>
              <w:spacing w:line="276" w:lineRule="auto"/>
              <w:ind w:right="166"/>
              <w:jc w:val="right"/>
              <w:rPr>
                <w:color w:val="000000" w:themeColor="text1"/>
              </w:rPr>
            </w:pPr>
            <w:r>
              <w:rPr>
                <w:color w:val="000000"/>
              </w:rPr>
              <w:t>15,695.90</w:t>
            </w:r>
          </w:p>
        </w:tc>
        <w:tc>
          <w:tcPr>
            <w:tcW w:w="1020" w:type="pct"/>
            <w:shd w:val="clear" w:color="auto" w:fill="auto"/>
            <w:vAlign w:val="center"/>
          </w:tcPr>
          <w:p w14:paraId="3F4510A8" w14:textId="0C703702" w:rsidR="0049521A" w:rsidRPr="00FC4F13" w:rsidRDefault="0049521A" w:rsidP="0049521A">
            <w:pPr>
              <w:spacing w:line="276" w:lineRule="auto"/>
              <w:ind w:right="57"/>
              <w:jc w:val="right"/>
              <w:rPr>
                <w:color w:val="000000" w:themeColor="text1"/>
              </w:rPr>
            </w:pPr>
            <w:r>
              <w:rPr>
                <w:color w:val="000000"/>
              </w:rPr>
              <w:t>14,653.10</w:t>
            </w:r>
          </w:p>
        </w:tc>
      </w:tr>
      <w:tr w:rsidR="0049521A" w:rsidRPr="00FC4F13" w14:paraId="22CF5A3D" w14:textId="77777777" w:rsidTr="0091396D">
        <w:tc>
          <w:tcPr>
            <w:tcW w:w="1828" w:type="pct"/>
            <w:shd w:val="clear" w:color="auto" w:fill="auto"/>
            <w:vAlign w:val="center"/>
          </w:tcPr>
          <w:p w14:paraId="3525CF1E" w14:textId="18D73930" w:rsidR="0049521A" w:rsidRPr="00FC4F13" w:rsidRDefault="0049521A" w:rsidP="0049521A">
            <w:pPr>
              <w:tabs>
                <w:tab w:val="left" w:pos="540"/>
              </w:tabs>
              <w:spacing w:before="120" w:line="276" w:lineRule="auto"/>
              <w:ind w:left="194" w:right="138"/>
              <w:rPr>
                <w:color w:val="000000" w:themeColor="text1"/>
                <w:lang w:val="nl-NL"/>
              </w:rPr>
            </w:pPr>
            <w:r w:rsidRPr="00FC4F13">
              <w:rPr>
                <w:color w:val="000000" w:themeColor="text1"/>
                <w:lang w:val="nl-NL"/>
              </w:rPr>
              <w:t>5.Giá trị tài sản ròng thấp nhất của 1 đơn vị CCQ trong kỳ báo cáo</w:t>
            </w:r>
          </w:p>
        </w:tc>
        <w:tc>
          <w:tcPr>
            <w:tcW w:w="1075" w:type="pct"/>
            <w:shd w:val="clear" w:color="auto" w:fill="auto"/>
            <w:vAlign w:val="center"/>
          </w:tcPr>
          <w:p w14:paraId="06878A3E" w14:textId="02C8C876" w:rsidR="0049521A" w:rsidRPr="00FC4F13" w:rsidRDefault="0049521A" w:rsidP="0049521A">
            <w:pPr>
              <w:spacing w:line="276" w:lineRule="auto"/>
              <w:ind w:right="166"/>
              <w:jc w:val="right"/>
              <w:rPr>
                <w:color w:val="000000" w:themeColor="text1"/>
              </w:rPr>
            </w:pPr>
            <w:r>
              <w:rPr>
                <w:color w:val="000000"/>
              </w:rPr>
              <w:t>10,715.43</w:t>
            </w:r>
          </w:p>
        </w:tc>
        <w:tc>
          <w:tcPr>
            <w:tcW w:w="1077" w:type="pct"/>
            <w:shd w:val="clear" w:color="auto" w:fill="auto"/>
            <w:vAlign w:val="center"/>
          </w:tcPr>
          <w:p w14:paraId="18CF25EC" w14:textId="1D58487D" w:rsidR="0049521A" w:rsidRPr="00FC4F13" w:rsidRDefault="0049521A" w:rsidP="0049521A">
            <w:pPr>
              <w:spacing w:line="276" w:lineRule="auto"/>
              <w:ind w:right="166"/>
              <w:jc w:val="right"/>
              <w:rPr>
                <w:color w:val="000000" w:themeColor="text1"/>
              </w:rPr>
            </w:pPr>
            <w:r>
              <w:rPr>
                <w:color w:val="000000"/>
              </w:rPr>
              <w:t>9,561.90</w:t>
            </w:r>
          </w:p>
        </w:tc>
        <w:tc>
          <w:tcPr>
            <w:tcW w:w="1020" w:type="pct"/>
            <w:shd w:val="clear" w:color="auto" w:fill="auto"/>
            <w:vAlign w:val="center"/>
          </w:tcPr>
          <w:p w14:paraId="5DEE8774" w14:textId="0F945212" w:rsidR="0049521A" w:rsidRPr="00FC4F13" w:rsidRDefault="0049521A" w:rsidP="0049521A">
            <w:pPr>
              <w:spacing w:line="276" w:lineRule="auto"/>
              <w:ind w:right="57"/>
              <w:jc w:val="right"/>
              <w:rPr>
                <w:color w:val="000000" w:themeColor="text1"/>
              </w:rPr>
            </w:pPr>
            <w:r>
              <w:rPr>
                <w:color w:val="000000"/>
              </w:rPr>
              <w:t>9,737.26</w:t>
            </w:r>
          </w:p>
        </w:tc>
      </w:tr>
      <w:tr w:rsidR="0049521A" w:rsidRPr="00FC4F13" w14:paraId="136641AD" w14:textId="77777777" w:rsidTr="0091396D">
        <w:tc>
          <w:tcPr>
            <w:tcW w:w="1828" w:type="pct"/>
            <w:shd w:val="clear" w:color="auto" w:fill="auto"/>
            <w:vAlign w:val="center"/>
          </w:tcPr>
          <w:p w14:paraId="582A35E3" w14:textId="73D76D09" w:rsidR="0049521A" w:rsidRPr="00FC4F13" w:rsidRDefault="0049521A" w:rsidP="0049521A">
            <w:pPr>
              <w:tabs>
                <w:tab w:val="left" w:pos="540"/>
              </w:tabs>
              <w:spacing w:before="120" w:line="276" w:lineRule="auto"/>
              <w:ind w:left="194" w:right="138"/>
              <w:rPr>
                <w:color w:val="000000" w:themeColor="text1"/>
                <w:lang w:val="nl-NL"/>
              </w:rPr>
            </w:pPr>
            <w:proofErr w:type="spellStart"/>
            <w:r w:rsidRPr="00BE6006">
              <w:t>Tỷ</w:t>
            </w:r>
            <w:proofErr w:type="spellEnd"/>
            <w:r w:rsidRPr="00BE6006">
              <w:t xml:space="preserve"> </w:t>
            </w:r>
            <w:proofErr w:type="spellStart"/>
            <w:r w:rsidRPr="00BE6006">
              <w:t>lệ</w:t>
            </w:r>
            <w:proofErr w:type="spellEnd"/>
            <w:r w:rsidRPr="00BE6006">
              <w:t xml:space="preserve"> chi </w:t>
            </w:r>
            <w:proofErr w:type="spellStart"/>
            <w:r w:rsidRPr="00BE6006">
              <w:t>phí</w:t>
            </w:r>
            <w:proofErr w:type="spellEnd"/>
            <w:r w:rsidRPr="00BE6006">
              <w:t xml:space="preserve"> </w:t>
            </w:r>
            <w:proofErr w:type="spellStart"/>
            <w:r w:rsidRPr="00BE6006">
              <w:t>hoạt</w:t>
            </w:r>
            <w:proofErr w:type="spellEnd"/>
            <w:r w:rsidRPr="00BE6006">
              <w:t xml:space="preserve"> </w:t>
            </w:r>
            <w:proofErr w:type="spellStart"/>
            <w:r w:rsidRPr="00BE6006">
              <w:t>động</w:t>
            </w:r>
            <w:proofErr w:type="spellEnd"/>
            <w:r w:rsidRPr="00BE6006">
              <w:t xml:space="preserve"> </w:t>
            </w:r>
            <w:proofErr w:type="spellStart"/>
            <w:r w:rsidRPr="00BE6006">
              <w:t>của</w:t>
            </w:r>
            <w:proofErr w:type="spellEnd"/>
            <w:r w:rsidRPr="00BE6006">
              <w:t xml:space="preserve"> </w:t>
            </w:r>
            <w:proofErr w:type="spellStart"/>
            <w:r w:rsidRPr="00BE6006">
              <w:t>quỹ</w:t>
            </w:r>
            <w:proofErr w:type="spellEnd"/>
            <w:r w:rsidRPr="00BE6006">
              <w:t xml:space="preserve"> (%)</w:t>
            </w:r>
          </w:p>
        </w:tc>
        <w:tc>
          <w:tcPr>
            <w:tcW w:w="1075" w:type="pct"/>
            <w:shd w:val="clear" w:color="auto" w:fill="auto"/>
            <w:vAlign w:val="center"/>
          </w:tcPr>
          <w:p w14:paraId="666228BE" w14:textId="3278C22F" w:rsidR="0049521A" w:rsidRPr="001F1881" w:rsidRDefault="0049521A" w:rsidP="0049521A">
            <w:pPr>
              <w:spacing w:line="276" w:lineRule="auto"/>
              <w:ind w:right="166"/>
              <w:jc w:val="right"/>
            </w:pPr>
            <w:r>
              <w:rPr>
                <w:color w:val="000000"/>
              </w:rPr>
              <w:t>0.86%</w:t>
            </w:r>
          </w:p>
        </w:tc>
        <w:tc>
          <w:tcPr>
            <w:tcW w:w="1077" w:type="pct"/>
            <w:shd w:val="clear" w:color="auto" w:fill="auto"/>
            <w:vAlign w:val="center"/>
          </w:tcPr>
          <w:p w14:paraId="5EC1F4B6" w14:textId="6A77523F" w:rsidR="0049521A" w:rsidRPr="001F1881" w:rsidRDefault="0049521A" w:rsidP="0049521A">
            <w:pPr>
              <w:spacing w:line="276" w:lineRule="auto"/>
              <w:ind w:right="166"/>
              <w:jc w:val="right"/>
            </w:pPr>
            <w:r>
              <w:rPr>
                <w:color w:val="000000"/>
              </w:rPr>
              <w:t>1.29%</w:t>
            </w:r>
          </w:p>
        </w:tc>
        <w:tc>
          <w:tcPr>
            <w:tcW w:w="1020" w:type="pct"/>
            <w:shd w:val="clear" w:color="auto" w:fill="auto"/>
            <w:vAlign w:val="center"/>
          </w:tcPr>
          <w:p w14:paraId="51D5D557" w14:textId="23DAB72B" w:rsidR="0049521A" w:rsidRPr="001F1881" w:rsidRDefault="0049521A" w:rsidP="0049521A">
            <w:pPr>
              <w:spacing w:line="276" w:lineRule="auto"/>
              <w:ind w:right="57"/>
              <w:jc w:val="right"/>
            </w:pPr>
            <w:r>
              <w:rPr>
                <w:color w:val="000000"/>
              </w:rPr>
              <w:t>1.33%</w:t>
            </w:r>
          </w:p>
        </w:tc>
      </w:tr>
      <w:tr w:rsidR="0049521A" w:rsidRPr="00FC4F13" w14:paraId="7BA56948" w14:textId="77777777" w:rsidTr="0091396D">
        <w:tc>
          <w:tcPr>
            <w:tcW w:w="1828" w:type="pct"/>
            <w:shd w:val="clear" w:color="auto" w:fill="auto"/>
            <w:vAlign w:val="center"/>
          </w:tcPr>
          <w:p w14:paraId="0E62B7CB" w14:textId="4C432284" w:rsidR="0049521A" w:rsidRPr="00FC4F13" w:rsidRDefault="0049521A" w:rsidP="0049521A">
            <w:pPr>
              <w:tabs>
                <w:tab w:val="left" w:pos="540"/>
              </w:tabs>
              <w:spacing w:before="120" w:line="276" w:lineRule="auto"/>
              <w:ind w:left="194" w:right="138"/>
              <w:rPr>
                <w:color w:val="000000" w:themeColor="text1"/>
                <w:lang w:val="nl-NL"/>
              </w:rPr>
            </w:pPr>
            <w:proofErr w:type="spellStart"/>
            <w:r w:rsidRPr="00BE6006">
              <w:t>Tốc</w:t>
            </w:r>
            <w:proofErr w:type="spellEnd"/>
            <w:r w:rsidRPr="00BE6006">
              <w:t xml:space="preserve"> </w:t>
            </w:r>
            <w:proofErr w:type="spellStart"/>
            <w:r w:rsidRPr="00BE6006">
              <w:t>độ</w:t>
            </w:r>
            <w:proofErr w:type="spellEnd"/>
            <w:r w:rsidRPr="00BE6006">
              <w:t xml:space="preserve"> </w:t>
            </w:r>
            <w:proofErr w:type="spellStart"/>
            <w:r w:rsidRPr="00BE6006">
              <w:t>vòng</w:t>
            </w:r>
            <w:proofErr w:type="spellEnd"/>
            <w:r w:rsidRPr="00BE6006">
              <w:t xml:space="preserve"> quay </w:t>
            </w:r>
            <w:proofErr w:type="spellStart"/>
            <w:r w:rsidRPr="00BE6006">
              <w:t>danh</w:t>
            </w:r>
            <w:proofErr w:type="spellEnd"/>
            <w:r w:rsidRPr="00BE6006">
              <w:t xml:space="preserve"> </w:t>
            </w:r>
            <w:proofErr w:type="spellStart"/>
            <w:r w:rsidRPr="00BE6006">
              <w:t>mục</w:t>
            </w:r>
            <w:proofErr w:type="spellEnd"/>
            <w:r w:rsidRPr="00BE6006">
              <w:t xml:space="preserve"> (%)</w:t>
            </w:r>
          </w:p>
        </w:tc>
        <w:tc>
          <w:tcPr>
            <w:tcW w:w="1075" w:type="pct"/>
            <w:shd w:val="clear" w:color="auto" w:fill="auto"/>
            <w:vAlign w:val="center"/>
          </w:tcPr>
          <w:p w14:paraId="7C31AE3A" w14:textId="73D0144D" w:rsidR="0049521A" w:rsidRPr="001F1881" w:rsidRDefault="0049521A" w:rsidP="0049521A">
            <w:pPr>
              <w:spacing w:line="276" w:lineRule="auto"/>
              <w:ind w:right="166"/>
              <w:jc w:val="right"/>
            </w:pPr>
            <w:r>
              <w:rPr>
                <w:color w:val="000000"/>
              </w:rPr>
              <w:t>157.22%</w:t>
            </w:r>
          </w:p>
        </w:tc>
        <w:tc>
          <w:tcPr>
            <w:tcW w:w="1077" w:type="pct"/>
            <w:shd w:val="clear" w:color="auto" w:fill="auto"/>
            <w:vAlign w:val="center"/>
          </w:tcPr>
          <w:p w14:paraId="18F5E2DB" w14:textId="0CE8D0C7" w:rsidR="0049521A" w:rsidRPr="001F1881" w:rsidRDefault="0049521A" w:rsidP="0049521A">
            <w:pPr>
              <w:spacing w:line="276" w:lineRule="auto"/>
              <w:ind w:right="166"/>
              <w:jc w:val="right"/>
            </w:pPr>
            <w:r>
              <w:rPr>
                <w:color w:val="000000"/>
              </w:rPr>
              <w:t>168.32%</w:t>
            </w:r>
          </w:p>
        </w:tc>
        <w:tc>
          <w:tcPr>
            <w:tcW w:w="1020" w:type="pct"/>
            <w:shd w:val="clear" w:color="auto" w:fill="auto"/>
            <w:vAlign w:val="center"/>
          </w:tcPr>
          <w:p w14:paraId="2C0CA1BC" w14:textId="7B857174" w:rsidR="0049521A" w:rsidRPr="001F1881" w:rsidRDefault="0049521A" w:rsidP="0049521A">
            <w:pPr>
              <w:spacing w:line="276" w:lineRule="auto"/>
              <w:ind w:right="57"/>
              <w:jc w:val="right"/>
            </w:pPr>
            <w:r>
              <w:rPr>
                <w:color w:val="000000"/>
              </w:rPr>
              <w:t>168.48%</w:t>
            </w:r>
          </w:p>
        </w:tc>
      </w:tr>
    </w:tbl>
    <w:p w14:paraId="73C2AB8C" w14:textId="1386582E" w:rsidR="00B04C91" w:rsidRPr="00FC4F13" w:rsidRDefault="004D5691" w:rsidP="00B02E32">
      <w:pPr>
        <w:pStyle w:val="ListParagraph"/>
        <w:tabs>
          <w:tab w:val="left" w:pos="270"/>
          <w:tab w:val="left" w:pos="1134"/>
        </w:tabs>
        <w:spacing w:before="120" w:after="120" w:line="276" w:lineRule="auto"/>
        <w:ind w:left="0"/>
        <w:contextualSpacing w:val="0"/>
        <w:jc w:val="both"/>
        <w:rPr>
          <w:b w:val="0"/>
          <w:lang w:val="sv-SE"/>
        </w:rPr>
      </w:pPr>
      <w:r w:rsidRPr="00FC4F13">
        <w:rPr>
          <w:b w:val="0"/>
          <w:lang w:val="sv-SE"/>
        </w:rPr>
        <w:t xml:space="preserve">- </w:t>
      </w:r>
      <w:r w:rsidR="00B04C91" w:rsidRPr="00FC4F13">
        <w:rPr>
          <w:b w:val="0"/>
          <w:lang w:val="sv-SE"/>
        </w:rPr>
        <w:t>Tổng lợi nhuận của quỹ, nêu chi tiết phần lợi nhuận thu được từ sự tăng trưởng giá chứng khoán (giá trị lãi vốn) và phần lợi nhuận thu được từ lợi tức chứng khoán (cổ tức, trái tức, lãi suấ</w:t>
      </w:r>
      <w:r w:rsidR="00687660" w:rsidRPr="00FC4F13">
        <w:rPr>
          <w:b w:val="0"/>
          <w:lang w:val="sv-SE"/>
        </w:rPr>
        <w:t>t tiền gửi…) (giá trị thu nhập</w:t>
      </w:r>
      <w:r w:rsidR="00030F08" w:rsidRPr="00FC4F13">
        <w:rPr>
          <w:b w:val="0"/>
          <w:lang w:val="sv-SE"/>
        </w:rPr>
        <w:t>) </w:t>
      </w:r>
      <w:r w:rsidR="00687660" w:rsidRPr="00FC4F13">
        <w:rPr>
          <w:b w:val="0"/>
          <w:lang w:val="sv-SE"/>
        </w:rPr>
        <w:t>như sau :</w:t>
      </w:r>
    </w:p>
    <w:tbl>
      <w:tblPr>
        <w:tblW w:w="9586" w:type="dxa"/>
        <w:tblLook w:val="04A0" w:firstRow="1" w:lastRow="0" w:firstColumn="1" w:lastColumn="0" w:noHBand="0" w:noVBand="1"/>
      </w:tblPr>
      <w:tblGrid>
        <w:gridCol w:w="670"/>
        <w:gridCol w:w="6620"/>
        <w:gridCol w:w="2296"/>
      </w:tblGrid>
      <w:tr w:rsidR="00184C77" w:rsidRPr="00FC4F13" w14:paraId="7840DA50" w14:textId="77777777" w:rsidTr="00A450C5">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7220" w14:textId="77777777" w:rsidR="00184C77" w:rsidRPr="00FC4F13" w:rsidRDefault="00184C77" w:rsidP="00FC4F13">
            <w:pPr>
              <w:spacing w:line="276" w:lineRule="auto"/>
              <w:jc w:val="center"/>
              <w:rPr>
                <w:b/>
                <w:bCs/>
                <w:color w:val="000000"/>
              </w:rPr>
            </w:pPr>
            <w:bookmarkStart w:id="0" w:name="_MON_1488628948"/>
            <w:bookmarkStart w:id="1" w:name="_MON_1488952158"/>
            <w:bookmarkStart w:id="2" w:name="_MON_1488629416"/>
            <w:bookmarkStart w:id="3" w:name="_MON_1488628909"/>
            <w:bookmarkEnd w:id="0"/>
            <w:bookmarkEnd w:id="1"/>
            <w:bookmarkEnd w:id="2"/>
            <w:bookmarkEnd w:id="3"/>
            <w:r w:rsidRPr="00FC4F13">
              <w:rPr>
                <w:b/>
                <w:bCs/>
                <w:color w:val="000000"/>
              </w:rPr>
              <w:t>STT</w:t>
            </w:r>
          </w:p>
        </w:tc>
        <w:tc>
          <w:tcPr>
            <w:tcW w:w="6620" w:type="dxa"/>
            <w:tcBorders>
              <w:top w:val="single" w:sz="4" w:space="0" w:color="auto"/>
              <w:left w:val="nil"/>
              <w:bottom w:val="single" w:sz="4" w:space="0" w:color="auto"/>
              <w:right w:val="single" w:sz="4" w:space="0" w:color="auto"/>
            </w:tcBorders>
            <w:shd w:val="clear" w:color="auto" w:fill="auto"/>
            <w:noWrap/>
            <w:vAlign w:val="center"/>
            <w:hideMark/>
          </w:tcPr>
          <w:p w14:paraId="337201C1" w14:textId="77777777" w:rsidR="00184C77" w:rsidRPr="00FC4F13" w:rsidRDefault="00184C77" w:rsidP="00FC4F13">
            <w:pPr>
              <w:spacing w:line="276" w:lineRule="auto"/>
              <w:jc w:val="center"/>
              <w:rPr>
                <w:b/>
                <w:bCs/>
                <w:color w:val="000000"/>
              </w:rPr>
            </w:pPr>
            <w:proofErr w:type="spellStart"/>
            <w:r w:rsidRPr="00FC4F13">
              <w:rPr>
                <w:b/>
                <w:bCs/>
                <w:color w:val="000000"/>
              </w:rPr>
              <w:t>Chỉ</w:t>
            </w:r>
            <w:proofErr w:type="spellEnd"/>
            <w:r w:rsidRPr="00FC4F13">
              <w:rPr>
                <w:b/>
                <w:bCs/>
                <w:color w:val="000000"/>
              </w:rPr>
              <w:t xml:space="preserve"> </w:t>
            </w:r>
            <w:proofErr w:type="spellStart"/>
            <w:r w:rsidRPr="00FC4F13">
              <w:rPr>
                <w:b/>
                <w:bCs/>
                <w:color w:val="000000"/>
              </w:rPr>
              <w:t>tiêu</w:t>
            </w:r>
            <w:proofErr w:type="spellEnd"/>
          </w:p>
        </w:tc>
        <w:tc>
          <w:tcPr>
            <w:tcW w:w="2296" w:type="dxa"/>
            <w:tcBorders>
              <w:top w:val="single" w:sz="4" w:space="0" w:color="auto"/>
              <w:left w:val="nil"/>
              <w:bottom w:val="single" w:sz="4" w:space="0" w:color="auto"/>
              <w:right w:val="single" w:sz="4" w:space="0" w:color="auto"/>
            </w:tcBorders>
            <w:shd w:val="clear" w:color="auto" w:fill="auto"/>
            <w:noWrap/>
            <w:vAlign w:val="center"/>
            <w:hideMark/>
          </w:tcPr>
          <w:p w14:paraId="37BA1192" w14:textId="77777777" w:rsidR="00184C77" w:rsidRPr="00FC4F13" w:rsidRDefault="00184C77" w:rsidP="00FC4F13">
            <w:pPr>
              <w:spacing w:line="276" w:lineRule="auto"/>
              <w:jc w:val="center"/>
              <w:rPr>
                <w:b/>
                <w:bCs/>
                <w:color w:val="000000"/>
              </w:rPr>
            </w:pPr>
            <w:r w:rsidRPr="00FC4F13">
              <w:rPr>
                <w:b/>
                <w:bCs/>
                <w:color w:val="000000"/>
              </w:rPr>
              <w:t xml:space="preserve"> </w:t>
            </w:r>
            <w:proofErr w:type="spellStart"/>
            <w:r w:rsidRPr="00FC4F13">
              <w:rPr>
                <w:b/>
                <w:bCs/>
                <w:color w:val="000000"/>
              </w:rPr>
              <w:t>Số</w:t>
            </w:r>
            <w:proofErr w:type="spellEnd"/>
            <w:r w:rsidRPr="00FC4F13">
              <w:rPr>
                <w:b/>
                <w:bCs/>
                <w:color w:val="000000"/>
              </w:rPr>
              <w:t xml:space="preserve"> </w:t>
            </w:r>
            <w:proofErr w:type="spellStart"/>
            <w:r w:rsidRPr="00FC4F13">
              <w:rPr>
                <w:b/>
                <w:bCs/>
                <w:color w:val="000000"/>
              </w:rPr>
              <w:t>liệu</w:t>
            </w:r>
            <w:proofErr w:type="spellEnd"/>
            <w:r w:rsidRPr="00FC4F13">
              <w:rPr>
                <w:b/>
                <w:bCs/>
                <w:color w:val="000000"/>
              </w:rPr>
              <w:t xml:space="preserve"> </w:t>
            </w:r>
          </w:p>
        </w:tc>
      </w:tr>
      <w:tr w:rsidR="00A450C5" w:rsidRPr="00FC4F13" w14:paraId="2DCE285D" w14:textId="77777777" w:rsidTr="00A450C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B042BD1" w14:textId="77777777" w:rsidR="00A450C5" w:rsidRPr="00FC4F13" w:rsidRDefault="00A450C5" w:rsidP="00A450C5">
            <w:pPr>
              <w:spacing w:line="276" w:lineRule="auto"/>
              <w:jc w:val="center"/>
              <w:rPr>
                <w:color w:val="000000"/>
              </w:rPr>
            </w:pPr>
            <w:r w:rsidRPr="00FC4F13">
              <w:rPr>
                <w:color w:val="000000"/>
              </w:rPr>
              <w:t>1</w:t>
            </w:r>
          </w:p>
        </w:tc>
        <w:tc>
          <w:tcPr>
            <w:tcW w:w="6620" w:type="dxa"/>
            <w:tcBorders>
              <w:top w:val="nil"/>
              <w:left w:val="nil"/>
              <w:bottom w:val="single" w:sz="4" w:space="0" w:color="auto"/>
              <w:right w:val="single" w:sz="4" w:space="0" w:color="auto"/>
            </w:tcBorders>
            <w:shd w:val="clear" w:color="auto" w:fill="auto"/>
            <w:vAlign w:val="center"/>
            <w:hideMark/>
          </w:tcPr>
          <w:p w14:paraId="1A11DB67" w14:textId="77777777" w:rsidR="00A450C5" w:rsidRPr="00FC4F13" w:rsidRDefault="00A450C5" w:rsidP="00A450C5">
            <w:pPr>
              <w:spacing w:line="276" w:lineRule="auto"/>
              <w:rPr>
                <w:color w:val="000000"/>
              </w:rPr>
            </w:pPr>
            <w:r w:rsidRPr="00FC4F13">
              <w:rPr>
                <w:color w:val="000000"/>
              </w:rPr>
              <w:t xml:space="preserve">Lợi </w:t>
            </w:r>
            <w:proofErr w:type="spellStart"/>
            <w:r w:rsidRPr="00FC4F13">
              <w:rPr>
                <w:color w:val="000000"/>
              </w:rPr>
              <w:t>nhuận</w:t>
            </w:r>
            <w:proofErr w:type="spellEnd"/>
            <w:r w:rsidRPr="00FC4F13">
              <w:rPr>
                <w:color w:val="000000"/>
              </w:rPr>
              <w:t xml:space="preserve"> </w:t>
            </w:r>
            <w:proofErr w:type="spellStart"/>
            <w:r w:rsidRPr="00FC4F13">
              <w:rPr>
                <w:color w:val="000000"/>
              </w:rPr>
              <w:t>thu</w:t>
            </w:r>
            <w:proofErr w:type="spellEnd"/>
            <w:r w:rsidRPr="00FC4F13">
              <w:rPr>
                <w:color w:val="000000"/>
              </w:rPr>
              <w:t xml:space="preserve"> </w:t>
            </w:r>
            <w:proofErr w:type="spellStart"/>
            <w:r w:rsidRPr="00FC4F13">
              <w:rPr>
                <w:color w:val="000000"/>
              </w:rPr>
              <w:t>được</w:t>
            </w:r>
            <w:proofErr w:type="spellEnd"/>
            <w:r w:rsidRPr="00FC4F13">
              <w:rPr>
                <w:color w:val="000000"/>
              </w:rPr>
              <w:t xml:space="preserve"> </w:t>
            </w:r>
            <w:proofErr w:type="spellStart"/>
            <w:r w:rsidRPr="00FC4F13">
              <w:rPr>
                <w:color w:val="000000"/>
              </w:rPr>
              <w:t>từ</w:t>
            </w:r>
            <w:proofErr w:type="spellEnd"/>
            <w:r w:rsidRPr="00FC4F13">
              <w:rPr>
                <w:color w:val="000000"/>
              </w:rPr>
              <w:t xml:space="preserve"> </w:t>
            </w:r>
            <w:proofErr w:type="spellStart"/>
            <w:r w:rsidRPr="00FC4F13">
              <w:rPr>
                <w:color w:val="000000"/>
              </w:rPr>
              <w:t>sự</w:t>
            </w:r>
            <w:proofErr w:type="spellEnd"/>
            <w:r w:rsidRPr="00FC4F13">
              <w:rPr>
                <w:color w:val="000000"/>
              </w:rPr>
              <w:t xml:space="preserve"> </w:t>
            </w:r>
            <w:proofErr w:type="spellStart"/>
            <w:r w:rsidRPr="00FC4F13">
              <w:rPr>
                <w:color w:val="000000"/>
              </w:rPr>
              <w:t>tăng</w:t>
            </w:r>
            <w:proofErr w:type="spellEnd"/>
            <w:r w:rsidRPr="00FC4F13">
              <w:rPr>
                <w:color w:val="000000"/>
              </w:rPr>
              <w:t xml:space="preserve"> </w:t>
            </w:r>
            <w:proofErr w:type="spellStart"/>
            <w:r w:rsidRPr="00FC4F13">
              <w:rPr>
                <w:color w:val="000000"/>
              </w:rPr>
              <w:t>trưởng</w:t>
            </w:r>
            <w:proofErr w:type="spellEnd"/>
            <w:r w:rsidRPr="00FC4F13">
              <w:rPr>
                <w:color w:val="000000"/>
              </w:rPr>
              <w:t xml:space="preserve"> </w:t>
            </w:r>
            <w:proofErr w:type="spellStart"/>
            <w:r w:rsidRPr="00FC4F13">
              <w:rPr>
                <w:color w:val="000000"/>
              </w:rPr>
              <w:t>giá</w:t>
            </w:r>
            <w:proofErr w:type="spellEnd"/>
            <w:r w:rsidRPr="00FC4F13">
              <w:rPr>
                <w:color w:val="000000"/>
              </w:rPr>
              <w:t xml:space="preserve"> </w:t>
            </w:r>
            <w:proofErr w:type="spellStart"/>
            <w:r w:rsidRPr="00FC4F13">
              <w:rPr>
                <w:color w:val="000000"/>
              </w:rPr>
              <w:t>chứng</w:t>
            </w:r>
            <w:proofErr w:type="spellEnd"/>
            <w:r w:rsidRPr="00FC4F13">
              <w:rPr>
                <w:color w:val="000000"/>
              </w:rPr>
              <w:t xml:space="preserve"> </w:t>
            </w:r>
            <w:proofErr w:type="spellStart"/>
            <w:r w:rsidRPr="00FC4F13">
              <w:rPr>
                <w:color w:val="000000"/>
              </w:rPr>
              <w:t>khoán</w:t>
            </w:r>
            <w:proofErr w:type="spellEnd"/>
            <w:r w:rsidRPr="00FC4F13">
              <w:rPr>
                <w:color w:val="000000"/>
              </w:rPr>
              <w:t xml:space="preserve"> (</w:t>
            </w:r>
            <w:proofErr w:type="spellStart"/>
            <w:r w:rsidRPr="00FC4F13">
              <w:rPr>
                <w:color w:val="000000"/>
              </w:rPr>
              <w:t>giá</w:t>
            </w:r>
            <w:proofErr w:type="spellEnd"/>
            <w:r w:rsidRPr="00FC4F13">
              <w:rPr>
                <w:color w:val="000000"/>
              </w:rPr>
              <w:t xml:space="preserve"> </w:t>
            </w:r>
            <w:proofErr w:type="spellStart"/>
            <w:r w:rsidRPr="00FC4F13">
              <w:rPr>
                <w:color w:val="000000"/>
              </w:rPr>
              <w:t>trị</w:t>
            </w:r>
            <w:proofErr w:type="spellEnd"/>
            <w:r w:rsidRPr="00FC4F13">
              <w:rPr>
                <w:color w:val="000000"/>
              </w:rPr>
              <w:t xml:space="preserve"> </w:t>
            </w:r>
            <w:proofErr w:type="spellStart"/>
            <w:r w:rsidRPr="00FC4F13">
              <w:rPr>
                <w:color w:val="000000"/>
              </w:rPr>
              <w:t>lãi</w:t>
            </w:r>
            <w:proofErr w:type="spellEnd"/>
            <w:r w:rsidRPr="00FC4F13">
              <w:rPr>
                <w:color w:val="000000"/>
              </w:rPr>
              <w:t xml:space="preserve"> </w:t>
            </w:r>
            <w:proofErr w:type="spellStart"/>
            <w:r w:rsidRPr="00FC4F13">
              <w:rPr>
                <w:color w:val="000000"/>
              </w:rPr>
              <w:t>vốn</w:t>
            </w:r>
            <w:proofErr w:type="spellEnd"/>
            <w:r w:rsidRPr="00FC4F13">
              <w:rPr>
                <w:color w:val="000000"/>
              </w:rPr>
              <w:t>)</w:t>
            </w:r>
          </w:p>
        </w:tc>
        <w:tc>
          <w:tcPr>
            <w:tcW w:w="2296" w:type="dxa"/>
            <w:tcBorders>
              <w:top w:val="nil"/>
              <w:left w:val="nil"/>
              <w:bottom w:val="single" w:sz="4" w:space="0" w:color="auto"/>
              <w:right w:val="single" w:sz="4" w:space="0" w:color="auto"/>
            </w:tcBorders>
            <w:shd w:val="clear" w:color="auto" w:fill="auto"/>
            <w:noWrap/>
            <w:vAlign w:val="center"/>
            <w:hideMark/>
          </w:tcPr>
          <w:p w14:paraId="3A1AB63E" w14:textId="605FC0A9" w:rsidR="00A450C5" w:rsidRPr="0027387F" w:rsidRDefault="00A450C5" w:rsidP="00A450C5">
            <w:pPr>
              <w:spacing w:line="276" w:lineRule="auto"/>
              <w:jc w:val="right"/>
              <w:rPr>
                <w:color w:val="000000"/>
              </w:rPr>
            </w:pPr>
            <w:r w:rsidRPr="0027387F">
              <w:rPr>
                <w:color w:val="000000"/>
              </w:rPr>
              <w:t xml:space="preserve">620,865,868,897 </w:t>
            </w:r>
          </w:p>
        </w:tc>
      </w:tr>
      <w:tr w:rsidR="00A450C5" w:rsidRPr="00FC4F13" w14:paraId="3887FAA8" w14:textId="77777777" w:rsidTr="00A450C5">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8EF4855" w14:textId="77777777" w:rsidR="00A450C5" w:rsidRPr="00FC4F13" w:rsidRDefault="00A450C5" w:rsidP="00A450C5">
            <w:pPr>
              <w:spacing w:line="276" w:lineRule="auto"/>
              <w:jc w:val="center"/>
              <w:rPr>
                <w:color w:val="000000"/>
              </w:rPr>
            </w:pPr>
            <w:r w:rsidRPr="00FC4F13">
              <w:rPr>
                <w:color w:val="000000"/>
              </w:rPr>
              <w:t>2</w:t>
            </w:r>
          </w:p>
        </w:tc>
        <w:tc>
          <w:tcPr>
            <w:tcW w:w="6620" w:type="dxa"/>
            <w:tcBorders>
              <w:top w:val="nil"/>
              <w:left w:val="nil"/>
              <w:bottom w:val="single" w:sz="4" w:space="0" w:color="auto"/>
              <w:right w:val="single" w:sz="4" w:space="0" w:color="auto"/>
            </w:tcBorders>
            <w:shd w:val="clear" w:color="auto" w:fill="auto"/>
            <w:vAlign w:val="center"/>
            <w:hideMark/>
          </w:tcPr>
          <w:p w14:paraId="6EB6C8D5" w14:textId="77777777" w:rsidR="00A450C5" w:rsidRPr="00FC4F13" w:rsidRDefault="00A450C5" w:rsidP="00A450C5">
            <w:pPr>
              <w:spacing w:line="276" w:lineRule="auto"/>
              <w:rPr>
                <w:color w:val="000000"/>
              </w:rPr>
            </w:pPr>
            <w:r w:rsidRPr="00FC4F13">
              <w:rPr>
                <w:color w:val="000000"/>
              </w:rPr>
              <w:t xml:space="preserve">Lợi </w:t>
            </w:r>
            <w:proofErr w:type="spellStart"/>
            <w:r w:rsidRPr="00FC4F13">
              <w:rPr>
                <w:color w:val="000000"/>
              </w:rPr>
              <w:t>nhuận</w:t>
            </w:r>
            <w:proofErr w:type="spellEnd"/>
            <w:r w:rsidRPr="00FC4F13">
              <w:rPr>
                <w:color w:val="000000"/>
              </w:rPr>
              <w:t xml:space="preserve"> </w:t>
            </w:r>
            <w:proofErr w:type="spellStart"/>
            <w:r w:rsidRPr="00FC4F13">
              <w:rPr>
                <w:color w:val="000000"/>
              </w:rPr>
              <w:t>thu</w:t>
            </w:r>
            <w:proofErr w:type="spellEnd"/>
            <w:r w:rsidRPr="00FC4F13">
              <w:rPr>
                <w:color w:val="000000"/>
              </w:rPr>
              <w:t xml:space="preserve"> </w:t>
            </w:r>
            <w:proofErr w:type="spellStart"/>
            <w:r w:rsidRPr="00FC4F13">
              <w:rPr>
                <w:color w:val="000000"/>
              </w:rPr>
              <w:t>được</w:t>
            </w:r>
            <w:proofErr w:type="spellEnd"/>
            <w:r w:rsidRPr="00FC4F13">
              <w:rPr>
                <w:color w:val="000000"/>
              </w:rPr>
              <w:t xml:space="preserve"> </w:t>
            </w:r>
            <w:proofErr w:type="spellStart"/>
            <w:r w:rsidRPr="00FC4F13">
              <w:rPr>
                <w:color w:val="000000"/>
              </w:rPr>
              <w:t>từ</w:t>
            </w:r>
            <w:proofErr w:type="spellEnd"/>
            <w:r w:rsidRPr="00FC4F13">
              <w:rPr>
                <w:color w:val="000000"/>
              </w:rPr>
              <w:t xml:space="preserve"> </w:t>
            </w:r>
            <w:proofErr w:type="spellStart"/>
            <w:r w:rsidRPr="00FC4F13">
              <w:rPr>
                <w:color w:val="000000"/>
              </w:rPr>
              <w:t>lợi</w:t>
            </w:r>
            <w:proofErr w:type="spellEnd"/>
            <w:r w:rsidRPr="00FC4F13">
              <w:rPr>
                <w:color w:val="000000"/>
              </w:rPr>
              <w:t xml:space="preserve"> </w:t>
            </w:r>
            <w:proofErr w:type="spellStart"/>
            <w:r w:rsidRPr="00FC4F13">
              <w:rPr>
                <w:color w:val="000000"/>
              </w:rPr>
              <w:t>tức</w:t>
            </w:r>
            <w:proofErr w:type="spellEnd"/>
            <w:r w:rsidRPr="00FC4F13">
              <w:rPr>
                <w:color w:val="000000"/>
              </w:rPr>
              <w:t xml:space="preserve"> </w:t>
            </w:r>
            <w:proofErr w:type="spellStart"/>
            <w:r w:rsidRPr="00FC4F13">
              <w:rPr>
                <w:color w:val="000000"/>
              </w:rPr>
              <w:t>chứng</w:t>
            </w:r>
            <w:proofErr w:type="spellEnd"/>
            <w:r w:rsidRPr="00FC4F13">
              <w:rPr>
                <w:color w:val="000000"/>
              </w:rPr>
              <w:t xml:space="preserve"> </w:t>
            </w:r>
            <w:proofErr w:type="spellStart"/>
            <w:r w:rsidRPr="00FC4F13">
              <w:rPr>
                <w:color w:val="000000"/>
              </w:rPr>
              <w:t>khoán</w:t>
            </w:r>
            <w:proofErr w:type="spellEnd"/>
            <w:r w:rsidRPr="00FC4F13">
              <w:rPr>
                <w:color w:val="000000"/>
              </w:rPr>
              <w:t xml:space="preserve"> (</w:t>
            </w:r>
            <w:proofErr w:type="spellStart"/>
            <w:r w:rsidRPr="00FC4F13">
              <w:rPr>
                <w:color w:val="000000"/>
              </w:rPr>
              <w:t>cổ</w:t>
            </w:r>
            <w:proofErr w:type="spellEnd"/>
            <w:r w:rsidRPr="00FC4F13">
              <w:rPr>
                <w:color w:val="000000"/>
              </w:rPr>
              <w:t xml:space="preserve"> </w:t>
            </w:r>
            <w:proofErr w:type="spellStart"/>
            <w:r w:rsidRPr="00FC4F13">
              <w:rPr>
                <w:color w:val="000000"/>
              </w:rPr>
              <w:t>tức</w:t>
            </w:r>
            <w:proofErr w:type="spellEnd"/>
            <w:r w:rsidRPr="00FC4F13">
              <w:rPr>
                <w:color w:val="000000"/>
              </w:rPr>
              <w:t xml:space="preserve">, </w:t>
            </w:r>
            <w:proofErr w:type="spellStart"/>
            <w:r w:rsidRPr="00FC4F13">
              <w:rPr>
                <w:color w:val="000000"/>
              </w:rPr>
              <w:t>chứng</w:t>
            </w:r>
            <w:proofErr w:type="spellEnd"/>
            <w:r w:rsidRPr="00FC4F13">
              <w:rPr>
                <w:color w:val="000000"/>
              </w:rPr>
              <w:t xml:space="preserve"> </w:t>
            </w:r>
            <w:proofErr w:type="spellStart"/>
            <w:r w:rsidRPr="00FC4F13">
              <w:rPr>
                <w:color w:val="000000"/>
              </w:rPr>
              <w:t>chỉ</w:t>
            </w:r>
            <w:proofErr w:type="spellEnd"/>
            <w:r w:rsidRPr="00FC4F13">
              <w:rPr>
                <w:color w:val="000000"/>
              </w:rPr>
              <w:t xml:space="preserve"> </w:t>
            </w:r>
            <w:proofErr w:type="spellStart"/>
            <w:r w:rsidRPr="00FC4F13">
              <w:rPr>
                <w:color w:val="000000"/>
              </w:rPr>
              <w:t>tiền</w:t>
            </w:r>
            <w:proofErr w:type="spellEnd"/>
            <w:r w:rsidRPr="00FC4F13">
              <w:rPr>
                <w:color w:val="000000"/>
              </w:rPr>
              <w:t xml:space="preserve"> </w:t>
            </w:r>
            <w:proofErr w:type="spellStart"/>
            <w:r w:rsidRPr="00FC4F13">
              <w:rPr>
                <w:color w:val="000000"/>
              </w:rPr>
              <w:t>gửi</w:t>
            </w:r>
            <w:proofErr w:type="spellEnd"/>
            <w:r w:rsidRPr="00FC4F13">
              <w:rPr>
                <w:color w:val="000000"/>
              </w:rPr>
              <w:t xml:space="preserve">, </w:t>
            </w:r>
            <w:proofErr w:type="spellStart"/>
            <w:r w:rsidRPr="00FC4F13">
              <w:rPr>
                <w:color w:val="000000"/>
              </w:rPr>
              <w:t>lãi</w:t>
            </w:r>
            <w:proofErr w:type="spellEnd"/>
            <w:r w:rsidRPr="00FC4F13">
              <w:rPr>
                <w:color w:val="000000"/>
              </w:rPr>
              <w:t xml:space="preserve"> </w:t>
            </w:r>
            <w:proofErr w:type="spellStart"/>
            <w:r w:rsidRPr="00FC4F13">
              <w:rPr>
                <w:color w:val="000000"/>
              </w:rPr>
              <w:t>suất</w:t>
            </w:r>
            <w:proofErr w:type="spellEnd"/>
            <w:r w:rsidRPr="00FC4F13">
              <w:rPr>
                <w:color w:val="000000"/>
              </w:rPr>
              <w:t xml:space="preserve"> </w:t>
            </w:r>
            <w:proofErr w:type="spellStart"/>
            <w:r w:rsidRPr="00FC4F13">
              <w:rPr>
                <w:color w:val="000000"/>
              </w:rPr>
              <w:t>tiền</w:t>
            </w:r>
            <w:proofErr w:type="spellEnd"/>
            <w:r w:rsidRPr="00FC4F13">
              <w:rPr>
                <w:color w:val="000000"/>
              </w:rPr>
              <w:t xml:space="preserve"> </w:t>
            </w:r>
            <w:proofErr w:type="spellStart"/>
            <w:r w:rsidRPr="00FC4F13">
              <w:rPr>
                <w:color w:val="000000"/>
              </w:rPr>
              <w:t>gửi</w:t>
            </w:r>
            <w:proofErr w:type="spellEnd"/>
            <w:r w:rsidRPr="00FC4F13">
              <w:rPr>
                <w:color w:val="000000"/>
              </w:rPr>
              <w:t>)</w:t>
            </w:r>
          </w:p>
        </w:tc>
        <w:tc>
          <w:tcPr>
            <w:tcW w:w="2296" w:type="dxa"/>
            <w:tcBorders>
              <w:top w:val="nil"/>
              <w:left w:val="nil"/>
              <w:bottom w:val="single" w:sz="4" w:space="0" w:color="auto"/>
              <w:right w:val="single" w:sz="4" w:space="0" w:color="auto"/>
            </w:tcBorders>
            <w:shd w:val="clear" w:color="auto" w:fill="auto"/>
            <w:noWrap/>
            <w:vAlign w:val="center"/>
            <w:hideMark/>
          </w:tcPr>
          <w:p w14:paraId="7543790E" w14:textId="546F104D" w:rsidR="00A450C5" w:rsidRPr="0027387F" w:rsidRDefault="00A450C5" w:rsidP="00A450C5">
            <w:pPr>
              <w:spacing w:line="276" w:lineRule="auto"/>
              <w:jc w:val="right"/>
              <w:rPr>
                <w:color w:val="000000"/>
              </w:rPr>
            </w:pPr>
            <w:r w:rsidRPr="0027387F">
              <w:rPr>
                <w:color w:val="000000"/>
              </w:rPr>
              <w:t xml:space="preserve">59,431,106,830 </w:t>
            </w:r>
          </w:p>
        </w:tc>
      </w:tr>
      <w:tr w:rsidR="00A450C5" w:rsidRPr="00FC4F13" w14:paraId="1E17A4A4" w14:textId="77777777" w:rsidTr="00A450C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3A7E083" w14:textId="77777777" w:rsidR="00A450C5" w:rsidRPr="00FC4F13" w:rsidRDefault="00A450C5" w:rsidP="00A450C5">
            <w:pPr>
              <w:spacing w:line="276" w:lineRule="auto"/>
              <w:jc w:val="center"/>
              <w:rPr>
                <w:color w:val="000000"/>
              </w:rPr>
            </w:pPr>
            <w:r w:rsidRPr="00FC4F13">
              <w:rPr>
                <w:color w:val="000000"/>
              </w:rPr>
              <w:t>3</w:t>
            </w:r>
          </w:p>
        </w:tc>
        <w:tc>
          <w:tcPr>
            <w:tcW w:w="6620" w:type="dxa"/>
            <w:tcBorders>
              <w:top w:val="nil"/>
              <w:left w:val="nil"/>
              <w:bottom w:val="single" w:sz="4" w:space="0" w:color="auto"/>
              <w:right w:val="single" w:sz="4" w:space="0" w:color="auto"/>
            </w:tcBorders>
            <w:shd w:val="clear" w:color="auto" w:fill="auto"/>
            <w:noWrap/>
            <w:vAlign w:val="center"/>
            <w:hideMark/>
          </w:tcPr>
          <w:p w14:paraId="6A5CE77D" w14:textId="77777777" w:rsidR="00A450C5" w:rsidRPr="00FC4F13" w:rsidRDefault="00A450C5" w:rsidP="00A450C5">
            <w:pPr>
              <w:spacing w:line="276" w:lineRule="auto"/>
              <w:rPr>
                <w:color w:val="000000"/>
              </w:rPr>
            </w:pPr>
            <w:r w:rsidRPr="00FC4F13">
              <w:rPr>
                <w:color w:val="000000"/>
              </w:rPr>
              <w:t xml:space="preserve">Lợi </w:t>
            </w:r>
            <w:proofErr w:type="spellStart"/>
            <w:r w:rsidRPr="00FC4F13">
              <w:rPr>
                <w:color w:val="000000"/>
              </w:rPr>
              <w:t>nhuận</w:t>
            </w:r>
            <w:proofErr w:type="spellEnd"/>
            <w:r w:rsidRPr="00FC4F13">
              <w:rPr>
                <w:color w:val="000000"/>
              </w:rPr>
              <w:t xml:space="preserve"> </w:t>
            </w:r>
            <w:proofErr w:type="spellStart"/>
            <w:r w:rsidRPr="00FC4F13">
              <w:rPr>
                <w:color w:val="000000"/>
              </w:rPr>
              <w:t>thu</w:t>
            </w:r>
            <w:proofErr w:type="spellEnd"/>
            <w:r w:rsidRPr="00FC4F13">
              <w:rPr>
                <w:color w:val="000000"/>
              </w:rPr>
              <w:t xml:space="preserve"> </w:t>
            </w:r>
            <w:proofErr w:type="spellStart"/>
            <w:r w:rsidRPr="00FC4F13">
              <w:rPr>
                <w:color w:val="000000"/>
              </w:rPr>
              <w:t>được</w:t>
            </w:r>
            <w:proofErr w:type="spellEnd"/>
            <w:r w:rsidRPr="00FC4F13">
              <w:rPr>
                <w:color w:val="000000"/>
              </w:rPr>
              <w:t xml:space="preserve"> </w:t>
            </w:r>
            <w:proofErr w:type="spellStart"/>
            <w:r w:rsidRPr="00FC4F13">
              <w:rPr>
                <w:color w:val="000000"/>
              </w:rPr>
              <w:t>từ</w:t>
            </w:r>
            <w:proofErr w:type="spellEnd"/>
            <w:r w:rsidRPr="00FC4F13">
              <w:rPr>
                <w:color w:val="000000"/>
              </w:rPr>
              <w:t xml:space="preserve"> </w:t>
            </w:r>
            <w:proofErr w:type="spellStart"/>
            <w:r w:rsidRPr="00FC4F13">
              <w:rPr>
                <w:color w:val="000000"/>
              </w:rPr>
              <w:t>bán</w:t>
            </w:r>
            <w:proofErr w:type="spellEnd"/>
            <w:r w:rsidRPr="00FC4F13">
              <w:rPr>
                <w:color w:val="000000"/>
              </w:rPr>
              <w:t xml:space="preserve"> </w:t>
            </w:r>
            <w:proofErr w:type="spellStart"/>
            <w:r w:rsidRPr="00FC4F13">
              <w:rPr>
                <w:color w:val="000000"/>
              </w:rPr>
              <w:t>cổ</w:t>
            </w:r>
            <w:proofErr w:type="spellEnd"/>
            <w:r w:rsidRPr="00FC4F13">
              <w:rPr>
                <w:color w:val="000000"/>
              </w:rPr>
              <w:t xml:space="preserve"> </w:t>
            </w:r>
            <w:proofErr w:type="spellStart"/>
            <w:r w:rsidRPr="00FC4F13">
              <w:rPr>
                <w:color w:val="000000"/>
              </w:rPr>
              <w:t>phiếu</w:t>
            </w:r>
            <w:proofErr w:type="spellEnd"/>
          </w:p>
        </w:tc>
        <w:tc>
          <w:tcPr>
            <w:tcW w:w="2296" w:type="dxa"/>
            <w:tcBorders>
              <w:top w:val="nil"/>
              <w:left w:val="nil"/>
              <w:bottom w:val="single" w:sz="4" w:space="0" w:color="auto"/>
              <w:right w:val="single" w:sz="4" w:space="0" w:color="auto"/>
            </w:tcBorders>
            <w:shd w:val="clear" w:color="auto" w:fill="auto"/>
            <w:noWrap/>
            <w:vAlign w:val="center"/>
            <w:hideMark/>
          </w:tcPr>
          <w:p w14:paraId="0929A7D1" w14:textId="43D12BF2" w:rsidR="00A450C5" w:rsidRPr="0027387F" w:rsidRDefault="00A450C5" w:rsidP="00A450C5">
            <w:pPr>
              <w:spacing w:line="276" w:lineRule="auto"/>
              <w:jc w:val="right"/>
              <w:rPr>
                <w:color w:val="000000"/>
              </w:rPr>
            </w:pPr>
            <w:r w:rsidRPr="0027387F">
              <w:rPr>
                <w:color w:val="000000"/>
              </w:rPr>
              <w:t xml:space="preserve">130,758,829,953.00 </w:t>
            </w:r>
          </w:p>
        </w:tc>
      </w:tr>
      <w:tr w:rsidR="00A450C5" w:rsidRPr="00FC4F13" w14:paraId="1160AEEF" w14:textId="77777777" w:rsidTr="00A450C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C13E566" w14:textId="77777777" w:rsidR="00A450C5" w:rsidRPr="00FC4F13" w:rsidRDefault="00A450C5" w:rsidP="00A450C5">
            <w:pPr>
              <w:spacing w:line="276" w:lineRule="auto"/>
              <w:jc w:val="center"/>
              <w:rPr>
                <w:color w:val="000000"/>
              </w:rPr>
            </w:pPr>
            <w:r w:rsidRPr="00FC4F13">
              <w:rPr>
                <w:color w:val="000000"/>
              </w:rPr>
              <w:t>4</w:t>
            </w:r>
          </w:p>
        </w:tc>
        <w:tc>
          <w:tcPr>
            <w:tcW w:w="6620" w:type="dxa"/>
            <w:tcBorders>
              <w:top w:val="nil"/>
              <w:left w:val="nil"/>
              <w:bottom w:val="single" w:sz="4" w:space="0" w:color="auto"/>
              <w:right w:val="single" w:sz="4" w:space="0" w:color="auto"/>
            </w:tcBorders>
            <w:shd w:val="clear" w:color="auto" w:fill="auto"/>
            <w:noWrap/>
            <w:vAlign w:val="center"/>
            <w:hideMark/>
          </w:tcPr>
          <w:p w14:paraId="725427E8" w14:textId="77777777" w:rsidR="00A450C5" w:rsidRPr="00FC4F13" w:rsidRDefault="00A450C5" w:rsidP="00A450C5">
            <w:pPr>
              <w:spacing w:line="276" w:lineRule="auto"/>
              <w:rPr>
                <w:color w:val="000000"/>
              </w:rPr>
            </w:pPr>
            <w:proofErr w:type="spellStart"/>
            <w:r w:rsidRPr="00FC4F13">
              <w:rPr>
                <w:color w:val="000000"/>
              </w:rPr>
              <w:t>Tổng</w:t>
            </w:r>
            <w:proofErr w:type="spellEnd"/>
            <w:r w:rsidRPr="00FC4F13">
              <w:rPr>
                <w:color w:val="000000"/>
              </w:rPr>
              <w:t xml:space="preserve"> chi </w:t>
            </w:r>
            <w:proofErr w:type="spellStart"/>
            <w:r w:rsidRPr="00FC4F13">
              <w:rPr>
                <w:color w:val="000000"/>
              </w:rPr>
              <w:t>phí</w:t>
            </w:r>
            <w:proofErr w:type="spellEnd"/>
          </w:p>
        </w:tc>
        <w:tc>
          <w:tcPr>
            <w:tcW w:w="2296" w:type="dxa"/>
            <w:tcBorders>
              <w:top w:val="nil"/>
              <w:left w:val="nil"/>
              <w:bottom w:val="single" w:sz="4" w:space="0" w:color="auto"/>
              <w:right w:val="single" w:sz="4" w:space="0" w:color="auto"/>
            </w:tcBorders>
            <w:shd w:val="clear" w:color="auto" w:fill="auto"/>
            <w:noWrap/>
            <w:vAlign w:val="center"/>
            <w:hideMark/>
          </w:tcPr>
          <w:p w14:paraId="218BF5C8" w14:textId="4A8FB1D0" w:rsidR="00A450C5" w:rsidRPr="0027387F" w:rsidRDefault="00A450C5" w:rsidP="00A450C5">
            <w:pPr>
              <w:spacing w:line="276" w:lineRule="auto"/>
              <w:jc w:val="right"/>
              <w:rPr>
                <w:color w:val="000000"/>
              </w:rPr>
            </w:pPr>
            <w:r w:rsidRPr="0027387F">
              <w:rPr>
                <w:color w:val="000000"/>
              </w:rPr>
              <w:t xml:space="preserve"> </w:t>
            </w:r>
            <w:r w:rsidR="000E6CA4">
              <w:rPr>
                <w:color w:val="000000"/>
                <w:lang w:val="vi-VN"/>
              </w:rPr>
              <w:t>(</w:t>
            </w:r>
            <w:r w:rsidRPr="0027387F">
              <w:rPr>
                <w:color w:val="000000"/>
              </w:rPr>
              <w:t>49,167,454,052</w:t>
            </w:r>
            <w:r w:rsidR="000E6CA4">
              <w:rPr>
                <w:color w:val="000000"/>
                <w:lang w:val="vi-VN"/>
              </w:rPr>
              <w:t>)</w:t>
            </w:r>
            <w:r w:rsidRPr="0027387F">
              <w:rPr>
                <w:color w:val="000000"/>
              </w:rPr>
              <w:t xml:space="preserve"> </w:t>
            </w:r>
          </w:p>
        </w:tc>
      </w:tr>
      <w:tr w:rsidR="00A450C5" w:rsidRPr="00FC4F13" w14:paraId="3A3E8650" w14:textId="77777777" w:rsidTr="00A450C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523BFEB" w14:textId="77777777" w:rsidR="00A450C5" w:rsidRPr="00FC4F13" w:rsidRDefault="00A450C5" w:rsidP="00A450C5">
            <w:pPr>
              <w:spacing w:line="276" w:lineRule="auto"/>
              <w:rPr>
                <w:color w:val="000000"/>
              </w:rPr>
            </w:pPr>
            <w:r w:rsidRPr="00FC4F13">
              <w:rPr>
                <w:color w:val="000000"/>
              </w:rPr>
              <w:t> </w:t>
            </w:r>
          </w:p>
        </w:tc>
        <w:tc>
          <w:tcPr>
            <w:tcW w:w="6620" w:type="dxa"/>
            <w:tcBorders>
              <w:top w:val="nil"/>
              <w:left w:val="nil"/>
              <w:bottom w:val="single" w:sz="4" w:space="0" w:color="auto"/>
              <w:right w:val="single" w:sz="4" w:space="0" w:color="auto"/>
            </w:tcBorders>
            <w:shd w:val="clear" w:color="auto" w:fill="auto"/>
            <w:noWrap/>
            <w:vAlign w:val="center"/>
            <w:hideMark/>
          </w:tcPr>
          <w:p w14:paraId="078683F3" w14:textId="77777777" w:rsidR="00A450C5" w:rsidRPr="00FC4F13" w:rsidRDefault="00A450C5" w:rsidP="00A450C5">
            <w:pPr>
              <w:spacing w:line="276" w:lineRule="auto"/>
              <w:rPr>
                <w:b/>
                <w:bCs/>
                <w:color w:val="000000"/>
              </w:rPr>
            </w:pPr>
            <w:proofErr w:type="spellStart"/>
            <w:r w:rsidRPr="00FC4F13">
              <w:rPr>
                <w:b/>
                <w:bCs/>
                <w:color w:val="000000"/>
              </w:rPr>
              <w:t>Tổng</w:t>
            </w:r>
            <w:proofErr w:type="spellEnd"/>
            <w:r w:rsidRPr="00FC4F13">
              <w:rPr>
                <w:b/>
                <w:bCs/>
                <w:color w:val="000000"/>
              </w:rPr>
              <w:t xml:space="preserve"> </w:t>
            </w:r>
            <w:proofErr w:type="spellStart"/>
            <w:r w:rsidRPr="00FC4F13">
              <w:rPr>
                <w:b/>
                <w:bCs/>
                <w:color w:val="000000"/>
              </w:rPr>
              <w:t>lợi</w:t>
            </w:r>
            <w:proofErr w:type="spellEnd"/>
            <w:r w:rsidRPr="00FC4F13">
              <w:rPr>
                <w:b/>
                <w:bCs/>
                <w:color w:val="000000"/>
              </w:rPr>
              <w:t xml:space="preserve"> </w:t>
            </w:r>
            <w:proofErr w:type="spellStart"/>
            <w:r w:rsidRPr="00FC4F13">
              <w:rPr>
                <w:b/>
                <w:bCs/>
                <w:color w:val="000000"/>
              </w:rPr>
              <w:t>nhuận</w:t>
            </w:r>
            <w:proofErr w:type="spellEnd"/>
            <w:r w:rsidRPr="00FC4F13">
              <w:rPr>
                <w:b/>
                <w:bCs/>
                <w:color w:val="000000"/>
              </w:rPr>
              <w:t xml:space="preserve"> </w:t>
            </w:r>
            <w:proofErr w:type="spellStart"/>
            <w:r w:rsidRPr="00FC4F13">
              <w:rPr>
                <w:b/>
                <w:bCs/>
                <w:color w:val="000000"/>
              </w:rPr>
              <w:t>của</w:t>
            </w:r>
            <w:proofErr w:type="spellEnd"/>
            <w:r w:rsidRPr="00FC4F13">
              <w:rPr>
                <w:b/>
                <w:bCs/>
                <w:color w:val="000000"/>
              </w:rPr>
              <w:t xml:space="preserve"> </w:t>
            </w:r>
            <w:proofErr w:type="spellStart"/>
            <w:r w:rsidRPr="00FC4F13">
              <w:rPr>
                <w:b/>
                <w:bCs/>
                <w:color w:val="000000"/>
              </w:rPr>
              <w:t>quỹ</w:t>
            </w:r>
            <w:proofErr w:type="spellEnd"/>
          </w:p>
        </w:tc>
        <w:tc>
          <w:tcPr>
            <w:tcW w:w="2296" w:type="dxa"/>
            <w:tcBorders>
              <w:top w:val="nil"/>
              <w:left w:val="nil"/>
              <w:bottom w:val="single" w:sz="4" w:space="0" w:color="auto"/>
              <w:right w:val="single" w:sz="4" w:space="0" w:color="auto"/>
            </w:tcBorders>
            <w:shd w:val="clear" w:color="auto" w:fill="auto"/>
            <w:noWrap/>
            <w:vAlign w:val="center"/>
            <w:hideMark/>
          </w:tcPr>
          <w:p w14:paraId="4E80B221" w14:textId="05A55CAC" w:rsidR="00A450C5" w:rsidRPr="00334FBE" w:rsidRDefault="00A450C5" w:rsidP="00A450C5">
            <w:pPr>
              <w:spacing w:line="276" w:lineRule="auto"/>
              <w:jc w:val="right"/>
              <w:rPr>
                <w:b/>
                <w:bCs/>
              </w:rPr>
            </w:pPr>
            <w:r w:rsidRPr="00334FBE">
              <w:rPr>
                <w:b/>
                <w:bCs/>
                <w:color w:val="000000"/>
              </w:rPr>
              <w:t xml:space="preserve">761,888,351,628 </w:t>
            </w:r>
          </w:p>
        </w:tc>
      </w:tr>
    </w:tbl>
    <w:p w14:paraId="0573E1F5" w14:textId="77777777" w:rsidR="00184C77" w:rsidRPr="00FC4F13" w:rsidRDefault="00184C77" w:rsidP="00FC4F13">
      <w:pPr>
        <w:pStyle w:val="ListParagraph"/>
        <w:tabs>
          <w:tab w:val="left" w:pos="270"/>
          <w:tab w:val="left" w:pos="1134"/>
        </w:tabs>
        <w:spacing w:after="120" w:line="276" w:lineRule="auto"/>
        <w:ind w:left="0"/>
        <w:jc w:val="both"/>
        <w:rPr>
          <w:b w:val="0"/>
        </w:rPr>
      </w:pPr>
    </w:p>
    <w:p w14:paraId="32D4C8BB" w14:textId="28C4155A" w:rsidR="007B5245" w:rsidRPr="00FC4F13" w:rsidRDefault="00172354" w:rsidP="00FC4F13">
      <w:pPr>
        <w:pStyle w:val="ListParagraph"/>
        <w:tabs>
          <w:tab w:val="left" w:pos="270"/>
          <w:tab w:val="left" w:pos="1134"/>
        </w:tabs>
        <w:spacing w:after="120" w:line="276" w:lineRule="auto"/>
        <w:ind w:left="0"/>
        <w:jc w:val="both"/>
        <w:rPr>
          <w:b w:val="0"/>
        </w:rPr>
      </w:pPr>
      <w:r w:rsidRPr="00FC4F13">
        <w:rPr>
          <w:b w:val="0"/>
        </w:rPr>
        <w:t xml:space="preserve">- </w:t>
      </w:r>
      <w:proofErr w:type="spellStart"/>
      <w:r w:rsidR="00B04C91" w:rsidRPr="00FC4F13">
        <w:rPr>
          <w:b w:val="0"/>
        </w:rPr>
        <w:t>Lợi</w:t>
      </w:r>
      <w:proofErr w:type="spellEnd"/>
      <w:r w:rsidR="00B04C91" w:rsidRPr="00FC4F13">
        <w:rPr>
          <w:b w:val="0"/>
        </w:rPr>
        <w:t xml:space="preserve"> </w:t>
      </w:r>
      <w:proofErr w:type="spellStart"/>
      <w:r w:rsidR="00B04C91" w:rsidRPr="00FC4F13">
        <w:rPr>
          <w:b w:val="0"/>
        </w:rPr>
        <w:t>nhuận</w:t>
      </w:r>
      <w:proofErr w:type="spellEnd"/>
      <w:r w:rsidR="00B04C91" w:rsidRPr="00FC4F13">
        <w:rPr>
          <w:b w:val="0"/>
        </w:rPr>
        <w:t xml:space="preserve"> </w:t>
      </w:r>
      <w:proofErr w:type="spellStart"/>
      <w:r w:rsidR="00B04C91" w:rsidRPr="00FC4F13">
        <w:rPr>
          <w:b w:val="0"/>
        </w:rPr>
        <w:t>đã</w:t>
      </w:r>
      <w:proofErr w:type="spellEnd"/>
      <w:r w:rsidR="00B04C91" w:rsidRPr="00FC4F13">
        <w:rPr>
          <w:b w:val="0"/>
        </w:rPr>
        <w:t xml:space="preserve"> </w:t>
      </w:r>
      <w:proofErr w:type="spellStart"/>
      <w:r w:rsidR="00B04C91" w:rsidRPr="00FC4F13">
        <w:rPr>
          <w:b w:val="0"/>
        </w:rPr>
        <w:t>phân</w:t>
      </w:r>
      <w:proofErr w:type="spellEnd"/>
      <w:r w:rsidR="00B04C91" w:rsidRPr="00FC4F13">
        <w:rPr>
          <w:b w:val="0"/>
        </w:rPr>
        <w:t xml:space="preserve"> </w:t>
      </w:r>
      <w:proofErr w:type="spellStart"/>
      <w:r w:rsidR="00B04C91" w:rsidRPr="00FC4F13">
        <w:rPr>
          <w:b w:val="0"/>
        </w:rPr>
        <w:t>phối</w:t>
      </w:r>
      <w:proofErr w:type="spellEnd"/>
      <w:r w:rsidR="00B04C91" w:rsidRPr="00FC4F13">
        <w:rPr>
          <w:b w:val="0"/>
        </w:rPr>
        <w:t xml:space="preserve"> </w:t>
      </w:r>
      <w:proofErr w:type="spellStart"/>
      <w:r w:rsidR="00B04C91" w:rsidRPr="00FC4F13">
        <w:rPr>
          <w:b w:val="0"/>
        </w:rPr>
        <w:t>trên</w:t>
      </w:r>
      <w:proofErr w:type="spellEnd"/>
      <w:r w:rsidR="00B04C91" w:rsidRPr="00FC4F13">
        <w:rPr>
          <w:b w:val="0"/>
        </w:rPr>
        <w:t xml:space="preserve"> </w:t>
      </w:r>
      <w:proofErr w:type="spellStart"/>
      <w:r w:rsidR="00B04C91" w:rsidRPr="00FC4F13">
        <w:rPr>
          <w:b w:val="0"/>
        </w:rPr>
        <w:t>một</w:t>
      </w:r>
      <w:proofErr w:type="spellEnd"/>
      <w:r w:rsidR="00B04C91" w:rsidRPr="00FC4F13">
        <w:rPr>
          <w:b w:val="0"/>
        </w:rPr>
        <w:t xml:space="preserve"> </w:t>
      </w:r>
      <w:proofErr w:type="spellStart"/>
      <w:r w:rsidR="00B04C91" w:rsidRPr="00FC4F13">
        <w:rPr>
          <w:b w:val="0"/>
        </w:rPr>
        <w:t>đơn</w:t>
      </w:r>
      <w:proofErr w:type="spellEnd"/>
      <w:r w:rsidR="00B04C91" w:rsidRPr="00FC4F13">
        <w:rPr>
          <w:b w:val="0"/>
        </w:rPr>
        <w:t xml:space="preserve"> </w:t>
      </w:r>
      <w:proofErr w:type="spellStart"/>
      <w:r w:rsidR="00B04C91" w:rsidRPr="00FC4F13">
        <w:rPr>
          <w:b w:val="0"/>
        </w:rPr>
        <w:t>vị</w:t>
      </w:r>
      <w:proofErr w:type="spellEnd"/>
      <w:r w:rsidR="00B04C91" w:rsidRPr="00FC4F13">
        <w:rPr>
          <w:b w:val="0"/>
        </w:rPr>
        <w:t xml:space="preserve"> </w:t>
      </w:r>
      <w:proofErr w:type="spellStart"/>
      <w:r w:rsidR="00B04C91" w:rsidRPr="00FC4F13">
        <w:rPr>
          <w:b w:val="0"/>
        </w:rPr>
        <w:t>quỹ</w:t>
      </w:r>
      <w:proofErr w:type="spellEnd"/>
      <w:r w:rsidR="00B04C91" w:rsidRPr="00FC4F13">
        <w:rPr>
          <w:b w:val="0"/>
        </w:rPr>
        <w:t xml:space="preserve"> (</w:t>
      </w:r>
      <w:proofErr w:type="spellStart"/>
      <w:r w:rsidR="00B04C91" w:rsidRPr="00FC4F13">
        <w:rPr>
          <w:b w:val="0"/>
        </w:rPr>
        <w:t>giá</w:t>
      </w:r>
      <w:proofErr w:type="spellEnd"/>
      <w:r w:rsidR="00B04C91" w:rsidRPr="00FC4F13">
        <w:rPr>
          <w:b w:val="0"/>
        </w:rPr>
        <w:t xml:space="preserve"> </w:t>
      </w:r>
      <w:proofErr w:type="spellStart"/>
      <w:r w:rsidR="00B04C91" w:rsidRPr="00FC4F13">
        <w:rPr>
          <w:b w:val="0"/>
        </w:rPr>
        <w:t>trị</w:t>
      </w:r>
      <w:proofErr w:type="spellEnd"/>
      <w:r w:rsidR="00B04C91" w:rsidRPr="00FC4F13">
        <w:rPr>
          <w:b w:val="0"/>
        </w:rPr>
        <w:t xml:space="preserve"> </w:t>
      </w:r>
      <w:proofErr w:type="spellStart"/>
      <w:r w:rsidR="00B04C91" w:rsidRPr="00FC4F13">
        <w:rPr>
          <w:b w:val="0"/>
        </w:rPr>
        <w:t>thuần</w:t>
      </w:r>
      <w:proofErr w:type="spellEnd"/>
      <w:r w:rsidR="00B04C91" w:rsidRPr="00FC4F13">
        <w:rPr>
          <w:b w:val="0"/>
        </w:rPr>
        <w:t xml:space="preserve"> </w:t>
      </w:r>
      <w:proofErr w:type="spellStart"/>
      <w:r w:rsidR="00B04C91" w:rsidRPr="00FC4F13">
        <w:rPr>
          <w:b w:val="0"/>
        </w:rPr>
        <w:t>và</w:t>
      </w:r>
      <w:proofErr w:type="spellEnd"/>
      <w:r w:rsidR="00B04C91" w:rsidRPr="00FC4F13">
        <w:rPr>
          <w:b w:val="0"/>
        </w:rPr>
        <w:t xml:space="preserve"> </w:t>
      </w:r>
      <w:proofErr w:type="spellStart"/>
      <w:r w:rsidR="00B04C91" w:rsidRPr="00FC4F13">
        <w:rPr>
          <w:b w:val="0"/>
        </w:rPr>
        <w:t>giá</w:t>
      </w:r>
      <w:proofErr w:type="spellEnd"/>
      <w:r w:rsidR="00B04C91" w:rsidRPr="00FC4F13">
        <w:rPr>
          <w:b w:val="0"/>
        </w:rPr>
        <w:t xml:space="preserve"> </w:t>
      </w:r>
      <w:proofErr w:type="spellStart"/>
      <w:r w:rsidR="00B04C91" w:rsidRPr="00FC4F13">
        <w:rPr>
          <w:b w:val="0"/>
        </w:rPr>
        <w:t>trị</w:t>
      </w:r>
      <w:proofErr w:type="spellEnd"/>
      <w:r w:rsidR="00B04C91" w:rsidRPr="00FC4F13">
        <w:rPr>
          <w:b w:val="0"/>
        </w:rPr>
        <w:t xml:space="preserve"> </w:t>
      </w:r>
      <w:proofErr w:type="spellStart"/>
      <w:r w:rsidR="00B04C91" w:rsidRPr="00FC4F13">
        <w:rPr>
          <w:b w:val="0"/>
        </w:rPr>
        <w:t>gộp</w:t>
      </w:r>
      <w:proofErr w:type="spellEnd"/>
      <w:r w:rsidR="00B04C91" w:rsidRPr="00FC4F13">
        <w:rPr>
          <w:b w:val="0"/>
        </w:rPr>
        <w:t xml:space="preserve">) </w:t>
      </w:r>
      <w:proofErr w:type="spellStart"/>
      <w:r w:rsidR="00B04C91" w:rsidRPr="00FC4F13">
        <w:rPr>
          <w:b w:val="0"/>
        </w:rPr>
        <w:t>trong</w:t>
      </w:r>
      <w:proofErr w:type="spellEnd"/>
      <w:r w:rsidR="00B04C91" w:rsidRPr="00FC4F13">
        <w:rPr>
          <w:b w:val="0"/>
        </w:rPr>
        <w:t xml:space="preserve"> </w:t>
      </w:r>
      <w:proofErr w:type="spellStart"/>
      <w:r w:rsidR="00B04C91" w:rsidRPr="00FC4F13">
        <w:rPr>
          <w:b w:val="0"/>
        </w:rPr>
        <w:t>kỳ</w:t>
      </w:r>
      <w:proofErr w:type="spellEnd"/>
      <w:r w:rsidR="00B04C91" w:rsidRPr="00FC4F13">
        <w:rPr>
          <w:b w:val="0"/>
        </w:rPr>
        <w:t xml:space="preserve"> </w:t>
      </w:r>
      <w:proofErr w:type="spellStart"/>
      <w:r w:rsidR="00B04C91" w:rsidRPr="00FC4F13">
        <w:rPr>
          <w:b w:val="0"/>
        </w:rPr>
        <w:t>báo</w:t>
      </w:r>
      <w:proofErr w:type="spellEnd"/>
      <w:r w:rsidR="00B04C91" w:rsidRPr="00FC4F13">
        <w:rPr>
          <w:b w:val="0"/>
        </w:rPr>
        <w:t xml:space="preserve"> </w:t>
      </w:r>
      <w:proofErr w:type="spellStart"/>
      <w:r w:rsidR="00B04C91" w:rsidRPr="00FC4F13">
        <w:rPr>
          <w:b w:val="0"/>
        </w:rPr>
        <w:t>cáo</w:t>
      </w:r>
      <w:proofErr w:type="spellEnd"/>
      <w:r w:rsidR="00B04C91" w:rsidRPr="00FC4F13">
        <w:rPr>
          <w:b w:val="0"/>
        </w:rPr>
        <w:t xml:space="preserve">, </w:t>
      </w:r>
      <w:proofErr w:type="spellStart"/>
      <w:r w:rsidR="00B04C91" w:rsidRPr="00FC4F13">
        <w:rPr>
          <w:b w:val="0"/>
        </w:rPr>
        <w:t>kể</w:t>
      </w:r>
      <w:proofErr w:type="spellEnd"/>
      <w:r w:rsidR="00B04C91" w:rsidRPr="00FC4F13">
        <w:rPr>
          <w:b w:val="0"/>
        </w:rPr>
        <w:t xml:space="preserve"> </w:t>
      </w:r>
      <w:proofErr w:type="spellStart"/>
      <w:r w:rsidR="00B04C91" w:rsidRPr="00FC4F13">
        <w:rPr>
          <w:b w:val="0"/>
        </w:rPr>
        <w:t>cả</w:t>
      </w:r>
      <w:proofErr w:type="spellEnd"/>
      <w:r w:rsidR="00B04C91" w:rsidRPr="00FC4F13">
        <w:rPr>
          <w:b w:val="0"/>
        </w:rPr>
        <w:t xml:space="preserve"> </w:t>
      </w:r>
      <w:proofErr w:type="spellStart"/>
      <w:r w:rsidR="00B04C91" w:rsidRPr="00FC4F13">
        <w:rPr>
          <w:b w:val="0"/>
        </w:rPr>
        <w:t>trong</w:t>
      </w:r>
      <w:proofErr w:type="spellEnd"/>
      <w:r w:rsidR="00B04C91" w:rsidRPr="00FC4F13">
        <w:rPr>
          <w:b w:val="0"/>
        </w:rPr>
        <w:t xml:space="preserve"> </w:t>
      </w:r>
      <w:proofErr w:type="spellStart"/>
      <w:r w:rsidR="00B04C91" w:rsidRPr="00FC4F13">
        <w:rPr>
          <w:b w:val="0"/>
        </w:rPr>
        <w:t>trường</w:t>
      </w:r>
      <w:proofErr w:type="spellEnd"/>
      <w:r w:rsidR="00B04C91" w:rsidRPr="00FC4F13">
        <w:rPr>
          <w:b w:val="0"/>
        </w:rPr>
        <w:t xml:space="preserve"> </w:t>
      </w:r>
      <w:proofErr w:type="spellStart"/>
      <w:r w:rsidR="00B04C91" w:rsidRPr="00FC4F13">
        <w:rPr>
          <w:b w:val="0"/>
        </w:rPr>
        <w:t>hợp</w:t>
      </w:r>
      <w:proofErr w:type="spellEnd"/>
      <w:r w:rsidR="00B04C91" w:rsidRPr="00FC4F13">
        <w:rPr>
          <w:b w:val="0"/>
        </w:rPr>
        <w:t xml:space="preserve"> chi </w:t>
      </w:r>
      <w:proofErr w:type="spellStart"/>
      <w:r w:rsidR="00B04C91" w:rsidRPr="00FC4F13">
        <w:rPr>
          <w:b w:val="0"/>
        </w:rPr>
        <w:t>trả</w:t>
      </w:r>
      <w:proofErr w:type="spellEnd"/>
      <w:r w:rsidR="00B04C91" w:rsidRPr="00FC4F13">
        <w:rPr>
          <w:b w:val="0"/>
        </w:rPr>
        <w:t xml:space="preserve"> </w:t>
      </w:r>
      <w:proofErr w:type="spellStart"/>
      <w:r w:rsidR="00B04C91" w:rsidRPr="00FC4F13">
        <w:rPr>
          <w:b w:val="0"/>
        </w:rPr>
        <w:t>bằng</w:t>
      </w:r>
      <w:proofErr w:type="spellEnd"/>
      <w:r w:rsidR="00B04C91" w:rsidRPr="00FC4F13">
        <w:rPr>
          <w:b w:val="0"/>
        </w:rPr>
        <w:t xml:space="preserve"> </w:t>
      </w:r>
      <w:proofErr w:type="spellStart"/>
      <w:r w:rsidR="00B04C91" w:rsidRPr="00FC4F13">
        <w:rPr>
          <w:b w:val="0"/>
        </w:rPr>
        <w:t>tiền</w:t>
      </w:r>
      <w:proofErr w:type="spellEnd"/>
      <w:r w:rsidR="00B04C91" w:rsidRPr="00FC4F13">
        <w:rPr>
          <w:b w:val="0"/>
        </w:rPr>
        <w:t xml:space="preserve"> </w:t>
      </w:r>
      <w:proofErr w:type="spellStart"/>
      <w:r w:rsidR="00B04C91" w:rsidRPr="00FC4F13">
        <w:rPr>
          <w:b w:val="0"/>
        </w:rPr>
        <w:t>mặ</w:t>
      </w:r>
      <w:r w:rsidR="007B5245" w:rsidRPr="00FC4F13">
        <w:rPr>
          <w:b w:val="0"/>
        </w:rPr>
        <w:t>t</w:t>
      </w:r>
      <w:proofErr w:type="spellEnd"/>
      <w:r w:rsidR="007B5245" w:rsidRPr="00FC4F13">
        <w:rPr>
          <w:b w:val="0"/>
        </w:rPr>
        <w:t xml:space="preserve"> </w:t>
      </w:r>
      <w:proofErr w:type="spellStart"/>
      <w:r w:rsidR="007B5245" w:rsidRPr="00FC4F13">
        <w:rPr>
          <w:b w:val="0"/>
        </w:rPr>
        <w:t>hoặc</w:t>
      </w:r>
      <w:proofErr w:type="spellEnd"/>
      <w:r w:rsidR="007B5245" w:rsidRPr="00FC4F13">
        <w:rPr>
          <w:b w:val="0"/>
        </w:rPr>
        <w:t xml:space="preserve"> chi </w:t>
      </w:r>
      <w:proofErr w:type="spellStart"/>
      <w:r w:rsidR="007B5245" w:rsidRPr="00FC4F13">
        <w:rPr>
          <w:b w:val="0"/>
        </w:rPr>
        <w:t>trả</w:t>
      </w:r>
      <w:proofErr w:type="spellEnd"/>
      <w:r w:rsidR="007B5245" w:rsidRPr="00FC4F13">
        <w:rPr>
          <w:b w:val="0"/>
        </w:rPr>
        <w:t xml:space="preserve"> </w:t>
      </w:r>
      <w:proofErr w:type="spellStart"/>
      <w:r w:rsidR="007B5245" w:rsidRPr="00FC4F13">
        <w:rPr>
          <w:b w:val="0"/>
        </w:rPr>
        <w:t>bằng</w:t>
      </w:r>
      <w:proofErr w:type="spellEnd"/>
      <w:r w:rsidR="007B5245" w:rsidRPr="00FC4F13">
        <w:rPr>
          <w:b w:val="0"/>
        </w:rPr>
        <w:t xml:space="preserve"> </w:t>
      </w:r>
      <w:proofErr w:type="spellStart"/>
      <w:r w:rsidR="007B5245" w:rsidRPr="00FC4F13">
        <w:rPr>
          <w:b w:val="0"/>
        </w:rPr>
        <w:t>đơn</w:t>
      </w:r>
      <w:proofErr w:type="spellEnd"/>
      <w:r w:rsidR="007B5245" w:rsidRPr="00FC4F13">
        <w:rPr>
          <w:b w:val="0"/>
        </w:rPr>
        <w:t xml:space="preserve"> </w:t>
      </w:r>
      <w:proofErr w:type="spellStart"/>
      <w:r w:rsidR="007B5245" w:rsidRPr="00FC4F13">
        <w:rPr>
          <w:b w:val="0"/>
        </w:rPr>
        <w:t>vị</w:t>
      </w:r>
      <w:proofErr w:type="spellEnd"/>
      <w:r w:rsidR="007B5245" w:rsidRPr="00FC4F13">
        <w:rPr>
          <w:b w:val="0"/>
        </w:rPr>
        <w:t xml:space="preserve"> </w:t>
      </w:r>
      <w:proofErr w:type="spellStart"/>
      <w:r w:rsidR="007B5245" w:rsidRPr="00FC4F13">
        <w:rPr>
          <w:b w:val="0"/>
        </w:rPr>
        <w:t>quỹ</w:t>
      </w:r>
      <w:proofErr w:type="spellEnd"/>
      <w:r w:rsidR="007B5245" w:rsidRPr="00FC4F13">
        <w:rPr>
          <w:b w:val="0"/>
        </w:rPr>
        <w:t xml:space="preserve"> : </w:t>
      </w:r>
      <w:proofErr w:type="spellStart"/>
      <w:r w:rsidR="007B5245" w:rsidRPr="00FC4F13">
        <w:rPr>
          <w:b w:val="0"/>
        </w:rPr>
        <w:t>không</w:t>
      </w:r>
      <w:proofErr w:type="spellEnd"/>
      <w:r w:rsidR="007B5245" w:rsidRPr="00FC4F13">
        <w:rPr>
          <w:b w:val="0"/>
        </w:rPr>
        <w:t xml:space="preserve"> </w:t>
      </w:r>
      <w:proofErr w:type="spellStart"/>
      <w:r w:rsidR="007B5245" w:rsidRPr="00FC4F13">
        <w:rPr>
          <w:b w:val="0"/>
        </w:rPr>
        <w:t>có</w:t>
      </w:r>
      <w:proofErr w:type="spellEnd"/>
    </w:p>
    <w:p w14:paraId="2825786A" w14:textId="04817C9E" w:rsidR="007B5245" w:rsidRPr="00FC4F13" w:rsidRDefault="00172354" w:rsidP="00FC4F13">
      <w:pPr>
        <w:pStyle w:val="ListParagraph"/>
        <w:tabs>
          <w:tab w:val="left" w:pos="270"/>
          <w:tab w:val="left" w:pos="1134"/>
        </w:tabs>
        <w:spacing w:after="120" w:line="276" w:lineRule="auto"/>
        <w:ind w:left="0"/>
        <w:jc w:val="both"/>
        <w:rPr>
          <w:b w:val="0"/>
        </w:rPr>
      </w:pPr>
      <w:r w:rsidRPr="00FC4F13">
        <w:rPr>
          <w:b w:val="0"/>
        </w:rPr>
        <w:t xml:space="preserve">- </w:t>
      </w:r>
      <w:proofErr w:type="spellStart"/>
      <w:r w:rsidR="007B5245" w:rsidRPr="00FC4F13">
        <w:rPr>
          <w:b w:val="0"/>
        </w:rPr>
        <w:t>Thời</w:t>
      </w:r>
      <w:proofErr w:type="spellEnd"/>
      <w:r w:rsidR="007B5245" w:rsidRPr="00FC4F13">
        <w:rPr>
          <w:b w:val="0"/>
        </w:rPr>
        <w:t xml:space="preserve"> </w:t>
      </w:r>
      <w:proofErr w:type="spellStart"/>
      <w:r w:rsidR="007B5245" w:rsidRPr="00FC4F13">
        <w:rPr>
          <w:b w:val="0"/>
        </w:rPr>
        <w:t>điểm</w:t>
      </w:r>
      <w:proofErr w:type="spellEnd"/>
      <w:r w:rsidR="007B5245" w:rsidRPr="00FC4F13">
        <w:rPr>
          <w:b w:val="0"/>
        </w:rPr>
        <w:t xml:space="preserve"> </w:t>
      </w:r>
      <w:proofErr w:type="spellStart"/>
      <w:r w:rsidR="007B5245" w:rsidRPr="00FC4F13">
        <w:rPr>
          <w:b w:val="0"/>
        </w:rPr>
        <w:t>phân</w:t>
      </w:r>
      <w:proofErr w:type="spellEnd"/>
      <w:r w:rsidR="007B5245" w:rsidRPr="00FC4F13">
        <w:rPr>
          <w:b w:val="0"/>
        </w:rPr>
        <w:t xml:space="preserve"> chia </w:t>
      </w:r>
      <w:proofErr w:type="spellStart"/>
      <w:r w:rsidR="007B5245" w:rsidRPr="00FC4F13">
        <w:rPr>
          <w:b w:val="0"/>
        </w:rPr>
        <w:t>lợi</w:t>
      </w:r>
      <w:proofErr w:type="spellEnd"/>
      <w:r w:rsidR="007B5245" w:rsidRPr="00FC4F13">
        <w:rPr>
          <w:b w:val="0"/>
        </w:rPr>
        <w:t xml:space="preserve"> </w:t>
      </w:r>
      <w:proofErr w:type="spellStart"/>
      <w:r w:rsidR="007B5245" w:rsidRPr="00FC4F13">
        <w:rPr>
          <w:b w:val="0"/>
        </w:rPr>
        <w:t>nhuận</w:t>
      </w:r>
      <w:proofErr w:type="spellEnd"/>
      <w:r w:rsidR="007B5245" w:rsidRPr="00FC4F13">
        <w:rPr>
          <w:b w:val="0"/>
        </w:rPr>
        <w:t xml:space="preserve"> : </w:t>
      </w:r>
      <w:proofErr w:type="spellStart"/>
      <w:r w:rsidR="007B5245" w:rsidRPr="00FC4F13">
        <w:rPr>
          <w:b w:val="0"/>
        </w:rPr>
        <w:t>không</w:t>
      </w:r>
      <w:proofErr w:type="spellEnd"/>
      <w:r w:rsidR="007B5245" w:rsidRPr="00FC4F13">
        <w:rPr>
          <w:b w:val="0"/>
        </w:rPr>
        <w:t xml:space="preserve"> </w:t>
      </w:r>
      <w:proofErr w:type="spellStart"/>
      <w:r w:rsidR="007B5245" w:rsidRPr="00FC4F13">
        <w:rPr>
          <w:b w:val="0"/>
        </w:rPr>
        <w:t>có</w:t>
      </w:r>
      <w:proofErr w:type="spellEnd"/>
    </w:p>
    <w:p w14:paraId="4089431D" w14:textId="432786A9" w:rsidR="00B04C91" w:rsidRPr="00FC4F13" w:rsidRDefault="007B5245" w:rsidP="00FC4F13">
      <w:pPr>
        <w:pStyle w:val="ListParagraph"/>
        <w:tabs>
          <w:tab w:val="left" w:pos="270"/>
          <w:tab w:val="left" w:pos="1134"/>
        </w:tabs>
        <w:spacing w:after="120" w:line="276" w:lineRule="auto"/>
        <w:ind w:left="0"/>
        <w:jc w:val="both"/>
        <w:rPr>
          <w:b w:val="0"/>
        </w:rPr>
      </w:pPr>
      <w:r w:rsidRPr="00FC4F13">
        <w:rPr>
          <w:b w:val="0"/>
        </w:rPr>
        <w:t xml:space="preserve">- </w:t>
      </w:r>
      <w:proofErr w:type="spellStart"/>
      <w:r w:rsidR="00B04C91" w:rsidRPr="00FC4F13">
        <w:rPr>
          <w:b w:val="0"/>
        </w:rPr>
        <w:t>Giá</w:t>
      </w:r>
      <w:proofErr w:type="spellEnd"/>
      <w:r w:rsidR="00B04C91" w:rsidRPr="00FC4F13">
        <w:rPr>
          <w:b w:val="0"/>
        </w:rPr>
        <w:t xml:space="preserve"> </w:t>
      </w:r>
      <w:proofErr w:type="spellStart"/>
      <w:r w:rsidR="00B04C91" w:rsidRPr="00FC4F13">
        <w:rPr>
          <w:b w:val="0"/>
        </w:rPr>
        <w:t>trị</w:t>
      </w:r>
      <w:proofErr w:type="spellEnd"/>
      <w:r w:rsidR="00B04C91" w:rsidRPr="00FC4F13">
        <w:rPr>
          <w:b w:val="0"/>
        </w:rPr>
        <w:t xml:space="preserve"> </w:t>
      </w:r>
      <w:proofErr w:type="spellStart"/>
      <w:r w:rsidR="00B04C91" w:rsidRPr="00FC4F13">
        <w:rPr>
          <w:b w:val="0"/>
        </w:rPr>
        <w:t>tài</w:t>
      </w:r>
      <w:proofErr w:type="spellEnd"/>
      <w:r w:rsidR="00B04C91" w:rsidRPr="00FC4F13">
        <w:rPr>
          <w:b w:val="0"/>
        </w:rPr>
        <w:t xml:space="preserve"> </w:t>
      </w:r>
      <w:proofErr w:type="spellStart"/>
      <w:r w:rsidR="00B04C91" w:rsidRPr="00FC4F13">
        <w:rPr>
          <w:b w:val="0"/>
        </w:rPr>
        <w:t>sản</w:t>
      </w:r>
      <w:proofErr w:type="spellEnd"/>
      <w:r w:rsidR="00B04C91" w:rsidRPr="00FC4F13">
        <w:rPr>
          <w:b w:val="0"/>
        </w:rPr>
        <w:t xml:space="preserve"> </w:t>
      </w:r>
      <w:proofErr w:type="spellStart"/>
      <w:r w:rsidR="00B04C91" w:rsidRPr="00FC4F13">
        <w:rPr>
          <w:b w:val="0"/>
        </w:rPr>
        <w:t>ròng</w:t>
      </w:r>
      <w:proofErr w:type="spellEnd"/>
      <w:r w:rsidR="00B04C91" w:rsidRPr="00FC4F13">
        <w:rPr>
          <w:b w:val="0"/>
        </w:rPr>
        <w:t xml:space="preserve"> </w:t>
      </w:r>
      <w:proofErr w:type="spellStart"/>
      <w:r w:rsidR="00B04C91" w:rsidRPr="00FC4F13">
        <w:rPr>
          <w:b w:val="0"/>
        </w:rPr>
        <w:t>trên</w:t>
      </w:r>
      <w:proofErr w:type="spellEnd"/>
      <w:r w:rsidR="00B04C91" w:rsidRPr="00FC4F13">
        <w:rPr>
          <w:b w:val="0"/>
        </w:rPr>
        <w:t xml:space="preserve"> </w:t>
      </w:r>
      <w:proofErr w:type="spellStart"/>
      <w:r w:rsidR="00B04C91" w:rsidRPr="00FC4F13">
        <w:rPr>
          <w:b w:val="0"/>
        </w:rPr>
        <w:t>một</w:t>
      </w:r>
      <w:proofErr w:type="spellEnd"/>
      <w:r w:rsidR="00B04C91" w:rsidRPr="00FC4F13">
        <w:rPr>
          <w:b w:val="0"/>
        </w:rPr>
        <w:t xml:space="preserve"> </w:t>
      </w:r>
      <w:proofErr w:type="spellStart"/>
      <w:r w:rsidR="00B04C91" w:rsidRPr="00FC4F13">
        <w:rPr>
          <w:b w:val="0"/>
        </w:rPr>
        <w:t>đơn</w:t>
      </w:r>
      <w:proofErr w:type="spellEnd"/>
      <w:r w:rsidR="00B04C91" w:rsidRPr="00FC4F13">
        <w:rPr>
          <w:b w:val="0"/>
        </w:rPr>
        <w:t xml:space="preserve"> </w:t>
      </w:r>
      <w:proofErr w:type="spellStart"/>
      <w:r w:rsidR="00B04C91" w:rsidRPr="00FC4F13">
        <w:rPr>
          <w:b w:val="0"/>
        </w:rPr>
        <w:t>vị</w:t>
      </w:r>
      <w:proofErr w:type="spellEnd"/>
      <w:r w:rsidR="00B04C91" w:rsidRPr="00FC4F13">
        <w:rPr>
          <w:b w:val="0"/>
        </w:rPr>
        <w:t xml:space="preserve"> </w:t>
      </w:r>
      <w:proofErr w:type="spellStart"/>
      <w:r w:rsidR="00B04C91" w:rsidRPr="00FC4F13">
        <w:rPr>
          <w:b w:val="0"/>
        </w:rPr>
        <w:t>quỹ</w:t>
      </w:r>
      <w:proofErr w:type="spellEnd"/>
      <w:r w:rsidR="00B04C91" w:rsidRPr="00FC4F13">
        <w:rPr>
          <w:b w:val="0"/>
        </w:rPr>
        <w:t xml:space="preserve"> </w:t>
      </w:r>
      <w:proofErr w:type="spellStart"/>
      <w:r w:rsidR="00B04C91" w:rsidRPr="00FC4F13">
        <w:rPr>
          <w:b w:val="0"/>
        </w:rPr>
        <w:t>trước</w:t>
      </w:r>
      <w:proofErr w:type="spellEnd"/>
      <w:r w:rsidR="00B04C91" w:rsidRPr="00FC4F13">
        <w:rPr>
          <w:b w:val="0"/>
        </w:rPr>
        <w:t xml:space="preserve"> </w:t>
      </w:r>
      <w:proofErr w:type="spellStart"/>
      <w:r w:rsidR="00B04C91" w:rsidRPr="00FC4F13">
        <w:rPr>
          <w:b w:val="0"/>
        </w:rPr>
        <w:t>và</w:t>
      </w:r>
      <w:proofErr w:type="spellEnd"/>
      <w:r w:rsidR="00B04C91" w:rsidRPr="00FC4F13">
        <w:rPr>
          <w:b w:val="0"/>
        </w:rPr>
        <w:t xml:space="preserve"> </w:t>
      </w:r>
      <w:proofErr w:type="spellStart"/>
      <w:r w:rsidR="00B04C91" w:rsidRPr="00FC4F13">
        <w:rPr>
          <w:b w:val="0"/>
        </w:rPr>
        <w:t>sa</w:t>
      </w:r>
      <w:r w:rsidRPr="00FC4F13">
        <w:rPr>
          <w:b w:val="0"/>
        </w:rPr>
        <w:t>u</w:t>
      </w:r>
      <w:proofErr w:type="spellEnd"/>
      <w:r w:rsidRPr="00FC4F13">
        <w:rPr>
          <w:b w:val="0"/>
        </w:rPr>
        <w:t xml:space="preserve"> </w:t>
      </w:r>
      <w:proofErr w:type="spellStart"/>
      <w:r w:rsidRPr="00FC4F13">
        <w:rPr>
          <w:b w:val="0"/>
        </w:rPr>
        <w:t>thời</w:t>
      </w:r>
      <w:proofErr w:type="spellEnd"/>
      <w:r w:rsidRPr="00FC4F13">
        <w:rPr>
          <w:b w:val="0"/>
        </w:rPr>
        <w:t xml:space="preserve"> </w:t>
      </w:r>
      <w:proofErr w:type="spellStart"/>
      <w:r w:rsidRPr="00FC4F13">
        <w:rPr>
          <w:b w:val="0"/>
        </w:rPr>
        <w:t>điểm</w:t>
      </w:r>
      <w:proofErr w:type="spellEnd"/>
      <w:r w:rsidRPr="00FC4F13">
        <w:rPr>
          <w:b w:val="0"/>
        </w:rPr>
        <w:t xml:space="preserve"> </w:t>
      </w:r>
      <w:proofErr w:type="spellStart"/>
      <w:r w:rsidRPr="00FC4F13">
        <w:rPr>
          <w:b w:val="0"/>
        </w:rPr>
        <w:t>phân</w:t>
      </w:r>
      <w:proofErr w:type="spellEnd"/>
      <w:r w:rsidRPr="00FC4F13">
        <w:rPr>
          <w:b w:val="0"/>
        </w:rPr>
        <w:t xml:space="preserve"> chia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 </w:t>
      </w:r>
      <w:proofErr w:type="spellStart"/>
      <w:r w:rsidRPr="00FC4F13">
        <w:rPr>
          <w:b w:val="0"/>
        </w:rPr>
        <w:t>không</w:t>
      </w:r>
      <w:proofErr w:type="spellEnd"/>
      <w:r w:rsidRPr="00FC4F13">
        <w:rPr>
          <w:b w:val="0"/>
        </w:rPr>
        <w:t xml:space="preserve"> </w:t>
      </w:r>
      <w:proofErr w:type="spellStart"/>
      <w:r w:rsidRPr="00FC4F13">
        <w:rPr>
          <w:b w:val="0"/>
        </w:rPr>
        <w:t>có</w:t>
      </w:r>
      <w:proofErr w:type="spellEnd"/>
    </w:p>
    <w:p w14:paraId="6CE089BF" w14:textId="040EC6D4" w:rsidR="007A403C" w:rsidRPr="00FC4F13" w:rsidRDefault="00212BAB" w:rsidP="00FC4F13">
      <w:pPr>
        <w:pStyle w:val="ListParagraph"/>
        <w:tabs>
          <w:tab w:val="left" w:pos="270"/>
          <w:tab w:val="left" w:pos="1134"/>
        </w:tabs>
        <w:spacing w:after="120" w:line="276" w:lineRule="auto"/>
        <w:ind w:left="0"/>
        <w:jc w:val="both"/>
        <w:rPr>
          <w:b w:val="0"/>
          <w:bCs/>
        </w:rPr>
      </w:pPr>
      <w:r w:rsidRPr="00FC4F13">
        <w:rPr>
          <w:b w:val="0"/>
        </w:rPr>
        <w:t xml:space="preserve">- </w:t>
      </w:r>
      <w:proofErr w:type="spellStart"/>
      <w:r w:rsidR="007A403C" w:rsidRPr="00FC4F13">
        <w:rPr>
          <w:b w:val="0"/>
        </w:rPr>
        <w:t>Tỷ</w:t>
      </w:r>
      <w:proofErr w:type="spellEnd"/>
      <w:r w:rsidR="007A403C" w:rsidRPr="00FC4F13">
        <w:rPr>
          <w:b w:val="0"/>
        </w:rPr>
        <w:t xml:space="preserve"> </w:t>
      </w:r>
      <w:proofErr w:type="spellStart"/>
      <w:r w:rsidR="007A403C" w:rsidRPr="00FC4F13">
        <w:rPr>
          <w:b w:val="0"/>
        </w:rPr>
        <w:t>lệ</w:t>
      </w:r>
      <w:proofErr w:type="spellEnd"/>
      <w:r w:rsidR="007A403C" w:rsidRPr="00FC4F13">
        <w:rPr>
          <w:b w:val="0"/>
        </w:rPr>
        <w:t xml:space="preserve"> chi </w:t>
      </w:r>
      <w:proofErr w:type="spellStart"/>
      <w:r w:rsidR="007A403C" w:rsidRPr="00FC4F13">
        <w:rPr>
          <w:b w:val="0"/>
        </w:rPr>
        <w:t>phí</w:t>
      </w:r>
      <w:proofErr w:type="spellEnd"/>
      <w:r w:rsidR="007A403C" w:rsidRPr="00FC4F13">
        <w:rPr>
          <w:b w:val="0"/>
        </w:rPr>
        <w:t xml:space="preserve"> </w:t>
      </w:r>
      <w:proofErr w:type="spellStart"/>
      <w:r w:rsidR="007A403C" w:rsidRPr="00FC4F13">
        <w:rPr>
          <w:b w:val="0"/>
        </w:rPr>
        <w:t>hoạt</w:t>
      </w:r>
      <w:proofErr w:type="spellEnd"/>
      <w:r w:rsidR="007A403C" w:rsidRPr="00FC4F13">
        <w:rPr>
          <w:b w:val="0"/>
        </w:rPr>
        <w:t xml:space="preserve"> </w:t>
      </w:r>
      <w:proofErr w:type="spellStart"/>
      <w:r w:rsidR="007A403C" w:rsidRPr="00FC4F13">
        <w:rPr>
          <w:b w:val="0"/>
        </w:rPr>
        <w:t>động</w:t>
      </w:r>
      <w:proofErr w:type="spellEnd"/>
      <w:r w:rsidR="007A403C" w:rsidRPr="00FC4F13">
        <w:rPr>
          <w:b w:val="0"/>
        </w:rPr>
        <w:t xml:space="preserve"> </w:t>
      </w:r>
      <w:proofErr w:type="spellStart"/>
      <w:r w:rsidR="007A403C" w:rsidRPr="00FC4F13">
        <w:rPr>
          <w:b w:val="0"/>
        </w:rPr>
        <w:t>trên</w:t>
      </w:r>
      <w:proofErr w:type="spellEnd"/>
      <w:r w:rsidR="007A403C" w:rsidRPr="00FC4F13">
        <w:rPr>
          <w:b w:val="0"/>
        </w:rPr>
        <w:t xml:space="preserve"> GTTS</w:t>
      </w:r>
      <w:r w:rsidR="00030F08" w:rsidRPr="00FC4F13">
        <w:rPr>
          <w:b w:val="0"/>
        </w:rPr>
        <w:t xml:space="preserve">R </w:t>
      </w:r>
      <w:proofErr w:type="spellStart"/>
      <w:r w:rsidR="00030F08" w:rsidRPr="00FC4F13">
        <w:rPr>
          <w:b w:val="0"/>
        </w:rPr>
        <w:t>trung</w:t>
      </w:r>
      <w:proofErr w:type="spellEnd"/>
      <w:r w:rsidR="00030F08" w:rsidRPr="00FC4F13">
        <w:rPr>
          <w:b w:val="0"/>
        </w:rPr>
        <w:t xml:space="preserve"> </w:t>
      </w:r>
      <w:proofErr w:type="spellStart"/>
      <w:r w:rsidR="00030F08" w:rsidRPr="00FC4F13">
        <w:rPr>
          <w:b w:val="0"/>
        </w:rPr>
        <w:t>bình</w:t>
      </w:r>
      <w:proofErr w:type="spellEnd"/>
      <w:r w:rsidR="00030F08" w:rsidRPr="00FC4F13">
        <w:rPr>
          <w:b w:val="0"/>
        </w:rPr>
        <w:t xml:space="preserve"> </w:t>
      </w:r>
      <w:proofErr w:type="spellStart"/>
      <w:r w:rsidR="00030F08" w:rsidRPr="00FC4F13">
        <w:rPr>
          <w:b w:val="0"/>
        </w:rPr>
        <w:t>trong</w:t>
      </w:r>
      <w:proofErr w:type="spellEnd"/>
      <w:r w:rsidR="00030F08" w:rsidRPr="00FC4F13">
        <w:rPr>
          <w:b w:val="0"/>
        </w:rPr>
        <w:t xml:space="preserve"> </w:t>
      </w:r>
      <w:proofErr w:type="spellStart"/>
      <w:r w:rsidR="00030F08" w:rsidRPr="00FC4F13">
        <w:rPr>
          <w:b w:val="0"/>
        </w:rPr>
        <w:t>kỳ</w:t>
      </w:r>
      <w:proofErr w:type="spellEnd"/>
      <w:r w:rsidR="00CE6131" w:rsidRPr="00FC4F13">
        <w:rPr>
          <w:b w:val="0"/>
        </w:rPr>
        <w:t xml:space="preserve"> </w:t>
      </w:r>
      <w:r w:rsidR="001F1881">
        <w:rPr>
          <w:b w:val="0"/>
          <w:lang w:val="sv-SE"/>
        </w:rPr>
        <w:t>31/12/</w:t>
      </w:r>
      <w:proofErr w:type="gramStart"/>
      <w:r w:rsidR="001F1881">
        <w:rPr>
          <w:b w:val="0"/>
          <w:lang w:val="sv-SE"/>
        </w:rPr>
        <w:t>202</w:t>
      </w:r>
      <w:r w:rsidR="007E24E2">
        <w:rPr>
          <w:b w:val="0"/>
          <w:lang w:val="vi-VN"/>
        </w:rPr>
        <w:t>3</w:t>
      </w:r>
      <w:r w:rsidR="00030F08" w:rsidRPr="00FC4F13">
        <w:rPr>
          <w:b w:val="0"/>
        </w:rPr>
        <w:t>:</w:t>
      </w:r>
      <w:proofErr w:type="gramEnd"/>
      <w:r w:rsidR="00030F08" w:rsidRPr="00FC4F13">
        <w:rPr>
          <w:b w:val="0"/>
        </w:rPr>
        <w:t xml:space="preserve"> </w:t>
      </w:r>
      <w:r w:rsidR="007E24E2">
        <w:rPr>
          <w:b w:val="0"/>
          <w:lang w:val="vi-VN"/>
        </w:rPr>
        <w:t>0.86</w:t>
      </w:r>
      <w:r w:rsidR="00AF1DE8" w:rsidRPr="00FC4F13">
        <w:rPr>
          <w:b w:val="0"/>
          <w:bCs/>
        </w:rPr>
        <w:t>%</w:t>
      </w:r>
    </w:p>
    <w:p w14:paraId="4A5C2739" w14:textId="48EC163B" w:rsidR="00CE6131" w:rsidRPr="00FC4F13" w:rsidRDefault="00CE6131" w:rsidP="00FC4F13">
      <w:pPr>
        <w:pStyle w:val="ListParagraph"/>
        <w:tabs>
          <w:tab w:val="left" w:pos="270"/>
          <w:tab w:val="left" w:pos="1134"/>
        </w:tabs>
        <w:spacing w:after="120" w:line="276" w:lineRule="auto"/>
        <w:ind w:left="0"/>
        <w:jc w:val="both"/>
        <w:rPr>
          <w:b w:val="0"/>
        </w:rPr>
      </w:pPr>
      <w:r w:rsidRPr="00FC4F13">
        <w:rPr>
          <w:b w:val="0"/>
        </w:rPr>
        <w:t xml:space="preserve">- </w:t>
      </w:r>
      <w:proofErr w:type="spellStart"/>
      <w:r w:rsidRPr="00FC4F13">
        <w:rPr>
          <w:b w:val="0"/>
        </w:rPr>
        <w:t>Tỷ</w:t>
      </w:r>
      <w:proofErr w:type="spellEnd"/>
      <w:r w:rsidRPr="00FC4F13">
        <w:rPr>
          <w:b w:val="0"/>
        </w:rPr>
        <w:t xml:space="preserve"> </w:t>
      </w:r>
      <w:proofErr w:type="spellStart"/>
      <w:r w:rsidRPr="00FC4F13">
        <w:rPr>
          <w:b w:val="0"/>
        </w:rPr>
        <w:t>lệ</w:t>
      </w:r>
      <w:proofErr w:type="spellEnd"/>
      <w:r w:rsidRPr="00FC4F13">
        <w:rPr>
          <w:b w:val="0"/>
        </w:rPr>
        <w:t xml:space="preserve"> chi </w:t>
      </w:r>
      <w:proofErr w:type="spellStart"/>
      <w:r w:rsidRPr="00FC4F13">
        <w:rPr>
          <w:b w:val="0"/>
        </w:rPr>
        <w:t>phí</w:t>
      </w:r>
      <w:proofErr w:type="spellEnd"/>
      <w:r w:rsidRPr="00FC4F13">
        <w:rPr>
          <w:b w:val="0"/>
        </w:rPr>
        <w:t xml:space="preserve"> </w:t>
      </w:r>
      <w:proofErr w:type="spellStart"/>
      <w:r w:rsidRPr="00FC4F13">
        <w:rPr>
          <w:b w:val="0"/>
        </w:rPr>
        <w:t>hoạt</w:t>
      </w:r>
      <w:proofErr w:type="spellEnd"/>
      <w:r w:rsidRPr="00FC4F13">
        <w:rPr>
          <w:b w:val="0"/>
        </w:rPr>
        <w:t xml:space="preserve"> </w:t>
      </w:r>
      <w:proofErr w:type="spellStart"/>
      <w:r w:rsidRPr="00FC4F13">
        <w:rPr>
          <w:b w:val="0"/>
        </w:rPr>
        <w:t>động</w:t>
      </w:r>
      <w:proofErr w:type="spellEnd"/>
      <w:r w:rsidRPr="00FC4F13">
        <w:rPr>
          <w:b w:val="0"/>
        </w:rPr>
        <w:t xml:space="preserve"> </w:t>
      </w:r>
      <w:proofErr w:type="spellStart"/>
      <w:r w:rsidRPr="00FC4F13">
        <w:rPr>
          <w:b w:val="0"/>
        </w:rPr>
        <w:t>trên</w:t>
      </w:r>
      <w:proofErr w:type="spellEnd"/>
      <w:r w:rsidRPr="00FC4F13">
        <w:rPr>
          <w:b w:val="0"/>
        </w:rPr>
        <w:t xml:space="preserve"> GTTSR </w:t>
      </w:r>
      <w:proofErr w:type="spellStart"/>
      <w:r w:rsidRPr="00FC4F13">
        <w:rPr>
          <w:b w:val="0"/>
        </w:rPr>
        <w:t>trung</w:t>
      </w:r>
      <w:proofErr w:type="spellEnd"/>
      <w:r w:rsidRPr="00FC4F13">
        <w:rPr>
          <w:b w:val="0"/>
        </w:rPr>
        <w:t xml:space="preserve"> </w:t>
      </w:r>
      <w:proofErr w:type="spellStart"/>
      <w:r w:rsidRPr="00FC4F13">
        <w:rPr>
          <w:b w:val="0"/>
        </w:rPr>
        <w:t>bình</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kỳ</w:t>
      </w:r>
      <w:proofErr w:type="spellEnd"/>
      <w:r w:rsidRPr="00FC4F13">
        <w:rPr>
          <w:b w:val="0"/>
        </w:rPr>
        <w:t xml:space="preserve"> </w:t>
      </w:r>
      <w:r w:rsidR="001F1881">
        <w:rPr>
          <w:b w:val="0"/>
          <w:lang w:val="sv-SE"/>
        </w:rPr>
        <w:t>31/12/</w:t>
      </w:r>
      <w:proofErr w:type="gramStart"/>
      <w:r w:rsidR="001F1881">
        <w:rPr>
          <w:b w:val="0"/>
          <w:lang w:val="sv-SE"/>
        </w:rPr>
        <w:t>202</w:t>
      </w:r>
      <w:r w:rsidR="007E24E2">
        <w:rPr>
          <w:b w:val="0"/>
          <w:lang w:val="vi-VN"/>
        </w:rPr>
        <w:t>2</w:t>
      </w:r>
      <w:r w:rsidRPr="00FC4F13">
        <w:rPr>
          <w:b w:val="0"/>
        </w:rPr>
        <w:t>:</w:t>
      </w:r>
      <w:proofErr w:type="gramEnd"/>
      <w:r w:rsidRPr="00FC4F13">
        <w:rPr>
          <w:b w:val="0"/>
        </w:rPr>
        <w:t xml:space="preserve"> </w:t>
      </w:r>
      <w:r w:rsidR="00F004E1" w:rsidRPr="00FC4F13">
        <w:rPr>
          <w:b w:val="0"/>
        </w:rPr>
        <w:t>1.</w:t>
      </w:r>
      <w:r w:rsidR="007E24E2">
        <w:rPr>
          <w:b w:val="0"/>
          <w:lang w:val="vi-VN"/>
        </w:rPr>
        <w:t>29</w:t>
      </w:r>
      <w:r w:rsidRPr="00FC4F13">
        <w:rPr>
          <w:b w:val="0"/>
        </w:rPr>
        <w:t>% </w:t>
      </w:r>
    </w:p>
    <w:p w14:paraId="7D1158E6" w14:textId="62C73626" w:rsidR="007A403C" w:rsidRPr="00FC4F13" w:rsidRDefault="00212BAB" w:rsidP="00FC4F13">
      <w:pPr>
        <w:pStyle w:val="ListParagraph"/>
        <w:tabs>
          <w:tab w:val="left" w:pos="270"/>
          <w:tab w:val="left" w:pos="1134"/>
        </w:tabs>
        <w:spacing w:after="120" w:line="276" w:lineRule="auto"/>
        <w:ind w:left="0"/>
        <w:jc w:val="both"/>
        <w:rPr>
          <w:b w:val="0"/>
          <w:bCs/>
        </w:rPr>
      </w:pPr>
      <w:r w:rsidRPr="00FC4F13">
        <w:rPr>
          <w:b w:val="0"/>
        </w:rPr>
        <w:t xml:space="preserve">- </w:t>
      </w:r>
      <w:proofErr w:type="spellStart"/>
      <w:r w:rsidR="007A403C" w:rsidRPr="00FC4F13">
        <w:rPr>
          <w:b w:val="0"/>
        </w:rPr>
        <w:t>Tốc</w:t>
      </w:r>
      <w:proofErr w:type="spellEnd"/>
      <w:r w:rsidR="007A403C" w:rsidRPr="00FC4F13">
        <w:rPr>
          <w:b w:val="0"/>
        </w:rPr>
        <w:t xml:space="preserve"> </w:t>
      </w:r>
      <w:proofErr w:type="spellStart"/>
      <w:r w:rsidR="007A403C" w:rsidRPr="00FC4F13">
        <w:rPr>
          <w:b w:val="0"/>
        </w:rPr>
        <w:t>độ</w:t>
      </w:r>
      <w:proofErr w:type="spellEnd"/>
      <w:r w:rsidR="007A403C" w:rsidRPr="00FC4F13">
        <w:rPr>
          <w:b w:val="0"/>
        </w:rPr>
        <w:t xml:space="preserve"> </w:t>
      </w:r>
      <w:proofErr w:type="spellStart"/>
      <w:r w:rsidR="007A403C" w:rsidRPr="00FC4F13">
        <w:rPr>
          <w:b w:val="0"/>
        </w:rPr>
        <w:t>vòng</w:t>
      </w:r>
      <w:proofErr w:type="spellEnd"/>
      <w:r w:rsidR="007A403C" w:rsidRPr="00FC4F13">
        <w:rPr>
          <w:b w:val="0"/>
        </w:rPr>
        <w:t xml:space="preserve"> </w:t>
      </w:r>
      <w:proofErr w:type="spellStart"/>
      <w:r w:rsidR="007A403C" w:rsidRPr="00FC4F13">
        <w:rPr>
          <w:b w:val="0"/>
        </w:rPr>
        <w:t>quay</w:t>
      </w:r>
      <w:proofErr w:type="spellEnd"/>
      <w:r w:rsidR="007A403C" w:rsidRPr="00FC4F13">
        <w:rPr>
          <w:b w:val="0"/>
        </w:rPr>
        <w:t xml:space="preserve"> </w:t>
      </w:r>
      <w:proofErr w:type="spellStart"/>
      <w:r w:rsidR="007A403C" w:rsidRPr="00FC4F13">
        <w:rPr>
          <w:b w:val="0"/>
        </w:rPr>
        <w:t>danh</w:t>
      </w:r>
      <w:proofErr w:type="spellEnd"/>
      <w:r w:rsidR="007A403C" w:rsidRPr="00FC4F13">
        <w:rPr>
          <w:b w:val="0"/>
        </w:rPr>
        <w:t xml:space="preserve"> </w:t>
      </w:r>
      <w:proofErr w:type="spellStart"/>
      <w:r w:rsidR="007A403C" w:rsidRPr="00FC4F13">
        <w:rPr>
          <w:b w:val="0"/>
        </w:rPr>
        <w:t>mục</w:t>
      </w:r>
      <w:proofErr w:type="spellEnd"/>
      <w:r w:rsidR="007A403C" w:rsidRPr="00FC4F13">
        <w:rPr>
          <w:b w:val="0"/>
        </w:rPr>
        <w:t xml:space="preserve"> </w:t>
      </w:r>
      <w:proofErr w:type="spellStart"/>
      <w:r w:rsidR="007A403C" w:rsidRPr="00FC4F13">
        <w:rPr>
          <w:b w:val="0"/>
        </w:rPr>
        <w:t>trong</w:t>
      </w:r>
      <w:proofErr w:type="spellEnd"/>
      <w:r w:rsidR="007A403C" w:rsidRPr="00FC4F13">
        <w:rPr>
          <w:b w:val="0"/>
        </w:rPr>
        <w:t xml:space="preserve"> </w:t>
      </w:r>
      <w:proofErr w:type="spellStart"/>
      <w:r w:rsidR="007A403C" w:rsidRPr="00FC4F13">
        <w:rPr>
          <w:b w:val="0"/>
        </w:rPr>
        <w:t>kỳ</w:t>
      </w:r>
      <w:proofErr w:type="spellEnd"/>
      <w:r w:rsidR="007A403C" w:rsidRPr="00FC4F13">
        <w:rPr>
          <w:b w:val="0"/>
        </w:rPr>
        <w:t xml:space="preserve">/NAV </w:t>
      </w:r>
      <w:proofErr w:type="spellStart"/>
      <w:r w:rsidR="007A403C" w:rsidRPr="00FC4F13">
        <w:rPr>
          <w:b w:val="0"/>
        </w:rPr>
        <w:t>trung</w:t>
      </w:r>
      <w:proofErr w:type="spellEnd"/>
      <w:r w:rsidR="007A403C" w:rsidRPr="00FC4F13">
        <w:rPr>
          <w:b w:val="0"/>
        </w:rPr>
        <w:t xml:space="preserve"> </w:t>
      </w:r>
      <w:proofErr w:type="spellStart"/>
      <w:r w:rsidR="007A403C" w:rsidRPr="00FC4F13">
        <w:rPr>
          <w:b w:val="0"/>
        </w:rPr>
        <w:t>bình</w:t>
      </w:r>
      <w:proofErr w:type="spellEnd"/>
      <w:r w:rsidR="007A403C" w:rsidRPr="00FC4F13">
        <w:rPr>
          <w:b w:val="0"/>
        </w:rPr>
        <w:t xml:space="preserve"> </w:t>
      </w:r>
      <w:proofErr w:type="spellStart"/>
      <w:r w:rsidR="007A403C" w:rsidRPr="00FC4F13">
        <w:rPr>
          <w:b w:val="0"/>
        </w:rPr>
        <w:t>trong</w:t>
      </w:r>
      <w:proofErr w:type="spellEnd"/>
      <w:r w:rsidR="007A403C" w:rsidRPr="00FC4F13">
        <w:rPr>
          <w:b w:val="0"/>
        </w:rPr>
        <w:t xml:space="preserve"> </w:t>
      </w:r>
      <w:proofErr w:type="spellStart"/>
      <w:r w:rsidR="007A403C" w:rsidRPr="00FC4F13">
        <w:rPr>
          <w:b w:val="0"/>
        </w:rPr>
        <w:t>kỳ</w:t>
      </w:r>
      <w:proofErr w:type="spellEnd"/>
      <w:r w:rsidR="00CE6131" w:rsidRPr="00FC4F13">
        <w:rPr>
          <w:b w:val="0"/>
        </w:rPr>
        <w:t xml:space="preserve"> </w:t>
      </w:r>
      <w:r w:rsidR="001F1881">
        <w:rPr>
          <w:b w:val="0"/>
          <w:lang w:val="sv-SE"/>
        </w:rPr>
        <w:t>31/12/</w:t>
      </w:r>
      <w:proofErr w:type="gramStart"/>
      <w:r w:rsidR="001F1881">
        <w:rPr>
          <w:b w:val="0"/>
          <w:lang w:val="sv-SE"/>
        </w:rPr>
        <w:t>202</w:t>
      </w:r>
      <w:r w:rsidR="007E24E2">
        <w:rPr>
          <w:b w:val="0"/>
          <w:lang w:val="vi-VN"/>
        </w:rPr>
        <w:t>3</w:t>
      </w:r>
      <w:r w:rsidR="007A403C" w:rsidRPr="00FC4F13">
        <w:rPr>
          <w:b w:val="0"/>
        </w:rPr>
        <w:t>:</w:t>
      </w:r>
      <w:proofErr w:type="gramEnd"/>
      <w:r w:rsidR="007A403C" w:rsidRPr="00FC4F13">
        <w:rPr>
          <w:b w:val="0"/>
        </w:rPr>
        <w:t xml:space="preserve"> </w:t>
      </w:r>
      <w:r w:rsidR="007E24E2">
        <w:rPr>
          <w:b w:val="0"/>
          <w:lang w:val="vi-VN"/>
        </w:rPr>
        <w:t>157.22</w:t>
      </w:r>
      <w:r w:rsidR="00AF1DE8" w:rsidRPr="00FC4F13">
        <w:rPr>
          <w:b w:val="0"/>
          <w:bCs/>
        </w:rPr>
        <w:t>%</w:t>
      </w:r>
    </w:p>
    <w:p w14:paraId="316793C9" w14:textId="4B096677" w:rsidR="00CE6131" w:rsidRPr="00FC4F13" w:rsidRDefault="00CE6131" w:rsidP="00FC4F13">
      <w:pPr>
        <w:pStyle w:val="ListParagraph"/>
        <w:tabs>
          <w:tab w:val="left" w:pos="270"/>
          <w:tab w:val="left" w:pos="1134"/>
        </w:tabs>
        <w:spacing w:after="120" w:line="276" w:lineRule="auto"/>
        <w:ind w:left="0"/>
        <w:jc w:val="both"/>
        <w:rPr>
          <w:b w:val="0"/>
        </w:rPr>
      </w:pPr>
      <w:r w:rsidRPr="00FC4F13">
        <w:rPr>
          <w:b w:val="0"/>
        </w:rPr>
        <w:t xml:space="preserve">- </w:t>
      </w:r>
      <w:proofErr w:type="spellStart"/>
      <w:r w:rsidRPr="00FC4F13">
        <w:rPr>
          <w:b w:val="0"/>
        </w:rPr>
        <w:t>Tốc</w:t>
      </w:r>
      <w:proofErr w:type="spellEnd"/>
      <w:r w:rsidRPr="00FC4F13">
        <w:rPr>
          <w:b w:val="0"/>
        </w:rPr>
        <w:t xml:space="preserve"> </w:t>
      </w:r>
      <w:proofErr w:type="spellStart"/>
      <w:r w:rsidRPr="00FC4F13">
        <w:rPr>
          <w:b w:val="0"/>
        </w:rPr>
        <w:t>độ</w:t>
      </w:r>
      <w:proofErr w:type="spellEnd"/>
      <w:r w:rsidRPr="00FC4F13">
        <w:rPr>
          <w:b w:val="0"/>
        </w:rPr>
        <w:t xml:space="preserve"> </w:t>
      </w:r>
      <w:proofErr w:type="spellStart"/>
      <w:r w:rsidRPr="00FC4F13">
        <w:rPr>
          <w:b w:val="0"/>
        </w:rPr>
        <w:t>vòng</w:t>
      </w:r>
      <w:proofErr w:type="spellEnd"/>
      <w:r w:rsidRPr="00FC4F13">
        <w:rPr>
          <w:b w:val="0"/>
        </w:rPr>
        <w:t xml:space="preserve"> </w:t>
      </w:r>
      <w:proofErr w:type="spellStart"/>
      <w:r w:rsidRPr="00FC4F13">
        <w:rPr>
          <w:b w:val="0"/>
        </w:rPr>
        <w:t>quay</w:t>
      </w:r>
      <w:proofErr w:type="spellEnd"/>
      <w:r w:rsidRPr="00FC4F13">
        <w:rPr>
          <w:b w:val="0"/>
        </w:rPr>
        <w:t xml:space="preserve"> </w:t>
      </w:r>
      <w:proofErr w:type="spellStart"/>
      <w:r w:rsidRPr="00FC4F13">
        <w:rPr>
          <w:b w:val="0"/>
        </w:rPr>
        <w:t>danh</w:t>
      </w:r>
      <w:proofErr w:type="spellEnd"/>
      <w:r w:rsidRPr="00FC4F13">
        <w:rPr>
          <w:b w:val="0"/>
        </w:rPr>
        <w:t xml:space="preserve"> </w:t>
      </w:r>
      <w:proofErr w:type="spellStart"/>
      <w:r w:rsidRPr="00FC4F13">
        <w:rPr>
          <w:b w:val="0"/>
        </w:rPr>
        <w:t>mục</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kỳ</w:t>
      </w:r>
      <w:proofErr w:type="spellEnd"/>
      <w:r w:rsidRPr="00FC4F13">
        <w:rPr>
          <w:b w:val="0"/>
        </w:rPr>
        <w:t xml:space="preserve">/NAV </w:t>
      </w:r>
      <w:proofErr w:type="spellStart"/>
      <w:r w:rsidRPr="00FC4F13">
        <w:rPr>
          <w:b w:val="0"/>
        </w:rPr>
        <w:t>trung</w:t>
      </w:r>
      <w:proofErr w:type="spellEnd"/>
      <w:r w:rsidRPr="00FC4F13">
        <w:rPr>
          <w:b w:val="0"/>
        </w:rPr>
        <w:t xml:space="preserve"> </w:t>
      </w:r>
      <w:proofErr w:type="spellStart"/>
      <w:r w:rsidRPr="00FC4F13">
        <w:rPr>
          <w:b w:val="0"/>
        </w:rPr>
        <w:t>bình</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kỳ</w:t>
      </w:r>
      <w:proofErr w:type="spellEnd"/>
      <w:r w:rsidRPr="00FC4F13">
        <w:rPr>
          <w:b w:val="0"/>
        </w:rPr>
        <w:t xml:space="preserve"> </w:t>
      </w:r>
      <w:r w:rsidR="001F1881">
        <w:rPr>
          <w:b w:val="0"/>
          <w:lang w:val="sv-SE"/>
        </w:rPr>
        <w:t>31/12/202</w:t>
      </w:r>
      <w:r w:rsidR="007E24E2">
        <w:rPr>
          <w:b w:val="0"/>
          <w:lang w:val="vi-VN"/>
        </w:rPr>
        <w:t>2</w:t>
      </w:r>
      <w:r w:rsidRPr="00FC4F13">
        <w:rPr>
          <w:b w:val="0"/>
        </w:rPr>
        <w:t xml:space="preserve"> : </w:t>
      </w:r>
      <w:r w:rsidR="001F1881">
        <w:rPr>
          <w:b w:val="0"/>
        </w:rPr>
        <w:t>168.</w:t>
      </w:r>
      <w:r w:rsidR="007E24E2">
        <w:rPr>
          <w:b w:val="0"/>
          <w:lang w:val="vi-VN"/>
        </w:rPr>
        <w:t>32</w:t>
      </w:r>
      <w:r w:rsidRPr="00FC4F13">
        <w:rPr>
          <w:b w:val="0"/>
        </w:rPr>
        <w:t>%</w:t>
      </w:r>
    </w:p>
    <w:p w14:paraId="2C835B70" w14:textId="3F429CFC" w:rsidR="00B04C91" w:rsidRPr="00FC4F13" w:rsidRDefault="003E75CB" w:rsidP="00B02E32">
      <w:pPr>
        <w:pStyle w:val="ListParagraph"/>
        <w:numPr>
          <w:ilvl w:val="0"/>
          <w:numId w:val="3"/>
        </w:numPr>
        <w:tabs>
          <w:tab w:val="left" w:pos="270"/>
          <w:tab w:val="left" w:pos="1134"/>
        </w:tabs>
        <w:spacing w:before="120" w:after="120" w:line="276" w:lineRule="auto"/>
        <w:ind w:left="0" w:firstLine="0"/>
        <w:contextualSpacing w:val="0"/>
        <w:jc w:val="both"/>
        <w:rPr>
          <w:b w:val="0"/>
        </w:rPr>
      </w:pPr>
      <w:proofErr w:type="spellStart"/>
      <w:r w:rsidRPr="00FC4F13">
        <w:rPr>
          <w:b w:val="0"/>
        </w:rPr>
        <w:t>Chỉ</w:t>
      </w:r>
      <w:proofErr w:type="spellEnd"/>
      <w:r w:rsidRPr="00FC4F13">
        <w:rPr>
          <w:b w:val="0"/>
        </w:rPr>
        <w:t xml:space="preserve"> </w:t>
      </w:r>
      <w:proofErr w:type="spellStart"/>
      <w:r w:rsidRPr="00FC4F13">
        <w:rPr>
          <w:b w:val="0"/>
        </w:rPr>
        <w:t>tiêu</w:t>
      </w:r>
      <w:proofErr w:type="spellEnd"/>
      <w:r w:rsidRPr="00FC4F13">
        <w:rPr>
          <w:b w:val="0"/>
        </w:rPr>
        <w:t xml:space="preserve"> </w:t>
      </w:r>
      <w:proofErr w:type="spellStart"/>
      <w:r w:rsidRPr="00FC4F13">
        <w:rPr>
          <w:b w:val="0"/>
        </w:rPr>
        <w:t>về</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proofErr w:type="gramStart"/>
      <w:r w:rsidRPr="00FC4F13">
        <w:rPr>
          <w:b w:val="0"/>
        </w:rPr>
        <w:t>quỹ</w:t>
      </w:r>
      <w:proofErr w:type="spellEnd"/>
      <w:r w:rsidRPr="00FC4F13">
        <w:rPr>
          <w:b w:val="0"/>
        </w:rPr>
        <w:t>:</w:t>
      </w:r>
      <w:proofErr w:type="gramEnd"/>
    </w:p>
    <w:tbl>
      <w:tblPr>
        <w:tblW w:w="8880" w:type="dxa"/>
        <w:tblLook w:val="04A0" w:firstRow="1" w:lastRow="0" w:firstColumn="1" w:lastColumn="0" w:noHBand="0" w:noVBand="1"/>
      </w:tblPr>
      <w:tblGrid>
        <w:gridCol w:w="5534"/>
        <w:gridCol w:w="3346"/>
      </w:tblGrid>
      <w:tr w:rsidR="00184C77" w:rsidRPr="00FC4F13" w14:paraId="0C18DBE7" w14:textId="77777777" w:rsidTr="00B02E32">
        <w:trPr>
          <w:trHeight w:val="315"/>
        </w:trPr>
        <w:tc>
          <w:tcPr>
            <w:tcW w:w="8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135C6" w14:textId="77777777" w:rsidR="00184C77" w:rsidRPr="00FC4F13" w:rsidRDefault="00184C77" w:rsidP="00FC4F13">
            <w:pPr>
              <w:spacing w:line="276" w:lineRule="auto"/>
              <w:rPr>
                <w:b/>
                <w:bCs/>
                <w:color w:val="000000"/>
              </w:rPr>
            </w:pPr>
            <w:proofErr w:type="spellStart"/>
            <w:r w:rsidRPr="00FC4F13">
              <w:rPr>
                <w:b/>
                <w:bCs/>
                <w:color w:val="000000"/>
              </w:rPr>
              <w:t>Tổng</w:t>
            </w:r>
            <w:proofErr w:type="spellEnd"/>
            <w:r w:rsidRPr="00FC4F13">
              <w:rPr>
                <w:b/>
                <w:bCs/>
                <w:color w:val="000000"/>
              </w:rPr>
              <w:t xml:space="preserve"> </w:t>
            </w:r>
            <w:proofErr w:type="spellStart"/>
            <w:r w:rsidRPr="00FC4F13">
              <w:rPr>
                <w:b/>
                <w:bCs/>
                <w:color w:val="000000"/>
              </w:rPr>
              <w:t>lợi</w:t>
            </w:r>
            <w:proofErr w:type="spellEnd"/>
            <w:r w:rsidRPr="00FC4F13">
              <w:rPr>
                <w:b/>
                <w:bCs/>
                <w:color w:val="000000"/>
              </w:rPr>
              <w:t xml:space="preserve"> </w:t>
            </w:r>
            <w:proofErr w:type="spellStart"/>
            <w:r w:rsidRPr="00FC4F13">
              <w:rPr>
                <w:b/>
                <w:bCs/>
                <w:color w:val="000000"/>
              </w:rPr>
              <w:t>nhuận</w:t>
            </w:r>
            <w:proofErr w:type="spellEnd"/>
            <w:r w:rsidRPr="00FC4F13">
              <w:rPr>
                <w:b/>
                <w:bCs/>
                <w:color w:val="000000"/>
              </w:rPr>
              <w:t xml:space="preserve"> </w:t>
            </w:r>
            <w:proofErr w:type="spellStart"/>
            <w:r w:rsidRPr="00FC4F13">
              <w:rPr>
                <w:b/>
                <w:bCs/>
                <w:color w:val="000000"/>
              </w:rPr>
              <w:t>bình</w:t>
            </w:r>
            <w:proofErr w:type="spellEnd"/>
            <w:r w:rsidRPr="00FC4F13">
              <w:rPr>
                <w:b/>
                <w:bCs/>
                <w:color w:val="000000"/>
              </w:rPr>
              <w:t xml:space="preserve"> </w:t>
            </w:r>
            <w:proofErr w:type="spellStart"/>
            <w:r w:rsidRPr="00FC4F13">
              <w:rPr>
                <w:b/>
                <w:bCs/>
                <w:color w:val="000000"/>
              </w:rPr>
              <w:t>quân</w:t>
            </w:r>
            <w:proofErr w:type="spellEnd"/>
            <w:r w:rsidRPr="00FC4F13">
              <w:rPr>
                <w:b/>
                <w:bCs/>
                <w:color w:val="000000"/>
              </w:rPr>
              <w:t xml:space="preserve"> </w:t>
            </w:r>
            <w:proofErr w:type="spellStart"/>
            <w:r w:rsidRPr="00FC4F13">
              <w:rPr>
                <w:b/>
                <w:bCs/>
                <w:color w:val="000000"/>
              </w:rPr>
              <w:t>năm</w:t>
            </w:r>
            <w:proofErr w:type="spellEnd"/>
            <w:r w:rsidRPr="00FC4F13">
              <w:rPr>
                <w:b/>
                <w:bCs/>
                <w:color w:val="000000"/>
              </w:rPr>
              <w:t xml:space="preserve"> </w:t>
            </w:r>
            <w:proofErr w:type="spellStart"/>
            <w:r w:rsidRPr="00FC4F13">
              <w:rPr>
                <w:b/>
                <w:bCs/>
                <w:color w:val="000000"/>
              </w:rPr>
              <w:t>của</w:t>
            </w:r>
            <w:proofErr w:type="spellEnd"/>
            <w:r w:rsidRPr="00FC4F13">
              <w:rPr>
                <w:b/>
                <w:bCs/>
                <w:color w:val="000000"/>
              </w:rPr>
              <w:t xml:space="preserve"> </w:t>
            </w:r>
            <w:proofErr w:type="spellStart"/>
            <w:r w:rsidRPr="00FC4F13">
              <w:rPr>
                <w:b/>
                <w:bCs/>
                <w:color w:val="000000"/>
              </w:rPr>
              <w:t>quỹ</w:t>
            </w:r>
            <w:proofErr w:type="spellEnd"/>
            <w:r w:rsidRPr="00FC4F13">
              <w:rPr>
                <w:b/>
                <w:bCs/>
                <w:color w:val="000000"/>
              </w:rPr>
              <w:t xml:space="preserve"> </w:t>
            </w:r>
            <w:proofErr w:type="spellStart"/>
            <w:r w:rsidRPr="00FC4F13">
              <w:rPr>
                <w:b/>
                <w:bCs/>
                <w:color w:val="000000"/>
              </w:rPr>
              <w:t>phát</w:t>
            </w:r>
            <w:proofErr w:type="spellEnd"/>
            <w:r w:rsidRPr="00FC4F13">
              <w:rPr>
                <w:b/>
                <w:bCs/>
                <w:color w:val="000000"/>
              </w:rPr>
              <w:t xml:space="preserve"> </w:t>
            </w:r>
            <w:proofErr w:type="spellStart"/>
            <w:r w:rsidRPr="00FC4F13">
              <w:rPr>
                <w:b/>
                <w:bCs/>
                <w:color w:val="000000"/>
              </w:rPr>
              <w:t>sinh</w:t>
            </w:r>
            <w:proofErr w:type="spellEnd"/>
            <w:r w:rsidRPr="00FC4F13">
              <w:rPr>
                <w:b/>
                <w:bCs/>
                <w:color w:val="000000"/>
              </w:rPr>
              <w:t xml:space="preserve"> </w:t>
            </w:r>
            <w:proofErr w:type="spellStart"/>
            <w:r w:rsidRPr="00FC4F13">
              <w:rPr>
                <w:b/>
                <w:bCs/>
                <w:color w:val="000000"/>
              </w:rPr>
              <w:t>trong</w:t>
            </w:r>
            <w:proofErr w:type="spellEnd"/>
            <w:r w:rsidRPr="00FC4F13">
              <w:rPr>
                <w:b/>
                <w:bCs/>
                <w:color w:val="000000"/>
              </w:rPr>
              <w:t xml:space="preserve"> </w:t>
            </w:r>
            <w:proofErr w:type="spellStart"/>
            <w:r w:rsidRPr="00FC4F13">
              <w:rPr>
                <w:b/>
                <w:bCs/>
                <w:color w:val="000000"/>
              </w:rPr>
              <w:t>kỳ</w:t>
            </w:r>
            <w:proofErr w:type="spellEnd"/>
            <w:r w:rsidRPr="00FC4F13">
              <w:rPr>
                <w:b/>
                <w:bCs/>
                <w:color w:val="000000"/>
              </w:rPr>
              <w:t xml:space="preserve"> </w:t>
            </w:r>
            <w:proofErr w:type="spellStart"/>
            <w:r w:rsidRPr="00FC4F13">
              <w:rPr>
                <w:b/>
                <w:bCs/>
                <w:color w:val="000000"/>
              </w:rPr>
              <w:t>báo</w:t>
            </w:r>
            <w:proofErr w:type="spellEnd"/>
            <w:r w:rsidRPr="00FC4F13">
              <w:rPr>
                <w:b/>
                <w:bCs/>
                <w:color w:val="000000"/>
              </w:rPr>
              <w:t xml:space="preserve"> </w:t>
            </w:r>
            <w:proofErr w:type="spellStart"/>
            <w:r w:rsidRPr="00FC4F13">
              <w:rPr>
                <w:b/>
                <w:bCs/>
                <w:color w:val="000000"/>
              </w:rPr>
              <w:t>cáo</w:t>
            </w:r>
            <w:proofErr w:type="spellEnd"/>
            <w:r w:rsidRPr="00FC4F13">
              <w:rPr>
                <w:b/>
                <w:bCs/>
                <w:color w:val="000000"/>
              </w:rPr>
              <w:t xml:space="preserve"> </w:t>
            </w:r>
            <w:proofErr w:type="spellStart"/>
            <w:r w:rsidRPr="00FC4F13">
              <w:rPr>
                <w:b/>
                <w:bCs/>
                <w:color w:val="000000"/>
              </w:rPr>
              <w:t>xác</w:t>
            </w:r>
            <w:proofErr w:type="spellEnd"/>
            <w:r w:rsidRPr="00FC4F13">
              <w:rPr>
                <w:b/>
                <w:bCs/>
                <w:color w:val="000000"/>
              </w:rPr>
              <w:t xml:space="preserve"> </w:t>
            </w:r>
            <w:proofErr w:type="spellStart"/>
            <w:r w:rsidRPr="00FC4F13">
              <w:rPr>
                <w:b/>
                <w:bCs/>
                <w:color w:val="000000"/>
              </w:rPr>
              <w:t>định</w:t>
            </w:r>
            <w:proofErr w:type="spellEnd"/>
            <w:r w:rsidRPr="00FC4F13">
              <w:rPr>
                <w:b/>
                <w:bCs/>
                <w:color w:val="000000"/>
              </w:rPr>
              <w:t xml:space="preserve">:  </w:t>
            </w:r>
          </w:p>
        </w:tc>
      </w:tr>
      <w:tr w:rsidR="002F70A9" w:rsidRPr="00FC4F13" w14:paraId="20625EA1" w14:textId="77777777" w:rsidTr="00516180">
        <w:trPr>
          <w:trHeight w:val="484"/>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14:paraId="30B8E0C5" w14:textId="6EDBB934" w:rsidR="002F70A9" w:rsidRPr="00FC4F13" w:rsidRDefault="002F70A9" w:rsidP="002F70A9">
            <w:pPr>
              <w:spacing w:line="276" w:lineRule="auto"/>
              <w:rPr>
                <w:color w:val="000000"/>
              </w:rPr>
            </w:pPr>
            <w:r w:rsidRPr="00FC4F13">
              <w:rPr>
                <w:color w:val="000000"/>
              </w:rPr>
              <w:t>(</w:t>
            </w:r>
            <w:proofErr w:type="spellStart"/>
            <w:r w:rsidRPr="00FC4F13">
              <w:rPr>
                <w:color w:val="000000"/>
              </w:rPr>
              <w:t>i</w:t>
            </w:r>
            <w:proofErr w:type="spellEnd"/>
            <w:r w:rsidRPr="00FC4F13">
              <w:rPr>
                <w:color w:val="000000"/>
              </w:rPr>
              <w:t>)</w:t>
            </w:r>
            <w:r>
              <w:rPr>
                <w:color w:val="000000"/>
              </w:rPr>
              <w:t xml:space="preserve"> </w:t>
            </w:r>
            <w:proofErr w:type="spellStart"/>
            <w:r w:rsidRPr="00FC4F13">
              <w:rPr>
                <w:color w:val="000000"/>
              </w:rPr>
              <w:t>trong</w:t>
            </w:r>
            <w:proofErr w:type="spellEnd"/>
            <w:r w:rsidRPr="00FC4F13">
              <w:rPr>
                <w:color w:val="000000"/>
              </w:rPr>
              <w:t xml:space="preserve"> </w:t>
            </w:r>
            <w:proofErr w:type="spellStart"/>
            <w:r w:rsidRPr="00FC4F13">
              <w:rPr>
                <w:color w:val="000000"/>
              </w:rPr>
              <w:t>thời</w:t>
            </w:r>
            <w:proofErr w:type="spellEnd"/>
            <w:r w:rsidRPr="00FC4F13">
              <w:rPr>
                <w:color w:val="000000"/>
              </w:rPr>
              <w:t xml:space="preserve"> </w:t>
            </w:r>
            <w:proofErr w:type="spellStart"/>
            <w:r w:rsidRPr="00FC4F13">
              <w:rPr>
                <w:color w:val="000000"/>
              </w:rPr>
              <w:t>hạn</w:t>
            </w:r>
            <w:proofErr w:type="spellEnd"/>
            <w:r w:rsidRPr="00FC4F13">
              <w:rPr>
                <w:color w:val="000000"/>
              </w:rPr>
              <w:t xml:space="preserve"> 12 </w:t>
            </w:r>
            <w:proofErr w:type="spellStart"/>
            <w:r w:rsidRPr="00FC4F13">
              <w:rPr>
                <w:color w:val="000000"/>
              </w:rPr>
              <w:t>tháng</w:t>
            </w:r>
            <w:proofErr w:type="spellEnd"/>
            <w:r w:rsidRPr="00FC4F13">
              <w:rPr>
                <w:color w:val="000000"/>
              </w:rPr>
              <w:t xml:space="preserve"> (1 năm)</w:t>
            </w:r>
          </w:p>
        </w:tc>
        <w:tc>
          <w:tcPr>
            <w:tcW w:w="3346" w:type="dxa"/>
            <w:tcBorders>
              <w:top w:val="nil"/>
              <w:left w:val="nil"/>
              <w:bottom w:val="single" w:sz="4" w:space="0" w:color="auto"/>
              <w:right w:val="single" w:sz="4" w:space="0" w:color="auto"/>
            </w:tcBorders>
            <w:shd w:val="clear" w:color="auto" w:fill="auto"/>
            <w:noWrap/>
            <w:vAlign w:val="center"/>
            <w:hideMark/>
          </w:tcPr>
          <w:p w14:paraId="3F93B3B8" w14:textId="770D8BC2" w:rsidR="002F70A9" w:rsidRPr="002F70A9" w:rsidRDefault="002F70A9" w:rsidP="002F70A9">
            <w:pPr>
              <w:spacing w:line="276" w:lineRule="auto"/>
              <w:jc w:val="right"/>
              <w:rPr>
                <w:color w:val="000000"/>
              </w:rPr>
            </w:pPr>
            <w:r w:rsidRPr="002F70A9">
              <w:rPr>
                <w:color w:val="000000"/>
              </w:rPr>
              <w:t xml:space="preserve">            761,888,351,628.00 </w:t>
            </w:r>
          </w:p>
        </w:tc>
      </w:tr>
      <w:tr w:rsidR="002F70A9" w:rsidRPr="00FC4F13" w14:paraId="50F32D0A" w14:textId="77777777" w:rsidTr="00516180">
        <w:trPr>
          <w:trHeight w:val="447"/>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14:paraId="78D51695" w14:textId="7E5CFE4B" w:rsidR="002F70A9" w:rsidRPr="00FC4F13" w:rsidRDefault="002F70A9" w:rsidP="002F70A9">
            <w:pPr>
              <w:spacing w:line="276" w:lineRule="auto"/>
              <w:rPr>
                <w:color w:val="000000"/>
              </w:rPr>
            </w:pPr>
            <w:r w:rsidRPr="00FC4F13">
              <w:rPr>
                <w:color w:val="000000"/>
              </w:rPr>
              <w:t>(ii)</w:t>
            </w:r>
            <w:r>
              <w:rPr>
                <w:color w:val="000000"/>
              </w:rPr>
              <w:t xml:space="preserve"> </w:t>
            </w:r>
            <w:proofErr w:type="spellStart"/>
            <w:r w:rsidRPr="00FC4F13">
              <w:rPr>
                <w:color w:val="000000"/>
              </w:rPr>
              <w:t>trong</w:t>
            </w:r>
            <w:proofErr w:type="spellEnd"/>
            <w:r w:rsidRPr="00FC4F13">
              <w:rPr>
                <w:color w:val="000000"/>
              </w:rPr>
              <w:t xml:space="preserve"> </w:t>
            </w:r>
            <w:proofErr w:type="spellStart"/>
            <w:r w:rsidRPr="00FC4F13">
              <w:rPr>
                <w:color w:val="000000"/>
              </w:rPr>
              <w:t>thời</w:t>
            </w:r>
            <w:proofErr w:type="spellEnd"/>
            <w:r w:rsidRPr="00FC4F13">
              <w:rPr>
                <w:color w:val="000000"/>
              </w:rPr>
              <w:t xml:space="preserve"> </w:t>
            </w:r>
            <w:proofErr w:type="spellStart"/>
            <w:r w:rsidRPr="00FC4F13">
              <w:rPr>
                <w:color w:val="000000"/>
              </w:rPr>
              <w:t>hạn</w:t>
            </w:r>
            <w:proofErr w:type="spellEnd"/>
            <w:r w:rsidRPr="00FC4F13">
              <w:rPr>
                <w:color w:val="000000"/>
              </w:rPr>
              <w:t xml:space="preserve"> 36 </w:t>
            </w:r>
            <w:proofErr w:type="spellStart"/>
            <w:r w:rsidRPr="00FC4F13">
              <w:rPr>
                <w:color w:val="000000"/>
              </w:rPr>
              <w:t>tháng</w:t>
            </w:r>
            <w:proofErr w:type="spellEnd"/>
            <w:r w:rsidRPr="00FC4F13">
              <w:rPr>
                <w:color w:val="000000"/>
              </w:rPr>
              <w:t xml:space="preserve"> (3 năm)</w:t>
            </w:r>
          </w:p>
        </w:tc>
        <w:tc>
          <w:tcPr>
            <w:tcW w:w="3346" w:type="dxa"/>
            <w:tcBorders>
              <w:top w:val="nil"/>
              <w:left w:val="nil"/>
              <w:bottom w:val="single" w:sz="4" w:space="0" w:color="auto"/>
              <w:right w:val="single" w:sz="4" w:space="0" w:color="auto"/>
            </w:tcBorders>
            <w:shd w:val="clear" w:color="auto" w:fill="auto"/>
            <w:noWrap/>
            <w:vAlign w:val="center"/>
            <w:hideMark/>
          </w:tcPr>
          <w:p w14:paraId="21D05901" w14:textId="656B1CD2" w:rsidR="002F70A9" w:rsidRPr="002F70A9" w:rsidRDefault="002F70A9" w:rsidP="002F70A9">
            <w:pPr>
              <w:spacing w:line="276" w:lineRule="auto"/>
              <w:jc w:val="right"/>
              <w:rPr>
                <w:color w:val="000000"/>
              </w:rPr>
            </w:pPr>
            <w:r w:rsidRPr="002F70A9">
              <w:rPr>
                <w:color w:val="000000"/>
              </w:rPr>
              <w:t xml:space="preserve">                   973,922,602.16 </w:t>
            </w:r>
          </w:p>
        </w:tc>
      </w:tr>
      <w:tr w:rsidR="002F70A9" w:rsidRPr="00FC4F13" w14:paraId="479298EF" w14:textId="77777777" w:rsidTr="00516180">
        <w:trPr>
          <w:trHeight w:val="394"/>
        </w:trPr>
        <w:tc>
          <w:tcPr>
            <w:tcW w:w="5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3C2E2" w14:textId="77777777" w:rsidR="002F70A9" w:rsidRPr="00FC4F13" w:rsidRDefault="002F70A9" w:rsidP="002F70A9">
            <w:pPr>
              <w:spacing w:line="276" w:lineRule="auto"/>
              <w:rPr>
                <w:color w:val="000000"/>
              </w:rPr>
            </w:pPr>
            <w:r w:rsidRPr="00FC4F13">
              <w:rPr>
                <w:color w:val="000000"/>
              </w:rPr>
              <w:t xml:space="preserve">(iii) </w:t>
            </w:r>
            <w:proofErr w:type="spellStart"/>
            <w:r w:rsidRPr="00FC4F13">
              <w:rPr>
                <w:color w:val="000000"/>
              </w:rPr>
              <w:t>trong</w:t>
            </w:r>
            <w:proofErr w:type="spellEnd"/>
            <w:r w:rsidRPr="00FC4F13">
              <w:rPr>
                <w:color w:val="000000"/>
              </w:rPr>
              <w:t xml:space="preserve"> </w:t>
            </w:r>
            <w:proofErr w:type="spellStart"/>
            <w:r w:rsidRPr="00FC4F13">
              <w:rPr>
                <w:color w:val="000000"/>
              </w:rPr>
              <w:t>thời</w:t>
            </w:r>
            <w:proofErr w:type="spellEnd"/>
            <w:r w:rsidRPr="00FC4F13">
              <w:rPr>
                <w:color w:val="000000"/>
              </w:rPr>
              <w:t xml:space="preserve"> </w:t>
            </w:r>
            <w:proofErr w:type="spellStart"/>
            <w:r w:rsidRPr="00FC4F13">
              <w:rPr>
                <w:color w:val="000000"/>
              </w:rPr>
              <w:t>hạn</w:t>
            </w:r>
            <w:proofErr w:type="spellEnd"/>
            <w:r w:rsidRPr="00FC4F13">
              <w:rPr>
                <w:color w:val="000000"/>
              </w:rPr>
              <w:t xml:space="preserve"> 60 </w:t>
            </w:r>
            <w:proofErr w:type="spellStart"/>
            <w:r w:rsidRPr="00FC4F13">
              <w:rPr>
                <w:color w:val="000000"/>
              </w:rPr>
              <w:t>tháng</w:t>
            </w:r>
            <w:proofErr w:type="spellEnd"/>
            <w:r w:rsidRPr="00FC4F13">
              <w:rPr>
                <w:color w:val="000000"/>
              </w:rPr>
              <w:t xml:space="preserve"> (5 năm)</w:t>
            </w:r>
          </w:p>
        </w:tc>
        <w:tc>
          <w:tcPr>
            <w:tcW w:w="3346" w:type="dxa"/>
            <w:tcBorders>
              <w:top w:val="single" w:sz="4" w:space="0" w:color="auto"/>
              <w:left w:val="nil"/>
              <w:bottom w:val="single" w:sz="4" w:space="0" w:color="auto"/>
              <w:right w:val="single" w:sz="4" w:space="0" w:color="auto"/>
            </w:tcBorders>
            <w:shd w:val="clear" w:color="auto" w:fill="auto"/>
            <w:noWrap/>
            <w:vAlign w:val="center"/>
            <w:hideMark/>
          </w:tcPr>
          <w:p w14:paraId="3D28214F" w14:textId="28391CDC" w:rsidR="002F70A9" w:rsidRPr="002F70A9" w:rsidRDefault="002F70A9" w:rsidP="002F70A9">
            <w:pPr>
              <w:spacing w:line="276" w:lineRule="auto"/>
              <w:jc w:val="right"/>
              <w:rPr>
                <w:color w:val="000000"/>
              </w:rPr>
            </w:pPr>
            <w:r w:rsidRPr="002F70A9">
              <w:rPr>
                <w:color w:val="000000"/>
              </w:rPr>
              <w:t xml:space="preserve">                   945,839,311.08 </w:t>
            </w:r>
          </w:p>
        </w:tc>
      </w:tr>
    </w:tbl>
    <w:p w14:paraId="1435F045" w14:textId="75074E85" w:rsidR="00B04C91" w:rsidRPr="00FC4F13" w:rsidRDefault="00B04C91" w:rsidP="00FC4F13">
      <w:pPr>
        <w:pStyle w:val="ListParagraph"/>
        <w:numPr>
          <w:ilvl w:val="0"/>
          <w:numId w:val="3"/>
        </w:numPr>
        <w:tabs>
          <w:tab w:val="left" w:pos="270"/>
          <w:tab w:val="left" w:pos="1134"/>
        </w:tabs>
        <w:spacing w:before="120" w:after="120" w:line="276" w:lineRule="auto"/>
        <w:ind w:left="0" w:firstLine="0"/>
        <w:jc w:val="both"/>
        <w:rPr>
          <w:b w:val="0"/>
        </w:rPr>
      </w:pPr>
      <w:proofErr w:type="spellStart"/>
      <w:r w:rsidRPr="00FC4F13">
        <w:rPr>
          <w:b w:val="0"/>
        </w:rPr>
        <w:t>Các</w:t>
      </w:r>
      <w:proofErr w:type="spellEnd"/>
      <w:r w:rsidRPr="00FC4F13">
        <w:rPr>
          <w:b w:val="0"/>
        </w:rPr>
        <w:t xml:space="preserve"> </w:t>
      </w:r>
      <w:proofErr w:type="spellStart"/>
      <w:r w:rsidRPr="00FC4F13">
        <w:rPr>
          <w:b w:val="0"/>
        </w:rPr>
        <w:t>chỉ</w:t>
      </w:r>
      <w:proofErr w:type="spellEnd"/>
      <w:r w:rsidRPr="00FC4F13">
        <w:rPr>
          <w:b w:val="0"/>
        </w:rPr>
        <w:t xml:space="preserve"> </w:t>
      </w:r>
      <w:proofErr w:type="spellStart"/>
      <w:r w:rsidRPr="00FC4F13">
        <w:rPr>
          <w:b w:val="0"/>
        </w:rPr>
        <w:t>tiêu</w:t>
      </w:r>
      <w:proofErr w:type="spellEnd"/>
      <w:r w:rsidRPr="00FC4F13">
        <w:rPr>
          <w:b w:val="0"/>
        </w:rPr>
        <w:t xml:space="preserve"> </w:t>
      </w:r>
      <w:proofErr w:type="spellStart"/>
      <w:r w:rsidRPr="00FC4F13">
        <w:rPr>
          <w:b w:val="0"/>
        </w:rPr>
        <w:t>so</w:t>
      </w:r>
      <w:proofErr w:type="spellEnd"/>
      <w:r w:rsidRPr="00FC4F13">
        <w:rPr>
          <w:b w:val="0"/>
        </w:rPr>
        <w:t xml:space="preserve"> </w:t>
      </w:r>
      <w:proofErr w:type="spellStart"/>
      <w:r w:rsidRPr="00FC4F13">
        <w:rPr>
          <w:b w:val="0"/>
        </w:rPr>
        <w:t>sánh</w:t>
      </w:r>
      <w:proofErr w:type="spellEnd"/>
      <w:r w:rsidRPr="00FC4F13">
        <w:rPr>
          <w:b w:val="0"/>
        </w:rPr>
        <w:t xml:space="preserve"> </w:t>
      </w:r>
      <w:proofErr w:type="spellStart"/>
      <w:r w:rsidRPr="00FC4F13">
        <w:rPr>
          <w:b w:val="0"/>
        </w:rPr>
        <w:t>khác</w:t>
      </w:r>
      <w:proofErr w:type="spellEnd"/>
      <w:r w:rsidRPr="00FC4F13">
        <w:rPr>
          <w:b w:val="0"/>
        </w:rPr>
        <w:t xml:space="preserve">, </w:t>
      </w:r>
      <w:proofErr w:type="spellStart"/>
      <w:r w:rsidRPr="00FC4F13">
        <w:rPr>
          <w:b w:val="0"/>
        </w:rPr>
        <w:t>bảo</w:t>
      </w:r>
      <w:proofErr w:type="spellEnd"/>
      <w:r w:rsidRPr="00FC4F13">
        <w:rPr>
          <w:b w:val="0"/>
        </w:rPr>
        <w:t xml:space="preserve"> </w:t>
      </w:r>
      <w:proofErr w:type="spellStart"/>
      <w:r w:rsidRPr="00FC4F13">
        <w:rPr>
          <w:b w:val="0"/>
        </w:rPr>
        <w:t>đảm</w:t>
      </w:r>
      <w:proofErr w:type="spellEnd"/>
      <w:r w:rsidRPr="00FC4F13">
        <w:rPr>
          <w:b w:val="0"/>
        </w:rPr>
        <w:t xml:space="preserve"> </w:t>
      </w:r>
      <w:proofErr w:type="spellStart"/>
      <w:r w:rsidRPr="00FC4F13">
        <w:rPr>
          <w:b w:val="0"/>
        </w:rPr>
        <w:t>tuân</w:t>
      </w:r>
      <w:proofErr w:type="spellEnd"/>
      <w:r w:rsidRPr="00FC4F13">
        <w:rPr>
          <w:b w:val="0"/>
        </w:rPr>
        <w:t xml:space="preserve"> </w:t>
      </w:r>
      <w:proofErr w:type="spellStart"/>
      <w:r w:rsidRPr="00FC4F13">
        <w:rPr>
          <w:b w:val="0"/>
        </w:rPr>
        <w:t>thủ</w:t>
      </w:r>
      <w:proofErr w:type="spellEnd"/>
      <w:r w:rsidRPr="00FC4F13">
        <w:rPr>
          <w:b w:val="0"/>
        </w:rPr>
        <w:t xml:space="preserve"> </w:t>
      </w:r>
      <w:proofErr w:type="spellStart"/>
      <w:r w:rsidRPr="00FC4F13">
        <w:rPr>
          <w:b w:val="0"/>
        </w:rPr>
        <w:t>nguyên</w:t>
      </w:r>
      <w:proofErr w:type="spellEnd"/>
      <w:r w:rsidRPr="00FC4F13">
        <w:rPr>
          <w:b w:val="0"/>
        </w:rPr>
        <w:t xml:space="preserve"> </w:t>
      </w:r>
      <w:proofErr w:type="spellStart"/>
      <w:r w:rsidRPr="00FC4F13">
        <w:rPr>
          <w:b w:val="0"/>
        </w:rPr>
        <w:t>tắc</w:t>
      </w:r>
      <w:proofErr w:type="spellEnd"/>
      <w:r w:rsidR="00097C72" w:rsidRPr="00FC4F13">
        <w:rPr>
          <w:b w:val="0"/>
        </w:rPr>
        <w:t xml:space="preserve"> </w:t>
      </w:r>
      <w:r w:rsidRPr="00FC4F13">
        <w:rPr>
          <w:b w:val="0"/>
        </w:rPr>
        <w:t>:</w:t>
      </w:r>
    </w:p>
    <w:p w14:paraId="744F4A0D" w14:textId="77777777" w:rsidR="00B04C91" w:rsidRPr="00FC4F13" w:rsidRDefault="00B04C91" w:rsidP="00FC4F13">
      <w:pPr>
        <w:pStyle w:val="ListParagraph"/>
        <w:numPr>
          <w:ilvl w:val="0"/>
          <w:numId w:val="4"/>
        </w:numPr>
        <w:tabs>
          <w:tab w:val="left" w:pos="270"/>
          <w:tab w:val="left" w:pos="1134"/>
        </w:tabs>
        <w:spacing w:before="120" w:after="120" w:line="276" w:lineRule="auto"/>
        <w:ind w:left="0" w:firstLine="0"/>
        <w:jc w:val="both"/>
        <w:rPr>
          <w:b w:val="0"/>
        </w:rPr>
      </w:pPr>
      <w:proofErr w:type="spellStart"/>
      <w:r w:rsidRPr="00FC4F13">
        <w:rPr>
          <w:b w:val="0"/>
        </w:rPr>
        <w:t>Phương</w:t>
      </w:r>
      <w:proofErr w:type="spellEnd"/>
      <w:r w:rsidRPr="00FC4F13">
        <w:rPr>
          <w:b w:val="0"/>
        </w:rPr>
        <w:t xml:space="preserve"> </w:t>
      </w:r>
      <w:proofErr w:type="spellStart"/>
      <w:r w:rsidRPr="00FC4F13">
        <w:rPr>
          <w:b w:val="0"/>
        </w:rPr>
        <w:t>thức</w:t>
      </w:r>
      <w:proofErr w:type="spellEnd"/>
      <w:r w:rsidRPr="00FC4F13">
        <w:rPr>
          <w:b w:val="0"/>
        </w:rPr>
        <w:t xml:space="preserve">, </w:t>
      </w:r>
      <w:proofErr w:type="spellStart"/>
      <w:r w:rsidRPr="00FC4F13">
        <w:rPr>
          <w:b w:val="0"/>
        </w:rPr>
        <w:t>nguyên</w:t>
      </w:r>
      <w:proofErr w:type="spellEnd"/>
      <w:r w:rsidRPr="00FC4F13">
        <w:rPr>
          <w:b w:val="0"/>
        </w:rPr>
        <w:t xml:space="preserve"> </w:t>
      </w:r>
      <w:proofErr w:type="spellStart"/>
      <w:r w:rsidRPr="00FC4F13">
        <w:rPr>
          <w:b w:val="0"/>
        </w:rPr>
        <w:t>tắc</w:t>
      </w:r>
      <w:proofErr w:type="spellEnd"/>
      <w:r w:rsidRPr="00FC4F13">
        <w:rPr>
          <w:b w:val="0"/>
        </w:rPr>
        <w:t xml:space="preserve"> </w:t>
      </w:r>
      <w:proofErr w:type="spellStart"/>
      <w:r w:rsidRPr="00FC4F13">
        <w:rPr>
          <w:b w:val="0"/>
        </w:rPr>
        <w:t>xác</w:t>
      </w:r>
      <w:proofErr w:type="spellEnd"/>
      <w:r w:rsidRPr="00FC4F13">
        <w:rPr>
          <w:b w:val="0"/>
        </w:rPr>
        <w:t xml:space="preserve"> </w:t>
      </w:r>
      <w:proofErr w:type="spellStart"/>
      <w:r w:rsidRPr="00FC4F13">
        <w:rPr>
          <w:b w:val="0"/>
        </w:rPr>
        <w:t>định</w:t>
      </w:r>
      <w:proofErr w:type="spellEnd"/>
      <w:r w:rsidRPr="00FC4F13">
        <w:rPr>
          <w:b w:val="0"/>
        </w:rPr>
        <w:t xml:space="preserve"> </w:t>
      </w:r>
      <w:proofErr w:type="spellStart"/>
      <w:r w:rsidRPr="00FC4F13">
        <w:rPr>
          <w:b w:val="0"/>
        </w:rPr>
        <w:t>giá</w:t>
      </w:r>
      <w:proofErr w:type="spellEnd"/>
      <w:r w:rsidRPr="00FC4F13">
        <w:rPr>
          <w:b w:val="0"/>
        </w:rPr>
        <w:t xml:space="preserve"> </w:t>
      </w:r>
      <w:proofErr w:type="spellStart"/>
      <w:r w:rsidRPr="00FC4F13">
        <w:rPr>
          <w:b w:val="0"/>
        </w:rPr>
        <w:t>trị</w:t>
      </w:r>
      <w:proofErr w:type="spellEnd"/>
      <w:r w:rsidRPr="00FC4F13">
        <w:rPr>
          <w:b w:val="0"/>
        </w:rPr>
        <w:t xml:space="preserve"> </w:t>
      </w:r>
      <w:proofErr w:type="spellStart"/>
      <w:r w:rsidRPr="00FC4F13">
        <w:rPr>
          <w:b w:val="0"/>
        </w:rPr>
        <w:t>tài</w:t>
      </w:r>
      <w:proofErr w:type="spellEnd"/>
      <w:r w:rsidRPr="00FC4F13">
        <w:rPr>
          <w:b w:val="0"/>
        </w:rPr>
        <w:t xml:space="preserve"> </w:t>
      </w:r>
      <w:proofErr w:type="spellStart"/>
      <w:r w:rsidRPr="00FC4F13">
        <w:rPr>
          <w:b w:val="0"/>
        </w:rPr>
        <w:t>sản</w:t>
      </w:r>
      <w:proofErr w:type="spellEnd"/>
      <w:r w:rsidRPr="00FC4F13">
        <w:rPr>
          <w:b w:val="0"/>
        </w:rPr>
        <w:t xml:space="preserve">, </w:t>
      </w:r>
      <w:proofErr w:type="spellStart"/>
      <w:r w:rsidRPr="00FC4F13">
        <w:rPr>
          <w:b w:val="0"/>
        </w:rPr>
        <w:t>giá</w:t>
      </w:r>
      <w:proofErr w:type="spellEnd"/>
      <w:r w:rsidRPr="00FC4F13">
        <w:rPr>
          <w:b w:val="0"/>
        </w:rPr>
        <w:t xml:space="preserve"> </w:t>
      </w:r>
      <w:proofErr w:type="spellStart"/>
      <w:r w:rsidRPr="00FC4F13">
        <w:rPr>
          <w:b w:val="0"/>
        </w:rPr>
        <w:t>trị</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là</w:t>
      </w:r>
      <w:proofErr w:type="spellEnd"/>
      <w:r w:rsidRPr="00FC4F13">
        <w:rPr>
          <w:b w:val="0"/>
        </w:rPr>
        <w:t xml:space="preserve"> </w:t>
      </w:r>
      <w:proofErr w:type="spellStart"/>
      <w:r w:rsidRPr="00FC4F13">
        <w:rPr>
          <w:b w:val="0"/>
        </w:rPr>
        <w:t>thống</w:t>
      </w:r>
      <w:proofErr w:type="spellEnd"/>
      <w:r w:rsidRPr="00FC4F13">
        <w:rPr>
          <w:b w:val="0"/>
        </w:rPr>
        <w:t xml:space="preserve"> </w:t>
      </w:r>
      <w:proofErr w:type="spellStart"/>
      <w:r w:rsidRPr="00FC4F13">
        <w:rPr>
          <w:b w:val="0"/>
        </w:rPr>
        <w:t>nhất</w:t>
      </w:r>
      <w:proofErr w:type="spellEnd"/>
      <w:r w:rsidRPr="00FC4F13">
        <w:rPr>
          <w:b w:val="0"/>
        </w:rPr>
        <w:t xml:space="preserve">, </w:t>
      </w:r>
      <w:proofErr w:type="spellStart"/>
      <w:r w:rsidRPr="00FC4F13">
        <w:rPr>
          <w:b w:val="0"/>
        </w:rPr>
        <w:t>đã</w:t>
      </w:r>
      <w:proofErr w:type="spellEnd"/>
      <w:r w:rsidRPr="00FC4F13">
        <w:rPr>
          <w:b w:val="0"/>
        </w:rPr>
        <w:t xml:space="preserve"> </w:t>
      </w:r>
      <w:proofErr w:type="spellStart"/>
      <w:r w:rsidRPr="00FC4F13">
        <w:rPr>
          <w:b w:val="0"/>
        </w:rPr>
        <w:t>được</w:t>
      </w:r>
      <w:proofErr w:type="spellEnd"/>
      <w:r w:rsidRPr="00FC4F13">
        <w:rPr>
          <w:b w:val="0"/>
        </w:rPr>
        <w:t xml:space="preserve"> </w:t>
      </w:r>
      <w:proofErr w:type="spellStart"/>
      <w:r w:rsidRPr="00FC4F13">
        <w:rPr>
          <w:b w:val="0"/>
        </w:rPr>
        <w:t>công</w:t>
      </w:r>
      <w:proofErr w:type="spellEnd"/>
      <w:r w:rsidRPr="00FC4F13">
        <w:rPr>
          <w:b w:val="0"/>
        </w:rPr>
        <w:t xml:space="preserve"> </w:t>
      </w:r>
      <w:proofErr w:type="spellStart"/>
      <w:r w:rsidRPr="00FC4F13">
        <w:rPr>
          <w:b w:val="0"/>
        </w:rPr>
        <w:t>bố</w:t>
      </w:r>
      <w:proofErr w:type="spellEnd"/>
      <w:r w:rsidRPr="00FC4F13">
        <w:rPr>
          <w:b w:val="0"/>
        </w:rPr>
        <w:t xml:space="preserve"> </w:t>
      </w:r>
      <w:proofErr w:type="spellStart"/>
      <w:r w:rsidRPr="00FC4F13">
        <w:rPr>
          <w:b w:val="0"/>
        </w:rPr>
        <w:t>và</w:t>
      </w:r>
      <w:proofErr w:type="spellEnd"/>
      <w:r w:rsidRPr="00FC4F13">
        <w:rPr>
          <w:b w:val="0"/>
        </w:rPr>
        <w:t xml:space="preserve"> </w:t>
      </w:r>
      <w:proofErr w:type="spellStart"/>
      <w:r w:rsidRPr="00FC4F13">
        <w:rPr>
          <w:b w:val="0"/>
        </w:rPr>
        <w:t>được</w:t>
      </w:r>
      <w:proofErr w:type="spellEnd"/>
      <w:r w:rsidRPr="00FC4F13">
        <w:rPr>
          <w:b w:val="0"/>
        </w:rPr>
        <w:t xml:space="preserve"> </w:t>
      </w:r>
      <w:proofErr w:type="spellStart"/>
      <w:r w:rsidRPr="00FC4F13">
        <w:rPr>
          <w:b w:val="0"/>
        </w:rPr>
        <w:t>thẩm</w:t>
      </w:r>
      <w:proofErr w:type="spellEnd"/>
      <w:r w:rsidRPr="00FC4F13">
        <w:rPr>
          <w:b w:val="0"/>
        </w:rPr>
        <w:t xml:space="preserve"> </w:t>
      </w:r>
      <w:proofErr w:type="spellStart"/>
      <w:r w:rsidRPr="00FC4F13">
        <w:rPr>
          <w:b w:val="0"/>
        </w:rPr>
        <w:t>đị</w:t>
      </w:r>
      <w:r w:rsidR="00687660" w:rsidRPr="00FC4F13">
        <w:rPr>
          <w:b w:val="0"/>
        </w:rPr>
        <w:t>nh</w:t>
      </w:r>
      <w:proofErr w:type="spellEnd"/>
      <w:r w:rsidR="00687660" w:rsidRPr="00FC4F13">
        <w:rPr>
          <w:b w:val="0"/>
        </w:rPr>
        <w:t xml:space="preserve"> </w:t>
      </w:r>
      <w:proofErr w:type="spellStart"/>
      <w:r w:rsidR="00687660" w:rsidRPr="00FC4F13">
        <w:rPr>
          <w:b w:val="0"/>
        </w:rPr>
        <w:t>bởi</w:t>
      </w:r>
      <w:proofErr w:type="spellEnd"/>
      <w:r w:rsidR="00687660" w:rsidRPr="00FC4F13">
        <w:rPr>
          <w:b w:val="0"/>
        </w:rPr>
        <w:t xml:space="preserve"> </w:t>
      </w:r>
      <w:proofErr w:type="spellStart"/>
      <w:r w:rsidR="00687660" w:rsidRPr="00FC4F13">
        <w:rPr>
          <w:b w:val="0"/>
        </w:rPr>
        <w:t>một</w:t>
      </w:r>
      <w:proofErr w:type="spellEnd"/>
      <w:r w:rsidR="00687660" w:rsidRPr="00FC4F13">
        <w:rPr>
          <w:b w:val="0"/>
        </w:rPr>
        <w:t xml:space="preserve"> </w:t>
      </w:r>
      <w:proofErr w:type="spellStart"/>
      <w:r w:rsidR="00687660" w:rsidRPr="00FC4F13">
        <w:rPr>
          <w:b w:val="0"/>
        </w:rPr>
        <w:t>tổ</w:t>
      </w:r>
      <w:proofErr w:type="spellEnd"/>
      <w:r w:rsidR="00687660" w:rsidRPr="00FC4F13">
        <w:rPr>
          <w:b w:val="0"/>
        </w:rPr>
        <w:t xml:space="preserve"> </w:t>
      </w:r>
      <w:proofErr w:type="spellStart"/>
      <w:r w:rsidR="00687660" w:rsidRPr="00FC4F13">
        <w:rPr>
          <w:b w:val="0"/>
        </w:rPr>
        <w:t>chức</w:t>
      </w:r>
      <w:proofErr w:type="spellEnd"/>
      <w:r w:rsidR="00687660" w:rsidRPr="00FC4F13">
        <w:rPr>
          <w:b w:val="0"/>
        </w:rPr>
        <w:t xml:space="preserve"> </w:t>
      </w:r>
      <w:proofErr w:type="spellStart"/>
      <w:r w:rsidR="00687660" w:rsidRPr="00FC4F13">
        <w:rPr>
          <w:b w:val="0"/>
        </w:rPr>
        <w:t>độc</w:t>
      </w:r>
      <w:proofErr w:type="spellEnd"/>
      <w:r w:rsidR="00687660" w:rsidRPr="00FC4F13">
        <w:rPr>
          <w:b w:val="0"/>
        </w:rPr>
        <w:t xml:space="preserve"> </w:t>
      </w:r>
      <w:proofErr w:type="spellStart"/>
      <w:r w:rsidR="00687660" w:rsidRPr="00FC4F13">
        <w:rPr>
          <w:b w:val="0"/>
        </w:rPr>
        <w:t>lập</w:t>
      </w:r>
      <w:proofErr w:type="spellEnd"/>
      <w:r w:rsidR="00687660" w:rsidRPr="00FC4F13">
        <w:rPr>
          <w:b w:val="0"/>
        </w:rPr>
        <w:t xml:space="preserve"> </w:t>
      </w:r>
      <w:proofErr w:type="spellStart"/>
      <w:r w:rsidR="00687660" w:rsidRPr="00FC4F13">
        <w:rPr>
          <w:b w:val="0"/>
        </w:rPr>
        <w:t>khác</w:t>
      </w:r>
      <w:proofErr w:type="spellEnd"/>
      <w:r w:rsidR="00687660" w:rsidRPr="00FC4F13">
        <w:rPr>
          <w:b w:val="0"/>
        </w:rPr>
        <w:t xml:space="preserve"> : </w:t>
      </w:r>
      <w:proofErr w:type="spellStart"/>
      <w:r w:rsidR="00687660" w:rsidRPr="00FC4F13">
        <w:rPr>
          <w:b w:val="0"/>
        </w:rPr>
        <w:t>nguyên</w:t>
      </w:r>
      <w:proofErr w:type="spellEnd"/>
      <w:r w:rsidR="00687660" w:rsidRPr="00FC4F13">
        <w:rPr>
          <w:b w:val="0"/>
        </w:rPr>
        <w:t xml:space="preserve"> </w:t>
      </w:r>
      <w:proofErr w:type="spellStart"/>
      <w:r w:rsidR="00687660" w:rsidRPr="00FC4F13">
        <w:rPr>
          <w:b w:val="0"/>
        </w:rPr>
        <w:t>tắc</w:t>
      </w:r>
      <w:proofErr w:type="spellEnd"/>
      <w:r w:rsidR="00687660" w:rsidRPr="00FC4F13">
        <w:rPr>
          <w:b w:val="0"/>
        </w:rPr>
        <w:t xml:space="preserve"> </w:t>
      </w:r>
      <w:proofErr w:type="spellStart"/>
      <w:r w:rsidR="00687660" w:rsidRPr="00FC4F13">
        <w:rPr>
          <w:b w:val="0"/>
        </w:rPr>
        <w:t>xác</w:t>
      </w:r>
      <w:proofErr w:type="spellEnd"/>
      <w:r w:rsidR="00687660" w:rsidRPr="00FC4F13">
        <w:rPr>
          <w:b w:val="0"/>
        </w:rPr>
        <w:t xml:space="preserve"> </w:t>
      </w:r>
      <w:proofErr w:type="spellStart"/>
      <w:r w:rsidR="00687660" w:rsidRPr="00FC4F13">
        <w:rPr>
          <w:b w:val="0"/>
        </w:rPr>
        <w:t>định</w:t>
      </w:r>
      <w:proofErr w:type="spellEnd"/>
      <w:r w:rsidR="00687660" w:rsidRPr="00FC4F13">
        <w:rPr>
          <w:b w:val="0"/>
        </w:rPr>
        <w:t xml:space="preserve"> </w:t>
      </w:r>
      <w:proofErr w:type="spellStart"/>
      <w:r w:rsidR="00687660" w:rsidRPr="00FC4F13">
        <w:rPr>
          <w:b w:val="0"/>
        </w:rPr>
        <w:t>giá</w:t>
      </w:r>
      <w:proofErr w:type="spellEnd"/>
      <w:r w:rsidR="00687660" w:rsidRPr="00FC4F13">
        <w:rPr>
          <w:b w:val="0"/>
        </w:rPr>
        <w:t xml:space="preserve"> </w:t>
      </w:r>
      <w:proofErr w:type="spellStart"/>
      <w:r w:rsidR="00687660" w:rsidRPr="00FC4F13">
        <w:rPr>
          <w:b w:val="0"/>
        </w:rPr>
        <w:t>trị</w:t>
      </w:r>
      <w:proofErr w:type="spellEnd"/>
      <w:r w:rsidR="00687660" w:rsidRPr="00FC4F13">
        <w:rPr>
          <w:b w:val="0"/>
        </w:rPr>
        <w:t xml:space="preserve"> </w:t>
      </w:r>
      <w:proofErr w:type="spellStart"/>
      <w:r w:rsidR="00687660" w:rsidRPr="00FC4F13">
        <w:rPr>
          <w:b w:val="0"/>
        </w:rPr>
        <w:t>tài</w:t>
      </w:r>
      <w:proofErr w:type="spellEnd"/>
      <w:r w:rsidR="00687660" w:rsidRPr="00FC4F13">
        <w:rPr>
          <w:b w:val="0"/>
        </w:rPr>
        <w:t xml:space="preserve"> </w:t>
      </w:r>
      <w:proofErr w:type="spellStart"/>
      <w:r w:rsidR="00687660" w:rsidRPr="00FC4F13">
        <w:rPr>
          <w:b w:val="0"/>
        </w:rPr>
        <w:t>sản</w:t>
      </w:r>
      <w:proofErr w:type="spellEnd"/>
      <w:r w:rsidR="00687660" w:rsidRPr="00FC4F13">
        <w:rPr>
          <w:b w:val="0"/>
        </w:rPr>
        <w:t xml:space="preserve"> </w:t>
      </w:r>
      <w:proofErr w:type="spellStart"/>
      <w:r w:rsidR="00687660" w:rsidRPr="00FC4F13">
        <w:rPr>
          <w:b w:val="0"/>
        </w:rPr>
        <w:t>của</w:t>
      </w:r>
      <w:proofErr w:type="spellEnd"/>
      <w:r w:rsidR="00687660" w:rsidRPr="00FC4F13">
        <w:rPr>
          <w:b w:val="0"/>
        </w:rPr>
        <w:t xml:space="preserve"> </w:t>
      </w:r>
      <w:proofErr w:type="spellStart"/>
      <w:r w:rsidR="00687660" w:rsidRPr="00FC4F13">
        <w:rPr>
          <w:b w:val="0"/>
        </w:rPr>
        <w:t>Quỹ</w:t>
      </w:r>
      <w:proofErr w:type="spellEnd"/>
      <w:r w:rsidR="00687660" w:rsidRPr="00FC4F13">
        <w:rPr>
          <w:b w:val="0"/>
        </w:rPr>
        <w:t xml:space="preserve"> </w:t>
      </w:r>
      <w:proofErr w:type="spellStart"/>
      <w:r w:rsidR="00687660" w:rsidRPr="00FC4F13">
        <w:rPr>
          <w:b w:val="0"/>
        </w:rPr>
        <w:t>được</w:t>
      </w:r>
      <w:proofErr w:type="spellEnd"/>
      <w:r w:rsidR="00687660" w:rsidRPr="00FC4F13">
        <w:rPr>
          <w:b w:val="0"/>
        </w:rPr>
        <w:t xml:space="preserve"> </w:t>
      </w:r>
      <w:proofErr w:type="spellStart"/>
      <w:r w:rsidR="00687660" w:rsidRPr="00FC4F13">
        <w:rPr>
          <w:b w:val="0"/>
        </w:rPr>
        <w:t>quy</w:t>
      </w:r>
      <w:proofErr w:type="spellEnd"/>
      <w:r w:rsidR="00687660" w:rsidRPr="00FC4F13">
        <w:rPr>
          <w:b w:val="0"/>
        </w:rPr>
        <w:t xml:space="preserve"> </w:t>
      </w:r>
      <w:proofErr w:type="spellStart"/>
      <w:r w:rsidR="00687660" w:rsidRPr="00FC4F13">
        <w:rPr>
          <w:b w:val="0"/>
        </w:rPr>
        <w:t>định</w:t>
      </w:r>
      <w:proofErr w:type="spellEnd"/>
      <w:r w:rsidR="00687660" w:rsidRPr="00FC4F13">
        <w:rPr>
          <w:b w:val="0"/>
        </w:rPr>
        <w:t xml:space="preserve"> chi </w:t>
      </w:r>
      <w:proofErr w:type="spellStart"/>
      <w:r w:rsidR="00687660" w:rsidRPr="00FC4F13">
        <w:rPr>
          <w:b w:val="0"/>
        </w:rPr>
        <w:t>tiết</w:t>
      </w:r>
      <w:proofErr w:type="spellEnd"/>
      <w:r w:rsidR="00687660" w:rsidRPr="00FC4F13">
        <w:rPr>
          <w:b w:val="0"/>
        </w:rPr>
        <w:t xml:space="preserve"> </w:t>
      </w:r>
      <w:proofErr w:type="spellStart"/>
      <w:r w:rsidR="00687660" w:rsidRPr="00FC4F13">
        <w:rPr>
          <w:b w:val="0"/>
        </w:rPr>
        <w:t>trong</w:t>
      </w:r>
      <w:proofErr w:type="spellEnd"/>
      <w:r w:rsidR="00687660" w:rsidRPr="00FC4F13">
        <w:rPr>
          <w:b w:val="0"/>
        </w:rPr>
        <w:t xml:space="preserve"> </w:t>
      </w:r>
      <w:proofErr w:type="spellStart"/>
      <w:r w:rsidR="00DC5995" w:rsidRPr="00FC4F13">
        <w:rPr>
          <w:b w:val="0"/>
        </w:rPr>
        <w:t>Điều</w:t>
      </w:r>
      <w:proofErr w:type="spellEnd"/>
      <w:r w:rsidR="00DC5995" w:rsidRPr="00FC4F13">
        <w:rPr>
          <w:b w:val="0"/>
        </w:rPr>
        <w:t xml:space="preserve"> </w:t>
      </w:r>
      <w:proofErr w:type="spellStart"/>
      <w:r w:rsidR="00DC5995" w:rsidRPr="00FC4F13">
        <w:rPr>
          <w:b w:val="0"/>
        </w:rPr>
        <w:t>lệ</w:t>
      </w:r>
      <w:proofErr w:type="spellEnd"/>
      <w:r w:rsidR="00DC5995" w:rsidRPr="00FC4F13">
        <w:rPr>
          <w:b w:val="0"/>
        </w:rPr>
        <w:t xml:space="preserve"> </w:t>
      </w:r>
      <w:proofErr w:type="spellStart"/>
      <w:r w:rsidR="00DC5995" w:rsidRPr="00FC4F13">
        <w:rPr>
          <w:b w:val="0"/>
        </w:rPr>
        <w:t>Quỹ</w:t>
      </w:r>
      <w:proofErr w:type="spellEnd"/>
      <w:r w:rsidR="00DC5995" w:rsidRPr="00FC4F13">
        <w:rPr>
          <w:b w:val="0"/>
        </w:rPr>
        <w:t xml:space="preserve"> </w:t>
      </w:r>
      <w:proofErr w:type="spellStart"/>
      <w:r w:rsidR="00DC5995" w:rsidRPr="00FC4F13">
        <w:rPr>
          <w:b w:val="0"/>
        </w:rPr>
        <w:t>và</w:t>
      </w:r>
      <w:proofErr w:type="spellEnd"/>
      <w:r w:rsidR="00DC5995" w:rsidRPr="00FC4F13">
        <w:rPr>
          <w:b w:val="0"/>
        </w:rPr>
        <w:t xml:space="preserve"> </w:t>
      </w:r>
      <w:proofErr w:type="spellStart"/>
      <w:r w:rsidR="00687660" w:rsidRPr="00FC4F13">
        <w:rPr>
          <w:b w:val="0"/>
        </w:rPr>
        <w:t>sổ</w:t>
      </w:r>
      <w:proofErr w:type="spellEnd"/>
      <w:r w:rsidR="00687660" w:rsidRPr="00FC4F13">
        <w:rPr>
          <w:b w:val="0"/>
        </w:rPr>
        <w:t xml:space="preserve"> </w:t>
      </w:r>
      <w:proofErr w:type="spellStart"/>
      <w:r w:rsidR="00687660" w:rsidRPr="00FC4F13">
        <w:rPr>
          <w:b w:val="0"/>
        </w:rPr>
        <w:t>tay</w:t>
      </w:r>
      <w:proofErr w:type="spellEnd"/>
      <w:r w:rsidR="00687660" w:rsidRPr="00FC4F13">
        <w:rPr>
          <w:b w:val="0"/>
        </w:rPr>
        <w:t xml:space="preserve"> </w:t>
      </w:r>
      <w:proofErr w:type="spellStart"/>
      <w:r w:rsidR="00687660" w:rsidRPr="00FC4F13">
        <w:rPr>
          <w:b w:val="0"/>
        </w:rPr>
        <w:t>định</w:t>
      </w:r>
      <w:proofErr w:type="spellEnd"/>
      <w:r w:rsidR="00687660" w:rsidRPr="00FC4F13">
        <w:rPr>
          <w:b w:val="0"/>
        </w:rPr>
        <w:t xml:space="preserve"> </w:t>
      </w:r>
      <w:proofErr w:type="spellStart"/>
      <w:r w:rsidR="00687660" w:rsidRPr="00FC4F13">
        <w:rPr>
          <w:b w:val="0"/>
        </w:rPr>
        <w:t>giá</w:t>
      </w:r>
      <w:proofErr w:type="spellEnd"/>
      <w:r w:rsidR="00DC5995" w:rsidRPr="00FC4F13">
        <w:rPr>
          <w:b w:val="0"/>
        </w:rPr>
        <w:t xml:space="preserve"> </w:t>
      </w:r>
      <w:proofErr w:type="spellStart"/>
      <w:r w:rsidR="00EE7FAC" w:rsidRPr="00FC4F13">
        <w:rPr>
          <w:b w:val="0"/>
        </w:rPr>
        <w:t>của</w:t>
      </w:r>
      <w:proofErr w:type="spellEnd"/>
      <w:r w:rsidR="00EE7FAC" w:rsidRPr="00FC4F13">
        <w:rPr>
          <w:b w:val="0"/>
        </w:rPr>
        <w:t xml:space="preserve"> </w:t>
      </w:r>
      <w:proofErr w:type="spellStart"/>
      <w:r w:rsidR="00EE7FAC" w:rsidRPr="00FC4F13">
        <w:rPr>
          <w:b w:val="0"/>
        </w:rPr>
        <w:t>Quỹ</w:t>
      </w:r>
      <w:proofErr w:type="spellEnd"/>
      <w:r w:rsidR="00EE7FAC" w:rsidRPr="00FC4F13">
        <w:rPr>
          <w:b w:val="0"/>
        </w:rPr>
        <w:t>.</w:t>
      </w:r>
    </w:p>
    <w:p w14:paraId="20D8BD66" w14:textId="4897E56F" w:rsidR="00B04C91" w:rsidRPr="00FC4F13" w:rsidRDefault="00B04C91" w:rsidP="00FC4F13">
      <w:pPr>
        <w:pStyle w:val="ListParagraph"/>
        <w:numPr>
          <w:ilvl w:val="0"/>
          <w:numId w:val="4"/>
        </w:numPr>
        <w:tabs>
          <w:tab w:val="left" w:pos="270"/>
          <w:tab w:val="left" w:pos="1134"/>
        </w:tabs>
        <w:spacing w:before="120" w:after="120" w:line="276" w:lineRule="auto"/>
        <w:ind w:left="0" w:firstLine="0"/>
        <w:jc w:val="both"/>
        <w:rPr>
          <w:b w:val="0"/>
        </w:rPr>
      </w:pPr>
      <w:proofErr w:type="spellStart"/>
      <w:r w:rsidRPr="00FC4F13">
        <w:rPr>
          <w:b w:val="0"/>
        </w:rPr>
        <w:t>Dữ</w:t>
      </w:r>
      <w:proofErr w:type="spellEnd"/>
      <w:r w:rsidRPr="00FC4F13">
        <w:rPr>
          <w:b w:val="0"/>
        </w:rPr>
        <w:t xml:space="preserve"> </w:t>
      </w:r>
      <w:proofErr w:type="spellStart"/>
      <w:r w:rsidRPr="00FC4F13">
        <w:rPr>
          <w:b w:val="0"/>
        </w:rPr>
        <w:t>liệu</w:t>
      </w:r>
      <w:proofErr w:type="spellEnd"/>
      <w:r w:rsidRPr="00FC4F13">
        <w:rPr>
          <w:b w:val="0"/>
        </w:rPr>
        <w:t xml:space="preserve"> </w:t>
      </w:r>
      <w:proofErr w:type="spellStart"/>
      <w:r w:rsidRPr="00FC4F13">
        <w:rPr>
          <w:b w:val="0"/>
        </w:rPr>
        <w:t>được</w:t>
      </w:r>
      <w:proofErr w:type="spellEnd"/>
      <w:r w:rsidRPr="00FC4F13">
        <w:rPr>
          <w:b w:val="0"/>
        </w:rPr>
        <w:t xml:space="preserve"> </w:t>
      </w:r>
      <w:proofErr w:type="spellStart"/>
      <w:r w:rsidRPr="00FC4F13">
        <w:rPr>
          <w:b w:val="0"/>
        </w:rPr>
        <w:t>c</w:t>
      </w:r>
      <w:r w:rsidR="0099397F" w:rsidRPr="00FC4F13">
        <w:rPr>
          <w:b w:val="0"/>
        </w:rPr>
        <w:t>ung</w:t>
      </w:r>
      <w:proofErr w:type="spellEnd"/>
      <w:r w:rsidR="0099397F" w:rsidRPr="00FC4F13">
        <w:rPr>
          <w:b w:val="0"/>
        </w:rPr>
        <w:t xml:space="preserve"> </w:t>
      </w:r>
      <w:proofErr w:type="spellStart"/>
      <w:r w:rsidR="0099397F" w:rsidRPr="00FC4F13">
        <w:rPr>
          <w:b w:val="0"/>
        </w:rPr>
        <w:t>cấp</w:t>
      </w:r>
      <w:proofErr w:type="spellEnd"/>
      <w:r w:rsidR="0099397F" w:rsidRPr="00FC4F13">
        <w:rPr>
          <w:b w:val="0"/>
        </w:rPr>
        <w:t xml:space="preserve"> </w:t>
      </w:r>
      <w:proofErr w:type="spellStart"/>
      <w:r w:rsidR="0099397F" w:rsidRPr="00FC4F13">
        <w:rPr>
          <w:b w:val="0"/>
        </w:rPr>
        <w:t>bởi</w:t>
      </w:r>
      <w:proofErr w:type="spellEnd"/>
      <w:r w:rsidR="0099397F" w:rsidRPr="00FC4F13">
        <w:rPr>
          <w:b w:val="0"/>
        </w:rPr>
        <w:t xml:space="preserve"> </w:t>
      </w:r>
      <w:proofErr w:type="spellStart"/>
      <w:r w:rsidR="0099397F" w:rsidRPr="00FC4F13">
        <w:rPr>
          <w:b w:val="0"/>
        </w:rPr>
        <w:t>một</w:t>
      </w:r>
      <w:proofErr w:type="spellEnd"/>
      <w:r w:rsidR="0099397F" w:rsidRPr="00FC4F13">
        <w:rPr>
          <w:b w:val="0"/>
        </w:rPr>
        <w:t xml:space="preserve"> </w:t>
      </w:r>
      <w:proofErr w:type="spellStart"/>
      <w:r w:rsidR="0099397F" w:rsidRPr="00FC4F13">
        <w:rPr>
          <w:b w:val="0"/>
        </w:rPr>
        <w:t>tổ</w:t>
      </w:r>
      <w:proofErr w:type="spellEnd"/>
      <w:r w:rsidR="0099397F" w:rsidRPr="00FC4F13">
        <w:rPr>
          <w:b w:val="0"/>
        </w:rPr>
        <w:t xml:space="preserve"> </w:t>
      </w:r>
      <w:proofErr w:type="spellStart"/>
      <w:r w:rsidR="0099397F" w:rsidRPr="00FC4F13">
        <w:rPr>
          <w:b w:val="0"/>
        </w:rPr>
        <w:t>chức</w:t>
      </w:r>
      <w:proofErr w:type="spellEnd"/>
      <w:r w:rsidR="0099397F" w:rsidRPr="00FC4F13">
        <w:rPr>
          <w:b w:val="0"/>
        </w:rPr>
        <w:t xml:space="preserve"> </w:t>
      </w:r>
      <w:proofErr w:type="spellStart"/>
      <w:r w:rsidR="0099397F" w:rsidRPr="00FC4F13">
        <w:rPr>
          <w:b w:val="0"/>
        </w:rPr>
        <w:t>độc</w:t>
      </w:r>
      <w:proofErr w:type="spellEnd"/>
      <w:r w:rsidR="0099397F" w:rsidRPr="00FC4F13">
        <w:rPr>
          <w:b w:val="0"/>
        </w:rPr>
        <w:t xml:space="preserve"> </w:t>
      </w:r>
      <w:proofErr w:type="spellStart"/>
      <w:r w:rsidR="0099397F" w:rsidRPr="00FC4F13">
        <w:rPr>
          <w:b w:val="0"/>
        </w:rPr>
        <w:t>lập</w:t>
      </w:r>
      <w:proofErr w:type="spellEnd"/>
      <w:r w:rsidR="0099397F" w:rsidRPr="00FC4F13">
        <w:rPr>
          <w:b w:val="0"/>
        </w:rPr>
        <w:t xml:space="preserve"> : </w:t>
      </w:r>
      <w:proofErr w:type="spellStart"/>
      <w:r w:rsidR="0099397F" w:rsidRPr="00FC4F13">
        <w:rPr>
          <w:b w:val="0"/>
        </w:rPr>
        <w:t>Bảng</w:t>
      </w:r>
      <w:proofErr w:type="spellEnd"/>
      <w:r w:rsidR="0099397F" w:rsidRPr="00FC4F13">
        <w:rPr>
          <w:b w:val="0"/>
        </w:rPr>
        <w:t xml:space="preserve"> </w:t>
      </w:r>
      <w:proofErr w:type="spellStart"/>
      <w:r w:rsidR="0099397F" w:rsidRPr="00FC4F13">
        <w:rPr>
          <w:b w:val="0"/>
        </w:rPr>
        <w:t>báo</w:t>
      </w:r>
      <w:proofErr w:type="spellEnd"/>
      <w:r w:rsidR="0099397F" w:rsidRPr="00FC4F13">
        <w:rPr>
          <w:b w:val="0"/>
        </w:rPr>
        <w:t xml:space="preserve"> </w:t>
      </w:r>
      <w:proofErr w:type="spellStart"/>
      <w:r w:rsidR="0099397F" w:rsidRPr="00FC4F13">
        <w:rPr>
          <w:b w:val="0"/>
        </w:rPr>
        <w:t>giá</w:t>
      </w:r>
      <w:proofErr w:type="spellEnd"/>
      <w:r w:rsidR="0099397F" w:rsidRPr="00FC4F13">
        <w:rPr>
          <w:b w:val="0"/>
        </w:rPr>
        <w:t xml:space="preserve"> </w:t>
      </w:r>
      <w:proofErr w:type="spellStart"/>
      <w:r w:rsidR="0099397F" w:rsidRPr="00FC4F13">
        <w:rPr>
          <w:b w:val="0"/>
        </w:rPr>
        <w:t>chứng</w:t>
      </w:r>
      <w:proofErr w:type="spellEnd"/>
      <w:r w:rsidR="0099397F" w:rsidRPr="00FC4F13">
        <w:rPr>
          <w:b w:val="0"/>
        </w:rPr>
        <w:t xml:space="preserve"> </w:t>
      </w:r>
      <w:proofErr w:type="spellStart"/>
      <w:r w:rsidR="0099397F" w:rsidRPr="00FC4F13">
        <w:rPr>
          <w:b w:val="0"/>
        </w:rPr>
        <w:t>khoán</w:t>
      </w:r>
      <w:proofErr w:type="spellEnd"/>
      <w:r w:rsidR="0099397F" w:rsidRPr="00FC4F13">
        <w:rPr>
          <w:b w:val="0"/>
        </w:rPr>
        <w:t xml:space="preserve"> </w:t>
      </w:r>
      <w:proofErr w:type="spellStart"/>
      <w:r w:rsidR="0099397F" w:rsidRPr="00FC4F13">
        <w:rPr>
          <w:b w:val="0"/>
        </w:rPr>
        <w:t>được</w:t>
      </w:r>
      <w:proofErr w:type="spellEnd"/>
      <w:r w:rsidR="0099397F" w:rsidRPr="00FC4F13">
        <w:rPr>
          <w:b w:val="0"/>
        </w:rPr>
        <w:t xml:space="preserve"> </w:t>
      </w:r>
      <w:proofErr w:type="spellStart"/>
      <w:r w:rsidR="0099397F" w:rsidRPr="00FC4F13">
        <w:rPr>
          <w:b w:val="0"/>
        </w:rPr>
        <w:t>cung</w:t>
      </w:r>
      <w:proofErr w:type="spellEnd"/>
      <w:r w:rsidR="0099397F" w:rsidRPr="00FC4F13">
        <w:rPr>
          <w:b w:val="0"/>
        </w:rPr>
        <w:t xml:space="preserve"> </w:t>
      </w:r>
      <w:proofErr w:type="spellStart"/>
      <w:r w:rsidR="0099397F" w:rsidRPr="00FC4F13">
        <w:rPr>
          <w:b w:val="0"/>
        </w:rPr>
        <w:t>cấp</w:t>
      </w:r>
      <w:proofErr w:type="spellEnd"/>
      <w:r w:rsidR="0099397F" w:rsidRPr="00FC4F13">
        <w:rPr>
          <w:b w:val="0"/>
        </w:rPr>
        <w:t xml:space="preserve"> </w:t>
      </w:r>
      <w:proofErr w:type="spellStart"/>
      <w:r w:rsidR="0099397F" w:rsidRPr="00FC4F13">
        <w:rPr>
          <w:b w:val="0"/>
        </w:rPr>
        <w:t>bởi</w:t>
      </w:r>
      <w:proofErr w:type="spellEnd"/>
      <w:r w:rsidR="0099397F" w:rsidRPr="00FC4F13">
        <w:rPr>
          <w:b w:val="0"/>
        </w:rPr>
        <w:t xml:space="preserve"> 3 </w:t>
      </w:r>
      <w:proofErr w:type="spellStart"/>
      <w:r w:rsidR="0099397F" w:rsidRPr="00FC4F13">
        <w:rPr>
          <w:b w:val="0"/>
        </w:rPr>
        <w:t>C</w:t>
      </w:r>
      <w:r w:rsidR="00E50FD2">
        <w:rPr>
          <w:b w:val="0"/>
        </w:rPr>
        <w:t>ông</w:t>
      </w:r>
      <w:proofErr w:type="spellEnd"/>
      <w:r w:rsidR="00E50FD2">
        <w:rPr>
          <w:b w:val="0"/>
        </w:rPr>
        <w:t xml:space="preserve"> </w:t>
      </w:r>
      <w:proofErr w:type="spellStart"/>
      <w:r w:rsidR="0099397F" w:rsidRPr="00FC4F13">
        <w:rPr>
          <w:b w:val="0"/>
        </w:rPr>
        <w:t>ty</w:t>
      </w:r>
      <w:proofErr w:type="spellEnd"/>
      <w:r w:rsidR="0099397F" w:rsidRPr="00FC4F13">
        <w:rPr>
          <w:b w:val="0"/>
        </w:rPr>
        <w:t xml:space="preserve"> </w:t>
      </w:r>
      <w:proofErr w:type="spellStart"/>
      <w:r w:rsidR="0099397F" w:rsidRPr="00FC4F13">
        <w:rPr>
          <w:b w:val="0"/>
        </w:rPr>
        <w:t>Chứng</w:t>
      </w:r>
      <w:proofErr w:type="spellEnd"/>
      <w:r w:rsidR="0099397F" w:rsidRPr="00FC4F13">
        <w:rPr>
          <w:b w:val="0"/>
        </w:rPr>
        <w:t xml:space="preserve"> </w:t>
      </w:r>
      <w:proofErr w:type="spellStart"/>
      <w:r w:rsidR="0099397F" w:rsidRPr="00FC4F13">
        <w:rPr>
          <w:b w:val="0"/>
        </w:rPr>
        <w:t>khoán</w:t>
      </w:r>
      <w:proofErr w:type="spellEnd"/>
      <w:r w:rsidR="0099397F" w:rsidRPr="00FC4F13">
        <w:rPr>
          <w:b w:val="0"/>
        </w:rPr>
        <w:t xml:space="preserve"> </w:t>
      </w:r>
      <w:proofErr w:type="spellStart"/>
      <w:r w:rsidR="0099397F" w:rsidRPr="00FC4F13">
        <w:rPr>
          <w:b w:val="0"/>
        </w:rPr>
        <w:t>độc</w:t>
      </w:r>
      <w:proofErr w:type="spellEnd"/>
      <w:r w:rsidR="0099397F" w:rsidRPr="00FC4F13">
        <w:rPr>
          <w:b w:val="0"/>
        </w:rPr>
        <w:t xml:space="preserve"> </w:t>
      </w:r>
      <w:proofErr w:type="spellStart"/>
      <w:r w:rsidR="0099397F" w:rsidRPr="00FC4F13">
        <w:rPr>
          <w:b w:val="0"/>
        </w:rPr>
        <w:t>lập</w:t>
      </w:r>
      <w:proofErr w:type="spellEnd"/>
      <w:r w:rsidR="0099397F" w:rsidRPr="00FC4F13">
        <w:rPr>
          <w:b w:val="0"/>
        </w:rPr>
        <w:t xml:space="preserve"> </w:t>
      </w:r>
      <w:proofErr w:type="spellStart"/>
      <w:r w:rsidR="0099397F" w:rsidRPr="00FC4F13">
        <w:rPr>
          <w:b w:val="0"/>
        </w:rPr>
        <w:t>của</w:t>
      </w:r>
      <w:proofErr w:type="spellEnd"/>
      <w:r w:rsidR="0099397F" w:rsidRPr="00FC4F13">
        <w:rPr>
          <w:b w:val="0"/>
        </w:rPr>
        <w:t xml:space="preserve"> </w:t>
      </w:r>
      <w:proofErr w:type="spellStart"/>
      <w:r w:rsidR="0099397F" w:rsidRPr="00FC4F13">
        <w:rPr>
          <w:b w:val="0"/>
        </w:rPr>
        <w:t>Quỹ</w:t>
      </w:r>
      <w:proofErr w:type="spellEnd"/>
      <w:r w:rsidR="0099397F" w:rsidRPr="00FC4F13">
        <w:rPr>
          <w:b w:val="0"/>
        </w:rPr>
        <w:t xml:space="preserve"> </w:t>
      </w:r>
      <w:proofErr w:type="spellStart"/>
      <w:r w:rsidR="0099397F" w:rsidRPr="00FC4F13">
        <w:rPr>
          <w:b w:val="0"/>
        </w:rPr>
        <w:t>và</w:t>
      </w:r>
      <w:proofErr w:type="spellEnd"/>
      <w:r w:rsidR="0099397F" w:rsidRPr="00FC4F13">
        <w:rPr>
          <w:b w:val="0"/>
        </w:rPr>
        <w:t xml:space="preserve"> </w:t>
      </w:r>
      <w:proofErr w:type="spellStart"/>
      <w:r w:rsidR="0099397F" w:rsidRPr="00FC4F13">
        <w:rPr>
          <w:b w:val="0"/>
        </w:rPr>
        <w:t>được</w:t>
      </w:r>
      <w:proofErr w:type="spellEnd"/>
      <w:r w:rsidR="0099397F" w:rsidRPr="00FC4F13">
        <w:rPr>
          <w:b w:val="0"/>
        </w:rPr>
        <w:t xml:space="preserve"> Ban </w:t>
      </w:r>
      <w:proofErr w:type="spellStart"/>
      <w:r w:rsidR="0099397F" w:rsidRPr="00FC4F13">
        <w:rPr>
          <w:b w:val="0"/>
        </w:rPr>
        <w:t>Đại</w:t>
      </w:r>
      <w:proofErr w:type="spellEnd"/>
      <w:r w:rsidR="0099397F" w:rsidRPr="00FC4F13">
        <w:rPr>
          <w:b w:val="0"/>
        </w:rPr>
        <w:t xml:space="preserve"> </w:t>
      </w:r>
      <w:proofErr w:type="spellStart"/>
      <w:r w:rsidR="0099397F" w:rsidRPr="00FC4F13">
        <w:rPr>
          <w:b w:val="0"/>
        </w:rPr>
        <w:t>diện</w:t>
      </w:r>
      <w:proofErr w:type="spellEnd"/>
      <w:r w:rsidR="0099397F" w:rsidRPr="00FC4F13">
        <w:rPr>
          <w:b w:val="0"/>
        </w:rPr>
        <w:t xml:space="preserve"> </w:t>
      </w:r>
      <w:proofErr w:type="spellStart"/>
      <w:r w:rsidR="0099397F" w:rsidRPr="00FC4F13">
        <w:rPr>
          <w:b w:val="0"/>
        </w:rPr>
        <w:t>phê</w:t>
      </w:r>
      <w:proofErr w:type="spellEnd"/>
      <w:r w:rsidR="0099397F" w:rsidRPr="00FC4F13">
        <w:rPr>
          <w:b w:val="0"/>
        </w:rPr>
        <w:t xml:space="preserve"> </w:t>
      </w:r>
      <w:proofErr w:type="spellStart"/>
      <w:r w:rsidR="0099397F" w:rsidRPr="00FC4F13">
        <w:rPr>
          <w:b w:val="0"/>
        </w:rPr>
        <w:t>duyệt</w:t>
      </w:r>
      <w:proofErr w:type="spellEnd"/>
      <w:r w:rsidR="0099397F" w:rsidRPr="00FC4F13">
        <w:rPr>
          <w:b w:val="0"/>
        </w:rPr>
        <w:t xml:space="preserve"> </w:t>
      </w:r>
      <w:proofErr w:type="spellStart"/>
      <w:r w:rsidR="0099397F" w:rsidRPr="00FC4F13">
        <w:rPr>
          <w:b w:val="0"/>
        </w:rPr>
        <w:t>hàng</w:t>
      </w:r>
      <w:proofErr w:type="spellEnd"/>
      <w:r w:rsidR="0099397F" w:rsidRPr="00FC4F13">
        <w:rPr>
          <w:b w:val="0"/>
        </w:rPr>
        <w:t xml:space="preserve"> </w:t>
      </w:r>
      <w:proofErr w:type="spellStart"/>
      <w:r w:rsidR="0099397F" w:rsidRPr="00FC4F13">
        <w:rPr>
          <w:b w:val="0"/>
        </w:rPr>
        <w:t>năm</w:t>
      </w:r>
      <w:proofErr w:type="spellEnd"/>
    </w:p>
    <w:p w14:paraId="51A796BE" w14:textId="5FD94ED9" w:rsidR="00B617CD" w:rsidRPr="00FC4F13" w:rsidRDefault="004D5691" w:rsidP="00FC4F13">
      <w:pPr>
        <w:pStyle w:val="ListParagraph"/>
        <w:numPr>
          <w:ilvl w:val="0"/>
          <w:numId w:val="3"/>
        </w:numPr>
        <w:tabs>
          <w:tab w:val="left" w:pos="180"/>
          <w:tab w:val="left" w:pos="270"/>
          <w:tab w:val="left" w:pos="1134"/>
        </w:tabs>
        <w:spacing w:before="120" w:after="120" w:line="276" w:lineRule="auto"/>
        <w:ind w:left="0" w:firstLine="0"/>
        <w:jc w:val="both"/>
        <w:rPr>
          <w:b w:val="0"/>
        </w:rPr>
      </w:pPr>
      <w:r w:rsidRPr="00FC4F13">
        <w:rPr>
          <w:b w:val="0"/>
        </w:rPr>
        <w:t xml:space="preserve"> </w:t>
      </w:r>
      <w:proofErr w:type="spellStart"/>
      <w:r w:rsidR="00B04C91" w:rsidRPr="00FC4F13">
        <w:rPr>
          <w:b w:val="0"/>
        </w:rPr>
        <w:t>Báo</w:t>
      </w:r>
      <w:proofErr w:type="spellEnd"/>
      <w:r w:rsidR="00B04C91" w:rsidRPr="00FC4F13">
        <w:rPr>
          <w:b w:val="0"/>
        </w:rPr>
        <w:t xml:space="preserve"> </w:t>
      </w:r>
      <w:proofErr w:type="spellStart"/>
      <w:r w:rsidR="00B04C91" w:rsidRPr="00FC4F13">
        <w:rPr>
          <w:b w:val="0"/>
        </w:rPr>
        <w:t>cáo</w:t>
      </w:r>
      <w:proofErr w:type="spellEnd"/>
      <w:r w:rsidR="00B04C91" w:rsidRPr="00FC4F13">
        <w:rPr>
          <w:b w:val="0"/>
        </w:rPr>
        <w:t xml:space="preserve"> </w:t>
      </w:r>
      <w:proofErr w:type="spellStart"/>
      <w:r w:rsidR="00B04C91" w:rsidRPr="00FC4F13">
        <w:rPr>
          <w:b w:val="0"/>
        </w:rPr>
        <w:t>phải</w:t>
      </w:r>
      <w:proofErr w:type="spellEnd"/>
      <w:r w:rsidR="00B04C91" w:rsidRPr="00FC4F13">
        <w:rPr>
          <w:b w:val="0"/>
        </w:rPr>
        <w:t xml:space="preserve"> </w:t>
      </w:r>
      <w:proofErr w:type="spellStart"/>
      <w:r w:rsidR="00B04C91" w:rsidRPr="00FC4F13">
        <w:rPr>
          <w:b w:val="0"/>
        </w:rPr>
        <w:t>nêu</w:t>
      </w:r>
      <w:proofErr w:type="spellEnd"/>
      <w:r w:rsidR="00B04C91" w:rsidRPr="00FC4F13">
        <w:rPr>
          <w:b w:val="0"/>
        </w:rPr>
        <w:t xml:space="preserve"> </w:t>
      </w:r>
      <w:proofErr w:type="spellStart"/>
      <w:r w:rsidR="00B04C91" w:rsidRPr="00FC4F13">
        <w:rPr>
          <w:b w:val="0"/>
        </w:rPr>
        <w:t>rõ</w:t>
      </w:r>
      <w:proofErr w:type="spellEnd"/>
      <w:r w:rsidR="00B04C91" w:rsidRPr="00FC4F13">
        <w:rPr>
          <w:b w:val="0"/>
        </w:rPr>
        <w:t xml:space="preserve"> </w:t>
      </w:r>
      <w:proofErr w:type="spellStart"/>
      <w:r w:rsidR="00B04C91" w:rsidRPr="00FC4F13">
        <w:rPr>
          <w:b w:val="0"/>
        </w:rPr>
        <w:t>khuyến</w:t>
      </w:r>
      <w:proofErr w:type="spellEnd"/>
      <w:r w:rsidR="00B04C91" w:rsidRPr="00FC4F13">
        <w:rPr>
          <w:b w:val="0"/>
        </w:rPr>
        <w:t xml:space="preserve"> </w:t>
      </w:r>
      <w:proofErr w:type="spellStart"/>
      <w:r w:rsidR="00B04C91" w:rsidRPr="00FC4F13">
        <w:rPr>
          <w:b w:val="0"/>
        </w:rPr>
        <w:t>cáo</w:t>
      </w:r>
      <w:proofErr w:type="spellEnd"/>
      <w:r w:rsidR="00B04C91" w:rsidRPr="00FC4F13">
        <w:rPr>
          <w:b w:val="0"/>
        </w:rPr>
        <w:t xml:space="preserve"> </w:t>
      </w:r>
      <w:proofErr w:type="spellStart"/>
      <w:r w:rsidR="00B04C91" w:rsidRPr="00FC4F13">
        <w:rPr>
          <w:b w:val="0"/>
        </w:rPr>
        <w:t>rằng</w:t>
      </w:r>
      <w:proofErr w:type="spellEnd"/>
      <w:r w:rsidR="00B04C91" w:rsidRPr="00FC4F13">
        <w:rPr>
          <w:b w:val="0"/>
        </w:rPr>
        <w:t xml:space="preserve"> </w:t>
      </w:r>
      <w:r w:rsidR="00B04C91" w:rsidRPr="00FC4F13">
        <w:rPr>
          <w:b w:val="0"/>
          <w:lang w:val="pt-BR"/>
        </w:rPr>
        <w:t>các thông tin về kết quả hoạt động của quỹ trước đây chỉ mang tính tham khảo và không có nghĩa là việc đầu tư sẽ bảo đảm khả năng sinh lời cho nhà đầu tư.</w:t>
      </w:r>
    </w:p>
    <w:p w14:paraId="485A5FB0" w14:textId="77777777" w:rsidR="00B04C91" w:rsidRPr="00FC4F13" w:rsidRDefault="00B04C91" w:rsidP="00FC4F13">
      <w:pPr>
        <w:pStyle w:val="ListParagraph"/>
        <w:numPr>
          <w:ilvl w:val="0"/>
          <w:numId w:val="1"/>
        </w:numPr>
        <w:tabs>
          <w:tab w:val="left" w:pos="270"/>
          <w:tab w:val="left" w:pos="1134"/>
        </w:tabs>
        <w:spacing w:after="120" w:line="276" w:lineRule="auto"/>
        <w:ind w:left="0" w:firstLine="0"/>
        <w:jc w:val="both"/>
      </w:pPr>
      <w:proofErr w:type="spellStart"/>
      <w:r w:rsidRPr="00FC4F13">
        <w:t>Báo</w:t>
      </w:r>
      <w:proofErr w:type="spellEnd"/>
      <w:r w:rsidRPr="00FC4F13">
        <w:t xml:space="preserve"> </w:t>
      </w:r>
      <w:proofErr w:type="spellStart"/>
      <w:r w:rsidRPr="00FC4F13">
        <w:t>cáo</w:t>
      </w:r>
      <w:proofErr w:type="spellEnd"/>
      <w:r w:rsidRPr="00FC4F13">
        <w:t xml:space="preserve"> </w:t>
      </w:r>
      <w:proofErr w:type="spellStart"/>
      <w:r w:rsidRPr="00FC4F13">
        <w:t>về</w:t>
      </w:r>
      <w:proofErr w:type="spellEnd"/>
      <w:r w:rsidRPr="00FC4F13">
        <w:t xml:space="preserve"> </w:t>
      </w:r>
      <w:proofErr w:type="spellStart"/>
      <w:r w:rsidRPr="00FC4F13">
        <w:t>hoạt</w:t>
      </w:r>
      <w:proofErr w:type="spellEnd"/>
      <w:r w:rsidRPr="00FC4F13">
        <w:t xml:space="preserve"> </w:t>
      </w:r>
      <w:proofErr w:type="spellStart"/>
      <w:r w:rsidRPr="00FC4F13">
        <w:t>động</w:t>
      </w:r>
      <w:proofErr w:type="spellEnd"/>
      <w:r w:rsidRPr="00FC4F13">
        <w:t xml:space="preserve"> </w:t>
      </w:r>
      <w:proofErr w:type="spellStart"/>
      <w:r w:rsidRPr="00FC4F13">
        <w:t>quản</w:t>
      </w:r>
      <w:proofErr w:type="spellEnd"/>
      <w:r w:rsidRPr="00FC4F13">
        <w:t xml:space="preserve"> </w:t>
      </w:r>
      <w:proofErr w:type="spellStart"/>
      <w:r w:rsidRPr="00FC4F13">
        <w:t>lý</w:t>
      </w:r>
      <w:proofErr w:type="spellEnd"/>
      <w:r w:rsidRPr="00FC4F13">
        <w:t xml:space="preserve"> </w:t>
      </w:r>
      <w:proofErr w:type="spellStart"/>
      <w:r w:rsidRPr="00FC4F13">
        <w:t>tài</w:t>
      </w:r>
      <w:proofErr w:type="spellEnd"/>
      <w:r w:rsidRPr="00FC4F13">
        <w:t xml:space="preserve"> </w:t>
      </w:r>
      <w:proofErr w:type="spellStart"/>
      <w:r w:rsidRPr="00FC4F13">
        <w:t>sản</w:t>
      </w:r>
      <w:proofErr w:type="spellEnd"/>
      <w:r w:rsidRPr="00FC4F13">
        <w:t xml:space="preserve"> </w:t>
      </w:r>
      <w:proofErr w:type="spellStart"/>
      <w:r w:rsidRPr="00FC4F13">
        <w:t>của</w:t>
      </w:r>
      <w:proofErr w:type="spellEnd"/>
      <w:r w:rsidRPr="00FC4F13">
        <w:t xml:space="preserve"> </w:t>
      </w:r>
      <w:proofErr w:type="spellStart"/>
      <w:r w:rsidRPr="00FC4F13">
        <w:t>Công</w:t>
      </w:r>
      <w:proofErr w:type="spellEnd"/>
      <w:r w:rsidRPr="00FC4F13">
        <w:t xml:space="preserve"> </w:t>
      </w:r>
      <w:proofErr w:type="spellStart"/>
      <w:r w:rsidRPr="00FC4F13">
        <w:t>ty</w:t>
      </w:r>
      <w:proofErr w:type="spellEnd"/>
      <w:r w:rsidRPr="00FC4F13">
        <w:t xml:space="preserve"> </w:t>
      </w:r>
      <w:proofErr w:type="spellStart"/>
      <w:r w:rsidRPr="00FC4F13">
        <w:t>quản</w:t>
      </w:r>
      <w:proofErr w:type="spellEnd"/>
      <w:r w:rsidRPr="00FC4F13">
        <w:t xml:space="preserve"> </w:t>
      </w:r>
      <w:proofErr w:type="spellStart"/>
      <w:r w:rsidRPr="00FC4F13">
        <w:t>lý</w:t>
      </w:r>
      <w:proofErr w:type="spellEnd"/>
      <w:r w:rsidRPr="00FC4F13">
        <w:t xml:space="preserve"> </w:t>
      </w:r>
      <w:proofErr w:type="spellStart"/>
      <w:r w:rsidRPr="00FC4F13">
        <w:t>quỹ</w:t>
      </w:r>
      <w:proofErr w:type="spellEnd"/>
    </w:p>
    <w:p w14:paraId="126919F2" w14:textId="77777777" w:rsidR="001F1881" w:rsidRPr="00FC4F13" w:rsidRDefault="001F1881" w:rsidP="001F1881">
      <w:pPr>
        <w:pStyle w:val="ListParagraph"/>
        <w:tabs>
          <w:tab w:val="left" w:pos="1134"/>
        </w:tabs>
        <w:spacing w:after="120" w:line="276" w:lineRule="auto"/>
        <w:ind w:left="0"/>
        <w:jc w:val="both"/>
        <w:rPr>
          <w:b w:val="0"/>
        </w:rPr>
      </w:pP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về</w:t>
      </w:r>
      <w:proofErr w:type="spellEnd"/>
      <w:r w:rsidRPr="00FC4F13">
        <w:rPr>
          <w:b w:val="0"/>
        </w:rPr>
        <w:t xml:space="preserve"> </w:t>
      </w:r>
      <w:proofErr w:type="spellStart"/>
      <w:r w:rsidRPr="00FC4F13">
        <w:rPr>
          <w:b w:val="0"/>
        </w:rPr>
        <w:t>hoạt</w:t>
      </w:r>
      <w:proofErr w:type="spellEnd"/>
      <w:r w:rsidRPr="00FC4F13">
        <w:rPr>
          <w:b w:val="0"/>
        </w:rPr>
        <w:t xml:space="preserve"> </w:t>
      </w:r>
      <w:proofErr w:type="spellStart"/>
      <w:r w:rsidRPr="00FC4F13">
        <w:rPr>
          <w:b w:val="0"/>
        </w:rPr>
        <w:t>động</w:t>
      </w:r>
      <w:proofErr w:type="spellEnd"/>
      <w:r w:rsidRPr="00FC4F13">
        <w:rPr>
          <w:b w:val="0"/>
        </w:rPr>
        <w:t xml:space="preserve"> </w:t>
      </w:r>
      <w:proofErr w:type="spellStart"/>
      <w:r w:rsidRPr="00FC4F13">
        <w:rPr>
          <w:b w:val="0"/>
        </w:rPr>
        <w:t>quản</w:t>
      </w:r>
      <w:proofErr w:type="spellEnd"/>
      <w:r w:rsidRPr="00FC4F13">
        <w:rPr>
          <w:b w:val="0"/>
        </w:rPr>
        <w:t xml:space="preserve"> </w:t>
      </w:r>
      <w:proofErr w:type="spellStart"/>
      <w:r w:rsidRPr="00FC4F13">
        <w:rPr>
          <w:b w:val="0"/>
        </w:rPr>
        <w:t>lý</w:t>
      </w:r>
      <w:proofErr w:type="spellEnd"/>
      <w:r w:rsidRPr="00FC4F13">
        <w:rPr>
          <w:b w:val="0"/>
        </w:rPr>
        <w:t xml:space="preserve"> </w:t>
      </w:r>
      <w:proofErr w:type="spellStart"/>
      <w:r w:rsidRPr="00FC4F13">
        <w:rPr>
          <w:b w:val="0"/>
        </w:rPr>
        <w:t>tài</w:t>
      </w:r>
      <w:proofErr w:type="spellEnd"/>
      <w:r w:rsidRPr="00FC4F13">
        <w:rPr>
          <w:b w:val="0"/>
        </w:rPr>
        <w:t xml:space="preserve"> </w:t>
      </w:r>
      <w:proofErr w:type="spellStart"/>
      <w:r w:rsidRPr="00FC4F13">
        <w:rPr>
          <w:b w:val="0"/>
        </w:rPr>
        <w:t>sản</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Công</w:t>
      </w:r>
      <w:proofErr w:type="spellEnd"/>
      <w:r w:rsidRPr="00FC4F13">
        <w:rPr>
          <w:b w:val="0"/>
        </w:rPr>
        <w:t xml:space="preserve"> </w:t>
      </w:r>
      <w:proofErr w:type="spellStart"/>
      <w:r w:rsidRPr="00FC4F13">
        <w:rPr>
          <w:b w:val="0"/>
        </w:rPr>
        <w:t>ty</w:t>
      </w:r>
      <w:proofErr w:type="spellEnd"/>
      <w:r w:rsidRPr="00FC4F13">
        <w:rPr>
          <w:b w:val="0"/>
        </w:rPr>
        <w:t xml:space="preserve"> </w:t>
      </w:r>
      <w:proofErr w:type="spellStart"/>
      <w:r w:rsidRPr="00FC4F13">
        <w:rPr>
          <w:b w:val="0"/>
        </w:rPr>
        <w:t>quản</w:t>
      </w:r>
      <w:proofErr w:type="spellEnd"/>
      <w:r w:rsidRPr="00FC4F13">
        <w:rPr>
          <w:b w:val="0"/>
        </w:rPr>
        <w:t xml:space="preserve"> </w:t>
      </w:r>
      <w:proofErr w:type="spellStart"/>
      <w:r w:rsidRPr="00FC4F13">
        <w:rPr>
          <w:b w:val="0"/>
        </w:rPr>
        <w:t>lý</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phải</w:t>
      </w:r>
      <w:proofErr w:type="spellEnd"/>
      <w:r w:rsidRPr="00FC4F13">
        <w:rPr>
          <w:b w:val="0"/>
        </w:rPr>
        <w:t xml:space="preserve"> bao </w:t>
      </w:r>
      <w:proofErr w:type="spellStart"/>
      <w:r w:rsidRPr="00FC4F13">
        <w:rPr>
          <w:b w:val="0"/>
        </w:rPr>
        <w:t>gồm</w:t>
      </w:r>
      <w:proofErr w:type="spellEnd"/>
      <w:r w:rsidRPr="00FC4F13">
        <w:rPr>
          <w:b w:val="0"/>
        </w:rPr>
        <w:t xml:space="preserve"> </w:t>
      </w:r>
      <w:proofErr w:type="spellStart"/>
      <w:r w:rsidRPr="00FC4F13">
        <w:rPr>
          <w:b w:val="0"/>
        </w:rPr>
        <w:t>các</w:t>
      </w:r>
      <w:proofErr w:type="spellEnd"/>
      <w:r w:rsidRPr="00FC4F13">
        <w:rPr>
          <w:b w:val="0"/>
        </w:rPr>
        <w:t xml:space="preserve"> </w:t>
      </w:r>
      <w:proofErr w:type="spellStart"/>
      <w:r w:rsidRPr="00FC4F13">
        <w:rPr>
          <w:b w:val="0"/>
        </w:rPr>
        <w:t>nội</w:t>
      </w:r>
      <w:proofErr w:type="spellEnd"/>
      <w:r w:rsidRPr="00FC4F13">
        <w:rPr>
          <w:b w:val="0"/>
        </w:rPr>
        <w:t xml:space="preserve"> </w:t>
      </w:r>
      <w:proofErr w:type="spellStart"/>
      <w:r w:rsidRPr="00FC4F13">
        <w:rPr>
          <w:b w:val="0"/>
        </w:rPr>
        <w:t>dung</w:t>
      </w:r>
      <w:proofErr w:type="spellEnd"/>
      <w:r w:rsidRPr="00FC4F13">
        <w:rPr>
          <w:b w:val="0"/>
        </w:rPr>
        <w:t xml:space="preserve"> </w:t>
      </w:r>
      <w:proofErr w:type="spellStart"/>
      <w:proofErr w:type="gramStart"/>
      <w:r w:rsidRPr="00FC4F13">
        <w:rPr>
          <w:b w:val="0"/>
        </w:rPr>
        <w:t>sau</w:t>
      </w:r>
      <w:proofErr w:type="spellEnd"/>
      <w:r w:rsidRPr="00FC4F13">
        <w:rPr>
          <w:b w:val="0"/>
        </w:rPr>
        <w:t>:</w:t>
      </w:r>
      <w:proofErr w:type="gramEnd"/>
    </w:p>
    <w:p w14:paraId="651523B1"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proofErr w:type="spellStart"/>
      <w:r w:rsidRPr="00FC4F13">
        <w:rPr>
          <w:b w:val="0"/>
        </w:rPr>
        <w:t>Thuyết</w:t>
      </w:r>
      <w:proofErr w:type="spellEnd"/>
      <w:r w:rsidRPr="00FC4F13">
        <w:rPr>
          <w:b w:val="0"/>
        </w:rPr>
        <w:t xml:space="preserve"> </w:t>
      </w:r>
      <w:proofErr w:type="spellStart"/>
      <w:r w:rsidRPr="00FC4F13">
        <w:rPr>
          <w:b w:val="0"/>
        </w:rPr>
        <w:t>minh</w:t>
      </w:r>
      <w:proofErr w:type="spellEnd"/>
      <w:r w:rsidRPr="00FC4F13">
        <w:rPr>
          <w:b w:val="0"/>
        </w:rPr>
        <w:t xml:space="preserve"> </w:t>
      </w:r>
      <w:proofErr w:type="spellStart"/>
      <w:r w:rsidRPr="00FC4F13">
        <w:rPr>
          <w:b w:val="0"/>
        </w:rPr>
        <w:t>về</w:t>
      </w:r>
      <w:proofErr w:type="spellEnd"/>
      <w:r w:rsidRPr="00FC4F13">
        <w:rPr>
          <w:b w:val="0"/>
        </w:rPr>
        <w:t xml:space="preserve"> </w:t>
      </w:r>
      <w:proofErr w:type="spellStart"/>
      <w:r w:rsidRPr="00FC4F13">
        <w:rPr>
          <w:b w:val="0"/>
        </w:rPr>
        <w:t>việc</w:t>
      </w:r>
      <w:proofErr w:type="spellEnd"/>
      <w:r w:rsidRPr="00FC4F13">
        <w:rPr>
          <w:b w:val="0"/>
        </w:rPr>
        <w:t xml:space="preserve"> </w:t>
      </w:r>
      <w:proofErr w:type="spellStart"/>
      <w:r w:rsidRPr="00FC4F13">
        <w:rPr>
          <w:b w:val="0"/>
        </w:rPr>
        <w:t>thay</w:t>
      </w:r>
      <w:proofErr w:type="spellEnd"/>
      <w:r w:rsidRPr="00FC4F13">
        <w:rPr>
          <w:b w:val="0"/>
        </w:rPr>
        <w:t xml:space="preserve"> </w:t>
      </w:r>
      <w:proofErr w:type="spellStart"/>
      <w:r w:rsidRPr="00FC4F13">
        <w:rPr>
          <w:b w:val="0"/>
        </w:rPr>
        <w:t>đổi</w:t>
      </w:r>
      <w:proofErr w:type="spellEnd"/>
      <w:r w:rsidRPr="00FC4F13">
        <w:rPr>
          <w:b w:val="0"/>
        </w:rPr>
        <w:t xml:space="preserve"> </w:t>
      </w:r>
      <w:proofErr w:type="spellStart"/>
      <w:r w:rsidRPr="00FC4F13">
        <w:rPr>
          <w:b w:val="0"/>
        </w:rPr>
        <w:t>Công</w:t>
      </w:r>
      <w:proofErr w:type="spellEnd"/>
      <w:r w:rsidRPr="00FC4F13">
        <w:rPr>
          <w:b w:val="0"/>
        </w:rPr>
        <w:t xml:space="preserve"> </w:t>
      </w:r>
      <w:proofErr w:type="spellStart"/>
      <w:r w:rsidRPr="00FC4F13">
        <w:rPr>
          <w:b w:val="0"/>
        </w:rPr>
        <w:t>ty</w:t>
      </w:r>
      <w:proofErr w:type="spellEnd"/>
      <w:r w:rsidRPr="00FC4F13">
        <w:rPr>
          <w:b w:val="0"/>
        </w:rPr>
        <w:t xml:space="preserve"> </w:t>
      </w:r>
      <w:proofErr w:type="spellStart"/>
      <w:r w:rsidRPr="00FC4F13">
        <w:rPr>
          <w:b w:val="0"/>
        </w:rPr>
        <w:t>quản</w:t>
      </w:r>
      <w:proofErr w:type="spellEnd"/>
      <w:r w:rsidRPr="00FC4F13">
        <w:rPr>
          <w:b w:val="0"/>
        </w:rPr>
        <w:t xml:space="preserve"> </w:t>
      </w:r>
      <w:proofErr w:type="spellStart"/>
      <w:r w:rsidRPr="00FC4F13">
        <w:rPr>
          <w:b w:val="0"/>
        </w:rPr>
        <w:t>lý</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nếu</w:t>
      </w:r>
      <w:proofErr w:type="spellEnd"/>
      <w:r w:rsidRPr="00FC4F13">
        <w:rPr>
          <w:b w:val="0"/>
        </w:rPr>
        <w:t xml:space="preserve"> </w:t>
      </w:r>
      <w:proofErr w:type="spellStart"/>
      <w:r w:rsidRPr="00FC4F13">
        <w:rPr>
          <w:b w:val="0"/>
        </w:rPr>
        <w:t>có</w:t>
      </w:r>
      <w:proofErr w:type="spellEnd"/>
      <w:r w:rsidRPr="00FC4F13">
        <w:rPr>
          <w:b w:val="0"/>
        </w:rPr>
        <w:t xml:space="preserve">) : </w:t>
      </w:r>
      <w:proofErr w:type="spellStart"/>
      <w:r w:rsidRPr="000949EF">
        <w:rPr>
          <w:bCs/>
        </w:rPr>
        <w:t>không</w:t>
      </w:r>
      <w:proofErr w:type="spellEnd"/>
      <w:r w:rsidRPr="000949EF">
        <w:rPr>
          <w:bCs/>
        </w:rPr>
        <w:t xml:space="preserve"> </w:t>
      </w:r>
      <w:proofErr w:type="spellStart"/>
      <w:r w:rsidRPr="000949EF">
        <w:rPr>
          <w:bCs/>
        </w:rPr>
        <w:t>có</w:t>
      </w:r>
      <w:proofErr w:type="spellEnd"/>
      <w:r w:rsidRPr="00FC4F13">
        <w:rPr>
          <w:b w:val="0"/>
        </w:rPr>
        <w:t xml:space="preserve"> </w:t>
      </w:r>
    </w:p>
    <w:p w14:paraId="770721C7"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proofErr w:type="spellStart"/>
      <w:r w:rsidRPr="00FC4F13">
        <w:rPr>
          <w:b w:val="0"/>
        </w:rPr>
        <w:t>Thuyết</w:t>
      </w:r>
      <w:proofErr w:type="spellEnd"/>
      <w:r w:rsidRPr="00FC4F13">
        <w:rPr>
          <w:b w:val="0"/>
        </w:rPr>
        <w:t xml:space="preserve"> </w:t>
      </w:r>
      <w:proofErr w:type="spellStart"/>
      <w:r w:rsidRPr="00FC4F13">
        <w:rPr>
          <w:b w:val="0"/>
        </w:rPr>
        <w:t>minh</w:t>
      </w:r>
      <w:proofErr w:type="spellEnd"/>
      <w:r w:rsidRPr="00FC4F13">
        <w:rPr>
          <w:b w:val="0"/>
        </w:rPr>
        <w:t xml:space="preserve"> </w:t>
      </w:r>
      <w:proofErr w:type="spellStart"/>
      <w:r w:rsidRPr="00FC4F13">
        <w:rPr>
          <w:b w:val="0"/>
        </w:rPr>
        <w:t>về</w:t>
      </w:r>
      <w:proofErr w:type="spellEnd"/>
      <w:r w:rsidRPr="00FC4F13">
        <w:rPr>
          <w:b w:val="0"/>
        </w:rPr>
        <w:t xml:space="preserve"> </w:t>
      </w:r>
      <w:proofErr w:type="spellStart"/>
      <w:r w:rsidRPr="00FC4F13">
        <w:rPr>
          <w:b w:val="0"/>
        </w:rPr>
        <w:t>việc</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có</w:t>
      </w:r>
      <w:proofErr w:type="spellEnd"/>
      <w:r w:rsidRPr="00FC4F13">
        <w:rPr>
          <w:b w:val="0"/>
        </w:rPr>
        <w:t xml:space="preserve"> </w:t>
      </w:r>
      <w:proofErr w:type="spellStart"/>
      <w:r w:rsidRPr="00FC4F13">
        <w:rPr>
          <w:b w:val="0"/>
        </w:rPr>
        <w:t>đạt</w:t>
      </w:r>
      <w:proofErr w:type="spellEnd"/>
      <w:r w:rsidRPr="00FC4F13">
        <w:rPr>
          <w:b w:val="0"/>
        </w:rPr>
        <w:t xml:space="preserve"> </w:t>
      </w:r>
      <w:proofErr w:type="spellStart"/>
      <w:r w:rsidRPr="00FC4F13">
        <w:rPr>
          <w:b w:val="0"/>
        </w:rPr>
        <w:t>được</w:t>
      </w:r>
      <w:proofErr w:type="spellEnd"/>
      <w:r w:rsidRPr="00FC4F13">
        <w:rPr>
          <w:b w:val="0"/>
        </w:rPr>
        <w:t xml:space="preserve"> </w:t>
      </w:r>
      <w:proofErr w:type="spellStart"/>
      <w:r w:rsidRPr="00FC4F13">
        <w:rPr>
          <w:b w:val="0"/>
        </w:rPr>
        <w:t>mục</w:t>
      </w:r>
      <w:proofErr w:type="spellEnd"/>
      <w:r w:rsidRPr="00FC4F13">
        <w:rPr>
          <w:b w:val="0"/>
        </w:rPr>
        <w:t xml:space="preserve"> </w:t>
      </w:r>
      <w:proofErr w:type="spellStart"/>
      <w:r w:rsidRPr="00FC4F13">
        <w:rPr>
          <w:b w:val="0"/>
        </w:rPr>
        <w:t>tiêu</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thuyết</w:t>
      </w:r>
      <w:proofErr w:type="spellEnd"/>
      <w:r w:rsidRPr="00FC4F13">
        <w:rPr>
          <w:b w:val="0"/>
        </w:rPr>
        <w:t xml:space="preserve"> </w:t>
      </w:r>
      <w:proofErr w:type="spellStart"/>
      <w:r w:rsidRPr="00FC4F13">
        <w:rPr>
          <w:b w:val="0"/>
        </w:rPr>
        <w:t>minh</w:t>
      </w:r>
      <w:proofErr w:type="spellEnd"/>
      <w:r w:rsidRPr="00FC4F13">
        <w:rPr>
          <w:b w:val="0"/>
        </w:rPr>
        <w:t xml:space="preserve"> </w:t>
      </w:r>
      <w:proofErr w:type="spellStart"/>
      <w:r w:rsidRPr="00FC4F13">
        <w:rPr>
          <w:b w:val="0"/>
        </w:rPr>
        <w:t>này</w:t>
      </w:r>
      <w:proofErr w:type="spellEnd"/>
      <w:r w:rsidRPr="00FC4F13">
        <w:rPr>
          <w:b w:val="0"/>
        </w:rPr>
        <w:t xml:space="preserve"> </w:t>
      </w:r>
      <w:proofErr w:type="spellStart"/>
      <w:r w:rsidRPr="00FC4F13">
        <w:rPr>
          <w:b w:val="0"/>
        </w:rPr>
        <w:t>chỉ</w:t>
      </w:r>
      <w:proofErr w:type="spellEnd"/>
      <w:r w:rsidRPr="00FC4F13">
        <w:rPr>
          <w:b w:val="0"/>
        </w:rPr>
        <w:t xml:space="preserve"> </w:t>
      </w:r>
      <w:proofErr w:type="spellStart"/>
      <w:r w:rsidRPr="00FC4F13">
        <w:rPr>
          <w:b w:val="0"/>
        </w:rPr>
        <w:t>cần</w:t>
      </w:r>
      <w:proofErr w:type="spellEnd"/>
      <w:r w:rsidRPr="00FC4F13">
        <w:rPr>
          <w:b w:val="0"/>
        </w:rPr>
        <w:t xml:space="preserve"> </w:t>
      </w:r>
      <w:proofErr w:type="spellStart"/>
      <w:r w:rsidRPr="00FC4F13">
        <w:rPr>
          <w:b w:val="0"/>
        </w:rPr>
        <w:t>thiết</w:t>
      </w:r>
      <w:proofErr w:type="spellEnd"/>
      <w:r w:rsidRPr="00FC4F13">
        <w:rPr>
          <w:b w:val="0"/>
        </w:rPr>
        <w:t xml:space="preserve"> </w:t>
      </w:r>
      <w:proofErr w:type="spellStart"/>
      <w:r w:rsidRPr="00FC4F13">
        <w:rPr>
          <w:b w:val="0"/>
        </w:rPr>
        <w:t>tại</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hàng</w:t>
      </w:r>
      <w:proofErr w:type="spellEnd"/>
      <w:r w:rsidRPr="00FC4F13">
        <w:rPr>
          <w:b w:val="0"/>
        </w:rPr>
        <w:t xml:space="preserve"> </w:t>
      </w:r>
      <w:proofErr w:type="spellStart"/>
      <w:r w:rsidRPr="00FC4F13">
        <w:rPr>
          <w:b w:val="0"/>
        </w:rPr>
        <w:t>năm</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proofErr w:type="gramStart"/>
      <w:r w:rsidRPr="00FC4F13">
        <w:rPr>
          <w:b w:val="0"/>
        </w:rPr>
        <w:t>):</w:t>
      </w:r>
      <w:proofErr w:type="gramEnd"/>
      <w:r w:rsidRPr="00FC4F13">
        <w:rPr>
          <w:b w:val="0"/>
        </w:rPr>
        <w:t xml:space="preserve"> </w:t>
      </w:r>
      <w:proofErr w:type="spellStart"/>
      <w:r w:rsidRPr="00FC4F13">
        <w:rPr>
          <w:bCs/>
        </w:rPr>
        <w:t>không</w:t>
      </w:r>
      <w:proofErr w:type="spellEnd"/>
      <w:r w:rsidRPr="00FC4F13">
        <w:rPr>
          <w:bCs/>
        </w:rPr>
        <w:t xml:space="preserve"> </w:t>
      </w:r>
      <w:proofErr w:type="spellStart"/>
      <w:r w:rsidRPr="00FC4F13">
        <w:rPr>
          <w:bCs/>
        </w:rPr>
        <w:t>có</w:t>
      </w:r>
      <w:proofErr w:type="spellEnd"/>
    </w:p>
    <w:p w14:paraId="67A7BF62"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r w:rsidRPr="00FC4F13">
        <w:rPr>
          <w:b w:val="0"/>
        </w:rPr>
        <w:t xml:space="preserve">So </w:t>
      </w:r>
      <w:proofErr w:type="spellStart"/>
      <w:r w:rsidRPr="00FC4F13">
        <w:rPr>
          <w:b w:val="0"/>
        </w:rPr>
        <w:t>sánh</w:t>
      </w:r>
      <w:proofErr w:type="spellEnd"/>
      <w:r w:rsidRPr="00FC4F13">
        <w:rPr>
          <w:b w:val="0"/>
        </w:rPr>
        <w:t xml:space="preserve"> </w:t>
      </w:r>
      <w:proofErr w:type="spellStart"/>
      <w:r w:rsidRPr="00FC4F13">
        <w:rPr>
          <w:b w:val="0"/>
        </w:rPr>
        <w:t>kết</w:t>
      </w:r>
      <w:proofErr w:type="spellEnd"/>
      <w:r w:rsidRPr="00FC4F13">
        <w:rPr>
          <w:b w:val="0"/>
        </w:rPr>
        <w:t xml:space="preserve"> </w:t>
      </w:r>
      <w:proofErr w:type="spellStart"/>
      <w:r w:rsidRPr="00FC4F13">
        <w:rPr>
          <w:b w:val="0"/>
        </w:rPr>
        <w:t>quả</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với</w:t>
      </w:r>
      <w:proofErr w:type="spellEnd"/>
      <w:r w:rsidRPr="00FC4F13">
        <w:rPr>
          <w:b w:val="0"/>
        </w:rPr>
        <w:t xml:space="preserve"> </w:t>
      </w:r>
      <w:proofErr w:type="spellStart"/>
      <w:r w:rsidRPr="00FC4F13">
        <w:rPr>
          <w:b w:val="0"/>
        </w:rPr>
        <w:t>kết</w:t>
      </w:r>
      <w:proofErr w:type="spellEnd"/>
      <w:r w:rsidRPr="00FC4F13">
        <w:rPr>
          <w:b w:val="0"/>
        </w:rPr>
        <w:t xml:space="preserve"> </w:t>
      </w:r>
      <w:proofErr w:type="spellStart"/>
      <w:r w:rsidRPr="00FC4F13">
        <w:rPr>
          <w:b w:val="0"/>
        </w:rPr>
        <w:t>quả</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danh</w:t>
      </w:r>
      <w:proofErr w:type="spellEnd"/>
      <w:r w:rsidRPr="00FC4F13">
        <w:rPr>
          <w:b w:val="0"/>
        </w:rPr>
        <w:t xml:space="preserve"> </w:t>
      </w:r>
      <w:proofErr w:type="spellStart"/>
      <w:r w:rsidRPr="00FC4F13">
        <w:rPr>
          <w:b w:val="0"/>
        </w:rPr>
        <w:t>mục</w:t>
      </w:r>
      <w:proofErr w:type="spellEnd"/>
      <w:r w:rsidRPr="00FC4F13">
        <w:rPr>
          <w:b w:val="0"/>
        </w:rPr>
        <w:t xml:space="preserve"> </w:t>
      </w:r>
      <w:proofErr w:type="spellStart"/>
      <w:r w:rsidRPr="00FC4F13">
        <w:rPr>
          <w:b w:val="0"/>
        </w:rPr>
        <w:t>tham</w:t>
      </w:r>
      <w:proofErr w:type="spellEnd"/>
      <w:r w:rsidRPr="00FC4F13">
        <w:rPr>
          <w:b w:val="0"/>
        </w:rPr>
        <w:t xml:space="preserve"> </w:t>
      </w:r>
      <w:proofErr w:type="spellStart"/>
      <w:r w:rsidRPr="00FC4F13">
        <w:rPr>
          <w:b w:val="0"/>
        </w:rPr>
        <w:t>chiếu</w:t>
      </w:r>
      <w:proofErr w:type="spellEnd"/>
      <w:r w:rsidRPr="00FC4F13">
        <w:rPr>
          <w:b w:val="0"/>
        </w:rPr>
        <w:t xml:space="preserve">, </w:t>
      </w:r>
      <w:proofErr w:type="spellStart"/>
      <w:r w:rsidRPr="00FC4F13">
        <w:rPr>
          <w:b w:val="0"/>
        </w:rPr>
        <w:t>chỉ</w:t>
      </w:r>
      <w:proofErr w:type="spellEnd"/>
      <w:r w:rsidRPr="00FC4F13">
        <w:rPr>
          <w:b w:val="0"/>
        </w:rPr>
        <w:t xml:space="preserve"> </w:t>
      </w:r>
      <w:proofErr w:type="spellStart"/>
      <w:r w:rsidRPr="00FC4F13">
        <w:rPr>
          <w:b w:val="0"/>
        </w:rPr>
        <w:t>số</w:t>
      </w:r>
      <w:proofErr w:type="spellEnd"/>
      <w:r w:rsidRPr="00FC4F13">
        <w:rPr>
          <w:b w:val="0"/>
        </w:rPr>
        <w:t xml:space="preserve"> </w:t>
      </w:r>
      <w:proofErr w:type="spellStart"/>
      <w:r w:rsidRPr="00FC4F13">
        <w:rPr>
          <w:b w:val="0"/>
        </w:rPr>
        <w:t>cơ</w:t>
      </w:r>
      <w:proofErr w:type="spellEnd"/>
      <w:r w:rsidRPr="00FC4F13">
        <w:rPr>
          <w:b w:val="0"/>
        </w:rPr>
        <w:t xml:space="preserve"> </w:t>
      </w:r>
      <w:proofErr w:type="spellStart"/>
      <w:r w:rsidRPr="00FC4F13">
        <w:rPr>
          <w:b w:val="0"/>
        </w:rPr>
        <w:t>sở</w:t>
      </w:r>
      <w:proofErr w:type="spellEnd"/>
      <w:r w:rsidRPr="00FC4F13">
        <w:rPr>
          <w:b w:val="0"/>
        </w:rPr>
        <w:t xml:space="preserve"> </w:t>
      </w:r>
      <w:proofErr w:type="spellStart"/>
      <w:r w:rsidRPr="00FC4F13">
        <w:rPr>
          <w:b w:val="0"/>
        </w:rPr>
        <w:t>công</w:t>
      </w:r>
      <w:proofErr w:type="spellEnd"/>
      <w:r w:rsidRPr="00FC4F13">
        <w:rPr>
          <w:b w:val="0"/>
        </w:rPr>
        <w:t xml:space="preserve"> </w:t>
      </w:r>
      <w:proofErr w:type="spellStart"/>
      <w:r w:rsidRPr="00FC4F13">
        <w:rPr>
          <w:b w:val="0"/>
        </w:rPr>
        <w:t>bố</w:t>
      </w:r>
      <w:proofErr w:type="spellEnd"/>
      <w:r w:rsidRPr="00FC4F13">
        <w:rPr>
          <w:b w:val="0"/>
        </w:rPr>
        <w:t xml:space="preserve"> </w:t>
      </w:r>
      <w:proofErr w:type="spellStart"/>
      <w:r w:rsidRPr="00FC4F13">
        <w:rPr>
          <w:b w:val="0"/>
        </w:rPr>
        <w:t>tại</w:t>
      </w:r>
      <w:proofErr w:type="spellEnd"/>
      <w:r w:rsidRPr="00FC4F13">
        <w:rPr>
          <w:b w:val="0"/>
        </w:rPr>
        <w:t xml:space="preserve"> </w:t>
      </w:r>
      <w:proofErr w:type="spellStart"/>
      <w:r w:rsidRPr="00FC4F13">
        <w:rPr>
          <w:b w:val="0"/>
        </w:rPr>
        <w:t>Bản</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bạch</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cùng</w:t>
      </w:r>
      <w:proofErr w:type="spellEnd"/>
      <w:r w:rsidRPr="00FC4F13">
        <w:rPr>
          <w:b w:val="0"/>
        </w:rPr>
        <w:t xml:space="preserve"> </w:t>
      </w:r>
      <w:proofErr w:type="spellStart"/>
      <w:r w:rsidRPr="00FC4F13">
        <w:rPr>
          <w:b w:val="0"/>
        </w:rPr>
        <w:t>kỳ</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bằng</w:t>
      </w:r>
      <w:proofErr w:type="spellEnd"/>
      <w:r w:rsidRPr="00FC4F13">
        <w:rPr>
          <w:b w:val="0"/>
        </w:rPr>
        <w:t xml:space="preserve"> </w:t>
      </w:r>
      <w:proofErr w:type="spellStart"/>
      <w:r w:rsidRPr="00FC4F13">
        <w:rPr>
          <w:b w:val="0"/>
        </w:rPr>
        <w:t>đồ</w:t>
      </w:r>
      <w:proofErr w:type="spellEnd"/>
      <w:r w:rsidRPr="00FC4F13">
        <w:rPr>
          <w:b w:val="0"/>
        </w:rPr>
        <w:t xml:space="preserve"> </w:t>
      </w:r>
      <w:proofErr w:type="spellStart"/>
      <w:r w:rsidRPr="00FC4F13">
        <w:rPr>
          <w:b w:val="0"/>
        </w:rPr>
        <w:t>thị</w:t>
      </w:r>
      <w:proofErr w:type="spellEnd"/>
      <w:proofErr w:type="gramStart"/>
      <w:r w:rsidRPr="00FC4F13">
        <w:rPr>
          <w:b w:val="0"/>
        </w:rPr>
        <w:t>):</w:t>
      </w:r>
      <w:proofErr w:type="gramEnd"/>
      <w:r w:rsidRPr="00FC4F13">
        <w:rPr>
          <w:b w:val="0"/>
        </w:rPr>
        <w:t xml:space="preserve"> </w:t>
      </w:r>
      <w:proofErr w:type="spellStart"/>
      <w:r w:rsidRPr="00FC4F13">
        <w:rPr>
          <w:bCs/>
        </w:rPr>
        <w:t>không</w:t>
      </w:r>
      <w:proofErr w:type="spellEnd"/>
      <w:r w:rsidRPr="00FC4F13">
        <w:rPr>
          <w:bCs/>
        </w:rPr>
        <w:t xml:space="preserve"> </w:t>
      </w:r>
      <w:proofErr w:type="spellStart"/>
      <w:r w:rsidRPr="00FC4F13">
        <w:rPr>
          <w:bCs/>
        </w:rPr>
        <w:t>có</w:t>
      </w:r>
      <w:proofErr w:type="spellEnd"/>
      <w:r w:rsidRPr="00FC4F13">
        <w:rPr>
          <w:bCs/>
        </w:rPr>
        <w:t xml:space="preserve"> </w:t>
      </w:r>
      <w:proofErr w:type="spellStart"/>
      <w:r w:rsidRPr="00FC4F13">
        <w:rPr>
          <w:bCs/>
        </w:rPr>
        <w:t>danh</w:t>
      </w:r>
      <w:proofErr w:type="spellEnd"/>
      <w:r w:rsidRPr="00FC4F13">
        <w:rPr>
          <w:bCs/>
        </w:rPr>
        <w:t xml:space="preserve"> </w:t>
      </w:r>
      <w:proofErr w:type="spellStart"/>
      <w:r w:rsidRPr="00FC4F13">
        <w:rPr>
          <w:bCs/>
        </w:rPr>
        <w:t>mục</w:t>
      </w:r>
      <w:proofErr w:type="spellEnd"/>
      <w:r w:rsidRPr="00FC4F13">
        <w:rPr>
          <w:bCs/>
        </w:rPr>
        <w:t xml:space="preserve"> </w:t>
      </w:r>
      <w:proofErr w:type="spellStart"/>
      <w:r w:rsidRPr="00FC4F13">
        <w:rPr>
          <w:bCs/>
        </w:rPr>
        <w:t>tham</w:t>
      </w:r>
      <w:proofErr w:type="spellEnd"/>
      <w:r w:rsidRPr="00FC4F13">
        <w:rPr>
          <w:bCs/>
        </w:rPr>
        <w:t xml:space="preserve"> </w:t>
      </w:r>
      <w:proofErr w:type="spellStart"/>
      <w:r w:rsidRPr="00FC4F13">
        <w:rPr>
          <w:bCs/>
        </w:rPr>
        <w:t>chiếu</w:t>
      </w:r>
      <w:proofErr w:type="spellEnd"/>
    </w:p>
    <w:p w14:paraId="2966089E"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r w:rsidRPr="00FC4F13">
        <w:rPr>
          <w:b w:val="0"/>
        </w:rPr>
        <w:t xml:space="preserve">So </w:t>
      </w:r>
      <w:proofErr w:type="spellStart"/>
      <w:r w:rsidRPr="00FC4F13">
        <w:rPr>
          <w:b w:val="0"/>
        </w:rPr>
        <w:t>sánh</w:t>
      </w:r>
      <w:proofErr w:type="spellEnd"/>
      <w:r w:rsidRPr="00FC4F13">
        <w:rPr>
          <w:b w:val="0"/>
        </w:rPr>
        <w:t xml:space="preserve"> </w:t>
      </w:r>
      <w:proofErr w:type="spellStart"/>
      <w:r w:rsidRPr="00FC4F13">
        <w:rPr>
          <w:b w:val="0"/>
        </w:rPr>
        <w:t>kết</w:t>
      </w:r>
      <w:proofErr w:type="spellEnd"/>
      <w:r w:rsidRPr="00FC4F13">
        <w:rPr>
          <w:b w:val="0"/>
        </w:rPr>
        <w:t xml:space="preserve"> </w:t>
      </w:r>
      <w:proofErr w:type="spellStart"/>
      <w:r w:rsidRPr="00FC4F13">
        <w:rPr>
          <w:b w:val="0"/>
        </w:rPr>
        <w:t>quả</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với</w:t>
      </w:r>
      <w:proofErr w:type="spellEnd"/>
      <w:r w:rsidRPr="00FC4F13">
        <w:rPr>
          <w:b w:val="0"/>
        </w:rPr>
        <w:t xml:space="preserve"> </w:t>
      </w:r>
      <w:proofErr w:type="spellStart"/>
      <w:r w:rsidRPr="00FC4F13">
        <w:rPr>
          <w:b w:val="0"/>
        </w:rPr>
        <w:t>kết</w:t>
      </w:r>
      <w:proofErr w:type="spellEnd"/>
      <w:r w:rsidRPr="00FC4F13">
        <w:rPr>
          <w:b w:val="0"/>
        </w:rPr>
        <w:t xml:space="preserve"> </w:t>
      </w:r>
      <w:proofErr w:type="spellStart"/>
      <w:r w:rsidRPr="00FC4F13">
        <w:rPr>
          <w:b w:val="0"/>
        </w:rPr>
        <w:t>quả</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danh</w:t>
      </w:r>
      <w:proofErr w:type="spellEnd"/>
      <w:r w:rsidRPr="00FC4F13">
        <w:rPr>
          <w:b w:val="0"/>
        </w:rPr>
        <w:t xml:space="preserve"> </w:t>
      </w:r>
      <w:proofErr w:type="spellStart"/>
      <w:r w:rsidRPr="00FC4F13">
        <w:rPr>
          <w:b w:val="0"/>
        </w:rPr>
        <w:t>mục</w:t>
      </w:r>
      <w:proofErr w:type="spellEnd"/>
      <w:r w:rsidRPr="00FC4F13">
        <w:rPr>
          <w:b w:val="0"/>
        </w:rPr>
        <w:t xml:space="preserve"> </w:t>
      </w:r>
      <w:proofErr w:type="spellStart"/>
      <w:r w:rsidRPr="00FC4F13">
        <w:rPr>
          <w:b w:val="0"/>
        </w:rPr>
        <w:t>tham</w:t>
      </w:r>
      <w:proofErr w:type="spellEnd"/>
      <w:r w:rsidRPr="00FC4F13">
        <w:rPr>
          <w:b w:val="0"/>
        </w:rPr>
        <w:t xml:space="preserve"> </w:t>
      </w:r>
      <w:proofErr w:type="spellStart"/>
      <w:r w:rsidRPr="00FC4F13">
        <w:rPr>
          <w:b w:val="0"/>
        </w:rPr>
        <w:t>chiếu</w:t>
      </w:r>
      <w:proofErr w:type="spellEnd"/>
      <w:r w:rsidRPr="00FC4F13">
        <w:rPr>
          <w:b w:val="0"/>
        </w:rPr>
        <w:t xml:space="preserve">, </w:t>
      </w:r>
      <w:proofErr w:type="spellStart"/>
      <w:r w:rsidRPr="00FC4F13">
        <w:rPr>
          <w:b w:val="0"/>
        </w:rPr>
        <w:t>chỉ</w:t>
      </w:r>
      <w:proofErr w:type="spellEnd"/>
      <w:r w:rsidRPr="00FC4F13">
        <w:rPr>
          <w:b w:val="0"/>
        </w:rPr>
        <w:t xml:space="preserve"> </w:t>
      </w:r>
      <w:proofErr w:type="spellStart"/>
      <w:r w:rsidRPr="00FC4F13">
        <w:rPr>
          <w:b w:val="0"/>
        </w:rPr>
        <w:t>số</w:t>
      </w:r>
      <w:proofErr w:type="spellEnd"/>
      <w:r w:rsidRPr="00FC4F13">
        <w:rPr>
          <w:b w:val="0"/>
        </w:rPr>
        <w:t xml:space="preserve"> </w:t>
      </w:r>
      <w:proofErr w:type="spellStart"/>
      <w:r w:rsidRPr="00FC4F13">
        <w:rPr>
          <w:b w:val="0"/>
        </w:rPr>
        <w:t>cơ</w:t>
      </w:r>
      <w:proofErr w:type="spellEnd"/>
      <w:r w:rsidRPr="00FC4F13">
        <w:rPr>
          <w:b w:val="0"/>
        </w:rPr>
        <w:t xml:space="preserve"> </w:t>
      </w:r>
      <w:proofErr w:type="spellStart"/>
      <w:r w:rsidRPr="00FC4F13">
        <w:rPr>
          <w:b w:val="0"/>
        </w:rPr>
        <w:t>sở</w:t>
      </w:r>
      <w:proofErr w:type="spellEnd"/>
      <w:r w:rsidRPr="00FC4F13">
        <w:rPr>
          <w:b w:val="0"/>
        </w:rPr>
        <w:t xml:space="preserve"> </w:t>
      </w:r>
      <w:proofErr w:type="spellStart"/>
      <w:r w:rsidRPr="00FC4F13">
        <w:rPr>
          <w:b w:val="0"/>
        </w:rPr>
        <w:t>công</w:t>
      </w:r>
      <w:proofErr w:type="spellEnd"/>
      <w:r w:rsidRPr="00FC4F13">
        <w:rPr>
          <w:b w:val="0"/>
        </w:rPr>
        <w:t xml:space="preserve"> </w:t>
      </w:r>
      <w:proofErr w:type="spellStart"/>
      <w:r w:rsidRPr="00FC4F13">
        <w:rPr>
          <w:b w:val="0"/>
        </w:rPr>
        <w:t>bố</w:t>
      </w:r>
      <w:proofErr w:type="spellEnd"/>
      <w:r w:rsidRPr="00FC4F13">
        <w:rPr>
          <w:b w:val="0"/>
        </w:rPr>
        <w:t xml:space="preserve"> </w:t>
      </w:r>
      <w:proofErr w:type="spellStart"/>
      <w:r w:rsidRPr="00FC4F13">
        <w:rPr>
          <w:b w:val="0"/>
        </w:rPr>
        <w:t>tại</w:t>
      </w:r>
      <w:proofErr w:type="spellEnd"/>
      <w:r w:rsidRPr="00FC4F13">
        <w:rPr>
          <w:b w:val="0"/>
        </w:rPr>
        <w:t xml:space="preserve"> </w:t>
      </w:r>
      <w:proofErr w:type="spellStart"/>
      <w:r w:rsidRPr="00FC4F13">
        <w:rPr>
          <w:b w:val="0"/>
        </w:rPr>
        <w:t>Bản</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bạch</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khoảng</w:t>
      </w:r>
      <w:proofErr w:type="spellEnd"/>
      <w:r w:rsidRPr="00FC4F13">
        <w:rPr>
          <w:b w:val="0"/>
        </w:rPr>
        <w:t xml:space="preserve"> </w:t>
      </w:r>
      <w:proofErr w:type="spellStart"/>
      <w:r w:rsidRPr="00FC4F13">
        <w:rPr>
          <w:b w:val="0"/>
        </w:rPr>
        <w:t>thời</w:t>
      </w:r>
      <w:proofErr w:type="spellEnd"/>
      <w:r w:rsidRPr="00FC4F13">
        <w:rPr>
          <w:b w:val="0"/>
        </w:rPr>
        <w:t xml:space="preserve"> </w:t>
      </w:r>
      <w:proofErr w:type="spellStart"/>
      <w:r w:rsidRPr="00FC4F13">
        <w:rPr>
          <w:b w:val="0"/>
        </w:rPr>
        <w:t>gian</w:t>
      </w:r>
      <w:proofErr w:type="spellEnd"/>
      <w:r w:rsidRPr="00FC4F13">
        <w:rPr>
          <w:b w:val="0"/>
        </w:rPr>
        <w:t xml:space="preserve"> </w:t>
      </w:r>
      <w:proofErr w:type="spellStart"/>
      <w:r w:rsidRPr="00FC4F13">
        <w:rPr>
          <w:b w:val="0"/>
        </w:rPr>
        <w:t>năm</w:t>
      </w:r>
      <w:proofErr w:type="spellEnd"/>
      <w:r w:rsidRPr="00FC4F13">
        <w:rPr>
          <w:b w:val="0"/>
        </w:rPr>
        <w:t xml:space="preserve"> (05) </w:t>
      </w:r>
      <w:proofErr w:type="spellStart"/>
      <w:r w:rsidRPr="00FC4F13">
        <w:rPr>
          <w:b w:val="0"/>
        </w:rPr>
        <w:t>năm</w:t>
      </w:r>
      <w:proofErr w:type="spellEnd"/>
      <w:r w:rsidRPr="00FC4F13">
        <w:rPr>
          <w:b w:val="0"/>
        </w:rPr>
        <w:t xml:space="preserve"> </w:t>
      </w:r>
      <w:proofErr w:type="spellStart"/>
      <w:r w:rsidRPr="00FC4F13">
        <w:rPr>
          <w:b w:val="0"/>
        </w:rPr>
        <w:t>gần</w:t>
      </w:r>
      <w:proofErr w:type="spellEnd"/>
      <w:r w:rsidRPr="00FC4F13">
        <w:rPr>
          <w:b w:val="0"/>
        </w:rPr>
        <w:t xml:space="preserve"> </w:t>
      </w:r>
      <w:proofErr w:type="spellStart"/>
      <w:r w:rsidRPr="00FC4F13">
        <w:rPr>
          <w:b w:val="0"/>
        </w:rPr>
        <w:t>nhất</w:t>
      </w:r>
      <w:proofErr w:type="spellEnd"/>
      <w:r w:rsidRPr="00FC4F13">
        <w:rPr>
          <w:b w:val="0"/>
        </w:rPr>
        <w:t xml:space="preserve">, </w:t>
      </w:r>
      <w:proofErr w:type="spellStart"/>
      <w:r w:rsidRPr="00FC4F13">
        <w:rPr>
          <w:b w:val="0"/>
        </w:rPr>
        <w:t>tính</w:t>
      </w:r>
      <w:proofErr w:type="spellEnd"/>
      <w:r w:rsidRPr="00FC4F13">
        <w:rPr>
          <w:b w:val="0"/>
        </w:rPr>
        <w:t xml:space="preserve"> </w:t>
      </w:r>
      <w:proofErr w:type="spellStart"/>
      <w:r w:rsidRPr="00FC4F13">
        <w:rPr>
          <w:b w:val="0"/>
        </w:rPr>
        <w:t>tới</w:t>
      </w:r>
      <w:proofErr w:type="spellEnd"/>
      <w:r w:rsidRPr="00FC4F13">
        <w:rPr>
          <w:b w:val="0"/>
        </w:rPr>
        <w:t xml:space="preserve"> </w:t>
      </w:r>
      <w:proofErr w:type="spellStart"/>
      <w:r w:rsidRPr="00FC4F13">
        <w:rPr>
          <w:b w:val="0"/>
        </w:rPr>
        <w:t>ngày</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bằng</w:t>
      </w:r>
      <w:proofErr w:type="spellEnd"/>
      <w:r w:rsidRPr="00FC4F13">
        <w:rPr>
          <w:b w:val="0"/>
        </w:rPr>
        <w:t xml:space="preserve"> </w:t>
      </w:r>
      <w:proofErr w:type="spellStart"/>
      <w:r w:rsidRPr="00FC4F13">
        <w:rPr>
          <w:b w:val="0"/>
        </w:rPr>
        <w:t>đồ</w:t>
      </w:r>
      <w:proofErr w:type="spellEnd"/>
      <w:r w:rsidRPr="00FC4F13">
        <w:rPr>
          <w:b w:val="0"/>
        </w:rPr>
        <w:t xml:space="preserve"> </w:t>
      </w:r>
      <w:proofErr w:type="spellStart"/>
      <w:r w:rsidRPr="00FC4F13">
        <w:rPr>
          <w:b w:val="0"/>
        </w:rPr>
        <w:t>thị</w:t>
      </w:r>
      <w:proofErr w:type="spellEnd"/>
      <w:proofErr w:type="gramStart"/>
      <w:r w:rsidRPr="00FC4F13">
        <w:rPr>
          <w:b w:val="0"/>
        </w:rPr>
        <w:t>):</w:t>
      </w:r>
      <w:proofErr w:type="gramEnd"/>
      <w:r w:rsidRPr="00FC4F13">
        <w:rPr>
          <w:b w:val="0"/>
        </w:rPr>
        <w:t xml:space="preserve"> </w:t>
      </w:r>
      <w:proofErr w:type="spellStart"/>
      <w:r w:rsidRPr="00FC4F13">
        <w:rPr>
          <w:bCs/>
        </w:rPr>
        <w:t>không</w:t>
      </w:r>
      <w:proofErr w:type="spellEnd"/>
      <w:r w:rsidRPr="00FC4F13">
        <w:rPr>
          <w:bCs/>
        </w:rPr>
        <w:t xml:space="preserve"> </w:t>
      </w:r>
      <w:proofErr w:type="spellStart"/>
      <w:r w:rsidRPr="00FC4F13">
        <w:rPr>
          <w:bCs/>
        </w:rPr>
        <w:t>có</w:t>
      </w:r>
      <w:proofErr w:type="spellEnd"/>
      <w:r w:rsidRPr="00FC4F13">
        <w:rPr>
          <w:bCs/>
        </w:rPr>
        <w:t xml:space="preserve"> </w:t>
      </w:r>
      <w:proofErr w:type="spellStart"/>
      <w:r w:rsidRPr="00FC4F13">
        <w:rPr>
          <w:bCs/>
        </w:rPr>
        <w:t>danh</w:t>
      </w:r>
      <w:proofErr w:type="spellEnd"/>
      <w:r w:rsidRPr="00FC4F13">
        <w:rPr>
          <w:bCs/>
        </w:rPr>
        <w:t xml:space="preserve"> </w:t>
      </w:r>
      <w:proofErr w:type="spellStart"/>
      <w:r w:rsidRPr="00FC4F13">
        <w:rPr>
          <w:bCs/>
        </w:rPr>
        <w:t>mục</w:t>
      </w:r>
      <w:proofErr w:type="spellEnd"/>
      <w:r w:rsidRPr="00FC4F13">
        <w:rPr>
          <w:bCs/>
        </w:rPr>
        <w:t xml:space="preserve"> </w:t>
      </w:r>
      <w:proofErr w:type="spellStart"/>
      <w:r w:rsidRPr="00FC4F13">
        <w:rPr>
          <w:bCs/>
        </w:rPr>
        <w:t>tham</w:t>
      </w:r>
      <w:proofErr w:type="spellEnd"/>
      <w:r w:rsidRPr="00FC4F13">
        <w:rPr>
          <w:bCs/>
        </w:rPr>
        <w:t xml:space="preserve"> </w:t>
      </w:r>
      <w:proofErr w:type="spellStart"/>
      <w:r w:rsidRPr="00FC4F13">
        <w:rPr>
          <w:bCs/>
        </w:rPr>
        <w:t>chiếu</w:t>
      </w:r>
      <w:proofErr w:type="spellEnd"/>
    </w:p>
    <w:p w14:paraId="4A654C19" w14:textId="77777777" w:rsidR="001F1881" w:rsidRPr="00FC4F13" w:rsidRDefault="001F1881" w:rsidP="001F1881">
      <w:pPr>
        <w:pStyle w:val="ListParagraph"/>
        <w:numPr>
          <w:ilvl w:val="0"/>
          <w:numId w:val="5"/>
        </w:numPr>
        <w:tabs>
          <w:tab w:val="left" w:pos="284"/>
        </w:tabs>
        <w:spacing w:line="276" w:lineRule="auto"/>
        <w:ind w:left="0" w:firstLine="0"/>
        <w:jc w:val="both"/>
        <w:rPr>
          <w:b w:val="0"/>
        </w:rPr>
      </w:pPr>
      <w:proofErr w:type="spellStart"/>
      <w:r w:rsidRPr="00FC4F13">
        <w:rPr>
          <w:b w:val="0"/>
        </w:rPr>
        <w:t>Mô</w:t>
      </w:r>
      <w:proofErr w:type="spellEnd"/>
      <w:r w:rsidRPr="00FC4F13">
        <w:rPr>
          <w:b w:val="0"/>
        </w:rPr>
        <w:t xml:space="preserve"> </w:t>
      </w:r>
      <w:proofErr w:type="spellStart"/>
      <w:r w:rsidRPr="00FC4F13">
        <w:rPr>
          <w:b w:val="0"/>
        </w:rPr>
        <w:t>tả</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lược</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thuật</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mà</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đã</w:t>
      </w:r>
      <w:proofErr w:type="spellEnd"/>
      <w:r w:rsidRPr="00FC4F13">
        <w:rPr>
          <w:b w:val="0"/>
        </w:rPr>
        <w:t xml:space="preserve"> </w:t>
      </w:r>
      <w:proofErr w:type="spellStart"/>
      <w:r w:rsidRPr="00FC4F13">
        <w:rPr>
          <w:b w:val="0"/>
        </w:rPr>
        <w:t>sử</w:t>
      </w:r>
      <w:proofErr w:type="spellEnd"/>
      <w:r w:rsidRPr="00FC4F13">
        <w:rPr>
          <w:b w:val="0"/>
        </w:rPr>
        <w:t xml:space="preserve"> </w:t>
      </w:r>
      <w:proofErr w:type="spellStart"/>
      <w:r w:rsidRPr="00FC4F13">
        <w:rPr>
          <w:b w:val="0"/>
        </w:rPr>
        <w:t>dụng</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kỳ</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Trường</w:t>
      </w:r>
      <w:proofErr w:type="spellEnd"/>
      <w:r w:rsidRPr="00FC4F13">
        <w:rPr>
          <w:b w:val="0"/>
        </w:rPr>
        <w:t xml:space="preserve"> </w:t>
      </w:r>
      <w:proofErr w:type="spellStart"/>
      <w:r w:rsidRPr="00FC4F13">
        <w:rPr>
          <w:b w:val="0"/>
        </w:rPr>
        <w:t>hợp</w:t>
      </w:r>
      <w:proofErr w:type="spellEnd"/>
      <w:r w:rsidRPr="00FC4F13">
        <w:rPr>
          <w:b w:val="0"/>
        </w:rPr>
        <w:t xml:space="preserve"> </w:t>
      </w:r>
      <w:proofErr w:type="spellStart"/>
      <w:r w:rsidRPr="00FC4F13">
        <w:rPr>
          <w:b w:val="0"/>
        </w:rPr>
        <w:t>có</w:t>
      </w:r>
      <w:proofErr w:type="spellEnd"/>
      <w:r w:rsidRPr="00FC4F13">
        <w:rPr>
          <w:b w:val="0"/>
        </w:rPr>
        <w:t xml:space="preserve"> </w:t>
      </w:r>
      <w:proofErr w:type="spellStart"/>
      <w:r w:rsidRPr="00FC4F13">
        <w:rPr>
          <w:b w:val="0"/>
        </w:rPr>
        <w:t>sự</w:t>
      </w:r>
      <w:proofErr w:type="spellEnd"/>
      <w:r w:rsidRPr="00FC4F13">
        <w:rPr>
          <w:b w:val="0"/>
        </w:rPr>
        <w:t xml:space="preserve"> </w:t>
      </w:r>
      <w:proofErr w:type="spellStart"/>
      <w:r w:rsidRPr="00FC4F13">
        <w:rPr>
          <w:b w:val="0"/>
        </w:rPr>
        <w:t>khác</w:t>
      </w:r>
      <w:proofErr w:type="spellEnd"/>
      <w:r w:rsidRPr="00FC4F13">
        <w:rPr>
          <w:b w:val="0"/>
        </w:rPr>
        <w:t xml:space="preserve"> </w:t>
      </w:r>
      <w:proofErr w:type="spellStart"/>
      <w:r w:rsidRPr="00FC4F13">
        <w:rPr>
          <w:b w:val="0"/>
        </w:rPr>
        <w:t>biệt</w:t>
      </w:r>
      <w:proofErr w:type="spellEnd"/>
      <w:r w:rsidRPr="00FC4F13">
        <w:rPr>
          <w:b w:val="0"/>
        </w:rPr>
        <w:t xml:space="preserve"> </w:t>
      </w:r>
      <w:proofErr w:type="spellStart"/>
      <w:r w:rsidRPr="00FC4F13">
        <w:rPr>
          <w:b w:val="0"/>
        </w:rPr>
        <w:t>giữa</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lược</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thuật</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thực</w:t>
      </w:r>
      <w:proofErr w:type="spellEnd"/>
      <w:r w:rsidRPr="00FC4F13">
        <w:rPr>
          <w:b w:val="0"/>
        </w:rPr>
        <w:t xml:space="preserve"> </w:t>
      </w:r>
      <w:proofErr w:type="spellStart"/>
      <w:r w:rsidRPr="00FC4F13">
        <w:rPr>
          <w:b w:val="0"/>
        </w:rPr>
        <w:t>hiện</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kỳ</w:t>
      </w:r>
      <w:proofErr w:type="spellEnd"/>
      <w:r w:rsidRPr="00FC4F13">
        <w:rPr>
          <w:b w:val="0"/>
        </w:rPr>
        <w:t xml:space="preserve"> </w:t>
      </w:r>
      <w:proofErr w:type="spellStart"/>
      <w:r w:rsidRPr="00FC4F13">
        <w:rPr>
          <w:b w:val="0"/>
        </w:rPr>
        <w:t>so</w:t>
      </w:r>
      <w:proofErr w:type="spellEnd"/>
      <w:r w:rsidRPr="00FC4F13">
        <w:rPr>
          <w:b w:val="0"/>
        </w:rPr>
        <w:t xml:space="preserve"> </w:t>
      </w:r>
      <w:proofErr w:type="spellStart"/>
      <w:r w:rsidRPr="00FC4F13">
        <w:rPr>
          <w:b w:val="0"/>
        </w:rPr>
        <w:t>với</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lược</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thuật</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đã</w:t>
      </w:r>
      <w:proofErr w:type="spellEnd"/>
      <w:r w:rsidRPr="00FC4F13">
        <w:rPr>
          <w:b w:val="0"/>
        </w:rPr>
        <w:t xml:space="preserve"> </w:t>
      </w:r>
      <w:proofErr w:type="spellStart"/>
      <w:r w:rsidRPr="00FC4F13">
        <w:rPr>
          <w:b w:val="0"/>
        </w:rPr>
        <w:t>công</w:t>
      </w:r>
      <w:proofErr w:type="spellEnd"/>
      <w:r w:rsidRPr="00FC4F13">
        <w:rPr>
          <w:b w:val="0"/>
        </w:rPr>
        <w:t xml:space="preserve"> </w:t>
      </w:r>
      <w:proofErr w:type="spellStart"/>
      <w:r w:rsidRPr="00FC4F13">
        <w:rPr>
          <w:b w:val="0"/>
        </w:rPr>
        <w:t>bố</w:t>
      </w:r>
      <w:proofErr w:type="spellEnd"/>
      <w:r w:rsidRPr="00FC4F13">
        <w:rPr>
          <w:b w:val="0"/>
        </w:rPr>
        <w:t xml:space="preserve"> </w:t>
      </w:r>
      <w:proofErr w:type="spellStart"/>
      <w:r w:rsidRPr="00FC4F13">
        <w:rPr>
          <w:b w:val="0"/>
        </w:rPr>
        <w:t>tại</w:t>
      </w:r>
      <w:proofErr w:type="spellEnd"/>
      <w:r w:rsidRPr="00FC4F13">
        <w:rPr>
          <w:b w:val="0"/>
        </w:rPr>
        <w:t xml:space="preserve"> </w:t>
      </w:r>
      <w:proofErr w:type="spellStart"/>
      <w:r w:rsidRPr="00FC4F13">
        <w:rPr>
          <w:b w:val="0"/>
        </w:rPr>
        <w:t>Bản</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bạch</w:t>
      </w:r>
      <w:proofErr w:type="spellEnd"/>
      <w:r w:rsidRPr="00FC4F13">
        <w:rPr>
          <w:b w:val="0"/>
        </w:rPr>
        <w:t xml:space="preserve">, </w:t>
      </w:r>
      <w:proofErr w:type="spellStart"/>
      <w:r w:rsidRPr="00FC4F13">
        <w:rPr>
          <w:b w:val="0"/>
        </w:rPr>
        <w:t>thì</w:t>
      </w:r>
      <w:proofErr w:type="spellEnd"/>
      <w:r w:rsidRPr="00FC4F13">
        <w:rPr>
          <w:b w:val="0"/>
        </w:rPr>
        <w:t xml:space="preserve"> </w:t>
      </w:r>
      <w:proofErr w:type="spellStart"/>
      <w:r w:rsidRPr="00FC4F13">
        <w:rPr>
          <w:b w:val="0"/>
        </w:rPr>
        <w:t>phải</w:t>
      </w:r>
      <w:proofErr w:type="spellEnd"/>
      <w:r w:rsidRPr="00FC4F13">
        <w:rPr>
          <w:b w:val="0"/>
        </w:rPr>
        <w:t xml:space="preserve"> </w:t>
      </w:r>
      <w:proofErr w:type="spellStart"/>
      <w:r w:rsidRPr="00FC4F13">
        <w:rPr>
          <w:b w:val="0"/>
        </w:rPr>
        <w:t>bổ</w:t>
      </w:r>
      <w:proofErr w:type="spellEnd"/>
      <w:r w:rsidRPr="00FC4F13">
        <w:rPr>
          <w:b w:val="0"/>
        </w:rPr>
        <w:t xml:space="preserve"> </w:t>
      </w:r>
      <w:proofErr w:type="spellStart"/>
      <w:r w:rsidRPr="00FC4F13">
        <w:rPr>
          <w:b w:val="0"/>
        </w:rPr>
        <w:t>sung</w:t>
      </w:r>
      <w:proofErr w:type="spellEnd"/>
      <w:r w:rsidRPr="00FC4F13">
        <w:rPr>
          <w:b w:val="0"/>
        </w:rPr>
        <w:t xml:space="preserve"> </w:t>
      </w:r>
      <w:proofErr w:type="spellStart"/>
      <w:r w:rsidRPr="00FC4F13">
        <w:rPr>
          <w:b w:val="0"/>
        </w:rPr>
        <w:t>thuyết</w:t>
      </w:r>
      <w:proofErr w:type="spellEnd"/>
      <w:r w:rsidRPr="00FC4F13">
        <w:rPr>
          <w:b w:val="0"/>
        </w:rPr>
        <w:t xml:space="preserve"> </w:t>
      </w:r>
      <w:proofErr w:type="spellStart"/>
      <w:r w:rsidRPr="00FC4F13">
        <w:rPr>
          <w:b w:val="0"/>
        </w:rPr>
        <w:t>minh</w:t>
      </w:r>
      <w:proofErr w:type="spellEnd"/>
      <w:r w:rsidRPr="00FC4F13">
        <w:rPr>
          <w:b w:val="0"/>
        </w:rPr>
        <w:t xml:space="preserve"> </w:t>
      </w:r>
      <w:proofErr w:type="spellStart"/>
      <w:r w:rsidRPr="00FC4F13">
        <w:rPr>
          <w:b w:val="0"/>
        </w:rPr>
        <w:t>và</w:t>
      </w:r>
      <w:proofErr w:type="spellEnd"/>
      <w:r w:rsidRPr="00FC4F13">
        <w:rPr>
          <w:b w:val="0"/>
        </w:rPr>
        <w:t xml:space="preserve"> </w:t>
      </w:r>
      <w:proofErr w:type="spellStart"/>
      <w:r w:rsidRPr="00FC4F13">
        <w:rPr>
          <w:b w:val="0"/>
        </w:rPr>
        <w:t>đánh</w:t>
      </w:r>
      <w:proofErr w:type="spellEnd"/>
      <w:r w:rsidRPr="00FC4F13">
        <w:rPr>
          <w:b w:val="0"/>
        </w:rPr>
        <w:t xml:space="preserve"> </w:t>
      </w:r>
      <w:proofErr w:type="spellStart"/>
      <w:r w:rsidRPr="00FC4F13">
        <w:rPr>
          <w:b w:val="0"/>
        </w:rPr>
        <w:t>giá</w:t>
      </w:r>
      <w:proofErr w:type="spellEnd"/>
      <w:r w:rsidRPr="00FC4F13">
        <w:rPr>
          <w:b w:val="0"/>
        </w:rPr>
        <w:t xml:space="preserve"> </w:t>
      </w:r>
      <w:proofErr w:type="spellStart"/>
      <w:r w:rsidRPr="00FC4F13">
        <w:rPr>
          <w:b w:val="0"/>
        </w:rPr>
        <w:t>ưu</w:t>
      </w:r>
      <w:proofErr w:type="spellEnd"/>
      <w:r w:rsidRPr="00FC4F13">
        <w:rPr>
          <w:b w:val="0"/>
        </w:rPr>
        <w:t xml:space="preserve">, </w:t>
      </w:r>
      <w:proofErr w:type="spellStart"/>
      <w:r w:rsidRPr="00FC4F13">
        <w:rPr>
          <w:b w:val="0"/>
        </w:rPr>
        <w:t>nhược</w:t>
      </w:r>
      <w:proofErr w:type="spellEnd"/>
      <w:r w:rsidRPr="00FC4F13">
        <w:rPr>
          <w:b w:val="0"/>
        </w:rPr>
        <w:t xml:space="preserve"> </w:t>
      </w:r>
      <w:proofErr w:type="spellStart"/>
      <w:r w:rsidRPr="00FC4F13">
        <w:rPr>
          <w:b w:val="0"/>
        </w:rPr>
        <w:t>điểm</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lược</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thuật</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đã</w:t>
      </w:r>
      <w:proofErr w:type="spellEnd"/>
      <w:r w:rsidRPr="00FC4F13">
        <w:rPr>
          <w:b w:val="0"/>
        </w:rPr>
        <w:t xml:space="preserve"> </w:t>
      </w:r>
      <w:proofErr w:type="spellStart"/>
      <w:r w:rsidRPr="00FC4F13">
        <w:rPr>
          <w:b w:val="0"/>
        </w:rPr>
        <w:t>thực</w:t>
      </w:r>
      <w:proofErr w:type="spellEnd"/>
      <w:r w:rsidRPr="00FC4F13">
        <w:rPr>
          <w:b w:val="0"/>
        </w:rPr>
        <w:t xml:space="preserve"> </w:t>
      </w:r>
      <w:proofErr w:type="spellStart"/>
      <w:r w:rsidRPr="00FC4F13">
        <w:rPr>
          <w:b w:val="0"/>
        </w:rPr>
        <w:t>hiện</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proofErr w:type="gramStart"/>
      <w:r w:rsidRPr="00FC4F13">
        <w:rPr>
          <w:b w:val="0"/>
        </w:rPr>
        <w:t>kỳ</w:t>
      </w:r>
      <w:proofErr w:type="spellEnd"/>
      <w:r w:rsidRPr="00FC4F13">
        <w:rPr>
          <w:b w:val="0"/>
        </w:rPr>
        <w:t>:</w:t>
      </w:r>
      <w:proofErr w:type="gramEnd"/>
      <w:r w:rsidRPr="00FC4F13">
        <w:rPr>
          <w:b w:val="0"/>
        </w:rPr>
        <w:t xml:space="preserve"> </w:t>
      </w:r>
    </w:p>
    <w:p w14:paraId="2B25257D" w14:textId="77777777" w:rsidR="001F1881" w:rsidRPr="001F1881" w:rsidRDefault="001F1881" w:rsidP="001F1881">
      <w:pPr>
        <w:pStyle w:val="ListParagraph"/>
        <w:numPr>
          <w:ilvl w:val="0"/>
          <w:numId w:val="25"/>
        </w:numPr>
        <w:tabs>
          <w:tab w:val="left" w:pos="284"/>
          <w:tab w:val="left" w:pos="1134"/>
        </w:tabs>
        <w:spacing w:line="276" w:lineRule="auto"/>
        <w:ind w:left="284" w:hanging="218"/>
        <w:jc w:val="both"/>
        <w:rPr>
          <w:b w:val="0"/>
          <w:bCs/>
        </w:rPr>
      </w:pPr>
      <w:proofErr w:type="spellStart"/>
      <w:r w:rsidRPr="001F1881">
        <w:rPr>
          <w:b w:val="0"/>
          <w:bCs/>
        </w:rPr>
        <w:t>Chiến</w:t>
      </w:r>
      <w:proofErr w:type="spellEnd"/>
      <w:r w:rsidRPr="001F1881">
        <w:rPr>
          <w:b w:val="0"/>
          <w:bCs/>
        </w:rPr>
        <w:t xml:space="preserve"> </w:t>
      </w:r>
      <w:proofErr w:type="spellStart"/>
      <w:r w:rsidRPr="001F1881">
        <w:rPr>
          <w:b w:val="0"/>
          <w:bCs/>
        </w:rPr>
        <w:t>lược</w:t>
      </w:r>
      <w:proofErr w:type="spellEnd"/>
      <w:r w:rsidRPr="001F1881">
        <w:rPr>
          <w:b w:val="0"/>
          <w:bCs/>
        </w:rPr>
        <w:t xml:space="preserve"> </w:t>
      </w:r>
      <w:proofErr w:type="spellStart"/>
      <w:r w:rsidRPr="001F1881">
        <w:rPr>
          <w:b w:val="0"/>
          <w:bCs/>
        </w:rPr>
        <w:t>đầu</w:t>
      </w:r>
      <w:proofErr w:type="spellEnd"/>
      <w:r w:rsidRPr="001F1881">
        <w:rPr>
          <w:b w:val="0"/>
          <w:bCs/>
        </w:rPr>
        <w:t xml:space="preserve"> </w:t>
      </w:r>
      <w:proofErr w:type="spellStart"/>
      <w:r w:rsidRPr="001F1881">
        <w:rPr>
          <w:b w:val="0"/>
          <w:bCs/>
        </w:rPr>
        <w:t>tư</w:t>
      </w:r>
      <w:proofErr w:type="spellEnd"/>
      <w:r w:rsidRPr="001F1881">
        <w:rPr>
          <w:b w:val="0"/>
          <w:bCs/>
        </w:rPr>
        <w:t xml:space="preserve"> </w:t>
      </w:r>
      <w:proofErr w:type="spellStart"/>
      <w:r w:rsidRPr="001F1881">
        <w:rPr>
          <w:b w:val="0"/>
          <w:bCs/>
        </w:rPr>
        <w:t>của</w:t>
      </w:r>
      <w:proofErr w:type="spellEnd"/>
      <w:r w:rsidRPr="001F1881">
        <w:rPr>
          <w:b w:val="0"/>
          <w:bCs/>
        </w:rPr>
        <w:t xml:space="preserve"> </w:t>
      </w:r>
      <w:proofErr w:type="spellStart"/>
      <w:r w:rsidRPr="001F1881">
        <w:rPr>
          <w:b w:val="0"/>
          <w:bCs/>
        </w:rPr>
        <w:t>Quỹ</w:t>
      </w:r>
      <w:proofErr w:type="spellEnd"/>
      <w:r w:rsidRPr="001F1881">
        <w:rPr>
          <w:b w:val="0"/>
          <w:bCs/>
        </w:rPr>
        <w:t xml:space="preserve"> </w:t>
      </w:r>
      <w:proofErr w:type="spellStart"/>
      <w:r w:rsidRPr="001F1881">
        <w:rPr>
          <w:b w:val="0"/>
          <w:bCs/>
        </w:rPr>
        <w:t>kết</w:t>
      </w:r>
      <w:proofErr w:type="spellEnd"/>
      <w:r w:rsidRPr="001F1881">
        <w:rPr>
          <w:b w:val="0"/>
          <w:bCs/>
        </w:rPr>
        <w:t xml:space="preserve"> </w:t>
      </w:r>
      <w:proofErr w:type="spellStart"/>
      <w:r w:rsidRPr="001F1881">
        <w:rPr>
          <w:b w:val="0"/>
          <w:bCs/>
        </w:rPr>
        <w:t>hợp</w:t>
      </w:r>
      <w:proofErr w:type="spellEnd"/>
      <w:r w:rsidRPr="001F1881">
        <w:rPr>
          <w:b w:val="0"/>
          <w:bCs/>
        </w:rPr>
        <w:t xml:space="preserve"> </w:t>
      </w:r>
      <w:proofErr w:type="spellStart"/>
      <w:r w:rsidRPr="001F1881">
        <w:rPr>
          <w:b w:val="0"/>
          <w:bCs/>
        </w:rPr>
        <w:t>linh</w:t>
      </w:r>
      <w:proofErr w:type="spellEnd"/>
      <w:r w:rsidRPr="001F1881">
        <w:rPr>
          <w:b w:val="0"/>
          <w:bCs/>
        </w:rPr>
        <w:t xml:space="preserve"> </w:t>
      </w:r>
      <w:proofErr w:type="spellStart"/>
      <w:r w:rsidRPr="001F1881">
        <w:rPr>
          <w:b w:val="0"/>
          <w:bCs/>
        </w:rPr>
        <w:t>hoạt</w:t>
      </w:r>
      <w:proofErr w:type="spellEnd"/>
      <w:r w:rsidRPr="001F1881">
        <w:rPr>
          <w:b w:val="0"/>
          <w:bCs/>
        </w:rPr>
        <w:t xml:space="preserve"> </w:t>
      </w:r>
      <w:proofErr w:type="spellStart"/>
      <w:r w:rsidRPr="001F1881">
        <w:rPr>
          <w:b w:val="0"/>
          <w:bCs/>
        </w:rPr>
        <w:t>chiến</w:t>
      </w:r>
      <w:proofErr w:type="spellEnd"/>
      <w:r w:rsidRPr="001F1881">
        <w:rPr>
          <w:b w:val="0"/>
          <w:bCs/>
        </w:rPr>
        <w:t xml:space="preserve"> </w:t>
      </w:r>
      <w:proofErr w:type="spellStart"/>
      <w:r w:rsidRPr="001F1881">
        <w:rPr>
          <w:b w:val="0"/>
          <w:bCs/>
        </w:rPr>
        <w:t>lược</w:t>
      </w:r>
      <w:proofErr w:type="spellEnd"/>
      <w:r w:rsidRPr="001F1881">
        <w:rPr>
          <w:b w:val="0"/>
          <w:bCs/>
        </w:rPr>
        <w:t xml:space="preserve"> </w:t>
      </w:r>
      <w:proofErr w:type="spellStart"/>
      <w:r w:rsidRPr="001F1881">
        <w:rPr>
          <w:b w:val="0"/>
          <w:bCs/>
        </w:rPr>
        <w:t>đầu</w:t>
      </w:r>
      <w:proofErr w:type="spellEnd"/>
      <w:r w:rsidRPr="001F1881">
        <w:rPr>
          <w:b w:val="0"/>
          <w:bCs/>
        </w:rPr>
        <w:t xml:space="preserve"> </w:t>
      </w:r>
      <w:proofErr w:type="spellStart"/>
      <w:r w:rsidRPr="001F1881">
        <w:rPr>
          <w:b w:val="0"/>
          <w:bCs/>
        </w:rPr>
        <w:t>tư</w:t>
      </w:r>
      <w:proofErr w:type="spellEnd"/>
      <w:r w:rsidRPr="001F1881">
        <w:rPr>
          <w:b w:val="0"/>
          <w:bCs/>
        </w:rPr>
        <w:t xml:space="preserve"> </w:t>
      </w:r>
      <w:proofErr w:type="spellStart"/>
      <w:r w:rsidRPr="001F1881">
        <w:rPr>
          <w:b w:val="0"/>
          <w:bCs/>
        </w:rPr>
        <w:t>giá</w:t>
      </w:r>
      <w:proofErr w:type="spellEnd"/>
      <w:r w:rsidRPr="001F1881">
        <w:rPr>
          <w:b w:val="0"/>
          <w:bCs/>
        </w:rPr>
        <w:t xml:space="preserve"> </w:t>
      </w:r>
      <w:proofErr w:type="spellStart"/>
      <w:r w:rsidRPr="001F1881">
        <w:rPr>
          <w:b w:val="0"/>
          <w:bCs/>
        </w:rPr>
        <w:t>trị</w:t>
      </w:r>
      <w:proofErr w:type="spellEnd"/>
      <w:r w:rsidRPr="001F1881">
        <w:rPr>
          <w:b w:val="0"/>
          <w:bCs/>
        </w:rPr>
        <w:t xml:space="preserve"> </w:t>
      </w:r>
      <w:proofErr w:type="spellStart"/>
      <w:r w:rsidRPr="001F1881">
        <w:rPr>
          <w:b w:val="0"/>
          <w:bCs/>
        </w:rPr>
        <w:t>với</w:t>
      </w:r>
      <w:proofErr w:type="spellEnd"/>
      <w:r w:rsidRPr="001F1881">
        <w:rPr>
          <w:b w:val="0"/>
          <w:bCs/>
        </w:rPr>
        <w:t xml:space="preserve"> </w:t>
      </w:r>
      <w:proofErr w:type="spellStart"/>
      <w:r w:rsidRPr="001F1881">
        <w:rPr>
          <w:b w:val="0"/>
          <w:bCs/>
        </w:rPr>
        <w:t>đầu</w:t>
      </w:r>
      <w:proofErr w:type="spellEnd"/>
      <w:r w:rsidRPr="001F1881">
        <w:rPr>
          <w:b w:val="0"/>
          <w:bCs/>
        </w:rPr>
        <w:t xml:space="preserve"> </w:t>
      </w:r>
      <w:proofErr w:type="spellStart"/>
      <w:r w:rsidRPr="001F1881">
        <w:rPr>
          <w:b w:val="0"/>
          <w:bCs/>
        </w:rPr>
        <w:t>tư</w:t>
      </w:r>
      <w:proofErr w:type="spellEnd"/>
      <w:r w:rsidRPr="001F1881">
        <w:rPr>
          <w:b w:val="0"/>
          <w:bCs/>
        </w:rPr>
        <w:t xml:space="preserve"> </w:t>
      </w:r>
      <w:proofErr w:type="spellStart"/>
      <w:r w:rsidRPr="001F1881">
        <w:rPr>
          <w:b w:val="0"/>
          <w:bCs/>
        </w:rPr>
        <w:t>tăng</w:t>
      </w:r>
      <w:proofErr w:type="spellEnd"/>
      <w:r w:rsidRPr="001F1881">
        <w:rPr>
          <w:b w:val="0"/>
          <w:bCs/>
        </w:rPr>
        <w:t xml:space="preserve"> </w:t>
      </w:r>
      <w:proofErr w:type="spellStart"/>
      <w:r w:rsidRPr="001F1881">
        <w:rPr>
          <w:b w:val="0"/>
          <w:bCs/>
        </w:rPr>
        <w:t>trưởng</w:t>
      </w:r>
      <w:proofErr w:type="spellEnd"/>
      <w:r w:rsidRPr="001F1881">
        <w:rPr>
          <w:b w:val="0"/>
          <w:bCs/>
        </w:rPr>
        <w:t xml:space="preserve">. </w:t>
      </w:r>
      <w:proofErr w:type="spellStart"/>
      <w:r w:rsidRPr="001F1881">
        <w:rPr>
          <w:b w:val="0"/>
          <w:bCs/>
        </w:rPr>
        <w:t>Quỹ</w:t>
      </w:r>
      <w:proofErr w:type="spellEnd"/>
      <w:r w:rsidRPr="001F1881">
        <w:rPr>
          <w:b w:val="0"/>
          <w:bCs/>
        </w:rPr>
        <w:t xml:space="preserve"> </w:t>
      </w:r>
      <w:proofErr w:type="spellStart"/>
      <w:r w:rsidRPr="001F1881">
        <w:rPr>
          <w:b w:val="0"/>
          <w:bCs/>
        </w:rPr>
        <w:t>sẽ</w:t>
      </w:r>
      <w:proofErr w:type="spellEnd"/>
      <w:r w:rsidRPr="001F1881">
        <w:rPr>
          <w:b w:val="0"/>
          <w:bCs/>
        </w:rPr>
        <w:t xml:space="preserve"> </w:t>
      </w:r>
      <w:proofErr w:type="spellStart"/>
      <w:r w:rsidRPr="001F1881">
        <w:rPr>
          <w:b w:val="0"/>
          <w:bCs/>
        </w:rPr>
        <w:t>theo</w:t>
      </w:r>
      <w:proofErr w:type="spellEnd"/>
      <w:r w:rsidRPr="001F1881">
        <w:rPr>
          <w:b w:val="0"/>
          <w:bCs/>
        </w:rPr>
        <w:t xml:space="preserve"> </w:t>
      </w:r>
      <w:proofErr w:type="spellStart"/>
      <w:r w:rsidRPr="001F1881">
        <w:rPr>
          <w:b w:val="0"/>
          <w:bCs/>
        </w:rPr>
        <w:t>đuổi</w:t>
      </w:r>
      <w:proofErr w:type="spellEnd"/>
      <w:r w:rsidRPr="001F1881">
        <w:rPr>
          <w:b w:val="0"/>
          <w:bCs/>
        </w:rPr>
        <w:t xml:space="preserve"> </w:t>
      </w:r>
      <w:proofErr w:type="spellStart"/>
      <w:r w:rsidRPr="001F1881">
        <w:rPr>
          <w:b w:val="0"/>
          <w:bCs/>
        </w:rPr>
        <w:t>chiến</w:t>
      </w:r>
      <w:proofErr w:type="spellEnd"/>
      <w:r w:rsidRPr="001F1881">
        <w:rPr>
          <w:b w:val="0"/>
          <w:bCs/>
        </w:rPr>
        <w:t xml:space="preserve"> </w:t>
      </w:r>
      <w:proofErr w:type="spellStart"/>
      <w:r w:rsidRPr="001F1881">
        <w:rPr>
          <w:b w:val="0"/>
          <w:bCs/>
        </w:rPr>
        <w:t>lược</w:t>
      </w:r>
      <w:proofErr w:type="spellEnd"/>
      <w:r w:rsidRPr="001F1881">
        <w:rPr>
          <w:b w:val="0"/>
          <w:bCs/>
        </w:rPr>
        <w:t xml:space="preserve"> </w:t>
      </w:r>
      <w:proofErr w:type="spellStart"/>
      <w:r w:rsidRPr="001F1881">
        <w:rPr>
          <w:b w:val="0"/>
          <w:bCs/>
        </w:rPr>
        <w:t>đầu</w:t>
      </w:r>
      <w:proofErr w:type="spellEnd"/>
      <w:r w:rsidRPr="001F1881">
        <w:rPr>
          <w:b w:val="0"/>
          <w:bCs/>
        </w:rPr>
        <w:t xml:space="preserve"> </w:t>
      </w:r>
      <w:proofErr w:type="spellStart"/>
      <w:r w:rsidRPr="001F1881">
        <w:rPr>
          <w:b w:val="0"/>
          <w:bCs/>
        </w:rPr>
        <w:t>tư</w:t>
      </w:r>
      <w:proofErr w:type="spellEnd"/>
      <w:r w:rsidRPr="001F1881">
        <w:rPr>
          <w:b w:val="0"/>
          <w:bCs/>
        </w:rPr>
        <w:t xml:space="preserve"> </w:t>
      </w:r>
      <w:proofErr w:type="spellStart"/>
      <w:r w:rsidRPr="001F1881">
        <w:rPr>
          <w:b w:val="0"/>
          <w:bCs/>
        </w:rPr>
        <w:t>dài</w:t>
      </w:r>
      <w:proofErr w:type="spellEnd"/>
      <w:r w:rsidRPr="001F1881">
        <w:rPr>
          <w:b w:val="0"/>
          <w:bCs/>
        </w:rPr>
        <w:t xml:space="preserve"> </w:t>
      </w:r>
      <w:proofErr w:type="spellStart"/>
      <w:r w:rsidRPr="001F1881">
        <w:rPr>
          <w:b w:val="0"/>
          <w:bCs/>
        </w:rPr>
        <w:t>hạn</w:t>
      </w:r>
      <w:proofErr w:type="spellEnd"/>
      <w:r w:rsidRPr="001F1881">
        <w:rPr>
          <w:b w:val="0"/>
          <w:bCs/>
        </w:rPr>
        <w:t xml:space="preserve">, </w:t>
      </w:r>
      <w:proofErr w:type="spellStart"/>
      <w:r w:rsidRPr="001F1881">
        <w:rPr>
          <w:b w:val="0"/>
          <w:bCs/>
        </w:rPr>
        <w:t>tập</w:t>
      </w:r>
      <w:proofErr w:type="spellEnd"/>
      <w:r w:rsidRPr="001F1881">
        <w:rPr>
          <w:b w:val="0"/>
          <w:bCs/>
        </w:rPr>
        <w:t xml:space="preserve"> </w:t>
      </w:r>
      <w:proofErr w:type="spellStart"/>
      <w:r w:rsidRPr="001F1881">
        <w:rPr>
          <w:b w:val="0"/>
          <w:bCs/>
        </w:rPr>
        <w:t>trung</w:t>
      </w:r>
      <w:proofErr w:type="spellEnd"/>
      <w:r w:rsidRPr="001F1881">
        <w:rPr>
          <w:b w:val="0"/>
          <w:bCs/>
        </w:rPr>
        <w:t xml:space="preserve"> </w:t>
      </w:r>
      <w:proofErr w:type="spellStart"/>
      <w:r w:rsidRPr="001F1881">
        <w:rPr>
          <w:b w:val="0"/>
          <w:bCs/>
        </w:rPr>
        <w:t>phân</w:t>
      </w:r>
      <w:proofErr w:type="spellEnd"/>
      <w:r w:rsidRPr="001F1881">
        <w:rPr>
          <w:b w:val="0"/>
          <w:bCs/>
        </w:rPr>
        <w:t xml:space="preserve"> </w:t>
      </w:r>
      <w:proofErr w:type="spellStart"/>
      <w:r w:rsidRPr="001F1881">
        <w:rPr>
          <w:b w:val="0"/>
          <w:bCs/>
        </w:rPr>
        <w:t>tích</w:t>
      </w:r>
      <w:proofErr w:type="spellEnd"/>
      <w:r w:rsidRPr="001F1881">
        <w:rPr>
          <w:b w:val="0"/>
          <w:bCs/>
        </w:rPr>
        <w:t xml:space="preserve"> </w:t>
      </w:r>
      <w:proofErr w:type="spellStart"/>
      <w:r w:rsidRPr="001F1881">
        <w:rPr>
          <w:b w:val="0"/>
          <w:bCs/>
        </w:rPr>
        <w:t>các</w:t>
      </w:r>
      <w:proofErr w:type="spellEnd"/>
      <w:r w:rsidRPr="001F1881">
        <w:rPr>
          <w:b w:val="0"/>
          <w:bCs/>
        </w:rPr>
        <w:t xml:space="preserve"> </w:t>
      </w:r>
      <w:proofErr w:type="spellStart"/>
      <w:r w:rsidRPr="001F1881">
        <w:rPr>
          <w:b w:val="0"/>
          <w:bCs/>
        </w:rPr>
        <w:t>yếu</w:t>
      </w:r>
      <w:proofErr w:type="spellEnd"/>
      <w:r w:rsidRPr="001F1881">
        <w:rPr>
          <w:b w:val="0"/>
          <w:bCs/>
        </w:rPr>
        <w:t xml:space="preserve"> </w:t>
      </w:r>
      <w:proofErr w:type="spellStart"/>
      <w:r w:rsidRPr="001F1881">
        <w:rPr>
          <w:b w:val="0"/>
          <w:bCs/>
        </w:rPr>
        <w:t>tố</w:t>
      </w:r>
      <w:proofErr w:type="spellEnd"/>
      <w:r w:rsidRPr="001F1881">
        <w:rPr>
          <w:b w:val="0"/>
          <w:bCs/>
        </w:rPr>
        <w:t xml:space="preserve"> </w:t>
      </w:r>
      <w:proofErr w:type="spellStart"/>
      <w:r w:rsidRPr="001F1881">
        <w:rPr>
          <w:b w:val="0"/>
          <w:bCs/>
        </w:rPr>
        <w:t>cơ</w:t>
      </w:r>
      <w:proofErr w:type="spellEnd"/>
      <w:r w:rsidRPr="001F1881">
        <w:rPr>
          <w:b w:val="0"/>
          <w:bCs/>
        </w:rPr>
        <w:t xml:space="preserve"> </w:t>
      </w:r>
      <w:proofErr w:type="spellStart"/>
      <w:r w:rsidRPr="001F1881">
        <w:rPr>
          <w:b w:val="0"/>
          <w:bCs/>
        </w:rPr>
        <w:t>bản</w:t>
      </w:r>
      <w:proofErr w:type="spellEnd"/>
      <w:r w:rsidRPr="001F1881">
        <w:rPr>
          <w:b w:val="0"/>
          <w:bCs/>
        </w:rPr>
        <w:t xml:space="preserve"> </w:t>
      </w:r>
      <w:proofErr w:type="spellStart"/>
      <w:r w:rsidRPr="001F1881">
        <w:rPr>
          <w:b w:val="0"/>
          <w:bCs/>
        </w:rPr>
        <w:t>và</w:t>
      </w:r>
      <w:proofErr w:type="spellEnd"/>
      <w:r w:rsidRPr="001F1881">
        <w:rPr>
          <w:b w:val="0"/>
          <w:bCs/>
        </w:rPr>
        <w:t xml:space="preserve"> </w:t>
      </w:r>
      <w:proofErr w:type="spellStart"/>
      <w:r w:rsidRPr="001F1881">
        <w:rPr>
          <w:b w:val="0"/>
          <w:bCs/>
        </w:rPr>
        <w:t>giá</w:t>
      </w:r>
      <w:proofErr w:type="spellEnd"/>
      <w:r w:rsidRPr="001F1881">
        <w:rPr>
          <w:b w:val="0"/>
          <w:bCs/>
        </w:rPr>
        <w:t xml:space="preserve"> </w:t>
      </w:r>
      <w:proofErr w:type="spellStart"/>
      <w:r w:rsidRPr="001F1881">
        <w:rPr>
          <w:b w:val="0"/>
          <w:bCs/>
        </w:rPr>
        <w:t>trị</w:t>
      </w:r>
      <w:proofErr w:type="spellEnd"/>
      <w:r w:rsidRPr="001F1881">
        <w:rPr>
          <w:b w:val="0"/>
          <w:bCs/>
        </w:rPr>
        <w:t xml:space="preserve"> </w:t>
      </w:r>
      <w:proofErr w:type="spellStart"/>
      <w:r w:rsidRPr="001F1881">
        <w:rPr>
          <w:b w:val="0"/>
          <w:bCs/>
        </w:rPr>
        <w:t>doanh</w:t>
      </w:r>
      <w:proofErr w:type="spellEnd"/>
      <w:r w:rsidRPr="001F1881">
        <w:rPr>
          <w:b w:val="0"/>
          <w:bCs/>
        </w:rPr>
        <w:t xml:space="preserve"> </w:t>
      </w:r>
      <w:proofErr w:type="spellStart"/>
      <w:r w:rsidRPr="001F1881">
        <w:rPr>
          <w:b w:val="0"/>
          <w:bCs/>
        </w:rPr>
        <w:t>nghiệp</w:t>
      </w:r>
      <w:proofErr w:type="spellEnd"/>
      <w:r w:rsidRPr="001F1881">
        <w:rPr>
          <w:b w:val="0"/>
          <w:bCs/>
        </w:rPr>
        <w:t xml:space="preserve">. </w:t>
      </w:r>
    </w:p>
    <w:p w14:paraId="4B1BEE0C" w14:textId="77777777" w:rsidR="001F1881" w:rsidRPr="001F1881" w:rsidRDefault="001F1881" w:rsidP="001F1881">
      <w:pPr>
        <w:pStyle w:val="ListParagraph"/>
        <w:numPr>
          <w:ilvl w:val="0"/>
          <w:numId w:val="25"/>
        </w:numPr>
        <w:tabs>
          <w:tab w:val="left" w:pos="270"/>
          <w:tab w:val="left" w:pos="1134"/>
        </w:tabs>
        <w:spacing w:line="276" w:lineRule="auto"/>
        <w:ind w:left="284" w:hanging="218"/>
        <w:jc w:val="both"/>
        <w:rPr>
          <w:b w:val="0"/>
          <w:bCs/>
        </w:rPr>
      </w:pPr>
      <w:proofErr w:type="spellStart"/>
      <w:r w:rsidRPr="001F1881">
        <w:rPr>
          <w:b w:val="0"/>
          <w:bCs/>
        </w:rPr>
        <w:lastRenderedPageBreak/>
        <w:t>Quỹ</w:t>
      </w:r>
      <w:proofErr w:type="spellEnd"/>
      <w:r w:rsidRPr="001F1881">
        <w:rPr>
          <w:b w:val="0"/>
          <w:bCs/>
        </w:rPr>
        <w:t xml:space="preserve"> </w:t>
      </w:r>
      <w:proofErr w:type="spellStart"/>
      <w:r w:rsidRPr="001F1881">
        <w:rPr>
          <w:b w:val="0"/>
          <w:bCs/>
        </w:rPr>
        <w:t>sẽ</w:t>
      </w:r>
      <w:proofErr w:type="spellEnd"/>
      <w:r w:rsidRPr="001F1881">
        <w:rPr>
          <w:b w:val="0"/>
          <w:bCs/>
        </w:rPr>
        <w:t xml:space="preserve"> </w:t>
      </w:r>
      <w:proofErr w:type="spellStart"/>
      <w:r w:rsidRPr="001F1881">
        <w:rPr>
          <w:b w:val="0"/>
          <w:bCs/>
        </w:rPr>
        <w:t>đầu</w:t>
      </w:r>
      <w:proofErr w:type="spellEnd"/>
      <w:r w:rsidRPr="001F1881">
        <w:rPr>
          <w:b w:val="0"/>
          <w:bCs/>
        </w:rPr>
        <w:t xml:space="preserve"> </w:t>
      </w:r>
      <w:proofErr w:type="spellStart"/>
      <w:r w:rsidRPr="001F1881">
        <w:rPr>
          <w:b w:val="0"/>
          <w:bCs/>
        </w:rPr>
        <w:t>tư</w:t>
      </w:r>
      <w:proofErr w:type="spellEnd"/>
      <w:r w:rsidRPr="001F1881">
        <w:rPr>
          <w:b w:val="0"/>
          <w:bCs/>
        </w:rPr>
        <w:t xml:space="preserve"> </w:t>
      </w:r>
      <w:proofErr w:type="spellStart"/>
      <w:r w:rsidRPr="001F1881">
        <w:rPr>
          <w:b w:val="0"/>
          <w:bCs/>
        </w:rPr>
        <w:t>chủ</w:t>
      </w:r>
      <w:proofErr w:type="spellEnd"/>
      <w:r w:rsidRPr="001F1881">
        <w:rPr>
          <w:b w:val="0"/>
          <w:bCs/>
        </w:rPr>
        <w:t xml:space="preserve"> </w:t>
      </w:r>
      <w:proofErr w:type="spellStart"/>
      <w:r w:rsidRPr="001F1881">
        <w:rPr>
          <w:b w:val="0"/>
          <w:bCs/>
        </w:rPr>
        <w:t>yếu</w:t>
      </w:r>
      <w:proofErr w:type="spellEnd"/>
      <w:r w:rsidRPr="001F1881">
        <w:rPr>
          <w:b w:val="0"/>
          <w:bCs/>
        </w:rPr>
        <w:t xml:space="preserve"> </w:t>
      </w:r>
      <w:proofErr w:type="spellStart"/>
      <w:r w:rsidRPr="001F1881">
        <w:rPr>
          <w:b w:val="0"/>
          <w:bCs/>
        </w:rPr>
        <w:t>vào</w:t>
      </w:r>
      <w:proofErr w:type="spellEnd"/>
      <w:r w:rsidRPr="001F1881">
        <w:rPr>
          <w:b w:val="0"/>
          <w:bCs/>
        </w:rPr>
        <w:t xml:space="preserve"> </w:t>
      </w:r>
      <w:proofErr w:type="spellStart"/>
      <w:r w:rsidRPr="001F1881">
        <w:rPr>
          <w:b w:val="0"/>
          <w:bCs/>
        </w:rPr>
        <w:t>cổ</w:t>
      </w:r>
      <w:proofErr w:type="spellEnd"/>
      <w:r w:rsidRPr="001F1881">
        <w:rPr>
          <w:b w:val="0"/>
          <w:bCs/>
        </w:rPr>
        <w:t xml:space="preserve"> </w:t>
      </w:r>
      <w:proofErr w:type="spellStart"/>
      <w:r w:rsidRPr="001F1881">
        <w:rPr>
          <w:b w:val="0"/>
          <w:bCs/>
        </w:rPr>
        <w:t>phiếu</w:t>
      </w:r>
      <w:proofErr w:type="spellEnd"/>
      <w:r w:rsidRPr="001F1881">
        <w:rPr>
          <w:b w:val="0"/>
          <w:bCs/>
        </w:rPr>
        <w:t xml:space="preserve"> </w:t>
      </w:r>
      <w:proofErr w:type="spellStart"/>
      <w:r w:rsidRPr="001F1881">
        <w:rPr>
          <w:b w:val="0"/>
          <w:bCs/>
        </w:rPr>
        <w:t>của</w:t>
      </w:r>
      <w:proofErr w:type="spellEnd"/>
      <w:r w:rsidRPr="001F1881">
        <w:rPr>
          <w:b w:val="0"/>
          <w:bCs/>
        </w:rPr>
        <w:t xml:space="preserve"> </w:t>
      </w:r>
      <w:proofErr w:type="spellStart"/>
      <w:r w:rsidRPr="001F1881">
        <w:rPr>
          <w:b w:val="0"/>
          <w:bCs/>
        </w:rPr>
        <w:t>các</w:t>
      </w:r>
      <w:proofErr w:type="spellEnd"/>
      <w:r w:rsidRPr="001F1881">
        <w:rPr>
          <w:b w:val="0"/>
          <w:bCs/>
        </w:rPr>
        <w:t xml:space="preserve"> </w:t>
      </w:r>
      <w:proofErr w:type="spellStart"/>
      <w:r w:rsidRPr="001F1881">
        <w:rPr>
          <w:b w:val="0"/>
          <w:bCs/>
        </w:rPr>
        <w:t>công</w:t>
      </w:r>
      <w:proofErr w:type="spellEnd"/>
      <w:r w:rsidRPr="001F1881">
        <w:rPr>
          <w:b w:val="0"/>
          <w:bCs/>
        </w:rPr>
        <w:t xml:space="preserve"> </w:t>
      </w:r>
      <w:proofErr w:type="spellStart"/>
      <w:r w:rsidRPr="001F1881">
        <w:rPr>
          <w:b w:val="0"/>
          <w:bCs/>
        </w:rPr>
        <w:t>ty</w:t>
      </w:r>
      <w:proofErr w:type="spellEnd"/>
      <w:r w:rsidRPr="001F1881">
        <w:rPr>
          <w:b w:val="0"/>
          <w:bCs/>
        </w:rPr>
        <w:t xml:space="preserve"> </w:t>
      </w:r>
      <w:proofErr w:type="spellStart"/>
      <w:r w:rsidRPr="001F1881">
        <w:rPr>
          <w:b w:val="0"/>
          <w:bCs/>
        </w:rPr>
        <w:t>hiện</w:t>
      </w:r>
      <w:proofErr w:type="spellEnd"/>
      <w:r w:rsidRPr="001F1881">
        <w:rPr>
          <w:b w:val="0"/>
          <w:bCs/>
        </w:rPr>
        <w:t xml:space="preserve"> </w:t>
      </w:r>
      <w:proofErr w:type="spellStart"/>
      <w:r w:rsidRPr="001F1881">
        <w:rPr>
          <w:b w:val="0"/>
          <w:bCs/>
        </w:rPr>
        <w:t>đang</w:t>
      </w:r>
      <w:proofErr w:type="spellEnd"/>
      <w:r w:rsidRPr="001F1881">
        <w:rPr>
          <w:b w:val="0"/>
          <w:bCs/>
        </w:rPr>
        <w:t xml:space="preserve"> </w:t>
      </w:r>
      <w:proofErr w:type="spellStart"/>
      <w:r w:rsidRPr="001F1881">
        <w:rPr>
          <w:b w:val="0"/>
          <w:bCs/>
        </w:rPr>
        <w:t>và</w:t>
      </w:r>
      <w:proofErr w:type="spellEnd"/>
      <w:r w:rsidRPr="001F1881">
        <w:rPr>
          <w:b w:val="0"/>
          <w:bCs/>
        </w:rPr>
        <w:t xml:space="preserve"> </w:t>
      </w:r>
      <w:proofErr w:type="spellStart"/>
      <w:r w:rsidRPr="001F1881">
        <w:rPr>
          <w:b w:val="0"/>
          <w:bCs/>
        </w:rPr>
        <w:t>sắp</w:t>
      </w:r>
      <w:proofErr w:type="spellEnd"/>
      <w:r w:rsidRPr="001F1881">
        <w:rPr>
          <w:b w:val="0"/>
          <w:bCs/>
        </w:rPr>
        <w:t xml:space="preserve"> </w:t>
      </w:r>
      <w:proofErr w:type="spellStart"/>
      <w:r w:rsidRPr="001F1881">
        <w:rPr>
          <w:b w:val="0"/>
          <w:bCs/>
        </w:rPr>
        <w:t>niêm</w:t>
      </w:r>
      <w:proofErr w:type="spellEnd"/>
      <w:r w:rsidRPr="001F1881">
        <w:rPr>
          <w:b w:val="0"/>
          <w:bCs/>
        </w:rPr>
        <w:t xml:space="preserve"> </w:t>
      </w:r>
      <w:proofErr w:type="spellStart"/>
      <w:r w:rsidRPr="001F1881">
        <w:rPr>
          <w:b w:val="0"/>
          <w:bCs/>
        </w:rPr>
        <w:t>yết</w:t>
      </w:r>
      <w:proofErr w:type="spellEnd"/>
      <w:r w:rsidRPr="001F1881">
        <w:rPr>
          <w:b w:val="0"/>
          <w:bCs/>
        </w:rPr>
        <w:t xml:space="preserve"> </w:t>
      </w:r>
      <w:proofErr w:type="spellStart"/>
      <w:r w:rsidRPr="001F1881">
        <w:rPr>
          <w:b w:val="0"/>
          <w:bCs/>
        </w:rPr>
        <w:t>trên</w:t>
      </w:r>
      <w:proofErr w:type="spellEnd"/>
      <w:r w:rsidRPr="001F1881">
        <w:rPr>
          <w:b w:val="0"/>
          <w:bCs/>
        </w:rPr>
        <w:t xml:space="preserve"> </w:t>
      </w:r>
      <w:proofErr w:type="spellStart"/>
      <w:r w:rsidRPr="001F1881">
        <w:rPr>
          <w:b w:val="0"/>
          <w:bCs/>
        </w:rPr>
        <w:t>thị</w:t>
      </w:r>
      <w:proofErr w:type="spellEnd"/>
      <w:r w:rsidRPr="001F1881">
        <w:rPr>
          <w:b w:val="0"/>
          <w:bCs/>
        </w:rPr>
        <w:t xml:space="preserve"> </w:t>
      </w:r>
      <w:proofErr w:type="spellStart"/>
      <w:r w:rsidRPr="001F1881">
        <w:rPr>
          <w:b w:val="0"/>
          <w:bCs/>
        </w:rPr>
        <w:t>trường</w:t>
      </w:r>
      <w:proofErr w:type="spellEnd"/>
      <w:r w:rsidRPr="001F1881">
        <w:rPr>
          <w:b w:val="0"/>
          <w:bCs/>
        </w:rPr>
        <w:t xml:space="preserve"> </w:t>
      </w:r>
      <w:proofErr w:type="spellStart"/>
      <w:r w:rsidRPr="001F1881">
        <w:rPr>
          <w:b w:val="0"/>
          <w:bCs/>
        </w:rPr>
        <w:t>chứng</w:t>
      </w:r>
      <w:proofErr w:type="spellEnd"/>
      <w:r w:rsidRPr="001F1881">
        <w:rPr>
          <w:b w:val="0"/>
          <w:bCs/>
        </w:rPr>
        <w:t xml:space="preserve"> </w:t>
      </w:r>
      <w:proofErr w:type="spellStart"/>
      <w:r w:rsidRPr="001F1881">
        <w:rPr>
          <w:b w:val="0"/>
          <w:bCs/>
        </w:rPr>
        <w:t>khoán</w:t>
      </w:r>
      <w:proofErr w:type="spellEnd"/>
      <w:r w:rsidRPr="001F1881">
        <w:rPr>
          <w:b w:val="0"/>
          <w:bCs/>
        </w:rPr>
        <w:t xml:space="preserve"> </w:t>
      </w:r>
      <w:proofErr w:type="spellStart"/>
      <w:r w:rsidRPr="001F1881">
        <w:rPr>
          <w:b w:val="0"/>
          <w:bCs/>
        </w:rPr>
        <w:t>Việt</w:t>
      </w:r>
      <w:proofErr w:type="spellEnd"/>
      <w:r w:rsidRPr="001F1881">
        <w:rPr>
          <w:b w:val="0"/>
          <w:bCs/>
        </w:rPr>
        <w:t xml:space="preserve"> Nam </w:t>
      </w:r>
      <w:proofErr w:type="spellStart"/>
      <w:r w:rsidRPr="001F1881">
        <w:rPr>
          <w:b w:val="0"/>
          <w:bCs/>
        </w:rPr>
        <w:t>có</w:t>
      </w:r>
      <w:proofErr w:type="spellEnd"/>
      <w:r w:rsidRPr="001F1881">
        <w:rPr>
          <w:b w:val="0"/>
          <w:bCs/>
        </w:rPr>
        <w:t xml:space="preserve"> </w:t>
      </w:r>
      <w:proofErr w:type="spellStart"/>
      <w:r w:rsidRPr="001F1881">
        <w:rPr>
          <w:b w:val="0"/>
          <w:bCs/>
        </w:rPr>
        <w:t>vốn</w:t>
      </w:r>
      <w:proofErr w:type="spellEnd"/>
      <w:r w:rsidRPr="001F1881">
        <w:rPr>
          <w:b w:val="0"/>
          <w:bCs/>
        </w:rPr>
        <w:t xml:space="preserve"> </w:t>
      </w:r>
      <w:proofErr w:type="spellStart"/>
      <w:r w:rsidRPr="001F1881">
        <w:rPr>
          <w:b w:val="0"/>
          <w:bCs/>
        </w:rPr>
        <w:t>hóa</w:t>
      </w:r>
      <w:proofErr w:type="spellEnd"/>
      <w:r w:rsidRPr="001F1881">
        <w:rPr>
          <w:b w:val="0"/>
          <w:bCs/>
        </w:rPr>
        <w:t xml:space="preserve"> </w:t>
      </w:r>
      <w:proofErr w:type="spellStart"/>
      <w:r w:rsidRPr="001F1881">
        <w:rPr>
          <w:b w:val="0"/>
          <w:bCs/>
        </w:rPr>
        <w:t>trung</w:t>
      </w:r>
      <w:proofErr w:type="spellEnd"/>
      <w:r w:rsidRPr="001F1881">
        <w:rPr>
          <w:b w:val="0"/>
          <w:bCs/>
        </w:rPr>
        <w:t xml:space="preserve"> </w:t>
      </w:r>
      <w:proofErr w:type="spellStart"/>
      <w:r w:rsidRPr="001F1881">
        <w:rPr>
          <w:b w:val="0"/>
          <w:bCs/>
        </w:rPr>
        <w:t>bình</w:t>
      </w:r>
      <w:proofErr w:type="spellEnd"/>
      <w:r w:rsidRPr="001F1881">
        <w:rPr>
          <w:b w:val="0"/>
          <w:bCs/>
        </w:rPr>
        <w:t xml:space="preserve"> </w:t>
      </w:r>
      <w:proofErr w:type="spellStart"/>
      <w:r w:rsidRPr="001F1881">
        <w:rPr>
          <w:b w:val="0"/>
          <w:bCs/>
        </w:rPr>
        <w:t>và</w:t>
      </w:r>
      <w:proofErr w:type="spellEnd"/>
      <w:r w:rsidRPr="001F1881">
        <w:rPr>
          <w:b w:val="0"/>
          <w:bCs/>
        </w:rPr>
        <w:t xml:space="preserve"> </w:t>
      </w:r>
      <w:proofErr w:type="spellStart"/>
      <w:r w:rsidRPr="001F1881">
        <w:rPr>
          <w:b w:val="0"/>
          <w:bCs/>
        </w:rPr>
        <w:t>lớn</w:t>
      </w:r>
      <w:proofErr w:type="spellEnd"/>
      <w:r w:rsidRPr="001F1881">
        <w:rPr>
          <w:b w:val="0"/>
          <w:bCs/>
        </w:rPr>
        <w:t xml:space="preserve"> ở </w:t>
      </w:r>
      <w:proofErr w:type="spellStart"/>
      <w:r w:rsidRPr="001F1881">
        <w:rPr>
          <w:b w:val="0"/>
          <w:bCs/>
        </w:rPr>
        <w:t>tất</w:t>
      </w:r>
      <w:proofErr w:type="spellEnd"/>
      <w:r w:rsidRPr="001F1881">
        <w:rPr>
          <w:b w:val="0"/>
          <w:bCs/>
        </w:rPr>
        <w:t xml:space="preserve"> </w:t>
      </w:r>
      <w:proofErr w:type="spellStart"/>
      <w:r w:rsidRPr="001F1881">
        <w:rPr>
          <w:b w:val="0"/>
          <w:bCs/>
        </w:rPr>
        <w:t>cả</w:t>
      </w:r>
      <w:proofErr w:type="spellEnd"/>
      <w:r w:rsidRPr="001F1881">
        <w:rPr>
          <w:b w:val="0"/>
          <w:bCs/>
        </w:rPr>
        <w:t xml:space="preserve"> </w:t>
      </w:r>
      <w:proofErr w:type="spellStart"/>
      <w:r w:rsidRPr="001F1881">
        <w:rPr>
          <w:b w:val="0"/>
          <w:bCs/>
        </w:rPr>
        <w:t>ngành</w:t>
      </w:r>
      <w:proofErr w:type="spellEnd"/>
      <w:r w:rsidRPr="001F1881">
        <w:rPr>
          <w:b w:val="0"/>
          <w:bCs/>
        </w:rPr>
        <w:t xml:space="preserve"> </w:t>
      </w:r>
      <w:proofErr w:type="spellStart"/>
      <w:r w:rsidRPr="001F1881">
        <w:rPr>
          <w:b w:val="0"/>
          <w:bCs/>
        </w:rPr>
        <w:t>nghề</w:t>
      </w:r>
      <w:proofErr w:type="spellEnd"/>
      <w:r w:rsidRPr="001F1881">
        <w:rPr>
          <w:b w:val="0"/>
          <w:bCs/>
        </w:rPr>
        <w:t xml:space="preserve">. </w:t>
      </w:r>
      <w:proofErr w:type="spellStart"/>
      <w:r w:rsidRPr="001F1881">
        <w:rPr>
          <w:b w:val="0"/>
          <w:bCs/>
        </w:rPr>
        <w:t>Quỹ</w:t>
      </w:r>
      <w:proofErr w:type="spellEnd"/>
      <w:r w:rsidRPr="001F1881">
        <w:rPr>
          <w:b w:val="0"/>
          <w:bCs/>
        </w:rPr>
        <w:t xml:space="preserve"> </w:t>
      </w:r>
      <w:proofErr w:type="spellStart"/>
      <w:r w:rsidRPr="001F1881">
        <w:rPr>
          <w:b w:val="0"/>
          <w:bCs/>
        </w:rPr>
        <w:t>sẽ</w:t>
      </w:r>
      <w:proofErr w:type="spellEnd"/>
      <w:r w:rsidRPr="001F1881">
        <w:rPr>
          <w:b w:val="0"/>
          <w:bCs/>
        </w:rPr>
        <w:t xml:space="preserve"> </w:t>
      </w:r>
      <w:proofErr w:type="spellStart"/>
      <w:r w:rsidRPr="001F1881">
        <w:rPr>
          <w:b w:val="0"/>
          <w:bCs/>
        </w:rPr>
        <w:t>tận</w:t>
      </w:r>
      <w:proofErr w:type="spellEnd"/>
      <w:r w:rsidRPr="001F1881">
        <w:rPr>
          <w:b w:val="0"/>
          <w:bCs/>
        </w:rPr>
        <w:t xml:space="preserve"> </w:t>
      </w:r>
      <w:proofErr w:type="spellStart"/>
      <w:r w:rsidRPr="001F1881">
        <w:rPr>
          <w:b w:val="0"/>
          <w:bCs/>
        </w:rPr>
        <w:t>dụng</w:t>
      </w:r>
      <w:proofErr w:type="spellEnd"/>
      <w:r w:rsidRPr="001F1881">
        <w:rPr>
          <w:b w:val="0"/>
          <w:bCs/>
        </w:rPr>
        <w:t xml:space="preserve"> </w:t>
      </w:r>
      <w:proofErr w:type="spellStart"/>
      <w:r w:rsidRPr="001F1881">
        <w:rPr>
          <w:b w:val="0"/>
          <w:bCs/>
        </w:rPr>
        <w:t>các</w:t>
      </w:r>
      <w:proofErr w:type="spellEnd"/>
      <w:r w:rsidRPr="001F1881">
        <w:rPr>
          <w:b w:val="0"/>
          <w:bCs/>
        </w:rPr>
        <w:t xml:space="preserve"> </w:t>
      </w:r>
      <w:proofErr w:type="spellStart"/>
      <w:r w:rsidRPr="001F1881">
        <w:rPr>
          <w:b w:val="0"/>
          <w:bCs/>
        </w:rPr>
        <w:t>cơ</w:t>
      </w:r>
      <w:proofErr w:type="spellEnd"/>
      <w:r w:rsidRPr="001F1881">
        <w:rPr>
          <w:b w:val="0"/>
          <w:bCs/>
        </w:rPr>
        <w:t xml:space="preserve"> </w:t>
      </w:r>
      <w:proofErr w:type="spellStart"/>
      <w:r w:rsidRPr="001F1881">
        <w:rPr>
          <w:b w:val="0"/>
          <w:bCs/>
        </w:rPr>
        <w:t>hội</w:t>
      </w:r>
      <w:proofErr w:type="spellEnd"/>
      <w:r w:rsidRPr="001F1881">
        <w:rPr>
          <w:b w:val="0"/>
          <w:bCs/>
        </w:rPr>
        <w:t xml:space="preserve"> </w:t>
      </w:r>
      <w:proofErr w:type="spellStart"/>
      <w:r w:rsidRPr="001F1881">
        <w:rPr>
          <w:b w:val="0"/>
          <w:bCs/>
        </w:rPr>
        <w:t>đầu</w:t>
      </w:r>
      <w:proofErr w:type="spellEnd"/>
      <w:r w:rsidRPr="001F1881">
        <w:rPr>
          <w:b w:val="0"/>
          <w:bCs/>
        </w:rPr>
        <w:t xml:space="preserve"> </w:t>
      </w:r>
      <w:proofErr w:type="spellStart"/>
      <w:r w:rsidRPr="001F1881">
        <w:rPr>
          <w:b w:val="0"/>
          <w:bCs/>
        </w:rPr>
        <w:t>tư</w:t>
      </w:r>
      <w:proofErr w:type="spellEnd"/>
      <w:r w:rsidRPr="001F1881">
        <w:rPr>
          <w:b w:val="0"/>
          <w:bCs/>
        </w:rPr>
        <w:t xml:space="preserve"> </w:t>
      </w:r>
      <w:proofErr w:type="spellStart"/>
      <w:r w:rsidRPr="001F1881">
        <w:rPr>
          <w:b w:val="0"/>
          <w:bCs/>
        </w:rPr>
        <w:t>đến</w:t>
      </w:r>
      <w:proofErr w:type="spellEnd"/>
      <w:r w:rsidRPr="001F1881">
        <w:rPr>
          <w:b w:val="0"/>
          <w:bCs/>
        </w:rPr>
        <w:t xml:space="preserve"> </w:t>
      </w:r>
      <w:proofErr w:type="spellStart"/>
      <w:r w:rsidRPr="001F1881">
        <w:rPr>
          <w:b w:val="0"/>
          <w:bCs/>
        </w:rPr>
        <w:t>từ</w:t>
      </w:r>
      <w:proofErr w:type="spellEnd"/>
      <w:r w:rsidRPr="001F1881">
        <w:rPr>
          <w:b w:val="0"/>
          <w:bCs/>
        </w:rPr>
        <w:t xml:space="preserve"> </w:t>
      </w:r>
      <w:proofErr w:type="spellStart"/>
      <w:r w:rsidRPr="001F1881">
        <w:rPr>
          <w:b w:val="0"/>
          <w:bCs/>
        </w:rPr>
        <w:t>xu</w:t>
      </w:r>
      <w:proofErr w:type="spellEnd"/>
      <w:r w:rsidRPr="001F1881">
        <w:rPr>
          <w:b w:val="0"/>
          <w:bCs/>
        </w:rPr>
        <w:t xml:space="preserve"> </w:t>
      </w:r>
      <w:proofErr w:type="spellStart"/>
      <w:r w:rsidRPr="001F1881">
        <w:rPr>
          <w:b w:val="0"/>
          <w:bCs/>
        </w:rPr>
        <w:t>hướng</w:t>
      </w:r>
      <w:proofErr w:type="spellEnd"/>
      <w:r w:rsidRPr="001F1881">
        <w:rPr>
          <w:b w:val="0"/>
          <w:bCs/>
        </w:rPr>
        <w:t xml:space="preserve"> </w:t>
      </w:r>
      <w:proofErr w:type="spellStart"/>
      <w:r w:rsidRPr="001F1881">
        <w:rPr>
          <w:b w:val="0"/>
          <w:bCs/>
        </w:rPr>
        <w:t>tăng</w:t>
      </w:r>
      <w:proofErr w:type="spellEnd"/>
      <w:r w:rsidRPr="001F1881">
        <w:rPr>
          <w:b w:val="0"/>
          <w:bCs/>
        </w:rPr>
        <w:t xml:space="preserve"> </w:t>
      </w:r>
      <w:proofErr w:type="spellStart"/>
      <w:r w:rsidRPr="001F1881">
        <w:rPr>
          <w:b w:val="0"/>
          <w:bCs/>
        </w:rPr>
        <w:t>trưởng</w:t>
      </w:r>
      <w:proofErr w:type="spellEnd"/>
      <w:r w:rsidRPr="001F1881">
        <w:rPr>
          <w:b w:val="0"/>
          <w:bCs/>
        </w:rPr>
        <w:t xml:space="preserve"> </w:t>
      </w:r>
      <w:proofErr w:type="spellStart"/>
      <w:r w:rsidRPr="001F1881">
        <w:rPr>
          <w:b w:val="0"/>
          <w:bCs/>
        </w:rPr>
        <w:t>dài</w:t>
      </w:r>
      <w:proofErr w:type="spellEnd"/>
      <w:r w:rsidRPr="001F1881">
        <w:rPr>
          <w:b w:val="0"/>
          <w:bCs/>
        </w:rPr>
        <w:t xml:space="preserve"> </w:t>
      </w:r>
      <w:proofErr w:type="spellStart"/>
      <w:r w:rsidRPr="001F1881">
        <w:rPr>
          <w:b w:val="0"/>
          <w:bCs/>
        </w:rPr>
        <w:t>hạn</w:t>
      </w:r>
      <w:proofErr w:type="spellEnd"/>
      <w:r w:rsidRPr="001F1881">
        <w:rPr>
          <w:b w:val="0"/>
          <w:bCs/>
        </w:rPr>
        <w:t xml:space="preserve"> </w:t>
      </w:r>
      <w:proofErr w:type="spellStart"/>
      <w:r w:rsidRPr="001F1881">
        <w:rPr>
          <w:b w:val="0"/>
          <w:bCs/>
        </w:rPr>
        <w:t>của</w:t>
      </w:r>
      <w:proofErr w:type="spellEnd"/>
      <w:r w:rsidRPr="001F1881">
        <w:rPr>
          <w:b w:val="0"/>
          <w:bCs/>
        </w:rPr>
        <w:t xml:space="preserve"> </w:t>
      </w:r>
      <w:proofErr w:type="spellStart"/>
      <w:r w:rsidRPr="001F1881">
        <w:rPr>
          <w:b w:val="0"/>
          <w:bCs/>
        </w:rPr>
        <w:t>cơ</w:t>
      </w:r>
      <w:proofErr w:type="spellEnd"/>
      <w:r w:rsidRPr="001F1881">
        <w:rPr>
          <w:b w:val="0"/>
          <w:bCs/>
        </w:rPr>
        <w:t xml:space="preserve"> </w:t>
      </w:r>
      <w:proofErr w:type="spellStart"/>
      <w:r w:rsidRPr="001F1881">
        <w:rPr>
          <w:b w:val="0"/>
          <w:bCs/>
        </w:rPr>
        <w:t>cấu</w:t>
      </w:r>
      <w:proofErr w:type="spellEnd"/>
      <w:r w:rsidRPr="001F1881">
        <w:rPr>
          <w:b w:val="0"/>
          <w:bCs/>
        </w:rPr>
        <w:t xml:space="preserve"> </w:t>
      </w:r>
      <w:proofErr w:type="spellStart"/>
      <w:r w:rsidRPr="001F1881">
        <w:rPr>
          <w:b w:val="0"/>
          <w:bCs/>
        </w:rPr>
        <w:t>dân</w:t>
      </w:r>
      <w:proofErr w:type="spellEnd"/>
      <w:r w:rsidRPr="001F1881">
        <w:rPr>
          <w:b w:val="0"/>
          <w:bCs/>
        </w:rPr>
        <w:t xml:space="preserve"> </w:t>
      </w:r>
      <w:proofErr w:type="spellStart"/>
      <w:r w:rsidRPr="001F1881">
        <w:rPr>
          <w:b w:val="0"/>
          <w:bCs/>
        </w:rPr>
        <w:t>số</w:t>
      </w:r>
      <w:proofErr w:type="spellEnd"/>
      <w:r w:rsidRPr="001F1881">
        <w:rPr>
          <w:b w:val="0"/>
          <w:bCs/>
        </w:rPr>
        <w:t xml:space="preserve">, </w:t>
      </w:r>
      <w:proofErr w:type="spellStart"/>
      <w:r w:rsidRPr="001F1881">
        <w:rPr>
          <w:b w:val="0"/>
          <w:bCs/>
        </w:rPr>
        <w:t>quá</w:t>
      </w:r>
      <w:proofErr w:type="spellEnd"/>
      <w:r w:rsidRPr="001F1881">
        <w:rPr>
          <w:b w:val="0"/>
          <w:bCs/>
        </w:rPr>
        <w:t xml:space="preserve"> </w:t>
      </w:r>
      <w:proofErr w:type="spellStart"/>
      <w:r w:rsidRPr="001F1881">
        <w:rPr>
          <w:b w:val="0"/>
          <w:bCs/>
        </w:rPr>
        <w:t>trình</w:t>
      </w:r>
      <w:proofErr w:type="spellEnd"/>
      <w:r w:rsidRPr="001F1881">
        <w:rPr>
          <w:b w:val="0"/>
          <w:bCs/>
        </w:rPr>
        <w:t xml:space="preserve"> </w:t>
      </w:r>
      <w:proofErr w:type="spellStart"/>
      <w:r w:rsidRPr="001F1881">
        <w:rPr>
          <w:b w:val="0"/>
          <w:bCs/>
        </w:rPr>
        <w:t>chuyển</w:t>
      </w:r>
      <w:proofErr w:type="spellEnd"/>
      <w:r w:rsidRPr="001F1881">
        <w:rPr>
          <w:b w:val="0"/>
          <w:bCs/>
        </w:rPr>
        <w:t xml:space="preserve"> </w:t>
      </w:r>
      <w:proofErr w:type="spellStart"/>
      <w:r w:rsidRPr="001F1881">
        <w:rPr>
          <w:b w:val="0"/>
          <w:bCs/>
        </w:rPr>
        <w:t>đổi</w:t>
      </w:r>
      <w:proofErr w:type="spellEnd"/>
      <w:r w:rsidRPr="001F1881">
        <w:rPr>
          <w:b w:val="0"/>
          <w:bCs/>
        </w:rPr>
        <w:t xml:space="preserve"> </w:t>
      </w:r>
      <w:proofErr w:type="spellStart"/>
      <w:r w:rsidRPr="001F1881">
        <w:rPr>
          <w:b w:val="0"/>
          <w:bCs/>
        </w:rPr>
        <w:t>mô</w:t>
      </w:r>
      <w:proofErr w:type="spellEnd"/>
      <w:r w:rsidRPr="001F1881">
        <w:rPr>
          <w:b w:val="0"/>
          <w:bCs/>
        </w:rPr>
        <w:t xml:space="preserve"> </w:t>
      </w:r>
      <w:proofErr w:type="spellStart"/>
      <w:r w:rsidRPr="001F1881">
        <w:rPr>
          <w:b w:val="0"/>
          <w:bCs/>
        </w:rPr>
        <w:t>hình</w:t>
      </w:r>
      <w:proofErr w:type="spellEnd"/>
      <w:r w:rsidRPr="001F1881">
        <w:rPr>
          <w:b w:val="0"/>
          <w:bCs/>
        </w:rPr>
        <w:t xml:space="preserve"> </w:t>
      </w:r>
      <w:proofErr w:type="spellStart"/>
      <w:r w:rsidRPr="001F1881">
        <w:rPr>
          <w:b w:val="0"/>
          <w:bCs/>
        </w:rPr>
        <w:t>kinh</w:t>
      </w:r>
      <w:proofErr w:type="spellEnd"/>
      <w:r w:rsidRPr="001F1881">
        <w:rPr>
          <w:b w:val="0"/>
          <w:bCs/>
        </w:rPr>
        <w:t xml:space="preserve"> </w:t>
      </w:r>
      <w:proofErr w:type="spellStart"/>
      <w:r w:rsidRPr="001F1881">
        <w:rPr>
          <w:b w:val="0"/>
          <w:bCs/>
        </w:rPr>
        <w:t>tế</w:t>
      </w:r>
      <w:proofErr w:type="spellEnd"/>
      <w:r w:rsidRPr="001F1881">
        <w:rPr>
          <w:b w:val="0"/>
          <w:bCs/>
        </w:rPr>
        <w:t xml:space="preserve"> sang </w:t>
      </w:r>
      <w:proofErr w:type="spellStart"/>
      <w:r w:rsidRPr="001F1881">
        <w:rPr>
          <w:b w:val="0"/>
          <w:bCs/>
        </w:rPr>
        <w:t>tư</w:t>
      </w:r>
      <w:proofErr w:type="spellEnd"/>
      <w:r w:rsidRPr="001F1881">
        <w:rPr>
          <w:b w:val="0"/>
          <w:bCs/>
        </w:rPr>
        <w:t xml:space="preserve"> </w:t>
      </w:r>
      <w:proofErr w:type="spellStart"/>
      <w:r w:rsidRPr="001F1881">
        <w:rPr>
          <w:b w:val="0"/>
          <w:bCs/>
        </w:rPr>
        <w:t>nhân</w:t>
      </w:r>
      <w:proofErr w:type="spellEnd"/>
      <w:r w:rsidRPr="001F1881">
        <w:rPr>
          <w:b w:val="0"/>
          <w:bCs/>
        </w:rPr>
        <w:t xml:space="preserve"> </w:t>
      </w:r>
      <w:proofErr w:type="spellStart"/>
      <w:r w:rsidRPr="001F1881">
        <w:rPr>
          <w:b w:val="0"/>
          <w:bCs/>
        </w:rPr>
        <w:t>và</w:t>
      </w:r>
      <w:proofErr w:type="spellEnd"/>
      <w:r w:rsidRPr="001F1881">
        <w:rPr>
          <w:b w:val="0"/>
          <w:bCs/>
        </w:rPr>
        <w:t xml:space="preserve"> </w:t>
      </w:r>
      <w:proofErr w:type="spellStart"/>
      <w:r w:rsidRPr="001F1881">
        <w:rPr>
          <w:b w:val="0"/>
          <w:bCs/>
        </w:rPr>
        <w:t>cổ</w:t>
      </w:r>
      <w:proofErr w:type="spellEnd"/>
      <w:r w:rsidRPr="001F1881">
        <w:rPr>
          <w:b w:val="0"/>
          <w:bCs/>
        </w:rPr>
        <w:t xml:space="preserve"> </w:t>
      </w:r>
      <w:proofErr w:type="spellStart"/>
      <w:r w:rsidRPr="001F1881">
        <w:rPr>
          <w:b w:val="0"/>
          <w:bCs/>
        </w:rPr>
        <w:t>phần</w:t>
      </w:r>
      <w:proofErr w:type="spellEnd"/>
      <w:r w:rsidRPr="001F1881">
        <w:rPr>
          <w:b w:val="0"/>
          <w:bCs/>
        </w:rPr>
        <w:t xml:space="preserve"> </w:t>
      </w:r>
      <w:proofErr w:type="spellStart"/>
      <w:r w:rsidRPr="001F1881">
        <w:rPr>
          <w:b w:val="0"/>
          <w:bCs/>
        </w:rPr>
        <w:t>hóa</w:t>
      </w:r>
      <w:proofErr w:type="spellEnd"/>
      <w:r w:rsidRPr="001F1881">
        <w:rPr>
          <w:b w:val="0"/>
          <w:bCs/>
        </w:rPr>
        <w:t xml:space="preserve">, </w:t>
      </w:r>
      <w:proofErr w:type="spellStart"/>
      <w:r w:rsidRPr="001F1881">
        <w:rPr>
          <w:b w:val="0"/>
          <w:bCs/>
        </w:rPr>
        <w:t>và</w:t>
      </w:r>
      <w:proofErr w:type="spellEnd"/>
      <w:r w:rsidRPr="001F1881">
        <w:rPr>
          <w:b w:val="0"/>
          <w:bCs/>
        </w:rPr>
        <w:t xml:space="preserve"> </w:t>
      </w:r>
      <w:proofErr w:type="spellStart"/>
      <w:r w:rsidRPr="001F1881">
        <w:rPr>
          <w:b w:val="0"/>
          <w:bCs/>
        </w:rPr>
        <w:t>sự</w:t>
      </w:r>
      <w:proofErr w:type="spellEnd"/>
      <w:r w:rsidRPr="001F1881">
        <w:rPr>
          <w:b w:val="0"/>
          <w:bCs/>
        </w:rPr>
        <w:t xml:space="preserve"> </w:t>
      </w:r>
      <w:proofErr w:type="spellStart"/>
      <w:r w:rsidRPr="001F1881">
        <w:rPr>
          <w:b w:val="0"/>
          <w:bCs/>
        </w:rPr>
        <w:t>cải</w:t>
      </w:r>
      <w:proofErr w:type="spellEnd"/>
      <w:r w:rsidRPr="001F1881">
        <w:rPr>
          <w:b w:val="0"/>
          <w:bCs/>
        </w:rPr>
        <w:t xml:space="preserve"> </w:t>
      </w:r>
      <w:proofErr w:type="spellStart"/>
      <w:r w:rsidRPr="001F1881">
        <w:rPr>
          <w:b w:val="0"/>
          <w:bCs/>
        </w:rPr>
        <w:t>thiện</w:t>
      </w:r>
      <w:proofErr w:type="spellEnd"/>
      <w:r w:rsidRPr="001F1881">
        <w:rPr>
          <w:b w:val="0"/>
          <w:bCs/>
        </w:rPr>
        <w:t xml:space="preserve"> </w:t>
      </w:r>
      <w:proofErr w:type="spellStart"/>
      <w:r w:rsidRPr="001F1881">
        <w:rPr>
          <w:b w:val="0"/>
          <w:bCs/>
        </w:rPr>
        <w:t>về</w:t>
      </w:r>
      <w:proofErr w:type="spellEnd"/>
      <w:r w:rsidRPr="001F1881">
        <w:rPr>
          <w:b w:val="0"/>
          <w:bCs/>
        </w:rPr>
        <w:t xml:space="preserve"> </w:t>
      </w:r>
      <w:proofErr w:type="spellStart"/>
      <w:r w:rsidRPr="001F1881">
        <w:rPr>
          <w:b w:val="0"/>
          <w:bCs/>
        </w:rPr>
        <w:t>quản</w:t>
      </w:r>
      <w:proofErr w:type="spellEnd"/>
      <w:r w:rsidRPr="001F1881">
        <w:rPr>
          <w:b w:val="0"/>
          <w:bCs/>
        </w:rPr>
        <w:t xml:space="preserve"> </w:t>
      </w:r>
      <w:proofErr w:type="spellStart"/>
      <w:r w:rsidRPr="001F1881">
        <w:rPr>
          <w:b w:val="0"/>
          <w:bCs/>
        </w:rPr>
        <w:t>trị</w:t>
      </w:r>
      <w:proofErr w:type="spellEnd"/>
      <w:r w:rsidRPr="001F1881">
        <w:rPr>
          <w:b w:val="0"/>
          <w:bCs/>
        </w:rPr>
        <w:t xml:space="preserve"> </w:t>
      </w:r>
      <w:proofErr w:type="spellStart"/>
      <w:r w:rsidRPr="001F1881">
        <w:rPr>
          <w:b w:val="0"/>
          <w:bCs/>
        </w:rPr>
        <w:t>doanh</w:t>
      </w:r>
      <w:proofErr w:type="spellEnd"/>
      <w:r w:rsidRPr="001F1881">
        <w:rPr>
          <w:b w:val="0"/>
          <w:bCs/>
        </w:rPr>
        <w:t xml:space="preserve"> </w:t>
      </w:r>
      <w:proofErr w:type="spellStart"/>
      <w:r w:rsidRPr="001F1881">
        <w:rPr>
          <w:b w:val="0"/>
          <w:bCs/>
        </w:rPr>
        <w:t>nghiệp</w:t>
      </w:r>
      <w:proofErr w:type="spellEnd"/>
      <w:r w:rsidRPr="001F1881">
        <w:rPr>
          <w:b w:val="0"/>
          <w:bCs/>
        </w:rPr>
        <w:t xml:space="preserve"> </w:t>
      </w:r>
      <w:proofErr w:type="spellStart"/>
      <w:r w:rsidRPr="001F1881">
        <w:rPr>
          <w:b w:val="0"/>
          <w:bCs/>
        </w:rPr>
        <w:t>và</w:t>
      </w:r>
      <w:proofErr w:type="spellEnd"/>
      <w:r w:rsidRPr="001F1881">
        <w:rPr>
          <w:b w:val="0"/>
          <w:bCs/>
        </w:rPr>
        <w:t xml:space="preserve"> </w:t>
      </w:r>
      <w:proofErr w:type="spellStart"/>
      <w:r w:rsidRPr="001F1881">
        <w:rPr>
          <w:b w:val="0"/>
          <w:bCs/>
        </w:rPr>
        <w:t>quy</w:t>
      </w:r>
      <w:proofErr w:type="spellEnd"/>
      <w:r w:rsidRPr="001F1881">
        <w:rPr>
          <w:b w:val="0"/>
          <w:bCs/>
        </w:rPr>
        <w:t xml:space="preserve"> </w:t>
      </w:r>
      <w:proofErr w:type="spellStart"/>
      <w:r w:rsidRPr="001F1881">
        <w:rPr>
          <w:b w:val="0"/>
          <w:bCs/>
        </w:rPr>
        <w:t>định</w:t>
      </w:r>
      <w:proofErr w:type="spellEnd"/>
      <w:r w:rsidRPr="001F1881">
        <w:rPr>
          <w:b w:val="0"/>
          <w:bCs/>
        </w:rPr>
        <w:t xml:space="preserve"> </w:t>
      </w:r>
      <w:proofErr w:type="spellStart"/>
      <w:r w:rsidRPr="001F1881">
        <w:rPr>
          <w:b w:val="0"/>
          <w:bCs/>
        </w:rPr>
        <w:t>pháp</w:t>
      </w:r>
      <w:proofErr w:type="spellEnd"/>
      <w:r w:rsidRPr="001F1881">
        <w:rPr>
          <w:b w:val="0"/>
          <w:bCs/>
        </w:rPr>
        <w:t xml:space="preserve"> </w:t>
      </w:r>
      <w:proofErr w:type="spellStart"/>
      <w:r w:rsidRPr="001F1881">
        <w:rPr>
          <w:b w:val="0"/>
          <w:bCs/>
        </w:rPr>
        <w:t>lý</w:t>
      </w:r>
      <w:proofErr w:type="spellEnd"/>
      <w:r w:rsidRPr="001F1881">
        <w:rPr>
          <w:b w:val="0"/>
          <w:bCs/>
        </w:rPr>
        <w:t xml:space="preserve"> </w:t>
      </w:r>
      <w:proofErr w:type="spellStart"/>
      <w:r w:rsidRPr="001F1881">
        <w:rPr>
          <w:b w:val="0"/>
          <w:bCs/>
        </w:rPr>
        <w:t>minh</w:t>
      </w:r>
      <w:proofErr w:type="spellEnd"/>
      <w:r w:rsidRPr="001F1881">
        <w:rPr>
          <w:b w:val="0"/>
          <w:bCs/>
        </w:rPr>
        <w:t xml:space="preserve"> </w:t>
      </w:r>
      <w:proofErr w:type="spellStart"/>
      <w:r w:rsidRPr="001F1881">
        <w:rPr>
          <w:b w:val="0"/>
          <w:bCs/>
        </w:rPr>
        <w:t>bạch</w:t>
      </w:r>
      <w:proofErr w:type="spellEnd"/>
      <w:r w:rsidRPr="001F1881">
        <w:rPr>
          <w:b w:val="0"/>
          <w:bCs/>
        </w:rPr>
        <w:t xml:space="preserve"> </w:t>
      </w:r>
      <w:proofErr w:type="spellStart"/>
      <w:r w:rsidRPr="001F1881">
        <w:rPr>
          <w:b w:val="0"/>
          <w:bCs/>
        </w:rPr>
        <w:t>theo</w:t>
      </w:r>
      <w:proofErr w:type="spellEnd"/>
      <w:r w:rsidRPr="001F1881">
        <w:rPr>
          <w:b w:val="0"/>
          <w:bCs/>
        </w:rPr>
        <w:t xml:space="preserve"> </w:t>
      </w:r>
      <w:proofErr w:type="spellStart"/>
      <w:r w:rsidRPr="001F1881">
        <w:rPr>
          <w:b w:val="0"/>
          <w:bCs/>
        </w:rPr>
        <w:t>chuẩn</w:t>
      </w:r>
      <w:proofErr w:type="spellEnd"/>
      <w:r w:rsidRPr="001F1881">
        <w:rPr>
          <w:b w:val="0"/>
          <w:bCs/>
        </w:rPr>
        <w:t xml:space="preserve"> </w:t>
      </w:r>
      <w:proofErr w:type="spellStart"/>
      <w:r w:rsidRPr="001F1881">
        <w:rPr>
          <w:b w:val="0"/>
          <w:bCs/>
        </w:rPr>
        <w:t>mực</w:t>
      </w:r>
      <w:proofErr w:type="spellEnd"/>
      <w:r w:rsidRPr="001F1881">
        <w:rPr>
          <w:b w:val="0"/>
          <w:bCs/>
        </w:rPr>
        <w:t xml:space="preserve"> </w:t>
      </w:r>
      <w:proofErr w:type="spellStart"/>
      <w:r w:rsidRPr="001F1881">
        <w:rPr>
          <w:b w:val="0"/>
          <w:bCs/>
        </w:rPr>
        <w:t>quốc</w:t>
      </w:r>
      <w:proofErr w:type="spellEnd"/>
      <w:r w:rsidRPr="001F1881">
        <w:rPr>
          <w:b w:val="0"/>
          <w:bCs/>
        </w:rPr>
        <w:t xml:space="preserve"> </w:t>
      </w:r>
      <w:proofErr w:type="spellStart"/>
      <w:r w:rsidRPr="001F1881">
        <w:rPr>
          <w:b w:val="0"/>
          <w:bCs/>
        </w:rPr>
        <w:t>tế</w:t>
      </w:r>
      <w:proofErr w:type="spellEnd"/>
      <w:r w:rsidRPr="001F1881">
        <w:rPr>
          <w:b w:val="0"/>
          <w:bCs/>
        </w:rPr>
        <w:t xml:space="preserve">. </w:t>
      </w:r>
      <w:proofErr w:type="spellStart"/>
      <w:r w:rsidRPr="001F1881">
        <w:rPr>
          <w:b w:val="0"/>
          <w:bCs/>
        </w:rPr>
        <w:t>Danh</w:t>
      </w:r>
      <w:proofErr w:type="spellEnd"/>
      <w:r w:rsidRPr="001F1881">
        <w:rPr>
          <w:b w:val="0"/>
          <w:bCs/>
        </w:rPr>
        <w:t xml:space="preserve"> </w:t>
      </w:r>
      <w:proofErr w:type="spellStart"/>
      <w:r w:rsidRPr="001F1881">
        <w:rPr>
          <w:b w:val="0"/>
          <w:bCs/>
        </w:rPr>
        <w:t>mục</w:t>
      </w:r>
      <w:proofErr w:type="spellEnd"/>
      <w:r w:rsidRPr="001F1881">
        <w:rPr>
          <w:b w:val="0"/>
          <w:bCs/>
        </w:rPr>
        <w:t xml:space="preserve"> </w:t>
      </w:r>
      <w:proofErr w:type="spellStart"/>
      <w:r w:rsidRPr="001F1881">
        <w:rPr>
          <w:b w:val="0"/>
          <w:bCs/>
        </w:rPr>
        <w:t>chứng</w:t>
      </w:r>
      <w:proofErr w:type="spellEnd"/>
      <w:r w:rsidRPr="001F1881">
        <w:rPr>
          <w:b w:val="0"/>
          <w:bCs/>
        </w:rPr>
        <w:t xml:space="preserve"> </w:t>
      </w:r>
      <w:proofErr w:type="spellStart"/>
      <w:r w:rsidRPr="001F1881">
        <w:rPr>
          <w:b w:val="0"/>
          <w:bCs/>
        </w:rPr>
        <w:t>khoán</w:t>
      </w:r>
      <w:proofErr w:type="spellEnd"/>
      <w:r w:rsidRPr="001F1881">
        <w:rPr>
          <w:b w:val="0"/>
          <w:bCs/>
        </w:rPr>
        <w:t xml:space="preserve"> </w:t>
      </w:r>
      <w:proofErr w:type="spellStart"/>
      <w:r w:rsidRPr="001F1881">
        <w:rPr>
          <w:b w:val="0"/>
          <w:bCs/>
        </w:rPr>
        <w:t>của</w:t>
      </w:r>
      <w:proofErr w:type="spellEnd"/>
      <w:r w:rsidRPr="001F1881">
        <w:rPr>
          <w:b w:val="0"/>
          <w:bCs/>
        </w:rPr>
        <w:t xml:space="preserve"> </w:t>
      </w:r>
      <w:proofErr w:type="spellStart"/>
      <w:r w:rsidRPr="001F1881">
        <w:rPr>
          <w:b w:val="0"/>
          <w:bCs/>
        </w:rPr>
        <w:t>quỹ</w:t>
      </w:r>
      <w:proofErr w:type="spellEnd"/>
      <w:r w:rsidRPr="001F1881">
        <w:rPr>
          <w:b w:val="0"/>
          <w:bCs/>
        </w:rPr>
        <w:t xml:space="preserve"> </w:t>
      </w:r>
      <w:proofErr w:type="spellStart"/>
      <w:r w:rsidRPr="001F1881">
        <w:rPr>
          <w:b w:val="0"/>
          <w:bCs/>
        </w:rPr>
        <w:t>có</w:t>
      </w:r>
      <w:proofErr w:type="spellEnd"/>
      <w:r w:rsidRPr="001F1881">
        <w:rPr>
          <w:b w:val="0"/>
          <w:bCs/>
        </w:rPr>
        <w:t xml:space="preserve"> </w:t>
      </w:r>
      <w:proofErr w:type="spellStart"/>
      <w:r w:rsidRPr="001F1881">
        <w:rPr>
          <w:b w:val="0"/>
          <w:bCs/>
        </w:rPr>
        <w:t>thể</w:t>
      </w:r>
      <w:proofErr w:type="spellEnd"/>
      <w:r w:rsidRPr="001F1881">
        <w:rPr>
          <w:b w:val="0"/>
          <w:bCs/>
        </w:rPr>
        <w:t xml:space="preserve"> </w:t>
      </w:r>
      <w:proofErr w:type="spellStart"/>
      <w:r w:rsidRPr="001F1881">
        <w:rPr>
          <w:b w:val="0"/>
          <w:bCs/>
        </w:rPr>
        <w:t>nắm</w:t>
      </w:r>
      <w:proofErr w:type="spellEnd"/>
      <w:r w:rsidRPr="001F1881">
        <w:rPr>
          <w:b w:val="0"/>
          <w:bCs/>
        </w:rPr>
        <w:t xml:space="preserve"> </w:t>
      </w:r>
      <w:proofErr w:type="spellStart"/>
      <w:r w:rsidRPr="001F1881">
        <w:rPr>
          <w:b w:val="0"/>
          <w:bCs/>
        </w:rPr>
        <w:t>tỷ</w:t>
      </w:r>
      <w:proofErr w:type="spellEnd"/>
      <w:r w:rsidRPr="001F1881">
        <w:rPr>
          <w:b w:val="0"/>
          <w:bCs/>
        </w:rPr>
        <w:t xml:space="preserve"> </w:t>
      </w:r>
      <w:proofErr w:type="spellStart"/>
      <w:r w:rsidRPr="001F1881">
        <w:rPr>
          <w:b w:val="0"/>
          <w:bCs/>
        </w:rPr>
        <w:t>lệ</w:t>
      </w:r>
      <w:proofErr w:type="spellEnd"/>
      <w:r w:rsidRPr="001F1881">
        <w:rPr>
          <w:b w:val="0"/>
          <w:bCs/>
        </w:rPr>
        <w:t xml:space="preserve"> </w:t>
      </w:r>
      <w:proofErr w:type="spellStart"/>
      <w:r w:rsidRPr="001F1881">
        <w:rPr>
          <w:b w:val="0"/>
          <w:bCs/>
        </w:rPr>
        <w:t>tập</w:t>
      </w:r>
      <w:proofErr w:type="spellEnd"/>
      <w:r w:rsidRPr="001F1881">
        <w:rPr>
          <w:b w:val="0"/>
          <w:bCs/>
        </w:rPr>
        <w:t xml:space="preserve"> </w:t>
      </w:r>
      <w:proofErr w:type="spellStart"/>
      <w:r w:rsidRPr="001F1881">
        <w:rPr>
          <w:b w:val="0"/>
          <w:bCs/>
        </w:rPr>
        <w:t>trung</w:t>
      </w:r>
      <w:proofErr w:type="spellEnd"/>
      <w:r w:rsidRPr="001F1881">
        <w:rPr>
          <w:b w:val="0"/>
          <w:bCs/>
        </w:rPr>
        <w:t xml:space="preserve"> </w:t>
      </w:r>
      <w:proofErr w:type="spellStart"/>
      <w:r w:rsidRPr="001F1881">
        <w:rPr>
          <w:b w:val="0"/>
          <w:bCs/>
        </w:rPr>
        <w:t>tại</w:t>
      </w:r>
      <w:proofErr w:type="spellEnd"/>
      <w:r w:rsidRPr="001F1881">
        <w:rPr>
          <w:b w:val="0"/>
          <w:bCs/>
        </w:rPr>
        <w:t xml:space="preserve"> </w:t>
      </w:r>
      <w:proofErr w:type="spellStart"/>
      <w:r w:rsidRPr="001F1881">
        <w:rPr>
          <w:b w:val="0"/>
          <w:bCs/>
        </w:rPr>
        <w:t>một</w:t>
      </w:r>
      <w:proofErr w:type="spellEnd"/>
      <w:r w:rsidRPr="001F1881">
        <w:rPr>
          <w:b w:val="0"/>
          <w:bCs/>
        </w:rPr>
        <w:t xml:space="preserve"> </w:t>
      </w:r>
      <w:proofErr w:type="spellStart"/>
      <w:r w:rsidRPr="001F1881">
        <w:rPr>
          <w:b w:val="0"/>
          <w:bCs/>
        </w:rPr>
        <w:t>số</w:t>
      </w:r>
      <w:proofErr w:type="spellEnd"/>
      <w:r w:rsidRPr="001F1881">
        <w:rPr>
          <w:b w:val="0"/>
          <w:bCs/>
        </w:rPr>
        <w:t xml:space="preserve"> </w:t>
      </w:r>
      <w:proofErr w:type="spellStart"/>
      <w:r w:rsidRPr="001F1881">
        <w:rPr>
          <w:b w:val="0"/>
          <w:bCs/>
        </w:rPr>
        <w:t>công</w:t>
      </w:r>
      <w:proofErr w:type="spellEnd"/>
      <w:r w:rsidRPr="001F1881">
        <w:rPr>
          <w:b w:val="0"/>
          <w:bCs/>
        </w:rPr>
        <w:t xml:space="preserve"> </w:t>
      </w:r>
      <w:proofErr w:type="spellStart"/>
      <w:r w:rsidRPr="001F1881">
        <w:rPr>
          <w:b w:val="0"/>
          <w:bCs/>
        </w:rPr>
        <w:t>ty</w:t>
      </w:r>
      <w:proofErr w:type="spellEnd"/>
      <w:r w:rsidRPr="001F1881">
        <w:rPr>
          <w:b w:val="0"/>
          <w:bCs/>
        </w:rPr>
        <w:t xml:space="preserve"> ở </w:t>
      </w:r>
      <w:proofErr w:type="spellStart"/>
      <w:r w:rsidRPr="001F1881">
        <w:rPr>
          <w:b w:val="0"/>
          <w:bCs/>
        </w:rPr>
        <w:t>một</w:t>
      </w:r>
      <w:proofErr w:type="spellEnd"/>
      <w:r w:rsidRPr="001F1881">
        <w:rPr>
          <w:b w:val="0"/>
          <w:bCs/>
        </w:rPr>
        <w:t xml:space="preserve"> </w:t>
      </w:r>
      <w:proofErr w:type="spellStart"/>
      <w:r w:rsidRPr="001F1881">
        <w:rPr>
          <w:b w:val="0"/>
          <w:bCs/>
        </w:rPr>
        <w:t>vài</w:t>
      </w:r>
      <w:proofErr w:type="spellEnd"/>
      <w:r w:rsidRPr="001F1881">
        <w:rPr>
          <w:b w:val="0"/>
          <w:bCs/>
        </w:rPr>
        <w:t xml:space="preserve"> </w:t>
      </w:r>
      <w:proofErr w:type="spellStart"/>
      <w:r w:rsidRPr="001F1881">
        <w:rPr>
          <w:b w:val="0"/>
          <w:bCs/>
        </w:rPr>
        <w:t>ngành</w:t>
      </w:r>
      <w:proofErr w:type="spellEnd"/>
      <w:r w:rsidRPr="001F1881">
        <w:rPr>
          <w:b w:val="0"/>
          <w:bCs/>
        </w:rPr>
        <w:t xml:space="preserve"> </w:t>
      </w:r>
      <w:proofErr w:type="spellStart"/>
      <w:r w:rsidRPr="001F1881">
        <w:rPr>
          <w:b w:val="0"/>
          <w:bCs/>
        </w:rPr>
        <w:t>nghề</w:t>
      </w:r>
      <w:proofErr w:type="spellEnd"/>
      <w:r w:rsidRPr="001F1881">
        <w:rPr>
          <w:b w:val="0"/>
          <w:bCs/>
        </w:rPr>
        <w:t xml:space="preserve"> </w:t>
      </w:r>
      <w:proofErr w:type="spellStart"/>
      <w:r w:rsidRPr="001F1881">
        <w:rPr>
          <w:b w:val="0"/>
          <w:bCs/>
        </w:rPr>
        <w:t>cụ</w:t>
      </w:r>
      <w:proofErr w:type="spellEnd"/>
      <w:r w:rsidRPr="001F1881">
        <w:rPr>
          <w:b w:val="0"/>
          <w:bCs/>
        </w:rPr>
        <w:t xml:space="preserve"> </w:t>
      </w:r>
      <w:proofErr w:type="spellStart"/>
      <w:r w:rsidRPr="001F1881">
        <w:rPr>
          <w:b w:val="0"/>
          <w:bCs/>
        </w:rPr>
        <w:t>thể</w:t>
      </w:r>
      <w:proofErr w:type="spellEnd"/>
      <w:r w:rsidRPr="001F1881">
        <w:rPr>
          <w:b w:val="0"/>
          <w:bCs/>
        </w:rPr>
        <w:t>.</w:t>
      </w:r>
    </w:p>
    <w:p w14:paraId="098820B3" w14:textId="77777777" w:rsidR="001F1881" w:rsidRPr="00FC4F13" w:rsidRDefault="001F1881" w:rsidP="001F1881">
      <w:pPr>
        <w:pStyle w:val="ListParagraph"/>
        <w:numPr>
          <w:ilvl w:val="0"/>
          <w:numId w:val="5"/>
        </w:numPr>
        <w:tabs>
          <w:tab w:val="left" w:pos="284"/>
        </w:tabs>
        <w:spacing w:line="276" w:lineRule="auto"/>
        <w:ind w:left="0" w:firstLine="0"/>
        <w:contextualSpacing w:val="0"/>
        <w:jc w:val="both"/>
        <w:rPr>
          <w:b w:val="0"/>
        </w:rPr>
      </w:pPr>
      <w:proofErr w:type="spellStart"/>
      <w:r w:rsidRPr="00FC4F13">
        <w:rPr>
          <w:b w:val="0"/>
        </w:rPr>
        <w:t>Mô</w:t>
      </w:r>
      <w:proofErr w:type="spellEnd"/>
      <w:r w:rsidRPr="00FC4F13">
        <w:rPr>
          <w:b w:val="0"/>
        </w:rPr>
        <w:t xml:space="preserve"> </w:t>
      </w:r>
      <w:proofErr w:type="spellStart"/>
      <w:r w:rsidRPr="00FC4F13">
        <w:rPr>
          <w:b w:val="0"/>
        </w:rPr>
        <w:t>tả</w:t>
      </w:r>
      <w:proofErr w:type="spellEnd"/>
      <w:r w:rsidRPr="00FC4F13">
        <w:rPr>
          <w:b w:val="0"/>
        </w:rPr>
        <w:t xml:space="preserve"> </w:t>
      </w:r>
      <w:proofErr w:type="spellStart"/>
      <w:r w:rsidRPr="00FC4F13">
        <w:rPr>
          <w:b w:val="0"/>
        </w:rPr>
        <w:t>sự</w:t>
      </w:r>
      <w:proofErr w:type="spellEnd"/>
      <w:r w:rsidRPr="00FC4F13">
        <w:rPr>
          <w:b w:val="0"/>
        </w:rPr>
        <w:t xml:space="preserve"> </w:t>
      </w:r>
      <w:proofErr w:type="spellStart"/>
      <w:r w:rsidRPr="00FC4F13">
        <w:rPr>
          <w:b w:val="0"/>
        </w:rPr>
        <w:t>khác</w:t>
      </w:r>
      <w:proofErr w:type="spellEnd"/>
      <w:r w:rsidRPr="00FC4F13">
        <w:rPr>
          <w:b w:val="0"/>
        </w:rPr>
        <w:t xml:space="preserve"> </w:t>
      </w:r>
      <w:proofErr w:type="spellStart"/>
      <w:r w:rsidRPr="00FC4F13">
        <w:rPr>
          <w:b w:val="0"/>
        </w:rPr>
        <w:t>biệt</w:t>
      </w:r>
      <w:proofErr w:type="spellEnd"/>
      <w:r w:rsidRPr="00FC4F13">
        <w:rPr>
          <w:b w:val="0"/>
        </w:rPr>
        <w:t xml:space="preserve"> </w:t>
      </w:r>
      <w:proofErr w:type="spellStart"/>
      <w:r w:rsidRPr="00FC4F13">
        <w:rPr>
          <w:b w:val="0"/>
        </w:rPr>
        <w:t>về</w:t>
      </w:r>
      <w:proofErr w:type="spellEnd"/>
      <w:r w:rsidRPr="00FC4F13">
        <w:rPr>
          <w:b w:val="0"/>
        </w:rPr>
        <w:t xml:space="preserve"> </w:t>
      </w:r>
      <w:proofErr w:type="spellStart"/>
      <w:r w:rsidRPr="00FC4F13">
        <w:rPr>
          <w:b w:val="0"/>
        </w:rPr>
        <w:t>cơ</w:t>
      </w:r>
      <w:proofErr w:type="spellEnd"/>
      <w:r w:rsidRPr="00FC4F13">
        <w:rPr>
          <w:b w:val="0"/>
        </w:rPr>
        <w:t xml:space="preserve"> </w:t>
      </w:r>
      <w:proofErr w:type="spellStart"/>
      <w:r w:rsidRPr="00FC4F13">
        <w:rPr>
          <w:b w:val="0"/>
        </w:rPr>
        <w:t>cấu</w:t>
      </w:r>
      <w:proofErr w:type="spellEnd"/>
      <w:r w:rsidRPr="00FC4F13">
        <w:rPr>
          <w:b w:val="0"/>
        </w:rPr>
        <w:t xml:space="preserve"> </w:t>
      </w:r>
      <w:proofErr w:type="spellStart"/>
      <w:r w:rsidRPr="00FC4F13">
        <w:rPr>
          <w:b w:val="0"/>
        </w:rPr>
        <w:t>danh</w:t>
      </w:r>
      <w:proofErr w:type="spellEnd"/>
      <w:r w:rsidRPr="00FC4F13">
        <w:rPr>
          <w:b w:val="0"/>
        </w:rPr>
        <w:t xml:space="preserve"> </w:t>
      </w:r>
      <w:proofErr w:type="spellStart"/>
      <w:r w:rsidRPr="00FC4F13">
        <w:rPr>
          <w:b w:val="0"/>
        </w:rPr>
        <w:t>mục</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tại</w:t>
      </w:r>
      <w:proofErr w:type="spellEnd"/>
      <w:r w:rsidRPr="00FC4F13">
        <w:rPr>
          <w:b w:val="0"/>
        </w:rPr>
        <w:t xml:space="preserve"> </w:t>
      </w:r>
      <w:proofErr w:type="spellStart"/>
      <w:r w:rsidRPr="00FC4F13">
        <w:rPr>
          <w:b w:val="0"/>
        </w:rPr>
        <w:t>thời</w:t>
      </w:r>
      <w:proofErr w:type="spellEnd"/>
      <w:r w:rsidRPr="00FC4F13">
        <w:rPr>
          <w:b w:val="0"/>
        </w:rPr>
        <w:t xml:space="preserve"> </w:t>
      </w:r>
      <w:proofErr w:type="spellStart"/>
      <w:r w:rsidRPr="00FC4F13">
        <w:rPr>
          <w:b w:val="0"/>
        </w:rPr>
        <w:t>điểm</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so</w:t>
      </w:r>
      <w:proofErr w:type="spellEnd"/>
      <w:r w:rsidRPr="00FC4F13">
        <w:rPr>
          <w:b w:val="0"/>
        </w:rPr>
        <w:t xml:space="preserve"> </w:t>
      </w:r>
      <w:proofErr w:type="spellStart"/>
      <w:r w:rsidRPr="00FC4F13">
        <w:rPr>
          <w:b w:val="0"/>
        </w:rPr>
        <w:t>với</w:t>
      </w:r>
      <w:proofErr w:type="spellEnd"/>
      <w:r w:rsidRPr="00FC4F13">
        <w:rPr>
          <w:b w:val="0"/>
        </w:rPr>
        <w:t xml:space="preserve"> </w:t>
      </w:r>
      <w:proofErr w:type="spellStart"/>
      <w:r w:rsidRPr="00FC4F13">
        <w:rPr>
          <w:b w:val="0"/>
        </w:rPr>
        <w:t>danh</w:t>
      </w:r>
      <w:proofErr w:type="spellEnd"/>
      <w:r w:rsidRPr="00FC4F13">
        <w:rPr>
          <w:b w:val="0"/>
        </w:rPr>
        <w:t xml:space="preserve"> </w:t>
      </w:r>
      <w:proofErr w:type="spellStart"/>
      <w:r w:rsidRPr="00FC4F13">
        <w:rPr>
          <w:b w:val="0"/>
        </w:rPr>
        <w:t>mục</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năm</w:t>
      </w:r>
      <w:proofErr w:type="spellEnd"/>
      <w:r w:rsidRPr="00FC4F13">
        <w:rPr>
          <w:b w:val="0"/>
        </w:rPr>
        <w:t xml:space="preserve"> </w:t>
      </w:r>
      <w:proofErr w:type="spellStart"/>
      <w:r w:rsidRPr="00FC4F13">
        <w:rPr>
          <w:b w:val="0"/>
        </w:rPr>
        <w:t>liền</w:t>
      </w:r>
      <w:proofErr w:type="spellEnd"/>
      <w:r w:rsidRPr="00FC4F13">
        <w:rPr>
          <w:b w:val="0"/>
        </w:rPr>
        <w:t xml:space="preserve"> </w:t>
      </w:r>
      <w:proofErr w:type="spellStart"/>
      <w:r w:rsidRPr="00FC4F13">
        <w:rPr>
          <w:b w:val="0"/>
        </w:rPr>
        <w:t>kề</w:t>
      </w:r>
      <w:proofErr w:type="spellEnd"/>
      <w:r w:rsidRPr="00FC4F13">
        <w:rPr>
          <w:b w:val="0"/>
        </w:rPr>
        <w:t xml:space="preserve"> </w:t>
      </w:r>
      <w:proofErr w:type="spellStart"/>
      <w:r w:rsidRPr="00FC4F13">
        <w:rPr>
          <w:b w:val="0"/>
        </w:rPr>
        <w:t>năm</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proofErr w:type="gramStart"/>
      <w:r w:rsidRPr="00FC4F13">
        <w:rPr>
          <w:b w:val="0"/>
        </w:rPr>
        <w:t>cáo</w:t>
      </w:r>
      <w:proofErr w:type="spellEnd"/>
      <w:r w:rsidRPr="00FC4F13">
        <w:rPr>
          <w:b w:val="0"/>
        </w:rPr>
        <w:t>:</w:t>
      </w:r>
      <w:proofErr w:type="gramEnd"/>
      <w:r w:rsidRPr="00FC4F13">
        <w:rPr>
          <w:b w:val="0"/>
        </w:rPr>
        <w:t xml:space="preserve"> </w:t>
      </w:r>
    </w:p>
    <w:p w14:paraId="465B1A71" w14:textId="4D21D268" w:rsidR="001F1881" w:rsidRPr="00FC4F13" w:rsidRDefault="00BC0A67" w:rsidP="001F1881">
      <w:pPr>
        <w:pStyle w:val="ListParagraph"/>
        <w:numPr>
          <w:ilvl w:val="0"/>
          <w:numId w:val="26"/>
        </w:numPr>
        <w:tabs>
          <w:tab w:val="left" w:pos="426"/>
        </w:tabs>
        <w:spacing w:after="120" w:line="276" w:lineRule="auto"/>
        <w:ind w:left="426" w:hanging="284"/>
        <w:jc w:val="both"/>
        <w:rPr>
          <w:b w:val="0"/>
        </w:rPr>
      </w:pPr>
      <w:proofErr w:type="spellStart"/>
      <w:r w:rsidRPr="00BC0A67">
        <w:rPr>
          <w:b w:val="0"/>
        </w:rPr>
        <w:t>Về</w:t>
      </w:r>
      <w:proofErr w:type="spellEnd"/>
      <w:r w:rsidRPr="00BC0A67">
        <w:rPr>
          <w:b w:val="0"/>
        </w:rPr>
        <w:t xml:space="preserve"> </w:t>
      </w:r>
      <w:proofErr w:type="spellStart"/>
      <w:r w:rsidRPr="00BC0A67">
        <w:rPr>
          <w:b w:val="0"/>
        </w:rPr>
        <w:t>cơ</w:t>
      </w:r>
      <w:proofErr w:type="spellEnd"/>
      <w:r w:rsidRPr="00BC0A67">
        <w:rPr>
          <w:b w:val="0"/>
        </w:rPr>
        <w:t xml:space="preserve"> </w:t>
      </w:r>
      <w:proofErr w:type="spellStart"/>
      <w:r w:rsidRPr="00BC0A67">
        <w:rPr>
          <w:b w:val="0"/>
        </w:rPr>
        <w:t>cấu</w:t>
      </w:r>
      <w:proofErr w:type="spellEnd"/>
      <w:r w:rsidRPr="00BC0A67">
        <w:rPr>
          <w:b w:val="0"/>
        </w:rPr>
        <w:t xml:space="preserve"> </w:t>
      </w:r>
      <w:proofErr w:type="spellStart"/>
      <w:r w:rsidRPr="00BC0A67">
        <w:rPr>
          <w:b w:val="0"/>
        </w:rPr>
        <w:t>tài</w:t>
      </w:r>
      <w:proofErr w:type="spellEnd"/>
      <w:r w:rsidRPr="00BC0A67">
        <w:rPr>
          <w:b w:val="0"/>
        </w:rPr>
        <w:t xml:space="preserve"> </w:t>
      </w:r>
      <w:proofErr w:type="spellStart"/>
      <w:r w:rsidRPr="00BC0A67">
        <w:rPr>
          <w:b w:val="0"/>
        </w:rPr>
        <w:t>sản</w:t>
      </w:r>
      <w:proofErr w:type="spellEnd"/>
      <w:r w:rsidRPr="00BC0A67">
        <w:rPr>
          <w:b w:val="0"/>
        </w:rPr>
        <w:t xml:space="preserve"> </w:t>
      </w:r>
      <w:proofErr w:type="spellStart"/>
      <w:r w:rsidRPr="00BC0A67">
        <w:rPr>
          <w:b w:val="0"/>
        </w:rPr>
        <w:t>theo</w:t>
      </w:r>
      <w:proofErr w:type="spellEnd"/>
      <w:r w:rsidRPr="00BC0A67">
        <w:rPr>
          <w:b w:val="0"/>
        </w:rPr>
        <w:t xml:space="preserve"> </w:t>
      </w:r>
      <w:proofErr w:type="spellStart"/>
      <w:r w:rsidRPr="00BC0A67">
        <w:rPr>
          <w:b w:val="0"/>
        </w:rPr>
        <w:t>ngành</w:t>
      </w:r>
      <w:proofErr w:type="spellEnd"/>
      <w:r w:rsidRPr="00BC0A67">
        <w:rPr>
          <w:b w:val="0"/>
        </w:rPr>
        <w:t xml:space="preserve"> (</w:t>
      </w:r>
      <w:proofErr w:type="spellStart"/>
      <w:r w:rsidRPr="00BC0A67">
        <w:rPr>
          <w:b w:val="0"/>
        </w:rPr>
        <w:t>theo</w:t>
      </w:r>
      <w:proofErr w:type="spellEnd"/>
      <w:r w:rsidRPr="00BC0A67">
        <w:rPr>
          <w:b w:val="0"/>
        </w:rPr>
        <w:t xml:space="preserve"> </w:t>
      </w:r>
      <w:proofErr w:type="spellStart"/>
      <w:r w:rsidRPr="00BC0A67">
        <w:rPr>
          <w:b w:val="0"/>
        </w:rPr>
        <w:t>phân</w:t>
      </w:r>
      <w:proofErr w:type="spellEnd"/>
      <w:r w:rsidRPr="00BC0A67">
        <w:rPr>
          <w:b w:val="0"/>
        </w:rPr>
        <w:t xml:space="preserve"> </w:t>
      </w:r>
      <w:proofErr w:type="spellStart"/>
      <w:r w:rsidRPr="00BC0A67">
        <w:rPr>
          <w:b w:val="0"/>
        </w:rPr>
        <w:t>loại</w:t>
      </w:r>
      <w:proofErr w:type="spellEnd"/>
      <w:r w:rsidRPr="00BC0A67">
        <w:rPr>
          <w:b w:val="0"/>
        </w:rPr>
        <w:t xml:space="preserve"> </w:t>
      </w:r>
      <w:proofErr w:type="spellStart"/>
      <w:r w:rsidRPr="00BC0A67">
        <w:rPr>
          <w:b w:val="0"/>
        </w:rPr>
        <w:t>của</w:t>
      </w:r>
      <w:proofErr w:type="spellEnd"/>
      <w:r w:rsidRPr="00BC0A67">
        <w:rPr>
          <w:b w:val="0"/>
        </w:rPr>
        <w:t xml:space="preserve"> GICS </w:t>
      </w:r>
      <w:proofErr w:type="spellStart"/>
      <w:r w:rsidRPr="00BC0A67">
        <w:rPr>
          <w:b w:val="0"/>
        </w:rPr>
        <w:t>bậc</w:t>
      </w:r>
      <w:proofErr w:type="spellEnd"/>
      <w:r w:rsidRPr="00BC0A67">
        <w:rPr>
          <w:b w:val="0"/>
        </w:rPr>
        <w:t xml:space="preserve"> 2), </w:t>
      </w:r>
      <w:proofErr w:type="spellStart"/>
      <w:r w:rsidRPr="00BC0A67">
        <w:rPr>
          <w:b w:val="0"/>
        </w:rPr>
        <w:t>nhìn</w:t>
      </w:r>
      <w:proofErr w:type="spellEnd"/>
      <w:r w:rsidRPr="00BC0A67">
        <w:rPr>
          <w:b w:val="0"/>
        </w:rPr>
        <w:t xml:space="preserve"> </w:t>
      </w:r>
      <w:proofErr w:type="spellStart"/>
      <w:r w:rsidRPr="00BC0A67">
        <w:rPr>
          <w:b w:val="0"/>
        </w:rPr>
        <w:t>chung</w:t>
      </w:r>
      <w:proofErr w:type="spellEnd"/>
      <w:r w:rsidRPr="00BC0A67">
        <w:rPr>
          <w:b w:val="0"/>
        </w:rPr>
        <w:t xml:space="preserve"> </w:t>
      </w:r>
      <w:proofErr w:type="spellStart"/>
      <w:r w:rsidRPr="00BC0A67">
        <w:rPr>
          <w:b w:val="0"/>
        </w:rPr>
        <w:t>danh</w:t>
      </w:r>
      <w:proofErr w:type="spellEnd"/>
      <w:r w:rsidRPr="00BC0A67">
        <w:rPr>
          <w:b w:val="0"/>
        </w:rPr>
        <w:t xml:space="preserve"> </w:t>
      </w:r>
      <w:proofErr w:type="spellStart"/>
      <w:r w:rsidRPr="00BC0A67">
        <w:rPr>
          <w:b w:val="0"/>
        </w:rPr>
        <w:t>mục</w:t>
      </w:r>
      <w:proofErr w:type="spellEnd"/>
      <w:r w:rsidRPr="00BC0A67">
        <w:rPr>
          <w:b w:val="0"/>
        </w:rPr>
        <w:t xml:space="preserve"> </w:t>
      </w:r>
      <w:proofErr w:type="spellStart"/>
      <w:r w:rsidRPr="00BC0A67">
        <w:rPr>
          <w:b w:val="0"/>
        </w:rPr>
        <w:t>đầu</w:t>
      </w:r>
      <w:proofErr w:type="spellEnd"/>
      <w:r w:rsidRPr="00BC0A67">
        <w:rPr>
          <w:b w:val="0"/>
        </w:rPr>
        <w:t xml:space="preserve"> </w:t>
      </w:r>
      <w:proofErr w:type="spellStart"/>
      <w:r w:rsidRPr="00BC0A67">
        <w:rPr>
          <w:b w:val="0"/>
        </w:rPr>
        <w:t>tư</w:t>
      </w:r>
      <w:proofErr w:type="spellEnd"/>
      <w:r w:rsidRPr="00BC0A67">
        <w:rPr>
          <w:b w:val="0"/>
        </w:rPr>
        <w:t xml:space="preserve"> </w:t>
      </w:r>
      <w:proofErr w:type="spellStart"/>
      <w:r w:rsidRPr="00BC0A67">
        <w:rPr>
          <w:b w:val="0"/>
        </w:rPr>
        <w:t>của</w:t>
      </w:r>
      <w:proofErr w:type="spellEnd"/>
      <w:r w:rsidRPr="00BC0A67">
        <w:rPr>
          <w:b w:val="0"/>
        </w:rPr>
        <w:t xml:space="preserve"> </w:t>
      </w:r>
      <w:proofErr w:type="spellStart"/>
      <w:r w:rsidRPr="00BC0A67">
        <w:rPr>
          <w:b w:val="0"/>
        </w:rPr>
        <w:t>quy</w:t>
      </w:r>
      <w:proofErr w:type="spellEnd"/>
      <w:r w:rsidRPr="00BC0A67">
        <w:rPr>
          <w:b w:val="0"/>
        </w:rPr>
        <w:t xml:space="preserve">̃ </w:t>
      </w:r>
      <w:proofErr w:type="spellStart"/>
      <w:r w:rsidRPr="00BC0A67">
        <w:rPr>
          <w:b w:val="0"/>
        </w:rPr>
        <w:t>năm</w:t>
      </w:r>
      <w:proofErr w:type="spellEnd"/>
      <w:r w:rsidRPr="00BC0A67">
        <w:rPr>
          <w:b w:val="0"/>
        </w:rPr>
        <w:t xml:space="preserve"> </w:t>
      </w:r>
      <w:proofErr w:type="spellStart"/>
      <w:r w:rsidRPr="00BC0A67">
        <w:rPr>
          <w:b w:val="0"/>
        </w:rPr>
        <w:t>nay</w:t>
      </w:r>
      <w:proofErr w:type="spellEnd"/>
      <w:r w:rsidRPr="00BC0A67">
        <w:rPr>
          <w:b w:val="0"/>
        </w:rPr>
        <w:t xml:space="preserve"> </w:t>
      </w:r>
      <w:proofErr w:type="spellStart"/>
      <w:r w:rsidRPr="00BC0A67">
        <w:rPr>
          <w:b w:val="0"/>
        </w:rPr>
        <w:t>co</w:t>
      </w:r>
      <w:proofErr w:type="spellEnd"/>
      <w:r w:rsidRPr="00BC0A67">
        <w:rPr>
          <w:b w:val="0"/>
        </w:rPr>
        <w:t xml:space="preserve">́ </w:t>
      </w:r>
      <w:proofErr w:type="spellStart"/>
      <w:r w:rsidRPr="00BC0A67">
        <w:rPr>
          <w:b w:val="0"/>
        </w:rPr>
        <w:t>sư</w:t>
      </w:r>
      <w:proofErr w:type="spellEnd"/>
      <w:r w:rsidRPr="00BC0A67">
        <w:rPr>
          <w:b w:val="0"/>
        </w:rPr>
        <w:t xml:space="preserve">̣ </w:t>
      </w:r>
      <w:proofErr w:type="spellStart"/>
      <w:r w:rsidRPr="00BC0A67">
        <w:rPr>
          <w:b w:val="0"/>
        </w:rPr>
        <w:t>tập</w:t>
      </w:r>
      <w:proofErr w:type="spellEnd"/>
      <w:r w:rsidRPr="00BC0A67">
        <w:rPr>
          <w:b w:val="0"/>
        </w:rPr>
        <w:t xml:space="preserve"> </w:t>
      </w:r>
      <w:proofErr w:type="spellStart"/>
      <w:r w:rsidRPr="00BC0A67">
        <w:rPr>
          <w:b w:val="0"/>
        </w:rPr>
        <w:t>trung</w:t>
      </w:r>
      <w:proofErr w:type="spellEnd"/>
      <w:r w:rsidRPr="00BC0A67">
        <w:rPr>
          <w:b w:val="0"/>
        </w:rPr>
        <w:t xml:space="preserve"> </w:t>
      </w:r>
      <w:proofErr w:type="spellStart"/>
      <w:r w:rsidRPr="00BC0A67">
        <w:rPr>
          <w:b w:val="0"/>
        </w:rPr>
        <w:t>vào</w:t>
      </w:r>
      <w:proofErr w:type="spellEnd"/>
      <w:r w:rsidRPr="00BC0A67">
        <w:rPr>
          <w:b w:val="0"/>
        </w:rPr>
        <w:t xml:space="preserve"> 6 </w:t>
      </w:r>
      <w:proofErr w:type="spellStart"/>
      <w:r w:rsidRPr="00BC0A67">
        <w:rPr>
          <w:b w:val="0"/>
        </w:rPr>
        <w:t>ngành</w:t>
      </w:r>
      <w:proofErr w:type="spellEnd"/>
      <w:r w:rsidRPr="00BC0A67">
        <w:rPr>
          <w:b w:val="0"/>
        </w:rPr>
        <w:t xml:space="preserve"> </w:t>
      </w:r>
      <w:proofErr w:type="spellStart"/>
      <w:r w:rsidRPr="00BC0A67">
        <w:rPr>
          <w:b w:val="0"/>
        </w:rPr>
        <w:t>nghề</w:t>
      </w:r>
      <w:proofErr w:type="spellEnd"/>
      <w:r w:rsidRPr="00BC0A67">
        <w:rPr>
          <w:b w:val="0"/>
        </w:rPr>
        <w:t xml:space="preserve"> </w:t>
      </w:r>
      <w:proofErr w:type="spellStart"/>
      <w:r w:rsidRPr="00BC0A67">
        <w:rPr>
          <w:b w:val="0"/>
        </w:rPr>
        <w:t>chính</w:t>
      </w:r>
      <w:proofErr w:type="spellEnd"/>
      <w:r w:rsidRPr="00BC0A67">
        <w:rPr>
          <w:b w:val="0"/>
        </w:rPr>
        <w:t xml:space="preserve">. </w:t>
      </w:r>
      <w:proofErr w:type="spellStart"/>
      <w:r w:rsidRPr="00BC0A67">
        <w:rPr>
          <w:b w:val="0"/>
        </w:rPr>
        <w:t>Bên</w:t>
      </w:r>
      <w:proofErr w:type="spellEnd"/>
      <w:r w:rsidRPr="00BC0A67">
        <w:rPr>
          <w:b w:val="0"/>
        </w:rPr>
        <w:t xml:space="preserve"> </w:t>
      </w:r>
      <w:proofErr w:type="spellStart"/>
      <w:r w:rsidRPr="00BC0A67">
        <w:rPr>
          <w:b w:val="0"/>
        </w:rPr>
        <w:t>cạnh</w:t>
      </w:r>
      <w:proofErr w:type="spellEnd"/>
      <w:r w:rsidRPr="00BC0A67">
        <w:rPr>
          <w:b w:val="0"/>
        </w:rPr>
        <w:t xml:space="preserve"> </w:t>
      </w:r>
      <w:proofErr w:type="spellStart"/>
      <w:r w:rsidRPr="00BC0A67">
        <w:rPr>
          <w:b w:val="0"/>
        </w:rPr>
        <w:t>đó</w:t>
      </w:r>
      <w:proofErr w:type="spellEnd"/>
      <w:r w:rsidRPr="00BC0A67">
        <w:rPr>
          <w:b w:val="0"/>
        </w:rPr>
        <w:t xml:space="preserve">, </w:t>
      </w:r>
      <w:proofErr w:type="spellStart"/>
      <w:r w:rsidRPr="00BC0A67">
        <w:rPr>
          <w:b w:val="0"/>
        </w:rPr>
        <w:t>quỹ</w:t>
      </w:r>
      <w:proofErr w:type="spellEnd"/>
      <w:r w:rsidRPr="00BC0A67">
        <w:rPr>
          <w:b w:val="0"/>
        </w:rPr>
        <w:t xml:space="preserve"> </w:t>
      </w:r>
      <w:proofErr w:type="spellStart"/>
      <w:r w:rsidRPr="00BC0A67">
        <w:rPr>
          <w:b w:val="0"/>
        </w:rPr>
        <w:t>giảm</w:t>
      </w:r>
      <w:proofErr w:type="spellEnd"/>
      <w:r w:rsidRPr="00BC0A67">
        <w:rPr>
          <w:b w:val="0"/>
        </w:rPr>
        <w:t xml:space="preserve"> </w:t>
      </w:r>
      <w:proofErr w:type="spellStart"/>
      <w:r w:rsidRPr="00BC0A67">
        <w:rPr>
          <w:b w:val="0"/>
        </w:rPr>
        <w:t>tỷ</w:t>
      </w:r>
      <w:proofErr w:type="spellEnd"/>
      <w:r w:rsidRPr="00BC0A67">
        <w:rPr>
          <w:b w:val="0"/>
        </w:rPr>
        <w:t xml:space="preserve"> </w:t>
      </w:r>
      <w:proofErr w:type="spellStart"/>
      <w:r w:rsidRPr="00BC0A67">
        <w:rPr>
          <w:b w:val="0"/>
        </w:rPr>
        <w:t>trọng</w:t>
      </w:r>
      <w:proofErr w:type="spellEnd"/>
      <w:r w:rsidRPr="00BC0A67">
        <w:rPr>
          <w:b w:val="0"/>
        </w:rPr>
        <w:t xml:space="preserve"> </w:t>
      </w:r>
      <w:proofErr w:type="spellStart"/>
      <w:r w:rsidRPr="00BC0A67">
        <w:rPr>
          <w:b w:val="0"/>
        </w:rPr>
        <w:t>nắm</w:t>
      </w:r>
      <w:proofErr w:type="spellEnd"/>
      <w:r w:rsidRPr="00BC0A67">
        <w:rPr>
          <w:b w:val="0"/>
        </w:rPr>
        <w:t xml:space="preserve"> </w:t>
      </w:r>
      <w:proofErr w:type="spellStart"/>
      <w:r w:rsidRPr="00BC0A67">
        <w:rPr>
          <w:b w:val="0"/>
        </w:rPr>
        <w:t>giữ</w:t>
      </w:r>
      <w:proofErr w:type="spellEnd"/>
      <w:r w:rsidRPr="00BC0A67">
        <w:rPr>
          <w:b w:val="0"/>
        </w:rPr>
        <w:t xml:space="preserve"> </w:t>
      </w:r>
      <w:proofErr w:type="spellStart"/>
      <w:r w:rsidRPr="00BC0A67">
        <w:rPr>
          <w:b w:val="0"/>
        </w:rPr>
        <w:t>cổ</w:t>
      </w:r>
      <w:proofErr w:type="spellEnd"/>
      <w:r w:rsidRPr="00BC0A67">
        <w:rPr>
          <w:b w:val="0"/>
        </w:rPr>
        <w:t xml:space="preserve"> </w:t>
      </w:r>
      <w:proofErr w:type="spellStart"/>
      <w:r w:rsidRPr="00BC0A67">
        <w:rPr>
          <w:b w:val="0"/>
        </w:rPr>
        <w:t>phiếu</w:t>
      </w:r>
      <w:proofErr w:type="spellEnd"/>
      <w:r w:rsidRPr="00BC0A67">
        <w:rPr>
          <w:b w:val="0"/>
        </w:rPr>
        <w:t xml:space="preserve"> </w:t>
      </w:r>
      <w:proofErr w:type="spellStart"/>
      <w:r w:rsidRPr="00BC0A67">
        <w:rPr>
          <w:b w:val="0"/>
        </w:rPr>
        <w:t>thuộc</w:t>
      </w:r>
      <w:proofErr w:type="spellEnd"/>
      <w:r w:rsidRPr="00BC0A67">
        <w:rPr>
          <w:b w:val="0"/>
        </w:rPr>
        <w:t xml:space="preserve"> </w:t>
      </w:r>
      <w:proofErr w:type="spellStart"/>
      <w:r w:rsidRPr="00BC0A67">
        <w:rPr>
          <w:b w:val="0"/>
        </w:rPr>
        <w:t>ngành</w:t>
      </w:r>
      <w:proofErr w:type="spellEnd"/>
      <w:r w:rsidRPr="00BC0A67">
        <w:rPr>
          <w:b w:val="0"/>
        </w:rPr>
        <w:t xml:space="preserve"> </w:t>
      </w:r>
      <w:proofErr w:type="spellStart"/>
      <w:r w:rsidRPr="00BC0A67">
        <w:rPr>
          <w:b w:val="0"/>
        </w:rPr>
        <w:t>Bán</w:t>
      </w:r>
      <w:proofErr w:type="spellEnd"/>
      <w:r w:rsidRPr="00BC0A67">
        <w:rPr>
          <w:b w:val="0"/>
        </w:rPr>
        <w:t xml:space="preserve"> </w:t>
      </w:r>
      <w:proofErr w:type="spellStart"/>
      <w:r w:rsidRPr="00BC0A67">
        <w:rPr>
          <w:b w:val="0"/>
        </w:rPr>
        <w:t>lẻ</w:t>
      </w:r>
      <w:proofErr w:type="spellEnd"/>
      <w:r w:rsidRPr="00BC0A67">
        <w:rPr>
          <w:b w:val="0"/>
        </w:rPr>
        <w:t xml:space="preserve">, </w:t>
      </w:r>
      <w:proofErr w:type="spellStart"/>
      <w:r w:rsidRPr="00BC0A67">
        <w:rPr>
          <w:b w:val="0"/>
        </w:rPr>
        <w:t>Thực</w:t>
      </w:r>
      <w:proofErr w:type="spellEnd"/>
      <w:r w:rsidRPr="00BC0A67">
        <w:rPr>
          <w:b w:val="0"/>
        </w:rPr>
        <w:t xml:space="preserve"> </w:t>
      </w:r>
      <w:proofErr w:type="spellStart"/>
      <w:r w:rsidRPr="00BC0A67">
        <w:rPr>
          <w:b w:val="0"/>
        </w:rPr>
        <w:t>phẩm</w:t>
      </w:r>
      <w:proofErr w:type="spellEnd"/>
      <w:r w:rsidRPr="00BC0A67">
        <w:rPr>
          <w:b w:val="0"/>
        </w:rPr>
        <w:t xml:space="preserve"> NGK &amp; </w:t>
      </w:r>
      <w:proofErr w:type="spellStart"/>
      <w:r w:rsidRPr="00BC0A67">
        <w:rPr>
          <w:b w:val="0"/>
        </w:rPr>
        <w:t>Thuốc</w:t>
      </w:r>
      <w:proofErr w:type="spellEnd"/>
      <w:r w:rsidRPr="00BC0A67">
        <w:rPr>
          <w:b w:val="0"/>
        </w:rPr>
        <w:t xml:space="preserve"> </w:t>
      </w:r>
      <w:proofErr w:type="spellStart"/>
      <w:r w:rsidRPr="00BC0A67">
        <w:rPr>
          <w:b w:val="0"/>
        </w:rPr>
        <w:t>lá</w:t>
      </w:r>
      <w:proofErr w:type="spellEnd"/>
      <w:r w:rsidRPr="00BC0A67">
        <w:rPr>
          <w:b w:val="0"/>
        </w:rPr>
        <w:t xml:space="preserve">, </w:t>
      </w:r>
      <w:proofErr w:type="spellStart"/>
      <w:r w:rsidRPr="00BC0A67">
        <w:rPr>
          <w:b w:val="0"/>
        </w:rPr>
        <w:t>đồng</w:t>
      </w:r>
      <w:proofErr w:type="spellEnd"/>
      <w:r w:rsidRPr="00BC0A67">
        <w:rPr>
          <w:b w:val="0"/>
        </w:rPr>
        <w:t xml:space="preserve"> </w:t>
      </w:r>
      <w:proofErr w:type="spellStart"/>
      <w:r w:rsidRPr="00BC0A67">
        <w:rPr>
          <w:b w:val="0"/>
        </w:rPr>
        <w:t>thời</w:t>
      </w:r>
      <w:proofErr w:type="spellEnd"/>
      <w:r w:rsidRPr="00BC0A67">
        <w:rPr>
          <w:b w:val="0"/>
        </w:rPr>
        <w:t xml:space="preserve"> </w:t>
      </w:r>
      <w:proofErr w:type="spellStart"/>
      <w:r w:rsidRPr="00BC0A67">
        <w:rPr>
          <w:b w:val="0"/>
        </w:rPr>
        <w:t>tăng</w:t>
      </w:r>
      <w:proofErr w:type="spellEnd"/>
      <w:r w:rsidRPr="00BC0A67">
        <w:rPr>
          <w:b w:val="0"/>
        </w:rPr>
        <w:t xml:space="preserve"> </w:t>
      </w:r>
      <w:proofErr w:type="spellStart"/>
      <w:r w:rsidRPr="00BC0A67">
        <w:rPr>
          <w:b w:val="0"/>
        </w:rPr>
        <w:t>tỷ</w:t>
      </w:r>
      <w:proofErr w:type="spellEnd"/>
      <w:r w:rsidRPr="00BC0A67">
        <w:rPr>
          <w:b w:val="0"/>
        </w:rPr>
        <w:t xml:space="preserve"> </w:t>
      </w:r>
      <w:proofErr w:type="spellStart"/>
      <w:r w:rsidRPr="00BC0A67">
        <w:rPr>
          <w:b w:val="0"/>
        </w:rPr>
        <w:t>trọng</w:t>
      </w:r>
      <w:proofErr w:type="spellEnd"/>
      <w:r w:rsidRPr="00BC0A67">
        <w:rPr>
          <w:b w:val="0"/>
        </w:rPr>
        <w:t xml:space="preserve"> </w:t>
      </w:r>
      <w:proofErr w:type="spellStart"/>
      <w:r w:rsidRPr="00BC0A67">
        <w:rPr>
          <w:b w:val="0"/>
        </w:rPr>
        <w:t>ngành</w:t>
      </w:r>
      <w:proofErr w:type="spellEnd"/>
      <w:r w:rsidRPr="00BC0A67">
        <w:rPr>
          <w:b w:val="0"/>
        </w:rPr>
        <w:t xml:space="preserve"> </w:t>
      </w:r>
      <w:proofErr w:type="spellStart"/>
      <w:r w:rsidRPr="00BC0A67">
        <w:rPr>
          <w:b w:val="0"/>
        </w:rPr>
        <w:t>Bất</w:t>
      </w:r>
      <w:proofErr w:type="spellEnd"/>
      <w:r w:rsidRPr="00BC0A67">
        <w:rPr>
          <w:b w:val="0"/>
        </w:rPr>
        <w:t xml:space="preserve"> </w:t>
      </w:r>
      <w:proofErr w:type="spellStart"/>
      <w:r w:rsidRPr="00BC0A67">
        <w:rPr>
          <w:b w:val="0"/>
        </w:rPr>
        <w:t>động</w:t>
      </w:r>
      <w:proofErr w:type="spellEnd"/>
      <w:r w:rsidRPr="00BC0A67">
        <w:rPr>
          <w:b w:val="0"/>
        </w:rPr>
        <w:t xml:space="preserve"> </w:t>
      </w:r>
      <w:proofErr w:type="spellStart"/>
      <w:r w:rsidRPr="00BC0A67">
        <w:rPr>
          <w:b w:val="0"/>
        </w:rPr>
        <w:t>sản</w:t>
      </w:r>
      <w:proofErr w:type="spellEnd"/>
      <w:r w:rsidRPr="00BC0A67">
        <w:rPr>
          <w:b w:val="0"/>
        </w:rPr>
        <w:t xml:space="preserve">, </w:t>
      </w:r>
      <w:proofErr w:type="spellStart"/>
      <w:r w:rsidRPr="00BC0A67">
        <w:rPr>
          <w:b w:val="0"/>
        </w:rPr>
        <w:t>Vật</w:t>
      </w:r>
      <w:proofErr w:type="spellEnd"/>
      <w:r w:rsidRPr="00BC0A67">
        <w:rPr>
          <w:b w:val="0"/>
        </w:rPr>
        <w:t xml:space="preserve"> </w:t>
      </w:r>
      <w:proofErr w:type="spellStart"/>
      <w:r w:rsidRPr="00BC0A67">
        <w:rPr>
          <w:b w:val="0"/>
        </w:rPr>
        <w:t>liệu</w:t>
      </w:r>
      <w:proofErr w:type="spellEnd"/>
      <w:r w:rsidRPr="00BC0A67">
        <w:rPr>
          <w:b w:val="0"/>
        </w:rPr>
        <w:t xml:space="preserve">, </w:t>
      </w:r>
      <w:proofErr w:type="spellStart"/>
      <w:r w:rsidRPr="00BC0A67">
        <w:rPr>
          <w:b w:val="0"/>
        </w:rPr>
        <w:t>Ngân</w:t>
      </w:r>
      <w:proofErr w:type="spellEnd"/>
      <w:r w:rsidRPr="00BC0A67">
        <w:rPr>
          <w:b w:val="0"/>
        </w:rPr>
        <w:t xml:space="preserve"> </w:t>
      </w:r>
      <w:proofErr w:type="spellStart"/>
      <w:r w:rsidRPr="00BC0A67">
        <w:rPr>
          <w:b w:val="0"/>
        </w:rPr>
        <w:t>hàng</w:t>
      </w:r>
      <w:proofErr w:type="spellEnd"/>
      <w:r w:rsidRPr="00BC0A67">
        <w:rPr>
          <w:b w:val="0"/>
        </w:rPr>
        <w:t>.</w:t>
      </w:r>
    </w:p>
    <w:p w14:paraId="3012295C"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proofErr w:type="spellStart"/>
      <w:r w:rsidRPr="00FC4F13">
        <w:rPr>
          <w:b w:val="0"/>
        </w:rPr>
        <w:t>Phân</w:t>
      </w:r>
      <w:proofErr w:type="spellEnd"/>
      <w:r w:rsidRPr="00FC4F13">
        <w:rPr>
          <w:b w:val="0"/>
        </w:rPr>
        <w:t xml:space="preserve"> </w:t>
      </w:r>
      <w:proofErr w:type="spellStart"/>
      <w:r w:rsidRPr="00FC4F13">
        <w:rPr>
          <w:b w:val="0"/>
        </w:rPr>
        <w:t>tích</w:t>
      </w:r>
      <w:proofErr w:type="spellEnd"/>
      <w:r w:rsidRPr="00FC4F13">
        <w:rPr>
          <w:b w:val="0"/>
        </w:rPr>
        <w:t xml:space="preserve"> </w:t>
      </w:r>
      <w:proofErr w:type="spellStart"/>
      <w:r w:rsidRPr="00FC4F13">
        <w:rPr>
          <w:b w:val="0"/>
        </w:rPr>
        <w:t>kết</w:t>
      </w:r>
      <w:proofErr w:type="spellEnd"/>
      <w:r w:rsidRPr="00FC4F13">
        <w:rPr>
          <w:b w:val="0"/>
        </w:rPr>
        <w:t xml:space="preserve"> </w:t>
      </w:r>
      <w:proofErr w:type="spellStart"/>
      <w:r w:rsidRPr="00FC4F13">
        <w:rPr>
          <w:b w:val="0"/>
        </w:rPr>
        <w:t>quả</w:t>
      </w:r>
      <w:proofErr w:type="spellEnd"/>
      <w:r w:rsidRPr="00FC4F13">
        <w:rPr>
          <w:b w:val="0"/>
        </w:rPr>
        <w:t xml:space="preserve"> </w:t>
      </w:r>
      <w:proofErr w:type="spellStart"/>
      <w:r w:rsidRPr="00FC4F13">
        <w:rPr>
          <w:b w:val="0"/>
        </w:rPr>
        <w:t>hoạt</w:t>
      </w:r>
      <w:proofErr w:type="spellEnd"/>
      <w:r w:rsidRPr="00FC4F13">
        <w:rPr>
          <w:b w:val="0"/>
        </w:rPr>
        <w:t xml:space="preserve"> </w:t>
      </w:r>
      <w:proofErr w:type="spellStart"/>
      <w:r w:rsidRPr="00FC4F13">
        <w:rPr>
          <w:b w:val="0"/>
        </w:rPr>
        <w:t>động</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dựa</w:t>
      </w:r>
      <w:proofErr w:type="spellEnd"/>
      <w:r w:rsidRPr="00FC4F13">
        <w:rPr>
          <w:b w:val="0"/>
        </w:rPr>
        <w:t xml:space="preserve"> </w:t>
      </w:r>
      <w:proofErr w:type="spellStart"/>
      <w:r w:rsidRPr="00FC4F13">
        <w:rPr>
          <w:b w:val="0"/>
        </w:rPr>
        <w:t>trên</w:t>
      </w:r>
      <w:proofErr w:type="spellEnd"/>
      <w:r w:rsidRPr="00FC4F13">
        <w:rPr>
          <w:b w:val="0"/>
        </w:rPr>
        <w:t xml:space="preserve"> </w:t>
      </w:r>
      <w:proofErr w:type="spellStart"/>
      <w:r w:rsidRPr="00FC4F13">
        <w:rPr>
          <w:b w:val="0"/>
        </w:rPr>
        <w:t>việc</w:t>
      </w:r>
      <w:proofErr w:type="spellEnd"/>
      <w:r w:rsidRPr="00FC4F13">
        <w:rPr>
          <w:b w:val="0"/>
        </w:rPr>
        <w:t xml:space="preserve"> </w:t>
      </w:r>
      <w:proofErr w:type="spellStart"/>
      <w:r w:rsidRPr="00FC4F13">
        <w:rPr>
          <w:b w:val="0"/>
        </w:rPr>
        <w:t>so</w:t>
      </w:r>
      <w:proofErr w:type="spellEnd"/>
      <w:r w:rsidRPr="00FC4F13">
        <w:rPr>
          <w:b w:val="0"/>
        </w:rPr>
        <w:t xml:space="preserve"> </w:t>
      </w:r>
      <w:proofErr w:type="spellStart"/>
      <w:r w:rsidRPr="00FC4F13">
        <w:rPr>
          <w:b w:val="0"/>
        </w:rPr>
        <w:t>sánh</w:t>
      </w:r>
      <w:proofErr w:type="spellEnd"/>
      <w:r w:rsidRPr="00FC4F13">
        <w:rPr>
          <w:b w:val="0"/>
        </w:rPr>
        <w:t xml:space="preserve"> </w:t>
      </w:r>
      <w:proofErr w:type="spellStart"/>
      <w:r w:rsidRPr="00FC4F13">
        <w:rPr>
          <w:b w:val="0"/>
        </w:rPr>
        <w:t>giá</w:t>
      </w:r>
      <w:proofErr w:type="spellEnd"/>
      <w:r w:rsidRPr="00FC4F13">
        <w:rPr>
          <w:b w:val="0"/>
        </w:rPr>
        <w:t xml:space="preserve"> </w:t>
      </w:r>
      <w:proofErr w:type="spellStart"/>
      <w:r w:rsidRPr="00FC4F13">
        <w:rPr>
          <w:b w:val="0"/>
        </w:rPr>
        <w:t>trị</w:t>
      </w:r>
      <w:proofErr w:type="spellEnd"/>
      <w:r w:rsidRPr="00FC4F13">
        <w:rPr>
          <w:b w:val="0"/>
        </w:rPr>
        <w:t xml:space="preserve"> </w:t>
      </w:r>
      <w:proofErr w:type="spellStart"/>
      <w:r w:rsidRPr="00FC4F13">
        <w:rPr>
          <w:b w:val="0"/>
        </w:rPr>
        <w:t>tài</w:t>
      </w:r>
      <w:proofErr w:type="spellEnd"/>
      <w:r w:rsidRPr="00FC4F13">
        <w:rPr>
          <w:b w:val="0"/>
        </w:rPr>
        <w:t xml:space="preserve"> </w:t>
      </w:r>
      <w:proofErr w:type="spellStart"/>
      <w:r w:rsidRPr="00FC4F13">
        <w:rPr>
          <w:b w:val="0"/>
        </w:rPr>
        <w:t>sản</w:t>
      </w:r>
      <w:proofErr w:type="spellEnd"/>
      <w:r w:rsidRPr="00FC4F13">
        <w:rPr>
          <w:b w:val="0"/>
        </w:rPr>
        <w:t xml:space="preserve"> </w:t>
      </w:r>
      <w:proofErr w:type="spellStart"/>
      <w:r w:rsidRPr="00FC4F13">
        <w:rPr>
          <w:b w:val="0"/>
        </w:rPr>
        <w:t>ròng</w:t>
      </w:r>
      <w:proofErr w:type="spellEnd"/>
      <w:r w:rsidRPr="00FC4F13">
        <w:rPr>
          <w:b w:val="0"/>
        </w:rPr>
        <w:t xml:space="preserve"> </w:t>
      </w:r>
      <w:proofErr w:type="spellStart"/>
      <w:r w:rsidRPr="00FC4F13">
        <w:rPr>
          <w:b w:val="0"/>
        </w:rPr>
        <w:t>trên</w:t>
      </w:r>
      <w:proofErr w:type="spellEnd"/>
      <w:r w:rsidRPr="00FC4F13">
        <w:rPr>
          <w:b w:val="0"/>
        </w:rPr>
        <w:t xml:space="preserve"> </w:t>
      </w:r>
      <w:proofErr w:type="spellStart"/>
      <w:r w:rsidRPr="00FC4F13">
        <w:rPr>
          <w:b w:val="0"/>
        </w:rPr>
        <w:t>một</w:t>
      </w:r>
      <w:proofErr w:type="spellEnd"/>
      <w:r w:rsidRPr="00FC4F13">
        <w:rPr>
          <w:b w:val="0"/>
        </w:rPr>
        <w:t xml:space="preserve"> </w:t>
      </w:r>
      <w:proofErr w:type="spellStart"/>
      <w:r w:rsidRPr="00FC4F13">
        <w:rPr>
          <w:b w:val="0"/>
        </w:rPr>
        <w:t>đơn</w:t>
      </w:r>
      <w:proofErr w:type="spellEnd"/>
      <w:r w:rsidRPr="00FC4F13">
        <w:rPr>
          <w:b w:val="0"/>
        </w:rPr>
        <w:t xml:space="preserve"> </w:t>
      </w:r>
      <w:proofErr w:type="spellStart"/>
      <w:r w:rsidRPr="00FC4F13">
        <w:rPr>
          <w:b w:val="0"/>
        </w:rPr>
        <w:t>vị</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sau</w:t>
      </w:r>
      <w:proofErr w:type="spellEnd"/>
      <w:r w:rsidRPr="00FC4F13">
        <w:rPr>
          <w:b w:val="0"/>
        </w:rPr>
        <w:t xml:space="preserve"> khi </w:t>
      </w:r>
      <w:proofErr w:type="spellStart"/>
      <w:r w:rsidRPr="00FC4F13">
        <w:rPr>
          <w:b w:val="0"/>
        </w:rPr>
        <w:t>đã</w:t>
      </w:r>
      <w:proofErr w:type="spellEnd"/>
      <w:r w:rsidRPr="00FC4F13">
        <w:rPr>
          <w:b w:val="0"/>
        </w:rPr>
        <w:t xml:space="preserve"> </w:t>
      </w:r>
      <w:proofErr w:type="spellStart"/>
      <w:r w:rsidRPr="00FC4F13">
        <w:rPr>
          <w:b w:val="0"/>
        </w:rPr>
        <w:t>điều</w:t>
      </w:r>
      <w:proofErr w:type="spellEnd"/>
      <w:r w:rsidRPr="00FC4F13">
        <w:rPr>
          <w:b w:val="0"/>
        </w:rPr>
        <w:t xml:space="preserve"> </w:t>
      </w:r>
      <w:proofErr w:type="spellStart"/>
      <w:r w:rsidRPr="00FC4F13">
        <w:rPr>
          <w:b w:val="0"/>
        </w:rPr>
        <w:t>chỉnh</w:t>
      </w:r>
      <w:proofErr w:type="spellEnd"/>
      <w:r w:rsidRPr="00FC4F13">
        <w:rPr>
          <w:b w:val="0"/>
        </w:rPr>
        <w:t xml:space="preserve"> </w:t>
      </w:r>
      <w:proofErr w:type="spellStart"/>
      <w:r w:rsidRPr="00FC4F13">
        <w:rPr>
          <w:b w:val="0"/>
        </w:rPr>
        <w:t>phần</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đã</w:t>
      </w:r>
      <w:proofErr w:type="spellEnd"/>
      <w:r w:rsidRPr="00FC4F13">
        <w:rPr>
          <w:b w:val="0"/>
        </w:rPr>
        <w:t xml:space="preserve"> </w:t>
      </w:r>
      <w:proofErr w:type="spellStart"/>
      <w:r w:rsidRPr="00FC4F13">
        <w:rPr>
          <w:b w:val="0"/>
        </w:rPr>
        <w:t>phân</w:t>
      </w:r>
      <w:proofErr w:type="spellEnd"/>
      <w:r w:rsidRPr="00FC4F13">
        <w:rPr>
          <w:b w:val="0"/>
        </w:rPr>
        <w:t xml:space="preserve"> </w:t>
      </w:r>
      <w:proofErr w:type="spellStart"/>
      <w:r w:rsidRPr="00FC4F13">
        <w:rPr>
          <w:b w:val="0"/>
        </w:rPr>
        <w:t>phối</w:t>
      </w:r>
      <w:proofErr w:type="spellEnd"/>
      <w:r w:rsidRPr="00FC4F13">
        <w:rPr>
          <w:b w:val="0"/>
        </w:rPr>
        <w:t xml:space="preserve">, </w:t>
      </w:r>
      <w:proofErr w:type="spellStart"/>
      <w:r w:rsidRPr="00FC4F13">
        <w:rPr>
          <w:b w:val="0"/>
        </w:rPr>
        <w:t>nếu</w:t>
      </w:r>
      <w:proofErr w:type="spellEnd"/>
      <w:r w:rsidRPr="00FC4F13">
        <w:rPr>
          <w:b w:val="0"/>
        </w:rPr>
        <w:t xml:space="preserve"> </w:t>
      </w:r>
      <w:proofErr w:type="spellStart"/>
      <w:r w:rsidRPr="00FC4F13">
        <w:rPr>
          <w:b w:val="0"/>
        </w:rPr>
        <w:t>có</w:t>
      </w:r>
      <w:proofErr w:type="spellEnd"/>
      <w:r w:rsidRPr="00FC4F13">
        <w:rPr>
          <w:b w:val="0"/>
        </w:rPr>
        <w:t xml:space="preserve">) </w:t>
      </w:r>
      <w:proofErr w:type="spellStart"/>
      <w:r w:rsidRPr="00FC4F13">
        <w:rPr>
          <w:b w:val="0"/>
        </w:rPr>
        <w:t>tại</w:t>
      </w:r>
      <w:proofErr w:type="spellEnd"/>
      <w:r w:rsidRPr="00FC4F13">
        <w:rPr>
          <w:b w:val="0"/>
        </w:rPr>
        <w:t xml:space="preserve"> </w:t>
      </w:r>
      <w:proofErr w:type="spellStart"/>
      <w:r w:rsidRPr="00FC4F13">
        <w:rPr>
          <w:b w:val="0"/>
        </w:rPr>
        <w:t>kỳ</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này</w:t>
      </w:r>
      <w:proofErr w:type="spellEnd"/>
      <w:r w:rsidRPr="00FC4F13">
        <w:rPr>
          <w:b w:val="0"/>
        </w:rPr>
        <w:t xml:space="preserve"> </w:t>
      </w:r>
      <w:proofErr w:type="spellStart"/>
      <w:r w:rsidRPr="00FC4F13">
        <w:rPr>
          <w:b w:val="0"/>
        </w:rPr>
        <w:t>so</w:t>
      </w:r>
      <w:proofErr w:type="spellEnd"/>
      <w:r w:rsidRPr="00FC4F13">
        <w:rPr>
          <w:b w:val="0"/>
        </w:rPr>
        <w:t xml:space="preserve"> </w:t>
      </w:r>
      <w:proofErr w:type="spellStart"/>
      <w:r w:rsidRPr="00FC4F13">
        <w:rPr>
          <w:b w:val="0"/>
        </w:rPr>
        <w:t>với</w:t>
      </w:r>
      <w:proofErr w:type="spellEnd"/>
      <w:r w:rsidRPr="00FC4F13">
        <w:rPr>
          <w:b w:val="0"/>
        </w:rPr>
        <w:t xml:space="preserve"> </w:t>
      </w:r>
      <w:proofErr w:type="spellStart"/>
      <w:r w:rsidRPr="00FC4F13">
        <w:rPr>
          <w:b w:val="0"/>
        </w:rPr>
        <w:t>tại</w:t>
      </w:r>
      <w:proofErr w:type="spellEnd"/>
      <w:r w:rsidRPr="00FC4F13">
        <w:rPr>
          <w:b w:val="0"/>
        </w:rPr>
        <w:t xml:space="preserve"> </w:t>
      </w:r>
      <w:proofErr w:type="spellStart"/>
      <w:r w:rsidRPr="00FC4F13">
        <w:rPr>
          <w:b w:val="0"/>
        </w:rPr>
        <w:t>kỳ</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gần</w:t>
      </w:r>
      <w:proofErr w:type="spellEnd"/>
      <w:r w:rsidRPr="00FC4F13">
        <w:rPr>
          <w:b w:val="0"/>
        </w:rPr>
        <w:t xml:space="preserve"> </w:t>
      </w:r>
      <w:proofErr w:type="spellStart"/>
      <w:r w:rsidRPr="00FC4F13">
        <w:rPr>
          <w:b w:val="0"/>
        </w:rPr>
        <w:t>nhất</w:t>
      </w:r>
      <w:proofErr w:type="spellEnd"/>
      <w:proofErr w:type="gramStart"/>
      <w:r>
        <w:rPr>
          <w:b w:val="0"/>
        </w:rPr>
        <w:t>)</w:t>
      </w:r>
      <w:r w:rsidRPr="00FC4F13">
        <w:rPr>
          <w:b w:val="0"/>
        </w:rPr>
        <w:t>:</w:t>
      </w:r>
      <w:proofErr w:type="gramEnd"/>
      <w:r w:rsidRPr="00FC4F13">
        <w:rPr>
          <w:b w:val="0"/>
        </w:rPr>
        <w:t xml:space="preserve"> </w:t>
      </w:r>
    </w:p>
    <w:p w14:paraId="43C96CC3" w14:textId="08EEB757" w:rsidR="001F1881" w:rsidRPr="00FC4F13" w:rsidRDefault="00C12CDF" w:rsidP="00E50FD2">
      <w:pPr>
        <w:pStyle w:val="ListParagraph"/>
        <w:numPr>
          <w:ilvl w:val="0"/>
          <w:numId w:val="26"/>
        </w:numPr>
        <w:spacing w:after="120" w:line="276" w:lineRule="auto"/>
        <w:ind w:left="426"/>
        <w:jc w:val="both"/>
        <w:rPr>
          <w:b w:val="0"/>
        </w:rPr>
      </w:pPr>
      <w:proofErr w:type="spellStart"/>
      <w:r w:rsidRPr="00C12CDF">
        <w:rPr>
          <w:b w:val="0"/>
        </w:rPr>
        <w:t>Trong</w:t>
      </w:r>
      <w:proofErr w:type="spellEnd"/>
      <w:r w:rsidRPr="00C12CDF">
        <w:rPr>
          <w:b w:val="0"/>
        </w:rPr>
        <w:t xml:space="preserve"> </w:t>
      </w:r>
      <w:proofErr w:type="spellStart"/>
      <w:r w:rsidRPr="00C12CDF">
        <w:rPr>
          <w:b w:val="0"/>
        </w:rPr>
        <w:t>giai</w:t>
      </w:r>
      <w:proofErr w:type="spellEnd"/>
      <w:r w:rsidRPr="00C12CDF">
        <w:rPr>
          <w:b w:val="0"/>
        </w:rPr>
        <w:t xml:space="preserve"> </w:t>
      </w:r>
      <w:proofErr w:type="spellStart"/>
      <w:r w:rsidRPr="00C12CDF">
        <w:rPr>
          <w:b w:val="0"/>
        </w:rPr>
        <w:t>đoạn</w:t>
      </w:r>
      <w:proofErr w:type="spellEnd"/>
      <w:r w:rsidRPr="00C12CDF">
        <w:rPr>
          <w:b w:val="0"/>
        </w:rPr>
        <w:t xml:space="preserve"> 31/12/2022 – 31/12/2023, </w:t>
      </w:r>
      <w:proofErr w:type="spellStart"/>
      <w:r w:rsidRPr="00C12CDF">
        <w:rPr>
          <w:b w:val="0"/>
        </w:rPr>
        <w:t>giá</w:t>
      </w:r>
      <w:proofErr w:type="spellEnd"/>
      <w:r w:rsidRPr="00C12CDF">
        <w:rPr>
          <w:b w:val="0"/>
        </w:rPr>
        <w:t xml:space="preserve"> </w:t>
      </w:r>
      <w:proofErr w:type="spellStart"/>
      <w:r w:rsidRPr="00C12CDF">
        <w:rPr>
          <w:b w:val="0"/>
        </w:rPr>
        <w:t>trị</w:t>
      </w:r>
      <w:proofErr w:type="spellEnd"/>
      <w:r w:rsidRPr="00C12CDF">
        <w:rPr>
          <w:b w:val="0"/>
        </w:rPr>
        <w:t xml:space="preserve"> NAV/</w:t>
      </w:r>
      <w:proofErr w:type="spellStart"/>
      <w:r w:rsidRPr="00C12CDF">
        <w:rPr>
          <w:b w:val="0"/>
        </w:rPr>
        <w:t>ccq</w:t>
      </w:r>
      <w:proofErr w:type="spellEnd"/>
      <w:r w:rsidRPr="00C12CDF">
        <w:rPr>
          <w:b w:val="0"/>
        </w:rPr>
        <w:t xml:space="preserve"> </w:t>
      </w:r>
      <w:proofErr w:type="spellStart"/>
      <w:r w:rsidRPr="00C12CDF">
        <w:rPr>
          <w:b w:val="0"/>
        </w:rPr>
        <w:t>của</w:t>
      </w:r>
      <w:proofErr w:type="spellEnd"/>
      <w:r w:rsidRPr="00C12CDF">
        <w:rPr>
          <w:b w:val="0"/>
        </w:rPr>
        <w:t xml:space="preserve"> VSF </w:t>
      </w:r>
      <w:proofErr w:type="spellStart"/>
      <w:r w:rsidRPr="00C12CDF">
        <w:rPr>
          <w:b w:val="0"/>
        </w:rPr>
        <w:t>tăng</w:t>
      </w:r>
      <w:proofErr w:type="spellEnd"/>
      <w:r w:rsidRPr="00C12CDF">
        <w:rPr>
          <w:b w:val="0"/>
        </w:rPr>
        <w:t xml:space="preserve"> 21.97% </w:t>
      </w:r>
      <w:proofErr w:type="spellStart"/>
      <w:r w:rsidRPr="00C12CDF">
        <w:rPr>
          <w:b w:val="0"/>
        </w:rPr>
        <w:t>nhờ</w:t>
      </w:r>
      <w:proofErr w:type="spellEnd"/>
      <w:r w:rsidRPr="00C12CDF">
        <w:rPr>
          <w:b w:val="0"/>
        </w:rPr>
        <w:t xml:space="preserve"> </w:t>
      </w:r>
      <w:proofErr w:type="spellStart"/>
      <w:r w:rsidRPr="00C12CDF">
        <w:rPr>
          <w:b w:val="0"/>
        </w:rPr>
        <w:t>vào</w:t>
      </w:r>
      <w:proofErr w:type="spellEnd"/>
      <w:r w:rsidRPr="00C12CDF">
        <w:rPr>
          <w:b w:val="0"/>
        </w:rPr>
        <w:t xml:space="preserve"> </w:t>
      </w:r>
      <w:proofErr w:type="spellStart"/>
      <w:r w:rsidRPr="00C12CDF">
        <w:rPr>
          <w:b w:val="0"/>
        </w:rPr>
        <w:t>tăng</w:t>
      </w:r>
      <w:proofErr w:type="spellEnd"/>
      <w:r w:rsidRPr="00C12CDF">
        <w:rPr>
          <w:b w:val="0"/>
        </w:rPr>
        <w:t xml:space="preserve"> </w:t>
      </w:r>
      <w:proofErr w:type="spellStart"/>
      <w:r w:rsidRPr="00C12CDF">
        <w:rPr>
          <w:b w:val="0"/>
        </w:rPr>
        <w:t>trưởng</w:t>
      </w:r>
      <w:proofErr w:type="spellEnd"/>
      <w:r w:rsidRPr="00C12CDF">
        <w:rPr>
          <w:b w:val="0"/>
        </w:rPr>
        <w:t xml:space="preserve"> </w:t>
      </w:r>
      <w:proofErr w:type="spellStart"/>
      <w:r w:rsidRPr="00C12CDF">
        <w:rPr>
          <w:b w:val="0"/>
        </w:rPr>
        <w:t>của</w:t>
      </w:r>
      <w:proofErr w:type="spellEnd"/>
      <w:r w:rsidRPr="00C12CDF">
        <w:rPr>
          <w:b w:val="0"/>
        </w:rPr>
        <w:t xml:space="preserve"> </w:t>
      </w:r>
      <w:proofErr w:type="spellStart"/>
      <w:r w:rsidRPr="00C12CDF">
        <w:rPr>
          <w:b w:val="0"/>
        </w:rPr>
        <w:t>các</w:t>
      </w:r>
      <w:proofErr w:type="spellEnd"/>
      <w:r w:rsidRPr="00C12CDF">
        <w:rPr>
          <w:b w:val="0"/>
        </w:rPr>
        <w:t xml:space="preserve"> </w:t>
      </w:r>
      <w:proofErr w:type="spellStart"/>
      <w:r w:rsidRPr="00C12CDF">
        <w:rPr>
          <w:b w:val="0"/>
        </w:rPr>
        <w:t>cổ</w:t>
      </w:r>
      <w:proofErr w:type="spellEnd"/>
      <w:r w:rsidRPr="00C12CDF">
        <w:rPr>
          <w:b w:val="0"/>
        </w:rPr>
        <w:t xml:space="preserve"> </w:t>
      </w:r>
      <w:proofErr w:type="spellStart"/>
      <w:r w:rsidRPr="00C12CDF">
        <w:rPr>
          <w:b w:val="0"/>
        </w:rPr>
        <w:t>phiếu</w:t>
      </w:r>
      <w:proofErr w:type="spellEnd"/>
      <w:r w:rsidRPr="00C12CDF">
        <w:rPr>
          <w:b w:val="0"/>
        </w:rPr>
        <w:t xml:space="preserve"> </w:t>
      </w:r>
      <w:proofErr w:type="spellStart"/>
      <w:r w:rsidRPr="00C12CDF">
        <w:rPr>
          <w:b w:val="0"/>
        </w:rPr>
        <w:t>trong</w:t>
      </w:r>
      <w:proofErr w:type="spellEnd"/>
      <w:r w:rsidRPr="00C12CDF">
        <w:rPr>
          <w:b w:val="0"/>
        </w:rPr>
        <w:t xml:space="preserve"> </w:t>
      </w:r>
      <w:proofErr w:type="spellStart"/>
      <w:r w:rsidRPr="00C12CDF">
        <w:rPr>
          <w:b w:val="0"/>
        </w:rPr>
        <w:t>danh</w:t>
      </w:r>
      <w:proofErr w:type="spellEnd"/>
      <w:r w:rsidRPr="00C12CDF">
        <w:rPr>
          <w:b w:val="0"/>
        </w:rPr>
        <w:t xml:space="preserve"> </w:t>
      </w:r>
      <w:proofErr w:type="spellStart"/>
      <w:r w:rsidRPr="00C12CDF">
        <w:rPr>
          <w:b w:val="0"/>
        </w:rPr>
        <w:t>mục</w:t>
      </w:r>
      <w:proofErr w:type="spellEnd"/>
      <w:r w:rsidRPr="00C12CDF">
        <w:rPr>
          <w:b w:val="0"/>
        </w:rPr>
        <w:t xml:space="preserve"> </w:t>
      </w:r>
      <w:proofErr w:type="spellStart"/>
      <w:r w:rsidRPr="00C12CDF">
        <w:rPr>
          <w:b w:val="0"/>
        </w:rPr>
        <w:t>Quỹ</w:t>
      </w:r>
      <w:proofErr w:type="spellEnd"/>
      <w:r w:rsidRPr="00C12CDF">
        <w:rPr>
          <w:b w:val="0"/>
        </w:rPr>
        <w:t>.</w:t>
      </w:r>
    </w:p>
    <w:p w14:paraId="215E537A" w14:textId="77777777" w:rsidR="001F1881" w:rsidRPr="00FC4F13" w:rsidRDefault="001F1881" w:rsidP="001F1881">
      <w:pPr>
        <w:pStyle w:val="ListParagraph"/>
        <w:numPr>
          <w:ilvl w:val="0"/>
          <w:numId w:val="5"/>
        </w:numPr>
        <w:tabs>
          <w:tab w:val="left" w:pos="284"/>
        </w:tabs>
        <w:spacing w:line="276" w:lineRule="auto"/>
        <w:ind w:left="0" w:firstLine="0"/>
        <w:jc w:val="both"/>
        <w:rPr>
          <w:b w:val="0"/>
        </w:rPr>
      </w:pPr>
      <w:proofErr w:type="spellStart"/>
      <w:r w:rsidRPr="00FC4F13">
        <w:rPr>
          <w:b w:val="0"/>
        </w:rPr>
        <w:t>Đánh</w:t>
      </w:r>
      <w:proofErr w:type="spellEnd"/>
      <w:r w:rsidRPr="00FC4F13">
        <w:rPr>
          <w:b w:val="0"/>
        </w:rPr>
        <w:t xml:space="preserve"> </w:t>
      </w:r>
      <w:proofErr w:type="spellStart"/>
      <w:r w:rsidRPr="00FC4F13">
        <w:rPr>
          <w:b w:val="0"/>
        </w:rPr>
        <w:t>giá</w:t>
      </w:r>
      <w:proofErr w:type="spellEnd"/>
      <w:r w:rsidRPr="00FC4F13">
        <w:rPr>
          <w:b w:val="0"/>
        </w:rPr>
        <w:t xml:space="preserve"> </w:t>
      </w:r>
      <w:proofErr w:type="spellStart"/>
      <w:r w:rsidRPr="00FC4F13">
        <w:rPr>
          <w:b w:val="0"/>
        </w:rPr>
        <w:t>biến</w:t>
      </w:r>
      <w:proofErr w:type="spellEnd"/>
      <w:r w:rsidRPr="00FC4F13">
        <w:rPr>
          <w:b w:val="0"/>
        </w:rPr>
        <w:t xml:space="preserve"> </w:t>
      </w:r>
      <w:proofErr w:type="spellStart"/>
      <w:r w:rsidRPr="00FC4F13">
        <w:rPr>
          <w:b w:val="0"/>
        </w:rPr>
        <w:t>động</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các</w:t>
      </w:r>
      <w:proofErr w:type="spellEnd"/>
      <w:r w:rsidRPr="00FC4F13">
        <w:rPr>
          <w:b w:val="0"/>
        </w:rPr>
        <w:t xml:space="preserve"> </w:t>
      </w:r>
      <w:proofErr w:type="spellStart"/>
      <w:r w:rsidRPr="00FC4F13">
        <w:rPr>
          <w:b w:val="0"/>
        </w:rPr>
        <w:t>thị</w:t>
      </w:r>
      <w:proofErr w:type="spellEnd"/>
      <w:r w:rsidRPr="00FC4F13">
        <w:rPr>
          <w:b w:val="0"/>
        </w:rPr>
        <w:t xml:space="preserve"> </w:t>
      </w:r>
      <w:proofErr w:type="spellStart"/>
      <w:r w:rsidRPr="00FC4F13">
        <w:rPr>
          <w:b w:val="0"/>
        </w:rPr>
        <w:t>trường</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kỳ</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kể</w:t>
      </w:r>
      <w:proofErr w:type="spellEnd"/>
      <w:r w:rsidRPr="00FC4F13">
        <w:rPr>
          <w:b w:val="0"/>
        </w:rPr>
        <w:t xml:space="preserve"> </w:t>
      </w:r>
      <w:proofErr w:type="spellStart"/>
      <w:r w:rsidRPr="00FC4F13">
        <w:rPr>
          <w:b w:val="0"/>
        </w:rPr>
        <w:t>cả</w:t>
      </w:r>
      <w:proofErr w:type="spellEnd"/>
      <w:r w:rsidRPr="00FC4F13">
        <w:rPr>
          <w:b w:val="0"/>
        </w:rPr>
        <w:t xml:space="preserve"> </w:t>
      </w:r>
      <w:proofErr w:type="spellStart"/>
      <w:r w:rsidRPr="00FC4F13">
        <w:rPr>
          <w:b w:val="0"/>
        </w:rPr>
        <w:t>thị</w:t>
      </w:r>
      <w:proofErr w:type="spellEnd"/>
      <w:r w:rsidRPr="00FC4F13">
        <w:rPr>
          <w:b w:val="0"/>
        </w:rPr>
        <w:t xml:space="preserve"> </w:t>
      </w:r>
      <w:proofErr w:type="spellStart"/>
      <w:r w:rsidRPr="00FC4F13">
        <w:rPr>
          <w:b w:val="0"/>
        </w:rPr>
        <w:t>trường</w:t>
      </w:r>
      <w:proofErr w:type="spellEnd"/>
      <w:r w:rsidRPr="00FC4F13">
        <w:rPr>
          <w:b w:val="0"/>
        </w:rPr>
        <w:t xml:space="preserve"> </w:t>
      </w:r>
      <w:proofErr w:type="spellStart"/>
      <w:r w:rsidRPr="00FC4F13">
        <w:rPr>
          <w:b w:val="0"/>
        </w:rPr>
        <w:t>nước</w:t>
      </w:r>
      <w:proofErr w:type="spellEnd"/>
      <w:r w:rsidRPr="00FC4F13">
        <w:rPr>
          <w:b w:val="0"/>
        </w:rPr>
        <w:t xml:space="preserve"> </w:t>
      </w:r>
      <w:proofErr w:type="spellStart"/>
      <w:r w:rsidRPr="00FC4F13">
        <w:rPr>
          <w:b w:val="0"/>
        </w:rPr>
        <w:t>ngoài</w:t>
      </w:r>
      <w:proofErr w:type="spellEnd"/>
      <w:r w:rsidRPr="00FC4F13">
        <w:rPr>
          <w:b w:val="0"/>
        </w:rPr>
        <w:t xml:space="preserve">, </w:t>
      </w:r>
      <w:proofErr w:type="spellStart"/>
      <w:r w:rsidRPr="00FC4F13">
        <w:rPr>
          <w:b w:val="0"/>
        </w:rPr>
        <w:t>mà</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vào</w:t>
      </w:r>
      <w:proofErr w:type="spellEnd"/>
      <w:r w:rsidRPr="00FC4F13">
        <w:rPr>
          <w:b w:val="0"/>
        </w:rPr>
        <w:t xml:space="preserve">, </w:t>
      </w:r>
      <w:proofErr w:type="spellStart"/>
      <w:r w:rsidRPr="00FC4F13">
        <w:rPr>
          <w:b w:val="0"/>
        </w:rPr>
        <w:t>thông</w:t>
      </w:r>
      <w:proofErr w:type="spellEnd"/>
      <w:r w:rsidRPr="00FC4F13">
        <w:rPr>
          <w:b w:val="0"/>
        </w:rPr>
        <w:t xml:space="preserve"> tin </w:t>
      </w:r>
      <w:proofErr w:type="spellStart"/>
      <w:r w:rsidRPr="00FC4F13">
        <w:rPr>
          <w:b w:val="0"/>
        </w:rPr>
        <w:t>về</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đối</w:t>
      </w:r>
      <w:proofErr w:type="spellEnd"/>
      <w:r w:rsidRPr="00FC4F13">
        <w:rPr>
          <w:b w:val="0"/>
        </w:rPr>
        <w:t xml:space="preserve"> </w:t>
      </w:r>
      <w:proofErr w:type="spellStart"/>
      <w:r w:rsidRPr="00FC4F13">
        <w:rPr>
          <w:b w:val="0"/>
        </w:rPr>
        <w:t>với</w:t>
      </w:r>
      <w:proofErr w:type="spellEnd"/>
      <w:r w:rsidRPr="00FC4F13">
        <w:rPr>
          <w:b w:val="0"/>
        </w:rPr>
        <w:t xml:space="preserve"> </w:t>
      </w:r>
      <w:proofErr w:type="spellStart"/>
      <w:r w:rsidRPr="00FC4F13">
        <w:rPr>
          <w:b w:val="0"/>
        </w:rPr>
        <w:t>từng</w:t>
      </w:r>
      <w:proofErr w:type="spellEnd"/>
      <w:r w:rsidRPr="00FC4F13">
        <w:rPr>
          <w:b w:val="0"/>
        </w:rPr>
        <w:t xml:space="preserve"> </w:t>
      </w:r>
      <w:proofErr w:type="spellStart"/>
      <w:r w:rsidRPr="00FC4F13">
        <w:rPr>
          <w:b w:val="0"/>
        </w:rPr>
        <w:t>loại</w:t>
      </w:r>
      <w:proofErr w:type="spellEnd"/>
      <w:r w:rsidRPr="00FC4F13">
        <w:rPr>
          <w:b w:val="0"/>
        </w:rPr>
        <w:t xml:space="preserve"> </w:t>
      </w:r>
      <w:proofErr w:type="spellStart"/>
      <w:r w:rsidRPr="00FC4F13">
        <w:rPr>
          <w:b w:val="0"/>
        </w:rPr>
        <w:t>tài</w:t>
      </w:r>
      <w:proofErr w:type="spellEnd"/>
      <w:r w:rsidRPr="00FC4F13">
        <w:rPr>
          <w:b w:val="0"/>
        </w:rPr>
        <w:t xml:space="preserve"> </w:t>
      </w:r>
      <w:proofErr w:type="spellStart"/>
      <w:r w:rsidRPr="00FC4F13">
        <w:rPr>
          <w:b w:val="0"/>
        </w:rPr>
        <w:t>sản</w:t>
      </w:r>
      <w:proofErr w:type="spellEnd"/>
      <w:r w:rsidRPr="00FC4F13">
        <w:rPr>
          <w:b w:val="0"/>
        </w:rPr>
        <w:t xml:space="preserve"> : </w:t>
      </w:r>
      <w:proofErr w:type="spellStart"/>
      <w:r w:rsidRPr="00FC4F13">
        <w:rPr>
          <w:b w:val="0"/>
        </w:rPr>
        <w:t>cổ</w:t>
      </w:r>
      <w:proofErr w:type="spellEnd"/>
      <w:r w:rsidRPr="00FC4F13">
        <w:rPr>
          <w:b w:val="0"/>
        </w:rPr>
        <w:t xml:space="preserve"> </w:t>
      </w:r>
      <w:proofErr w:type="spellStart"/>
      <w:r w:rsidRPr="00FC4F13">
        <w:rPr>
          <w:b w:val="0"/>
        </w:rPr>
        <w:t>phiếu</w:t>
      </w:r>
      <w:proofErr w:type="spellEnd"/>
      <w:r w:rsidRPr="00FC4F13">
        <w:rPr>
          <w:b w:val="0"/>
        </w:rPr>
        <w:t xml:space="preserve">, </w:t>
      </w:r>
      <w:proofErr w:type="spellStart"/>
      <w:r w:rsidRPr="00FC4F13">
        <w:rPr>
          <w:b w:val="0"/>
        </w:rPr>
        <w:t>cổ</w:t>
      </w:r>
      <w:proofErr w:type="spellEnd"/>
      <w:r w:rsidRPr="00FC4F13">
        <w:rPr>
          <w:b w:val="0"/>
        </w:rPr>
        <w:t xml:space="preserve"> </w:t>
      </w:r>
      <w:proofErr w:type="spellStart"/>
      <w:r w:rsidRPr="00FC4F13">
        <w:rPr>
          <w:b w:val="0"/>
        </w:rPr>
        <w:t>phiếu</w:t>
      </w:r>
      <w:proofErr w:type="spellEnd"/>
      <w:r w:rsidRPr="00FC4F13">
        <w:rPr>
          <w:b w:val="0"/>
        </w:rPr>
        <w:t xml:space="preserve"> </w:t>
      </w:r>
      <w:proofErr w:type="spellStart"/>
      <w:r w:rsidRPr="00FC4F13">
        <w:rPr>
          <w:b w:val="0"/>
        </w:rPr>
        <w:t>blue</w:t>
      </w:r>
      <w:proofErr w:type="spellEnd"/>
      <w:r w:rsidRPr="00FC4F13">
        <w:rPr>
          <w:b w:val="0"/>
        </w:rPr>
        <w:t>-</w:t>
      </w:r>
      <w:proofErr w:type="spellStart"/>
      <w:r w:rsidRPr="00FC4F13">
        <w:rPr>
          <w:b w:val="0"/>
        </w:rPr>
        <w:t>chip</w:t>
      </w:r>
      <w:proofErr w:type="spellEnd"/>
      <w:r w:rsidRPr="00FC4F13">
        <w:rPr>
          <w:b w:val="0"/>
        </w:rPr>
        <w:t xml:space="preserve">, </w:t>
      </w:r>
      <w:proofErr w:type="spellStart"/>
      <w:r w:rsidRPr="00FC4F13">
        <w:rPr>
          <w:b w:val="0"/>
        </w:rPr>
        <w:t>cổ</w:t>
      </w:r>
      <w:proofErr w:type="spellEnd"/>
      <w:r w:rsidRPr="00FC4F13">
        <w:rPr>
          <w:b w:val="0"/>
        </w:rPr>
        <w:t xml:space="preserve"> </w:t>
      </w:r>
      <w:proofErr w:type="spellStart"/>
      <w:r w:rsidRPr="00FC4F13">
        <w:rPr>
          <w:b w:val="0"/>
        </w:rPr>
        <w:t>phiếu</w:t>
      </w:r>
      <w:proofErr w:type="spellEnd"/>
      <w:r w:rsidRPr="00FC4F13">
        <w:rPr>
          <w:b w:val="0"/>
        </w:rPr>
        <w:t xml:space="preserve"> </w:t>
      </w:r>
      <w:proofErr w:type="spellStart"/>
      <w:r w:rsidRPr="00FC4F13">
        <w:rPr>
          <w:b w:val="0"/>
        </w:rPr>
        <w:t>các</w:t>
      </w:r>
      <w:proofErr w:type="spellEnd"/>
      <w:r w:rsidRPr="00FC4F13">
        <w:rPr>
          <w:b w:val="0"/>
        </w:rPr>
        <w:t xml:space="preserve"> </w:t>
      </w:r>
      <w:proofErr w:type="spellStart"/>
      <w:r w:rsidRPr="00FC4F13">
        <w:rPr>
          <w:b w:val="0"/>
        </w:rPr>
        <w:t>công</w:t>
      </w:r>
      <w:proofErr w:type="spellEnd"/>
      <w:r w:rsidRPr="00FC4F13">
        <w:rPr>
          <w:b w:val="0"/>
        </w:rPr>
        <w:t xml:space="preserve"> </w:t>
      </w:r>
      <w:proofErr w:type="spellStart"/>
      <w:r w:rsidRPr="00FC4F13">
        <w:rPr>
          <w:b w:val="0"/>
        </w:rPr>
        <w:t>ty</w:t>
      </w:r>
      <w:proofErr w:type="spellEnd"/>
      <w:r w:rsidRPr="00FC4F13">
        <w:rPr>
          <w:b w:val="0"/>
        </w:rPr>
        <w:t xml:space="preserve"> </w:t>
      </w:r>
      <w:proofErr w:type="spellStart"/>
      <w:r w:rsidRPr="00FC4F13">
        <w:rPr>
          <w:b w:val="0"/>
        </w:rPr>
        <w:t>có</w:t>
      </w:r>
      <w:proofErr w:type="spellEnd"/>
      <w:r w:rsidRPr="00FC4F13">
        <w:rPr>
          <w:b w:val="0"/>
        </w:rPr>
        <w:t xml:space="preserve"> </w:t>
      </w:r>
      <w:proofErr w:type="spellStart"/>
      <w:r w:rsidRPr="00FC4F13">
        <w:rPr>
          <w:b w:val="0"/>
        </w:rPr>
        <w:t>mức</w:t>
      </w:r>
      <w:proofErr w:type="spellEnd"/>
      <w:r w:rsidRPr="00FC4F13">
        <w:rPr>
          <w:b w:val="0"/>
        </w:rPr>
        <w:t xml:space="preserve"> </w:t>
      </w:r>
      <w:proofErr w:type="spellStart"/>
      <w:r w:rsidRPr="00FC4F13">
        <w:rPr>
          <w:b w:val="0"/>
        </w:rPr>
        <w:t>vốn</w:t>
      </w:r>
      <w:proofErr w:type="spellEnd"/>
      <w:r w:rsidRPr="00FC4F13">
        <w:rPr>
          <w:b w:val="0"/>
        </w:rPr>
        <w:t xml:space="preserve"> </w:t>
      </w:r>
      <w:proofErr w:type="spellStart"/>
      <w:r w:rsidRPr="00FC4F13">
        <w:rPr>
          <w:b w:val="0"/>
        </w:rPr>
        <w:t>hóa</w:t>
      </w:r>
      <w:proofErr w:type="spellEnd"/>
      <w:r w:rsidRPr="00FC4F13">
        <w:rPr>
          <w:b w:val="0"/>
        </w:rPr>
        <w:t xml:space="preserve"> </w:t>
      </w:r>
      <w:proofErr w:type="spellStart"/>
      <w:r w:rsidRPr="00FC4F13">
        <w:rPr>
          <w:b w:val="0"/>
        </w:rPr>
        <w:t>thấp</w:t>
      </w:r>
      <w:proofErr w:type="spellEnd"/>
      <w:r w:rsidRPr="00FC4F13">
        <w:rPr>
          <w:b w:val="0"/>
        </w:rPr>
        <w:t xml:space="preserve"> (</w:t>
      </w:r>
      <w:proofErr w:type="spellStart"/>
      <w:r w:rsidRPr="00FC4F13">
        <w:rPr>
          <w:b w:val="0"/>
        </w:rPr>
        <w:t>small</w:t>
      </w:r>
      <w:proofErr w:type="spellEnd"/>
      <w:r w:rsidRPr="00FC4F13">
        <w:rPr>
          <w:b w:val="0"/>
        </w:rPr>
        <w:t xml:space="preserve">- cap) : </w:t>
      </w:r>
    </w:p>
    <w:p w14:paraId="3AB5329B" w14:textId="3002AEF9" w:rsidR="001F1881" w:rsidRPr="001F1881" w:rsidRDefault="00523022" w:rsidP="00E50FD2">
      <w:pPr>
        <w:pStyle w:val="ListParagraph"/>
        <w:numPr>
          <w:ilvl w:val="0"/>
          <w:numId w:val="26"/>
        </w:numPr>
        <w:shd w:val="clear" w:color="auto" w:fill="FFFFFF"/>
        <w:tabs>
          <w:tab w:val="left" w:pos="426"/>
          <w:tab w:val="left" w:pos="709"/>
        </w:tabs>
        <w:spacing w:line="276" w:lineRule="auto"/>
        <w:ind w:left="426"/>
        <w:jc w:val="both"/>
        <w:rPr>
          <w:b w:val="0"/>
          <w:bCs/>
          <w:lang w:val="nl-NL"/>
        </w:rPr>
      </w:pPr>
      <w:r w:rsidRPr="00523022">
        <w:rPr>
          <w:b w:val="0"/>
          <w:bCs/>
          <w:lang w:val="nl-NL"/>
        </w:rPr>
        <w:t>Tính đến 31/12/2023, chỉ số VN-Index tăng 12.2% so với cuối năm 2022. Tổng giá trị vốn hóa của thị trường tại cuối năm 2023 đạt gần 242 tỷ USD (tăng khoản 9% so với đầu năm). So với cuối năm 2022, chỉ số VN30 đại diện cho các cổ phiếu có vốn hóa lớn và thanh khoản hàng đầu Việt Nam tăng 12.6%, chỉ số các cổ phiếu có vốn hóa vừa (VNMid-cap) tăng 32.2% và chỉ số các cổ phiếu có vốn hóa nhỏ (VNSmall-cap) tăng 28.9%. Những ngành có tăng trưởng tốt nhất là Chứng khoán (+93.3%), Kim loại (+59.5%), Hàng hoá công nghiệp (+49%).</w:t>
      </w:r>
    </w:p>
    <w:p w14:paraId="5463427E"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proofErr w:type="spellStart"/>
      <w:r w:rsidRPr="00FC4F13">
        <w:rPr>
          <w:b w:val="0"/>
        </w:rPr>
        <w:t>Thông</w:t>
      </w:r>
      <w:proofErr w:type="spellEnd"/>
      <w:r w:rsidRPr="00FC4F13">
        <w:rPr>
          <w:b w:val="0"/>
        </w:rPr>
        <w:t xml:space="preserve"> tin </w:t>
      </w:r>
      <w:proofErr w:type="spellStart"/>
      <w:r w:rsidRPr="00FC4F13">
        <w:rPr>
          <w:b w:val="0"/>
        </w:rPr>
        <w:t>về</w:t>
      </w:r>
      <w:proofErr w:type="spellEnd"/>
      <w:r w:rsidRPr="00FC4F13">
        <w:rPr>
          <w:b w:val="0"/>
        </w:rPr>
        <w:t xml:space="preserve"> </w:t>
      </w:r>
      <w:proofErr w:type="spellStart"/>
      <w:r w:rsidRPr="00FC4F13">
        <w:rPr>
          <w:b w:val="0"/>
        </w:rPr>
        <w:t>việc</w:t>
      </w:r>
      <w:proofErr w:type="spellEnd"/>
      <w:r w:rsidRPr="00FC4F13">
        <w:rPr>
          <w:b w:val="0"/>
        </w:rPr>
        <w:t xml:space="preserve"> chia, </w:t>
      </w:r>
      <w:proofErr w:type="spellStart"/>
      <w:r w:rsidRPr="00FC4F13">
        <w:rPr>
          <w:b w:val="0"/>
        </w:rPr>
        <w:t>tách</w:t>
      </w:r>
      <w:proofErr w:type="spellEnd"/>
      <w:r w:rsidRPr="00FC4F13">
        <w:rPr>
          <w:b w:val="0"/>
        </w:rPr>
        <w:t xml:space="preserve"> </w:t>
      </w:r>
      <w:proofErr w:type="spellStart"/>
      <w:r w:rsidRPr="00FC4F13">
        <w:rPr>
          <w:b w:val="0"/>
        </w:rPr>
        <w:t>đơn</w:t>
      </w:r>
      <w:proofErr w:type="spellEnd"/>
      <w:r w:rsidRPr="00FC4F13">
        <w:rPr>
          <w:b w:val="0"/>
        </w:rPr>
        <w:t xml:space="preserve"> </w:t>
      </w:r>
      <w:proofErr w:type="spellStart"/>
      <w:r w:rsidRPr="00FC4F13">
        <w:rPr>
          <w:b w:val="0"/>
        </w:rPr>
        <w:t>vị</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kỳ</w:t>
      </w:r>
      <w:proofErr w:type="spellEnd"/>
      <w:r w:rsidRPr="00FC4F13">
        <w:rPr>
          <w:b w:val="0"/>
        </w:rPr>
        <w:t xml:space="preserve"> (</w:t>
      </w:r>
      <w:proofErr w:type="spellStart"/>
      <w:r w:rsidRPr="00FC4F13">
        <w:rPr>
          <w:b w:val="0"/>
        </w:rPr>
        <w:t>nếu</w:t>
      </w:r>
      <w:proofErr w:type="spellEnd"/>
      <w:r w:rsidRPr="00FC4F13">
        <w:rPr>
          <w:b w:val="0"/>
        </w:rPr>
        <w:t xml:space="preserve"> </w:t>
      </w:r>
      <w:proofErr w:type="spellStart"/>
      <w:r w:rsidRPr="00FC4F13">
        <w:rPr>
          <w:b w:val="0"/>
        </w:rPr>
        <w:t>có</w:t>
      </w:r>
      <w:proofErr w:type="spellEnd"/>
      <w:r w:rsidRPr="00FC4F13">
        <w:rPr>
          <w:b w:val="0"/>
        </w:rPr>
        <w:t xml:space="preserve">) ; </w:t>
      </w:r>
      <w:proofErr w:type="spellStart"/>
      <w:r w:rsidRPr="00FC4F13">
        <w:rPr>
          <w:b w:val="0"/>
        </w:rPr>
        <w:t>ảnh</w:t>
      </w:r>
      <w:proofErr w:type="spellEnd"/>
      <w:r w:rsidRPr="00FC4F13">
        <w:rPr>
          <w:b w:val="0"/>
        </w:rPr>
        <w:t xml:space="preserve"> </w:t>
      </w:r>
      <w:proofErr w:type="spellStart"/>
      <w:r w:rsidRPr="00FC4F13">
        <w:rPr>
          <w:b w:val="0"/>
        </w:rPr>
        <w:t>hưởng</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việc</w:t>
      </w:r>
      <w:proofErr w:type="spellEnd"/>
      <w:r w:rsidRPr="00FC4F13">
        <w:rPr>
          <w:b w:val="0"/>
        </w:rPr>
        <w:t xml:space="preserve"> chia </w:t>
      </w:r>
      <w:proofErr w:type="spellStart"/>
      <w:r w:rsidRPr="00FC4F13">
        <w:rPr>
          <w:b w:val="0"/>
        </w:rPr>
        <w:t>tách</w:t>
      </w:r>
      <w:proofErr w:type="spellEnd"/>
      <w:r w:rsidRPr="00FC4F13">
        <w:rPr>
          <w:b w:val="0"/>
        </w:rPr>
        <w:t xml:space="preserve"> </w:t>
      </w:r>
      <w:proofErr w:type="spellStart"/>
      <w:r w:rsidRPr="00FC4F13">
        <w:rPr>
          <w:b w:val="0"/>
        </w:rPr>
        <w:t>đơn</w:t>
      </w:r>
      <w:proofErr w:type="spellEnd"/>
      <w:r w:rsidRPr="00FC4F13">
        <w:rPr>
          <w:b w:val="0"/>
        </w:rPr>
        <w:t xml:space="preserve"> </w:t>
      </w:r>
      <w:proofErr w:type="spellStart"/>
      <w:r w:rsidRPr="00FC4F13">
        <w:rPr>
          <w:b w:val="0"/>
        </w:rPr>
        <w:t>vị</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và</w:t>
      </w:r>
      <w:proofErr w:type="spellEnd"/>
      <w:r w:rsidRPr="00FC4F13">
        <w:rPr>
          <w:b w:val="0"/>
        </w:rPr>
        <w:t xml:space="preserve"> </w:t>
      </w:r>
      <w:proofErr w:type="spellStart"/>
      <w:r w:rsidRPr="00FC4F13">
        <w:rPr>
          <w:b w:val="0"/>
        </w:rPr>
        <w:t>giá</w:t>
      </w:r>
      <w:proofErr w:type="spellEnd"/>
      <w:r w:rsidRPr="00FC4F13">
        <w:rPr>
          <w:b w:val="0"/>
        </w:rPr>
        <w:t xml:space="preserve"> </w:t>
      </w:r>
      <w:proofErr w:type="spellStart"/>
      <w:r w:rsidRPr="00FC4F13">
        <w:rPr>
          <w:b w:val="0"/>
        </w:rPr>
        <w:t>trị</w:t>
      </w:r>
      <w:proofErr w:type="spellEnd"/>
      <w:r w:rsidRPr="00FC4F13">
        <w:rPr>
          <w:b w:val="0"/>
        </w:rPr>
        <w:t xml:space="preserve"> </w:t>
      </w:r>
      <w:proofErr w:type="spellStart"/>
      <w:r w:rsidRPr="00FC4F13">
        <w:rPr>
          <w:b w:val="0"/>
        </w:rPr>
        <w:t>tài</w:t>
      </w:r>
      <w:proofErr w:type="spellEnd"/>
      <w:r w:rsidRPr="00FC4F13">
        <w:rPr>
          <w:b w:val="0"/>
        </w:rPr>
        <w:t xml:space="preserve"> </w:t>
      </w:r>
      <w:proofErr w:type="spellStart"/>
      <w:r w:rsidRPr="00FC4F13">
        <w:rPr>
          <w:b w:val="0"/>
        </w:rPr>
        <w:t>sản</w:t>
      </w:r>
      <w:proofErr w:type="spellEnd"/>
      <w:r w:rsidRPr="00FC4F13">
        <w:rPr>
          <w:b w:val="0"/>
        </w:rPr>
        <w:t xml:space="preserve"> </w:t>
      </w:r>
      <w:proofErr w:type="spellStart"/>
      <w:r w:rsidRPr="00FC4F13">
        <w:rPr>
          <w:b w:val="0"/>
        </w:rPr>
        <w:t>ròng</w:t>
      </w:r>
      <w:proofErr w:type="spellEnd"/>
      <w:r w:rsidRPr="00FC4F13">
        <w:rPr>
          <w:b w:val="0"/>
        </w:rPr>
        <w:t xml:space="preserve"> </w:t>
      </w:r>
      <w:proofErr w:type="spellStart"/>
      <w:r w:rsidRPr="00FC4F13">
        <w:rPr>
          <w:b w:val="0"/>
        </w:rPr>
        <w:t>trên</w:t>
      </w:r>
      <w:proofErr w:type="spellEnd"/>
      <w:r w:rsidRPr="00FC4F13">
        <w:rPr>
          <w:b w:val="0"/>
        </w:rPr>
        <w:t xml:space="preserve"> </w:t>
      </w:r>
      <w:proofErr w:type="spellStart"/>
      <w:r w:rsidRPr="00FC4F13">
        <w:rPr>
          <w:b w:val="0"/>
        </w:rPr>
        <w:t>từng</w:t>
      </w:r>
      <w:proofErr w:type="spellEnd"/>
      <w:r w:rsidRPr="00FC4F13">
        <w:rPr>
          <w:b w:val="0"/>
        </w:rPr>
        <w:t xml:space="preserve"> </w:t>
      </w:r>
      <w:proofErr w:type="spellStart"/>
      <w:r w:rsidRPr="00FC4F13">
        <w:rPr>
          <w:b w:val="0"/>
        </w:rPr>
        <w:t>đơn</w:t>
      </w:r>
      <w:proofErr w:type="spellEnd"/>
      <w:r w:rsidRPr="00FC4F13">
        <w:rPr>
          <w:b w:val="0"/>
        </w:rPr>
        <w:t xml:space="preserve"> </w:t>
      </w:r>
      <w:proofErr w:type="spellStart"/>
      <w:r w:rsidRPr="00FC4F13">
        <w:rPr>
          <w:b w:val="0"/>
        </w:rPr>
        <w:t>vị</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trước</w:t>
      </w:r>
      <w:proofErr w:type="spellEnd"/>
      <w:r w:rsidRPr="00FC4F13">
        <w:rPr>
          <w:b w:val="0"/>
        </w:rPr>
        <w:t xml:space="preserve"> </w:t>
      </w:r>
      <w:proofErr w:type="spellStart"/>
      <w:r w:rsidRPr="00FC4F13">
        <w:rPr>
          <w:b w:val="0"/>
        </w:rPr>
        <w:t>và</w:t>
      </w:r>
      <w:proofErr w:type="spellEnd"/>
      <w:r w:rsidRPr="00FC4F13">
        <w:rPr>
          <w:b w:val="0"/>
        </w:rPr>
        <w:t xml:space="preserve"> </w:t>
      </w:r>
      <w:proofErr w:type="spellStart"/>
      <w:r w:rsidRPr="00FC4F13">
        <w:rPr>
          <w:b w:val="0"/>
        </w:rPr>
        <w:t>sau</w:t>
      </w:r>
      <w:proofErr w:type="spellEnd"/>
      <w:r w:rsidRPr="00FC4F13">
        <w:rPr>
          <w:b w:val="0"/>
        </w:rPr>
        <w:t xml:space="preserve"> khi chia, </w:t>
      </w:r>
      <w:proofErr w:type="spellStart"/>
      <w:r w:rsidRPr="00FC4F13">
        <w:rPr>
          <w:b w:val="0"/>
        </w:rPr>
        <w:t>tách</w:t>
      </w:r>
      <w:proofErr w:type="spellEnd"/>
      <w:proofErr w:type="gramStart"/>
      <w:r w:rsidRPr="00FC4F13">
        <w:rPr>
          <w:b w:val="0"/>
        </w:rPr>
        <w:t>):</w:t>
      </w:r>
      <w:proofErr w:type="gramEnd"/>
      <w:r w:rsidRPr="00FC4F13">
        <w:rPr>
          <w:b w:val="0"/>
        </w:rPr>
        <w:t xml:space="preserve"> </w:t>
      </w:r>
      <w:proofErr w:type="spellStart"/>
      <w:r w:rsidRPr="00FC4F13">
        <w:rPr>
          <w:bCs/>
        </w:rPr>
        <w:t>không</w:t>
      </w:r>
      <w:proofErr w:type="spellEnd"/>
      <w:r w:rsidRPr="00FC4F13">
        <w:rPr>
          <w:bCs/>
        </w:rPr>
        <w:t xml:space="preserve"> </w:t>
      </w:r>
      <w:proofErr w:type="spellStart"/>
      <w:r w:rsidRPr="00FC4F13">
        <w:rPr>
          <w:bCs/>
        </w:rPr>
        <w:t>có</w:t>
      </w:r>
      <w:proofErr w:type="spellEnd"/>
    </w:p>
    <w:p w14:paraId="7EFAC1F9"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proofErr w:type="spellStart"/>
      <w:r w:rsidRPr="00FC4F13">
        <w:rPr>
          <w:b w:val="0"/>
        </w:rPr>
        <w:t>Các</w:t>
      </w:r>
      <w:proofErr w:type="spellEnd"/>
      <w:r w:rsidRPr="00FC4F13">
        <w:rPr>
          <w:b w:val="0"/>
        </w:rPr>
        <w:t xml:space="preserve"> </w:t>
      </w:r>
      <w:proofErr w:type="spellStart"/>
      <w:r w:rsidRPr="00FC4F13">
        <w:rPr>
          <w:b w:val="0"/>
        </w:rPr>
        <w:t>trường</w:t>
      </w:r>
      <w:proofErr w:type="spellEnd"/>
      <w:r w:rsidRPr="00FC4F13">
        <w:rPr>
          <w:b w:val="0"/>
        </w:rPr>
        <w:t xml:space="preserve"> </w:t>
      </w:r>
      <w:proofErr w:type="spellStart"/>
      <w:r w:rsidRPr="00FC4F13">
        <w:rPr>
          <w:b w:val="0"/>
        </w:rPr>
        <w:t>hợp</w:t>
      </w:r>
      <w:proofErr w:type="spellEnd"/>
      <w:r w:rsidRPr="00FC4F13">
        <w:rPr>
          <w:b w:val="0"/>
        </w:rPr>
        <w:t xml:space="preserve"> </w:t>
      </w:r>
      <w:proofErr w:type="spellStart"/>
      <w:r w:rsidRPr="00FC4F13">
        <w:rPr>
          <w:b w:val="0"/>
        </w:rPr>
        <w:t>có</w:t>
      </w:r>
      <w:proofErr w:type="spellEnd"/>
      <w:r w:rsidRPr="00FC4F13">
        <w:rPr>
          <w:b w:val="0"/>
        </w:rPr>
        <w:t xml:space="preserve"> </w:t>
      </w:r>
      <w:proofErr w:type="spellStart"/>
      <w:r w:rsidRPr="00FC4F13">
        <w:rPr>
          <w:b w:val="0"/>
        </w:rPr>
        <w:t>ảnh</w:t>
      </w:r>
      <w:proofErr w:type="spellEnd"/>
      <w:r w:rsidRPr="00FC4F13">
        <w:rPr>
          <w:b w:val="0"/>
        </w:rPr>
        <w:t xml:space="preserve"> </w:t>
      </w:r>
      <w:proofErr w:type="spellStart"/>
      <w:r w:rsidRPr="00FC4F13">
        <w:rPr>
          <w:b w:val="0"/>
        </w:rPr>
        <w:t>hưởng</w:t>
      </w:r>
      <w:proofErr w:type="spellEnd"/>
      <w:r w:rsidRPr="00FC4F13">
        <w:rPr>
          <w:b w:val="0"/>
        </w:rPr>
        <w:t xml:space="preserve"> </w:t>
      </w:r>
      <w:proofErr w:type="spellStart"/>
      <w:r w:rsidRPr="00FC4F13">
        <w:rPr>
          <w:b w:val="0"/>
        </w:rPr>
        <w:t>tới</w:t>
      </w:r>
      <w:proofErr w:type="spellEnd"/>
      <w:r w:rsidRPr="00FC4F13">
        <w:rPr>
          <w:b w:val="0"/>
        </w:rPr>
        <w:t xml:space="preserve"> </w:t>
      </w:r>
      <w:proofErr w:type="spellStart"/>
      <w:r w:rsidRPr="00FC4F13">
        <w:rPr>
          <w:b w:val="0"/>
        </w:rPr>
        <w:t>quyền</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nhà</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nắm</w:t>
      </w:r>
      <w:proofErr w:type="spellEnd"/>
      <w:r w:rsidRPr="00FC4F13">
        <w:rPr>
          <w:b w:val="0"/>
        </w:rPr>
        <w:t xml:space="preserve"> </w:t>
      </w:r>
      <w:proofErr w:type="spellStart"/>
      <w:r w:rsidRPr="00FC4F13">
        <w:rPr>
          <w:b w:val="0"/>
        </w:rPr>
        <w:t>giữ</w:t>
      </w:r>
      <w:proofErr w:type="spellEnd"/>
      <w:r w:rsidRPr="00FC4F13">
        <w:rPr>
          <w:b w:val="0"/>
        </w:rPr>
        <w:t xml:space="preserve"> </w:t>
      </w:r>
      <w:proofErr w:type="spellStart"/>
      <w:r w:rsidRPr="00FC4F13">
        <w:rPr>
          <w:b w:val="0"/>
        </w:rPr>
        <w:t>chứng</w:t>
      </w:r>
      <w:proofErr w:type="spellEnd"/>
      <w:r w:rsidRPr="00FC4F13">
        <w:rPr>
          <w:b w:val="0"/>
        </w:rPr>
        <w:t xml:space="preserve"> </w:t>
      </w:r>
      <w:proofErr w:type="spellStart"/>
      <w:r w:rsidRPr="00FC4F13">
        <w:rPr>
          <w:b w:val="0"/>
        </w:rPr>
        <w:t>chỉ</w:t>
      </w:r>
      <w:proofErr w:type="spellEnd"/>
      <w:r w:rsidRPr="00FC4F13">
        <w:rPr>
          <w:b w:val="0"/>
        </w:rPr>
        <w:t xml:space="preserve"> </w:t>
      </w:r>
      <w:proofErr w:type="spellStart"/>
      <w:proofErr w:type="gramStart"/>
      <w:r w:rsidRPr="00FC4F13">
        <w:rPr>
          <w:b w:val="0"/>
        </w:rPr>
        <w:t>quỹ</w:t>
      </w:r>
      <w:proofErr w:type="spellEnd"/>
      <w:r w:rsidRPr="00FC4F13">
        <w:rPr>
          <w:b w:val="0"/>
        </w:rPr>
        <w:t>:</w:t>
      </w:r>
      <w:proofErr w:type="gramEnd"/>
      <w:r w:rsidRPr="00FC4F13">
        <w:rPr>
          <w:b w:val="0"/>
        </w:rPr>
        <w:t xml:space="preserve"> </w:t>
      </w:r>
      <w:proofErr w:type="spellStart"/>
      <w:r w:rsidRPr="00FC4F13">
        <w:rPr>
          <w:bCs/>
        </w:rPr>
        <w:t>không</w:t>
      </w:r>
      <w:proofErr w:type="spellEnd"/>
      <w:r w:rsidRPr="00FC4F13">
        <w:rPr>
          <w:bCs/>
        </w:rPr>
        <w:t xml:space="preserve"> </w:t>
      </w:r>
      <w:proofErr w:type="spellStart"/>
      <w:r w:rsidRPr="00FC4F13">
        <w:rPr>
          <w:bCs/>
        </w:rPr>
        <w:t>có</w:t>
      </w:r>
      <w:proofErr w:type="spellEnd"/>
    </w:p>
    <w:p w14:paraId="74F0645E"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proofErr w:type="spellStart"/>
      <w:r w:rsidRPr="00FC4F13">
        <w:rPr>
          <w:b w:val="0"/>
        </w:rPr>
        <w:t>Thông</w:t>
      </w:r>
      <w:proofErr w:type="spellEnd"/>
      <w:r w:rsidRPr="00FC4F13">
        <w:rPr>
          <w:b w:val="0"/>
        </w:rPr>
        <w:t xml:space="preserve"> tin </w:t>
      </w:r>
      <w:proofErr w:type="spellStart"/>
      <w:r w:rsidRPr="00FC4F13">
        <w:rPr>
          <w:b w:val="0"/>
        </w:rPr>
        <w:t>về</w:t>
      </w:r>
      <w:proofErr w:type="spellEnd"/>
      <w:r w:rsidRPr="00FC4F13">
        <w:rPr>
          <w:b w:val="0"/>
        </w:rPr>
        <w:t xml:space="preserve"> </w:t>
      </w:r>
      <w:proofErr w:type="spellStart"/>
      <w:r w:rsidRPr="00FC4F13">
        <w:rPr>
          <w:b w:val="0"/>
        </w:rPr>
        <w:t>các</w:t>
      </w:r>
      <w:proofErr w:type="spellEnd"/>
      <w:r w:rsidRPr="00FC4F13">
        <w:rPr>
          <w:b w:val="0"/>
        </w:rPr>
        <w:t xml:space="preserve"> </w:t>
      </w:r>
      <w:proofErr w:type="spellStart"/>
      <w:r w:rsidRPr="00FC4F13">
        <w:rPr>
          <w:b w:val="0"/>
        </w:rPr>
        <w:t>giao</w:t>
      </w:r>
      <w:proofErr w:type="spellEnd"/>
      <w:r w:rsidRPr="00FC4F13">
        <w:rPr>
          <w:b w:val="0"/>
        </w:rPr>
        <w:t xml:space="preserve"> </w:t>
      </w:r>
      <w:proofErr w:type="spellStart"/>
      <w:r w:rsidRPr="00FC4F13">
        <w:rPr>
          <w:b w:val="0"/>
        </w:rPr>
        <w:t>dịch</w:t>
      </w:r>
      <w:proofErr w:type="spellEnd"/>
      <w:r w:rsidRPr="00FC4F13">
        <w:rPr>
          <w:b w:val="0"/>
        </w:rPr>
        <w:t xml:space="preserve"> </w:t>
      </w:r>
      <w:proofErr w:type="spellStart"/>
      <w:r w:rsidRPr="00FC4F13">
        <w:rPr>
          <w:b w:val="0"/>
        </w:rPr>
        <w:t>với</w:t>
      </w:r>
      <w:proofErr w:type="spellEnd"/>
      <w:r w:rsidRPr="00FC4F13">
        <w:rPr>
          <w:b w:val="0"/>
        </w:rPr>
        <w:t xml:space="preserve"> </w:t>
      </w:r>
      <w:proofErr w:type="spellStart"/>
      <w:r w:rsidRPr="00FC4F13">
        <w:rPr>
          <w:b w:val="0"/>
        </w:rPr>
        <w:t>người</w:t>
      </w:r>
      <w:proofErr w:type="spellEnd"/>
      <w:r w:rsidRPr="00FC4F13">
        <w:rPr>
          <w:b w:val="0"/>
        </w:rPr>
        <w:t xml:space="preserve"> </w:t>
      </w:r>
      <w:proofErr w:type="spellStart"/>
      <w:r w:rsidRPr="00FC4F13">
        <w:rPr>
          <w:b w:val="0"/>
        </w:rPr>
        <w:t>có</w:t>
      </w:r>
      <w:proofErr w:type="spellEnd"/>
      <w:r w:rsidRPr="00FC4F13">
        <w:rPr>
          <w:b w:val="0"/>
        </w:rPr>
        <w:t xml:space="preserve"> </w:t>
      </w:r>
      <w:proofErr w:type="spellStart"/>
      <w:r w:rsidRPr="00FC4F13">
        <w:rPr>
          <w:b w:val="0"/>
        </w:rPr>
        <w:t>quyền</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liên</w:t>
      </w:r>
      <w:proofErr w:type="spellEnd"/>
      <w:r w:rsidRPr="00FC4F13">
        <w:rPr>
          <w:b w:val="0"/>
        </w:rPr>
        <w:t xml:space="preserve"> </w:t>
      </w:r>
      <w:proofErr w:type="spellStart"/>
      <w:r w:rsidRPr="00FC4F13">
        <w:rPr>
          <w:b w:val="0"/>
        </w:rPr>
        <w:t>quan</w:t>
      </w:r>
      <w:proofErr w:type="spellEnd"/>
      <w:r w:rsidRPr="00FC4F13">
        <w:rPr>
          <w:b w:val="0"/>
        </w:rPr>
        <w:t xml:space="preserve"> (</w:t>
      </w:r>
      <w:proofErr w:type="spellStart"/>
      <w:r w:rsidRPr="00FC4F13">
        <w:rPr>
          <w:b w:val="0"/>
        </w:rPr>
        <w:t>nếu</w:t>
      </w:r>
      <w:proofErr w:type="spellEnd"/>
      <w:r w:rsidRPr="00FC4F13">
        <w:rPr>
          <w:b w:val="0"/>
        </w:rPr>
        <w:t xml:space="preserve"> </w:t>
      </w:r>
      <w:proofErr w:type="spellStart"/>
      <w:r w:rsidRPr="00FC4F13">
        <w:rPr>
          <w:b w:val="0"/>
        </w:rPr>
        <w:t>có</w:t>
      </w:r>
      <w:proofErr w:type="spellEnd"/>
      <w:proofErr w:type="gramStart"/>
      <w:r w:rsidRPr="00FC4F13">
        <w:rPr>
          <w:b w:val="0"/>
        </w:rPr>
        <w:t>);</w:t>
      </w:r>
      <w:proofErr w:type="gramEnd"/>
    </w:p>
    <w:p w14:paraId="45474E2D"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proofErr w:type="spellStart"/>
      <w:r w:rsidRPr="00FC4F13">
        <w:rPr>
          <w:b w:val="0"/>
        </w:rPr>
        <w:t>Các</w:t>
      </w:r>
      <w:proofErr w:type="spellEnd"/>
      <w:r w:rsidRPr="00FC4F13">
        <w:rPr>
          <w:b w:val="0"/>
        </w:rPr>
        <w:t xml:space="preserve"> </w:t>
      </w:r>
      <w:proofErr w:type="spellStart"/>
      <w:r w:rsidRPr="00FC4F13">
        <w:rPr>
          <w:b w:val="0"/>
        </w:rPr>
        <w:t>thông</w:t>
      </w:r>
      <w:proofErr w:type="spellEnd"/>
      <w:r w:rsidRPr="00FC4F13">
        <w:rPr>
          <w:b w:val="0"/>
        </w:rPr>
        <w:t xml:space="preserve"> tin </w:t>
      </w:r>
      <w:proofErr w:type="spellStart"/>
      <w:r w:rsidRPr="00FC4F13">
        <w:rPr>
          <w:b w:val="0"/>
        </w:rPr>
        <w:t>khác</w:t>
      </w:r>
      <w:proofErr w:type="spellEnd"/>
      <w:r w:rsidRPr="00FC4F13">
        <w:rPr>
          <w:b w:val="0"/>
        </w:rPr>
        <w:t xml:space="preserve"> (</w:t>
      </w:r>
      <w:proofErr w:type="spellStart"/>
      <w:r w:rsidRPr="00FC4F13">
        <w:rPr>
          <w:b w:val="0"/>
        </w:rPr>
        <w:t>nếu</w:t>
      </w:r>
      <w:proofErr w:type="spellEnd"/>
      <w:r w:rsidRPr="00FC4F13">
        <w:rPr>
          <w:b w:val="0"/>
        </w:rPr>
        <w:t xml:space="preserve"> </w:t>
      </w:r>
      <w:proofErr w:type="spellStart"/>
      <w:r w:rsidRPr="00FC4F13">
        <w:rPr>
          <w:b w:val="0"/>
        </w:rPr>
        <w:t>có</w:t>
      </w:r>
      <w:proofErr w:type="spellEnd"/>
      <w:r w:rsidRPr="00FC4F13">
        <w:rPr>
          <w:b w:val="0"/>
        </w:rPr>
        <w:t>).</w:t>
      </w:r>
    </w:p>
    <w:p w14:paraId="28320125" w14:textId="21C203DB" w:rsidR="002A0D5F" w:rsidRDefault="002A0D5F">
      <w:pPr>
        <w:spacing w:after="200" w:line="276" w:lineRule="auto"/>
        <w:rPr>
          <w:lang w:val="fr-FR"/>
        </w:rPr>
      </w:pPr>
      <w:r>
        <w:rPr>
          <w:b/>
        </w:rPr>
        <w:br w:type="page"/>
      </w:r>
    </w:p>
    <w:p w14:paraId="26294269" w14:textId="70206752" w:rsidR="00B04C91" w:rsidRPr="00FC4F13" w:rsidRDefault="00B04C91" w:rsidP="00FC4F13">
      <w:pPr>
        <w:pStyle w:val="ListParagraph"/>
        <w:numPr>
          <w:ilvl w:val="0"/>
          <w:numId w:val="1"/>
        </w:numPr>
        <w:tabs>
          <w:tab w:val="left" w:pos="270"/>
          <w:tab w:val="left" w:pos="1134"/>
        </w:tabs>
        <w:spacing w:after="120" w:line="276" w:lineRule="auto"/>
        <w:ind w:left="0" w:firstLine="0"/>
        <w:jc w:val="both"/>
        <w:rPr>
          <w:lang w:val="nl-NL"/>
        </w:rPr>
      </w:pPr>
      <w:r w:rsidRPr="00951963">
        <w:rPr>
          <w:lang w:val="nl-NL"/>
        </w:rPr>
        <w:lastRenderedPageBreak/>
        <w:t>Báo cáo về hoạt động giám sát của Ngân hàng giám sát</w:t>
      </w:r>
      <w:r w:rsidR="000C7857" w:rsidRPr="00FC4F13">
        <w:rPr>
          <w:lang w:val="nl-NL"/>
        </w:rPr>
        <w:t xml:space="preserve">: </w:t>
      </w:r>
    </w:p>
    <w:p w14:paraId="24A2D7CE" w14:textId="3B506332" w:rsidR="004176CB" w:rsidRPr="004176CB" w:rsidRDefault="004176CB" w:rsidP="004176CB">
      <w:pPr>
        <w:spacing w:line="276" w:lineRule="auto"/>
        <w:jc w:val="both"/>
        <w:rPr>
          <w:lang w:val="fr-FR"/>
        </w:rPr>
      </w:pPr>
      <w:proofErr w:type="spellStart"/>
      <w:r w:rsidRPr="004176CB">
        <w:rPr>
          <w:lang w:val="fr-FR"/>
        </w:rPr>
        <w:t>Ngân</w:t>
      </w:r>
      <w:proofErr w:type="spellEnd"/>
      <w:r w:rsidRPr="004176CB">
        <w:rPr>
          <w:lang w:val="fr-FR"/>
        </w:rPr>
        <w:t xml:space="preserve"> </w:t>
      </w:r>
      <w:proofErr w:type="spellStart"/>
      <w:r w:rsidRPr="004176CB">
        <w:rPr>
          <w:lang w:val="fr-FR"/>
        </w:rPr>
        <w:t>hàng</w:t>
      </w:r>
      <w:proofErr w:type="spellEnd"/>
      <w:r w:rsidRPr="004176CB">
        <w:rPr>
          <w:lang w:val="fr-FR"/>
        </w:rPr>
        <w:t xml:space="preserve"> </w:t>
      </w:r>
      <w:proofErr w:type="spellStart"/>
      <w:r w:rsidRPr="004176CB">
        <w:rPr>
          <w:lang w:val="fr-FR"/>
        </w:rPr>
        <w:t>giám</w:t>
      </w:r>
      <w:proofErr w:type="spellEnd"/>
      <w:r w:rsidRPr="004176CB">
        <w:rPr>
          <w:lang w:val="fr-FR"/>
        </w:rPr>
        <w:t xml:space="preserve"> </w:t>
      </w:r>
      <w:proofErr w:type="spellStart"/>
      <w:r w:rsidRPr="004176CB">
        <w:rPr>
          <w:lang w:val="fr-FR"/>
        </w:rPr>
        <w:t>sát</w:t>
      </w:r>
      <w:proofErr w:type="spellEnd"/>
      <w:r w:rsidRPr="004176CB">
        <w:rPr>
          <w:lang w:val="fr-FR"/>
        </w:rPr>
        <w:t xml:space="preserve"> </w:t>
      </w:r>
      <w:proofErr w:type="spellStart"/>
      <w:r w:rsidRPr="004176CB">
        <w:rPr>
          <w:lang w:val="fr-FR"/>
        </w:rPr>
        <w:t>phải</w:t>
      </w:r>
      <w:proofErr w:type="spellEnd"/>
      <w:r w:rsidRPr="004176CB">
        <w:rPr>
          <w:lang w:val="fr-FR"/>
        </w:rPr>
        <w:t xml:space="preserve"> </w:t>
      </w:r>
      <w:proofErr w:type="spellStart"/>
      <w:r w:rsidRPr="004176CB">
        <w:rPr>
          <w:lang w:val="fr-FR"/>
        </w:rPr>
        <w:t>đưa</w:t>
      </w:r>
      <w:proofErr w:type="spellEnd"/>
      <w:r w:rsidRPr="004176CB">
        <w:rPr>
          <w:lang w:val="fr-FR"/>
        </w:rPr>
        <w:t xml:space="preserve"> ra ý </w:t>
      </w:r>
      <w:proofErr w:type="spellStart"/>
      <w:r w:rsidRPr="004176CB">
        <w:rPr>
          <w:lang w:val="fr-FR"/>
        </w:rPr>
        <w:t>kiến</w:t>
      </w:r>
      <w:proofErr w:type="spellEnd"/>
      <w:r w:rsidRPr="004176CB">
        <w:rPr>
          <w:lang w:val="fr-FR"/>
        </w:rPr>
        <w:t xml:space="preserve"> </w:t>
      </w:r>
      <w:proofErr w:type="spellStart"/>
      <w:r w:rsidRPr="004176CB">
        <w:rPr>
          <w:lang w:val="fr-FR"/>
        </w:rPr>
        <w:t>về</w:t>
      </w:r>
      <w:proofErr w:type="spellEnd"/>
      <w:r w:rsidRPr="004176CB">
        <w:rPr>
          <w:lang w:val="fr-FR"/>
        </w:rPr>
        <w:t xml:space="preserve"> </w:t>
      </w:r>
      <w:proofErr w:type="spellStart"/>
      <w:r w:rsidRPr="004176CB">
        <w:rPr>
          <w:lang w:val="fr-FR"/>
        </w:rPr>
        <w:t>sự</w:t>
      </w:r>
      <w:proofErr w:type="spellEnd"/>
      <w:r w:rsidRPr="004176CB">
        <w:rPr>
          <w:lang w:val="fr-FR"/>
        </w:rPr>
        <w:t xml:space="preserve"> </w:t>
      </w:r>
      <w:proofErr w:type="spellStart"/>
      <w:r w:rsidRPr="004176CB">
        <w:rPr>
          <w:lang w:val="fr-FR"/>
        </w:rPr>
        <w:t>tuân</w:t>
      </w:r>
      <w:proofErr w:type="spellEnd"/>
      <w:r w:rsidRPr="004176CB">
        <w:rPr>
          <w:lang w:val="fr-FR"/>
        </w:rPr>
        <w:t xml:space="preserve"> </w:t>
      </w:r>
      <w:proofErr w:type="spellStart"/>
      <w:r w:rsidRPr="004176CB">
        <w:rPr>
          <w:lang w:val="fr-FR"/>
        </w:rPr>
        <w:t>thủ</w:t>
      </w:r>
      <w:proofErr w:type="spellEnd"/>
      <w:r w:rsidRPr="004176CB">
        <w:rPr>
          <w:lang w:val="fr-FR"/>
        </w:rPr>
        <w:t xml:space="preserve"> </w:t>
      </w:r>
      <w:proofErr w:type="spellStart"/>
      <w:r w:rsidRPr="004176CB">
        <w:rPr>
          <w:lang w:val="fr-FR"/>
        </w:rPr>
        <w:t>quy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pháp</w:t>
      </w:r>
      <w:proofErr w:type="spellEnd"/>
      <w:r w:rsidRPr="004176CB">
        <w:rPr>
          <w:lang w:val="fr-FR"/>
        </w:rPr>
        <w:t xml:space="preserve"> </w:t>
      </w:r>
      <w:proofErr w:type="spellStart"/>
      <w:r w:rsidRPr="004176CB">
        <w:rPr>
          <w:lang w:val="fr-FR"/>
        </w:rPr>
        <w:t>luật</w:t>
      </w:r>
      <w:proofErr w:type="spellEnd"/>
      <w:r w:rsidRPr="004176CB">
        <w:rPr>
          <w:lang w:val="fr-FR"/>
        </w:rPr>
        <w:t xml:space="preserve">, </w:t>
      </w:r>
      <w:proofErr w:type="spellStart"/>
      <w:r w:rsidRPr="004176CB">
        <w:rPr>
          <w:lang w:val="fr-FR"/>
        </w:rPr>
        <w:t>quy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tại</w:t>
      </w:r>
      <w:proofErr w:type="spellEnd"/>
      <w:r w:rsidRPr="004176CB">
        <w:rPr>
          <w:lang w:val="fr-FR"/>
        </w:rPr>
        <w:t xml:space="preserve"> </w:t>
      </w:r>
      <w:proofErr w:type="spellStart"/>
      <w:r w:rsidRPr="004176CB">
        <w:rPr>
          <w:lang w:val="fr-FR"/>
        </w:rPr>
        <w:t>Điều</w:t>
      </w:r>
      <w:proofErr w:type="spellEnd"/>
      <w:r w:rsidRPr="004176CB">
        <w:rPr>
          <w:lang w:val="fr-FR"/>
        </w:rPr>
        <w:t xml:space="preserve"> </w:t>
      </w:r>
      <w:proofErr w:type="spellStart"/>
      <w:r w:rsidRPr="004176CB">
        <w:rPr>
          <w:lang w:val="fr-FR"/>
        </w:rPr>
        <w:t>lệ</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Bản</w:t>
      </w:r>
      <w:proofErr w:type="spellEnd"/>
      <w:r w:rsidRPr="004176CB">
        <w:rPr>
          <w:lang w:val="fr-FR"/>
        </w:rPr>
        <w:t xml:space="preserve"> </w:t>
      </w:r>
      <w:proofErr w:type="spellStart"/>
      <w:r w:rsidRPr="004176CB">
        <w:rPr>
          <w:lang w:val="fr-FR"/>
        </w:rPr>
        <w:t>cáo</w:t>
      </w:r>
      <w:proofErr w:type="spellEnd"/>
      <w:r w:rsidRPr="004176CB">
        <w:rPr>
          <w:lang w:val="fr-FR"/>
        </w:rPr>
        <w:t xml:space="preserve"> </w:t>
      </w:r>
      <w:proofErr w:type="spellStart"/>
      <w:r w:rsidRPr="004176CB">
        <w:rPr>
          <w:lang w:val="fr-FR"/>
        </w:rPr>
        <w:t>bạch</w:t>
      </w:r>
      <w:proofErr w:type="spellEnd"/>
      <w:r w:rsidRPr="004176CB">
        <w:rPr>
          <w:lang w:val="fr-FR"/>
        </w:rPr>
        <w:t xml:space="preserve"> </w:t>
      </w:r>
      <w:proofErr w:type="spellStart"/>
      <w:r w:rsidRPr="004176CB">
        <w:rPr>
          <w:lang w:val="fr-FR"/>
        </w:rPr>
        <w:t>của</w:t>
      </w:r>
      <w:proofErr w:type="spellEnd"/>
      <w:r w:rsidRPr="004176CB">
        <w:rPr>
          <w:lang w:val="fr-FR"/>
        </w:rPr>
        <w:t xml:space="preserve"> </w:t>
      </w:r>
      <w:proofErr w:type="spellStart"/>
      <w:r w:rsidRPr="004176CB">
        <w:rPr>
          <w:lang w:val="fr-FR"/>
        </w:rPr>
        <w:t>Công</w:t>
      </w:r>
      <w:proofErr w:type="spellEnd"/>
      <w:r w:rsidRPr="004176CB">
        <w:rPr>
          <w:lang w:val="fr-FR"/>
        </w:rPr>
        <w:t xml:space="preserve"> </w:t>
      </w:r>
      <w:proofErr w:type="spellStart"/>
      <w:r w:rsidRPr="004176CB">
        <w:rPr>
          <w:lang w:val="fr-FR"/>
        </w:rPr>
        <w:t>ty</w:t>
      </w:r>
      <w:proofErr w:type="spellEnd"/>
      <w:r w:rsidRPr="004176CB">
        <w:rPr>
          <w:lang w:val="fr-FR"/>
        </w:rPr>
        <w:t xml:space="preserve"> </w:t>
      </w:r>
      <w:proofErr w:type="spellStart"/>
      <w:r w:rsidRPr="004176CB">
        <w:rPr>
          <w:lang w:val="fr-FR"/>
        </w:rPr>
        <w:t>Cổ</w:t>
      </w:r>
      <w:proofErr w:type="spellEnd"/>
      <w:r w:rsidRPr="004176CB">
        <w:rPr>
          <w:lang w:val="fr-FR"/>
        </w:rPr>
        <w:t xml:space="preserve"> </w:t>
      </w:r>
      <w:proofErr w:type="spellStart"/>
      <w:r w:rsidRPr="004176CB">
        <w:rPr>
          <w:lang w:val="fr-FR"/>
        </w:rPr>
        <w:t>phần</w:t>
      </w:r>
      <w:proofErr w:type="spellEnd"/>
      <w:r w:rsidRPr="004176CB">
        <w:rPr>
          <w:lang w:val="fr-FR"/>
        </w:rPr>
        <w:t xml:space="preserve"> </w:t>
      </w:r>
      <w:proofErr w:type="spellStart"/>
      <w:r w:rsidRPr="004176CB">
        <w:rPr>
          <w:lang w:val="fr-FR"/>
        </w:rPr>
        <w:t>Quản</w:t>
      </w:r>
      <w:proofErr w:type="spellEnd"/>
      <w:r w:rsidRPr="004176CB">
        <w:rPr>
          <w:lang w:val="fr-FR"/>
        </w:rPr>
        <w:t xml:space="preserve"> </w:t>
      </w:r>
      <w:proofErr w:type="spellStart"/>
      <w:r w:rsidRPr="004176CB">
        <w:rPr>
          <w:lang w:val="fr-FR"/>
        </w:rPr>
        <w:t>Lý</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Đầu</w:t>
      </w:r>
      <w:proofErr w:type="spellEnd"/>
      <w:r w:rsidRPr="004176CB">
        <w:rPr>
          <w:lang w:val="fr-FR"/>
        </w:rPr>
        <w:t xml:space="preserve"> </w:t>
      </w:r>
      <w:proofErr w:type="spellStart"/>
      <w:r w:rsidRPr="004176CB">
        <w:rPr>
          <w:lang w:val="fr-FR"/>
        </w:rPr>
        <w:t>tư</w:t>
      </w:r>
      <w:proofErr w:type="spellEnd"/>
      <w:r w:rsidRPr="004176CB">
        <w:rPr>
          <w:lang w:val="fr-FR"/>
        </w:rPr>
        <w:t xml:space="preserve"> Dragon Capital </w:t>
      </w:r>
      <w:proofErr w:type="spellStart"/>
      <w:r w:rsidRPr="004176CB">
        <w:rPr>
          <w:lang w:val="fr-FR"/>
        </w:rPr>
        <w:t>Việt</w:t>
      </w:r>
      <w:proofErr w:type="spellEnd"/>
      <w:r w:rsidRPr="004176CB">
        <w:rPr>
          <w:lang w:val="fr-FR"/>
        </w:rPr>
        <w:t xml:space="preserve"> Nam </w:t>
      </w:r>
      <w:proofErr w:type="spellStart"/>
      <w:r w:rsidRPr="004176CB">
        <w:rPr>
          <w:lang w:val="fr-FR"/>
        </w:rPr>
        <w:t>trong</w:t>
      </w:r>
      <w:proofErr w:type="spellEnd"/>
      <w:r w:rsidRPr="004176CB">
        <w:rPr>
          <w:lang w:val="fr-FR"/>
        </w:rPr>
        <w:t xml:space="preserve"> </w:t>
      </w:r>
      <w:proofErr w:type="spellStart"/>
      <w:r w:rsidRPr="004176CB">
        <w:rPr>
          <w:lang w:val="fr-FR"/>
        </w:rPr>
        <w:t>quá</w:t>
      </w:r>
      <w:proofErr w:type="spellEnd"/>
      <w:r w:rsidRPr="004176CB">
        <w:rPr>
          <w:lang w:val="fr-FR"/>
        </w:rPr>
        <w:t xml:space="preserve"> </w:t>
      </w:r>
      <w:proofErr w:type="spellStart"/>
      <w:r w:rsidRPr="004176CB">
        <w:rPr>
          <w:lang w:val="fr-FR"/>
        </w:rPr>
        <w:t>trình</w:t>
      </w:r>
      <w:proofErr w:type="spellEnd"/>
      <w:r w:rsidRPr="004176CB">
        <w:rPr>
          <w:lang w:val="fr-FR"/>
        </w:rPr>
        <w:t xml:space="preserve"> </w:t>
      </w:r>
      <w:proofErr w:type="spellStart"/>
      <w:r w:rsidRPr="004176CB">
        <w:rPr>
          <w:lang w:val="fr-FR"/>
        </w:rPr>
        <w:t>vận</w:t>
      </w:r>
      <w:proofErr w:type="spellEnd"/>
      <w:r w:rsidRPr="004176CB">
        <w:rPr>
          <w:lang w:val="fr-FR"/>
        </w:rPr>
        <w:t xml:space="preserve"> </w:t>
      </w:r>
      <w:proofErr w:type="spellStart"/>
      <w:r w:rsidRPr="004176CB">
        <w:rPr>
          <w:lang w:val="fr-FR"/>
        </w:rPr>
        <w:t>hành</w:t>
      </w:r>
      <w:proofErr w:type="spellEnd"/>
      <w:r w:rsidRPr="004176CB">
        <w:rPr>
          <w:lang w:val="fr-FR"/>
        </w:rPr>
        <w:t xml:space="preserve"> </w:t>
      </w:r>
      <w:proofErr w:type="spellStart"/>
      <w:r w:rsidRPr="004176CB">
        <w:rPr>
          <w:lang w:val="fr-FR"/>
        </w:rPr>
        <w:t>và</w:t>
      </w:r>
      <w:proofErr w:type="spellEnd"/>
      <w:r w:rsidRPr="004176CB">
        <w:rPr>
          <w:lang w:val="fr-FR"/>
        </w:rPr>
        <w:t xml:space="preserve"> </w:t>
      </w:r>
      <w:proofErr w:type="spellStart"/>
      <w:r w:rsidRPr="004176CB">
        <w:rPr>
          <w:lang w:val="fr-FR"/>
        </w:rPr>
        <w:t>quản</w:t>
      </w:r>
      <w:proofErr w:type="spellEnd"/>
      <w:r w:rsidRPr="004176CB">
        <w:rPr>
          <w:lang w:val="fr-FR"/>
        </w:rPr>
        <w:t xml:space="preserve"> </w:t>
      </w:r>
      <w:proofErr w:type="spellStart"/>
      <w:r w:rsidRPr="004176CB">
        <w:rPr>
          <w:lang w:val="fr-FR"/>
        </w:rPr>
        <w:t>lý</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Đầu</w:t>
      </w:r>
      <w:proofErr w:type="spellEnd"/>
      <w:r w:rsidRPr="004176CB">
        <w:rPr>
          <w:lang w:val="fr-FR"/>
        </w:rPr>
        <w:t xml:space="preserve"> </w:t>
      </w:r>
      <w:proofErr w:type="spellStart"/>
      <w:r w:rsidRPr="004176CB">
        <w:rPr>
          <w:lang w:val="fr-FR"/>
        </w:rPr>
        <w:t>tư</w:t>
      </w:r>
      <w:proofErr w:type="spellEnd"/>
      <w:r w:rsidRPr="004176CB">
        <w:rPr>
          <w:lang w:val="fr-FR"/>
        </w:rPr>
        <w:t xml:space="preserve"> </w:t>
      </w:r>
      <w:proofErr w:type="spellStart"/>
      <w:r w:rsidRPr="004176CB">
        <w:rPr>
          <w:lang w:val="fr-FR"/>
        </w:rPr>
        <w:t>Cổ</w:t>
      </w:r>
      <w:proofErr w:type="spellEnd"/>
      <w:r w:rsidRPr="004176CB">
        <w:rPr>
          <w:lang w:val="fr-FR"/>
        </w:rPr>
        <w:t xml:space="preserve"> </w:t>
      </w:r>
      <w:proofErr w:type="spellStart"/>
      <w:r w:rsidRPr="004176CB">
        <w:rPr>
          <w:lang w:val="fr-FR"/>
        </w:rPr>
        <w:t>phiếu</w:t>
      </w:r>
      <w:proofErr w:type="spellEnd"/>
      <w:r w:rsidRPr="004176CB">
        <w:rPr>
          <w:lang w:val="fr-FR"/>
        </w:rPr>
        <w:t xml:space="preserve"> </w:t>
      </w:r>
      <w:proofErr w:type="spellStart"/>
      <w:r w:rsidRPr="004176CB">
        <w:rPr>
          <w:lang w:val="fr-FR"/>
        </w:rPr>
        <w:t>Việt</w:t>
      </w:r>
      <w:proofErr w:type="spellEnd"/>
      <w:r w:rsidRPr="004176CB">
        <w:rPr>
          <w:lang w:val="fr-FR"/>
        </w:rPr>
        <w:t xml:space="preserve"> Nam </w:t>
      </w:r>
      <w:proofErr w:type="spellStart"/>
      <w:r w:rsidRPr="004176CB">
        <w:rPr>
          <w:lang w:val="fr-FR"/>
        </w:rPr>
        <w:t>Chọn</w:t>
      </w:r>
      <w:proofErr w:type="spellEnd"/>
      <w:r w:rsidRPr="004176CB">
        <w:rPr>
          <w:lang w:val="fr-FR"/>
        </w:rPr>
        <w:t xml:space="preserve"> </w:t>
      </w:r>
      <w:proofErr w:type="spellStart"/>
      <w:r w:rsidRPr="004176CB">
        <w:rPr>
          <w:lang w:val="fr-FR"/>
        </w:rPr>
        <w:t>lọc</w:t>
      </w:r>
      <w:proofErr w:type="spellEnd"/>
      <w:r w:rsidRPr="004176CB">
        <w:rPr>
          <w:lang w:val="fr-FR"/>
        </w:rPr>
        <w:t xml:space="preserve"> (“VFMVSF” </w:t>
      </w:r>
      <w:proofErr w:type="spellStart"/>
      <w:r w:rsidRPr="004176CB">
        <w:rPr>
          <w:lang w:val="fr-FR"/>
        </w:rPr>
        <w:t>hoặc</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đối</w:t>
      </w:r>
      <w:proofErr w:type="spellEnd"/>
      <w:r w:rsidRPr="004176CB">
        <w:rPr>
          <w:lang w:val="fr-FR"/>
        </w:rPr>
        <w:t xml:space="preserve"> </w:t>
      </w:r>
      <w:proofErr w:type="spellStart"/>
      <w:r w:rsidRPr="004176CB">
        <w:rPr>
          <w:lang w:val="fr-FR"/>
        </w:rPr>
        <w:t>với</w:t>
      </w:r>
      <w:proofErr w:type="spellEnd"/>
      <w:r w:rsidRPr="004176CB">
        <w:rPr>
          <w:lang w:val="fr-FR"/>
        </w:rPr>
        <w:t xml:space="preserve"> </w:t>
      </w:r>
      <w:proofErr w:type="spellStart"/>
      <w:r w:rsidRPr="004176CB">
        <w:rPr>
          <w:lang w:val="fr-FR"/>
        </w:rPr>
        <w:t>các</w:t>
      </w:r>
      <w:proofErr w:type="spellEnd"/>
      <w:r w:rsidRPr="004176CB">
        <w:rPr>
          <w:lang w:val="fr-FR"/>
        </w:rPr>
        <w:t xml:space="preserve"> </w:t>
      </w:r>
      <w:proofErr w:type="spellStart"/>
      <w:r w:rsidRPr="004176CB">
        <w:rPr>
          <w:lang w:val="fr-FR"/>
        </w:rPr>
        <w:t>nội</w:t>
      </w:r>
      <w:proofErr w:type="spellEnd"/>
      <w:r w:rsidRPr="004176CB">
        <w:rPr>
          <w:lang w:val="fr-FR"/>
        </w:rPr>
        <w:t xml:space="preserve"> </w:t>
      </w:r>
      <w:proofErr w:type="spellStart"/>
      <w:r w:rsidRPr="004176CB">
        <w:rPr>
          <w:lang w:val="fr-FR"/>
        </w:rPr>
        <w:t>dung</w:t>
      </w:r>
      <w:proofErr w:type="spellEnd"/>
      <w:r w:rsidRPr="004176CB">
        <w:rPr>
          <w:lang w:val="fr-FR"/>
        </w:rPr>
        <w:t xml:space="preserve"> </w:t>
      </w:r>
      <w:proofErr w:type="spellStart"/>
      <w:proofErr w:type="gramStart"/>
      <w:r w:rsidRPr="004176CB">
        <w:rPr>
          <w:lang w:val="fr-FR"/>
        </w:rPr>
        <w:t>sau</w:t>
      </w:r>
      <w:proofErr w:type="spellEnd"/>
      <w:r w:rsidRPr="004176CB">
        <w:rPr>
          <w:lang w:val="fr-FR"/>
        </w:rPr>
        <w:t>:</w:t>
      </w:r>
      <w:proofErr w:type="gramEnd"/>
    </w:p>
    <w:p w14:paraId="163DCB96" w14:textId="77777777" w:rsidR="004176CB" w:rsidRPr="004176CB" w:rsidRDefault="004176CB" w:rsidP="004176CB">
      <w:pPr>
        <w:spacing w:line="276" w:lineRule="auto"/>
        <w:jc w:val="both"/>
        <w:rPr>
          <w:lang w:val="fr-FR"/>
        </w:rPr>
      </w:pPr>
      <w:r w:rsidRPr="004176CB">
        <w:rPr>
          <w:lang w:val="fr-FR"/>
        </w:rPr>
        <w:t xml:space="preserve">a) </w:t>
      </w:r>
      <w:proofErr w:type="spellStart"/>
      <w:r w:rsidRPr="004176CB">
        <w:rPr>
          <w:lang w:val="fr-FR"/>
        </w:rPr>
        <w:t>Thuyết</w:t>
      </w:r>
      <w:proofErr w:type="spellEnd"/>
      <w:r w:rsidRPr="004176CB">
        <w:rPr>
          <w:lang w:val="fr-FR"/>
        </w:rPr>
        <w:t xml:space="preserve"> </w:t>
      </w:r>
      <w:proofErr w:type="spellStart"/>
      <w:r w:rsidRPr="004176CB">
        <w:rPr>
          <w:lang w:val="fr-FR"/>
        </w:rPr>
        <w:t>minh</w:t>
      </w:r>
      <w:proofErr w:type="spellEnd"/>
      <w:r w:rsidRPr="004176CB">
        <w:rPr>
          <w:lang w:val="fr-FR"/>
        </w:rPr>
        <w:t xml:space="preserve"> </w:t>
      </w:r>
      <w:proofErr w:type="spellStart"/>
      <w:r w:rsidRPr="004176CB">
        <w:rPr>
          <w:lang w:val="fr-FR"/>
        </w:rPr>
        <w:t>về</w:t>
      </w:r>
      <w:proofErr w:type="spellEnd"/>
      <w:r w:rsidRPr="004176CB">
        <w:rPr>
          <w:lang w:val="fr-FR"/>
        </w:rPr>
        <w:t xml:space="preserve"> </w:t>
      </w:r>
      <w:proofErr w:type="spellStart"/>
      <w:r w:rsidRPr="004176CB">
        <w:rPr>
          <w:lang w:val="fr-FR"/>
        </w:rPr>
        <w:t>việc</w:t>
      </w:r>
      <w:proofErr w:type="spellEnd"/>
      <w:r w:rsidRPr="004176CB">
        <w:rPr>
          <w:lang w:val="fr-FR"/>
        </w:rPr>
        <w:t xml:space="preserve"> </w:t>
      </w:r>
      <w:proofErr w:type="spellStart"/>
      <w:r w:rsidRPr="004176CB">
        <w:rPr>
          <w:lang w:val="fr-FR"/>
        </w:rPr>
        <w:t>thay</w:t>
      </w:r>
      <w:proofErr w:type="spellEnd"/>
      <w:r w:rsidRPr="004176CB">
        <w:rPr>
          <w:lang w:val="fr-FR"/>
        </w:rPr>
        <w:t xml:space="preserve"> </w:t>
      </w:r>
      <w:proofErr w:type="spellStart"/>
      <w:r w:rsidRPr="004176CB">
        <w:rPr>
          <w:lang w:val="fr-FR"/>
        </w:rPr>
        <w:t>đổi</w:t>
      </w:r>
      <w:proofErr w:type="spellEnd"/>
      <w:r w:rsidRPr="004176CB">
        <w:rPr>
          <w:lang w:val="fr-FR"/>
        </w:rPr>
        <w:t xml:space="preserve"> </w:t>
      </w:r>
      <w:proofErr w:type="spellStart"/>
      <w:r w:rsidRPr="004176CB">
        <w:rPr>
          <w:lang w:val="fr-FR"/>
        </w:rPr>
        <w:t>ngân</w:t>
      </w:r>
      <w:proofErr w:type="spellEnd"/>
      <w:r w:rsidRPr="004176CB">
        <w:rPr>
          <w:lang w:val="fr-FR"/>
        </w:rPr>
        <w:t xml:space="preserve"> </w:t>
      </w:r>
      <w:proofErr w:type="spellStart"/>
      <w:r w:rsidRPr="004176CB">
        <w:rPr>
          <w:lang w:val="fr-FR"/>
        </w:rPr>
        <w:t>hàng</w:t>
      </w:r>
      <w:proofErr w:type="spellEnd"/>
      <w:r w:rsidRPr="004176CB">
        <w:rPr>
          <w:lang w:val="fr-FR"/>
        </w:rPr>
        <w:t xml:space="preserve"> </w:t>
      </w:r>
      <w:proofErr w:type="spellStart"/>
      <w:r w:rsidRPr="004176CB">
        <w:rPr>
          <w:lang w:val="fr-FR"/>
        </w:rPr>
        <w:t>giám</w:t>
      </w:r>
      <w:proofErr w:type="spellEnd"/>
      <w:r w:rsidRPr="004176CB">
        <w:rPr>
          <w:lang w:val="fr-FR"/>
        </w:rPr>
        <w:t xml:space="preserve"> </w:t>
      </w:r>
      <w:proofErr w:type="spellStart"/>
      <w:r w:rsidRPr="004176CB">
        <w:rPr>
          <w:lang w:val="fr-FR"/>
        </w:rPr>
        <w:t>sát</w:t>
      </w:r>
      <w:proofErr w:type="spellEnd"/>
      <w:r w:rsidRPr="004176CB">
        <w:rPr>
          <w:lang w:val="fr-FR"/>
        </w:rPr>
        <w:t xml:space="preserve"> (</w:t>
      </w:r>
      <w:proofErr w:type="spellStart"/>
      <w:r w:rsidRPr="004176CB">
        <w:rPr>
          <w:lang w:val="fr-FR"/>
        </w:rPr>
        <w:t>nếu</w:t>
      </w:r>
      <w:proofErr w:type="spellEnd"/>
      <w:r w:rsidRPr="004176CB">
        <w:rPr>
          <w:lang w:val="fr-FR"/>
        </w:rPr>
        <w:t xml:space="preserve"> </w:t>
      </w:r>
      <w:proofErr w:type="spellStart"/>
      <w:r w:rsidRPr="004176CB">
        <w:rPr>
          <w:lang w:val="fr-FR"/>
        </w:rPr>
        <w:t>có</w:t>
      </w:r>
      <w:proofErr w:type="spellEnd"/>
      <w:proofErr w:type="gramStart"/>
      <w:r w:rsidRPr="004176CB">
        <w:rPr>
          <w:lang w:val="fr-FR"/>
        </w:rPr>
        <w:t>):</w:t>
      </w:r>
      <w:proofErr w:type="gramEnd"/>
      <w:r w:rsidRPr="004176CB">
        <w:rPr>
          <w:lang w:val="fr-FR"/>
        </w:rPr>
        <w:t xml:space="preserve"> </w:t>
      </w:r>
      <w:proofErr w:type="spellStart"/>
      <w:r w:rsidRPr="004176CB">
        <w:rPr>
          <w:lang w:val="fr-FR"/>
        </w:rPr>
        <w:t>từ</w:t>
      </w:r>
      <w:proofErr w:type="spellEnd"/>
      <w:r w:rsidRPr="004176CB">
        <w:rPr>
          <w:lang w:val="fr-FR"/>
        </w:rPr>
        <w:t xml:space="preserve"> </w:t>
      </w:r>
      <w:proofErr w:type="spellStart"/>
      <w:r w:rsidRPr="004176CB">
        <w:rPr>
          <w:lang w:val="fr-FR"/>
        </w:rPr>
        <w:t>ngày</w:t>
      </w:r>
      <w:proofErr w:type="spellEnd"/>
      <w:r w:rsidRPr="004176CB">
        <w:rPr>
          <w:lang w:val="fr-FR"/>
        </w:rPr>
        <w:t xml:space="preserve"> 01 </w:t>
      </w:r>
      <w:proofErr w:type="spellStart"/>
      <w:r w:rsidRPr="004176CB">
        <w:rPr>
          <w:lang w:val="fr-FR"/>
        </w:rPr>
        <w:t>tháng</w:t>
      </w:r>
      <w:proofErr w:type="spellEnd"/>
      <w:r w:rsidRPr="004176CB">
        <w:rPr>
          <w:lang w:val="fr-FR"/>
        </w:rPr>
        <w:t xml:space="preserve"> 01 </w:t>
      </w:r>
      <w:proofErr w:type="spellStart"/>
      <w:r w:rsidRPr="004176CB">
        <w:rPr>
          <w:lang w:val="fr-FR"/>
        </w:rPr>
        <w:t>năm</w:t>
      </w:r>
      <w:proofErr w:type="spellEnd"/>
      <w:r w:rsidRPr="004176CB">
        <w:rPr>
          <w:lang w:val="fr-FR"/>
        </w:rPr>
        <w:t xml:space="preserve"> 2023 </w:t>
      </w:r>
      <w:proofErr w:type="spellStart"/>
      <w:r w:rsidRPr="004176CB">
        <w:rPr>
          <w:lang w:val="fr-FR"/>
        </w:rPr>
        <w:t>đến</w:t>
      </w:r>
      <w:proofErr w:type="spellEnd"/>
      <w:r w:rsidRPr="004176CB">
        <w:rPr>
          <w:lang w:val="fr-FR"/>
        </w:rPr>
        <w:t xml:space="preserve"> </w:t>
      </w:r>
      <w:proofErr w:type="spellStart"/>
      <w:r w:rsidRPr="004176CB">
        <w:rPr>
          <w:lang w:val="fr-FR"/>
        </w:rPr>
        <w:t>ngày</w:t>
      </w:r>
      <w:proofErr w:type="spellEnd"/>
      <w:r w:rsidRPr="004176CB">
        <w:rPr>
          <w:lang w:val="fr-FR"/>
        </w:rPr>
        <w:t xml:space="preserve"> 31 </w:t>
      </w:r>
      <w:proofErr w:type="spellStart"/>
      <w:r w:rsidRPr="004176CB">
        <w:rPr>
          <w:lang w:val="fr-FR"/>
        </w:rPr>
        <w:t>tháng</w:t>
      </w:r>
      <w:proofErr w:type="spellEnd"/>
      <w:r w:rsidRPr="004176CB">
        <w:rPr>
          <w:lang w:val="fr-FR"/>
        </w:rPr>
        <w:t xml:space="preserve"> 12 </w:t>
      </w:r>
      <w:proofErr w:type="spellStart"/>
      <w:r w:rsidRPr="004176CB">
        <w:rPr>
          <w:lang w:val="fr-FR"/>
        </w:rPr>
        <w:t>năm</w:t>
      </w:r>
      <w:proofErr w:type="spellEnd"/>
      <w:r w:rsidRPr="004176CB">
        <w:rPr>
          <w:lang w:val="fr-FR"/>
        </w:rPr>
        <w:t xml:space="preserve"> 2023, </w:t>
      </w:r>
      <w:proofErr w:type="spellStart"/>
      <w:r w:rsidRPr="004176CB">
        <w:rPr>
          <w:lang w:val="fr-FR"/>
        </w:rPr>
        <w:t>Quỹ</w:t>
      </w:r>
      <w:proofErr w:type="spellEnd"/>
      <w:r w:rsidRPr="004176CB">
        <w:rPr>
          <w:lang w:val="fr-FR"/>
        </w:rPr>
        <w:t xml:space="preserve"> </w:t>
      </w:r>
      <w:proofErr w:type="spellStart"/>
      <w:r w:rsidRPr="004176CB">
        <w:rPr>
          <w:lang w:val="fr-FR"/>
        </w:rPr>
        <w:t>không</w:t>
      </w:r>
      <w:proofErr w:type="spellEnd"/>
      <w:r w:rsidRPr="004176CB">
        <w:rPr>
          <w:lang w:val="fr-FR"/>
        </w:rPr>
        <w:t xml:space="preserve"> </w:t>
      </w:r>
      <w:proofErr w:type="spellStart"/>
      <w:r w:rsidRPr="004176CB">
        <w:rPr>
          <w:lang w:val="fr-FR"/>
        </w:rPr>
        <w:t>thay</w:t>
      </w:r>
      <w:proofErr w:type="spellEnd"/>
      <w:r w:rsidRPr="004176CB">
        <w:rPr>
          <w:lang w:val="fr-FR"/>
        </w:rPr>
        <w:t xml:space="preserve"> </w:t>
      </w:r>
      <w:proofErr w:type="spellStart"/>
      <w:r w:rsidRPr="004176CB">
        <w:rPr>
          <w:lang w:val="fr-FR"/>
        </w:rPr>
        <w:t>đổi</w:t>
      </w:r>
      <w:proofErr w:type="spellEnd"/>
      <w:r w:rsidRPr="004176CB">
        <w:rPr>
          <w:lang w:val="fr-FR"/>
        </w:rPr>
        <w:t xml:space="preserve"> </w:t>
      </w:r>
      <w:proofErr w:type="spellStart"/>
      <w:r w:rsidRPr="004176CB">
        <w:rPr>
          <w:lang w:val="fr-FR"/>
        </w:rPr>
        <w:t>Ngân</w:t>
      </w:r>
      <w:proofErr w:type="spellEnd"/>
      <w:r w:rsidRPr="004176CB">
        <w:rPr>
          <w:lang w:val="fr-FR"/>
        </w:rPr>
        <w:t xml:space="preserve"> </w:t>
      </w:r>
      <w:proofErr w:type="spellStart"/>
      <w:r w:rsidRPr="004176CB">
        <w:rPr>
          <w:lang w:val="fr-FR"/>
        </w:rPr>
        <w:t>hàng</w:t>
      </w:r>
      <w:proofErr w:type="spellEnd"/>
      <w:r w:rsidRPr="004176CB">
        <w:rPr>
          <w:lang w:val="fr-FR"/>
        </w:rPr>
        <w:t xml:space="preserve"> </w:t>
      </w:r>
      <w:proofErr w:type="spellStart"/>
      <w:r w:rsidRPr="004176CB">
        <w:rPr>
          <w:lang w:val="fr-FR"/>
        </w:rPr>
        <w:t>giám</w:t>
      </w:r>
      <w:proofErr w:type="spellEnd"/>
      <w:r w:rsidRPr="004176CB">
        <w:rPr>
          <w:lang w:val="fr-FR"/>
        </w:rPr>
        <w:t xml:space="preserve"> </w:t>
      </w:r>
      <w:proofErr w:type="spellStart"/>
      <w:r w:rsidRPr="004176CB">
        <w:rPr>
          <w:lang w:val="fr-FR"/>
        </w:rPr>
        <w:t>sát</w:t>
      </w:r>
      <w:proofErr w:type="spellEnd"/>
      <w:r w:rsidRPr="004176CB">
        <w:rPr>
          <w:lang w:val="fr-FR"/>
        </w:rPr>
        <w:t>.</w:t>
      </w:r>
    </w:p>
    <w:p w14:paraId="5BB7F37C" w14:textId="77777777" w:rsidR="004176CB" w:rsidRPr="004176CB" w:rsidRDefault="004176CB" w:rsidP="004176CB">
      <w:pPr>
        <w:spacing w:line="276" w:lineRule="auto"/>
        <w:jc w:val="both"/>
        <w:rPr>
          <w:lang w:val="fr-FR"/>
        </w:rPr>
      </w:pPr>
      <w:r w:rsidRPr="004176CB">
        <w:rPr>
          <w:lang w:val="fr-FR"/>
        </w:rPr>
        <w:t xml:space="preserve">b) </w:t>
      </w:r>
      <w:proofErr w:type="spellStart"/>
      <w:r w:rsidRPr="004176CB">
        <w:rPr>
          <w:lang w:val="fr-FR"/>
        </w:rPr>
        <w:t>Việc</w:t>
      </w:r>
      <w:proofErr w:type="spellEnd"/>
      <w:r w:rsidRPr="004176CB">
        <w:rPr>
          <w:lang w:val="fr-FR"/>
        </w:rPr>
        <w:t xml:space="preserve"> </w:t>
      </w:r>
      <w:proofErr w:type="spellStart"/>
      <w:r w:rsidRPr="004176CB">
        <w:rPr>
          <w:lang w:val="fr-FR"/>
        </w:rPr>
        <w:t>lưu</w:t>
      </w:r>
      <w:proofErr w:type="spellEnd"/>
      <w:r w:rsidRPr="004176CB">
        <w:rPr>
          <w:lang w:val="fr-FR"/>
        </w:rPr>
        <w:t xml:space="preserve"> </w:t>
      </w:r>
      <w:proofErr w:type="spellStart"/>
      <w:r w:rsidRPr="004176CB">
        <w:rPr>
          <w:lang w:val="fr-FR"/>
        </w:rPr>
        <w:t>ký</w:t>
      </w:r>
      <w:proofErr w:type="spellEnd"/>
      <w:r w:rsidRPr="004176CB">
        <w:rPr>
          <w:lang w:val="fr-FR"/>
        </w:rPr>
        <w:t xml:space="preserve"> </w:t>
      </w:r>
      <w:proofErr w:type="spellStart"/>
      <w:r w:rsidRPr="004176CB">
        <w:rPr>
          <w:lang w:val="fr-FR"/>
        </w:rPr>
        <w:t>tài</w:t>
      </w:r>
      <w:proofErr w:type="spellEnd"/>
      <w:r w:rsidRPr="004176CB">
        <w:rPr>
          <w:lang w:val="fr-FR"/>
        </w:rPr>
        <w:t xml:space="preserve"> </w:t>
      </w:r>
      <w:proofErr w:type="spellStart"/>
      <w:r w:rsidRPr="004176CB">
        <w:rPr>
          <w:lang w:val="fr-FR"/>
        </w:rPr>
        <w:t>sản</w:t>
      </w:r>
      <w:proofErr w:type="spellEnd"/>
      <w:r w:rsidRPr="004176CB">
        <w:rPr>
          <w:lang w:val="fr-FR"/>
        </w:rPr>
        <w:t xml:space="preserve"> </w:t>
      </w:r>
      <w:proofErr w:type="spellStart"/>
      <w:r w:rsidRPr="004176CB">
        <w:rPr>
          <w:lang w:val="fr-FR"/>
        </w:rPr>
        <w:t>của</w:t>
      </w:r>
      <w:proofErr w:type="spellEnd"/>
      <w:r w:rsidRPr="004176CB">
        <w:rPr>
          <w:lang w:val="fr-FR"/>
        </w:rPr>
        <w:t xml:space="preserve"> </w:t>
      </w:r>
      <w:proofErr w:type="spellStart"/>
      <w:proofErr w:type="gramStart"/>
      <w:r w:rsidRPr="004176CB">
        <w:rPr>
          <w:lang w:val="fr-FR"/>
        </w:rPr>
        <w:t>quỹ</w:t>
      </w:r>
      <w:proofErr w:type="spellEnd"/>
      <w:r w:rsidRPr="004176CB">
        <w:rPr>
          <w:lang w:val="fr-FR"/>
        </w:rPr>
        <w:t>:</w:t>
      </w:r>
      <w:proofErr w:type="gramEnd"/>
      <w:r w:rsidRPr="004176CB">
        <w:rPr>
          <w:lang w:val="fr-FR"/>
        </w:rPr>
        <w:t xml:space="preserve"> </w:t>
      </w:r>
      <w:proofErr w:type="spellStart"/>
      <w:r w:rsidRPr="004176CB">
        <w:rPr>
          <w:lang w:val="fr-FR"/>
        </w:rPr>
        <w:t>từ</w:t>
      </w:r>
      <w:proofErr w:type="spellEnd"/>
      <w:r w:rsidRPr="004176CB">
        <w:rPr>
          <w:lang w:val="fr-FR"/>
        </w:rPr>
        <w:t xml:space="preserve"> </w:t>
      </w:r>
      <w:proofErr w:type="spellStart"/>
      <w:r w:rsidRPr="004176CB">
        <w:rPr>
          <w:lang w:val="fr-FR"/>
        </w:rPr>
        <w:t>ngày</w:t>
      </w:r>
      <w:proofErr w:type="spellEnd"/>
      <w:r w:rsidRPr="004176CB">
        <w:rPr>
          <w:lang w:val="fr-FR"/>
        </w:rPr>
        <w:t xml:space="preserve"> 01 </w:t>
      </w:r>
      <w:proofErr w:type="spellStart"/>
      <w:r w:rsidRPr="004176CB">
        <w:rPr>
          <w:lang w:val="fr-FR"/>
        </w:rPr>
        <w:t>tháng</w:t>
      </w:r>
      <w:proofErr w:type="spellEnd"/>
      <w:r w:rsidRPr="004176CB">
        <w:rPr>
          <w:lang w:val="fr-FR"/>
        </w:rPr>
        <w:t xml:space="preserve"> 01 </w:t>
      </w:r>
      <w:proofErr w:type="spellStart"/>
      <w:r w:rsidRPr="004176CB">
        <w:rPr>
          <w:lang w:val="fr-FR"/>
        </w:rPr>
        <w:t>năm</w:t>
      </w:r>
      <w:proofErr w:type="spellEnd"/>
      <w:r w:rsidRPr="004176CB">
        <w:rPr>
          <w:lang w:val="fr-FR"/>
        </w:rPr>
        <w:t xml:space="preserve"> 2023 </w:t>
      </w:r>
      <w:proofErr w:type="spellStart"/>
      <w:r w:rsidRPr="004176CB">
        <w:rPr>
          <w:lang w:val="fr-FR"/>
        </w:rPr>
        <w:t>đến</w:t>
      </w:r>
      <w:proofErr w:type="spellEnd"/>
      <w:r w:rsidRPr="004176CB">
        <w:rPr>
          <w:lang w:val="fr-FR"/>
        </w:rPr>
        <w:t xml:space="preserve"> </w:t>
      </w:r>
      <w:proofErr w:type="spellStart"/>
      <w:r w:rsidRPr="004176CB">
        <w:rPr>
          <w:lang w:val="fr-FR"/>
        </w:rPr>
        <w:t>ngày</w:t>
      </w:r>
      <w:proofErr w:type="spellEnd"/>
      <w:r w:rsidRPr="004176CB">
        <w:rPr>
          <w:lang w:val="fr-FR"/>
        </w:rPr>
        <w:t xml:space="preserve"> 31 </w:t>
      </w:r>
      <w:proofErr w:type="spellStart"/>
      <w:r w:rsidRPr="004176CB">
        <w:rPr>
          <w:lang w:val="fr-FR"/>
        </w:rPr>
        <w:t>tháng</w:t>
      </w:r>
      <w:proofErr w:type="spellEnd"/>
      <w:r w:rsidRPr="004176CB">
        <w:rPr>
          <w:lang w:val="fr-FR"/>
        </w:rPr>
        <w:t xml:space="preserve"> 12 </w:t>
      </w:r>
      <w:proofErr w:type="spellStart"/>
      <w:r w:rsidRPr="004176CB">
        <w:rPr>
          <w:lang w:val="fr-FR"/>
        </w:rPr>
        <w:t>năm</w:t>
      </w:r>
      <w:proofErr w:type="spellEnd"/>
      <w:r w:rsidRPr="004176CB">
        <w:rPr>
          <w:lang w:val="fr-FR"/>
        </w:rPr>
        <w:t xml:space="preserve"> 2023, </w:t>
      </w:r>
      <w:proofErr w:type="spellStart"/>
      <w:r w:rsidRPr="004176CB">
        <w:rPr>
          <w:lang w:val="fr-FR"/>
        </w:rPr>
        <w:t>Quỹ</w:t>
      </w:r>
      <w:proofErr w:type="spellEnd"/>
      <w:r w:rsidRPr="004176CB">
        <w:rPr>
          <w:lang w:val="fr-FR"/>
        </w:rPr>
        <w:t xml:space="preserve"> </w:t>
      </w:r>
      <w:proofErr w:type="spellStart"/>
      <w:r w:rsidRPr="004176CB">
        <w:rPr>
          <w:lang w:val="fr-FR"/>
        </w:rPr>
        <w:t>đã</w:t>
      </w:r>
      <w:proofErr w:type="spellEnd"/>
      <w:r w:rsidRPr="004176CB">
        <w:rPr>
          <w:lang w:val="fr-FR"/>
        </w:rPr>
        <w:t xml:space="preserve"> </w:t>
      </w:r>
      <w:proofErr w:type="spellStart"/>
      <w:r w:rsidRPr="004176CB">
        <w:rPr>
          <w:lang w:val="fr-FR"/>
        </w:rPr>
        <w:t>thực</w:t>
      </w:r>
      <w:proofErr w:type="spellEnd"/>
      <w:r w:rsidRPr="004176CB">
        <w:rPr>
          <w:lang w:val="fr-FR"/>
        </w:rPr>
        <w:t xml:space="preserve"> </w:t>
      </w:r>
      <w:proofErr w:type="spellStart"/>
      <w:r w:rsidRPr="004176CB">
        <w:rPr>
          <w:lang w:val="fr-FR"/>
        </w:rPr>
        <w:t>hiện</w:t>
      </w:r>
      <w:proofErr w:type="spellEnd"/>
      <w:r w:rsidRPr="004176CB">
        <w:rPr>
          <w:lang w:val="fr-FR"/>
        </w:rPr>
        <w:t xml:space="preserve"> </w:t>
      </w:r>
      <w:proofErr w:type="spellStart"/>
      <w:r w:rsidRPr="004176CB">
        <w:rPr>
          <w:lang w:val="fr-FR"/>
        </w:rPr>
        <w:t>lưu</w:t>
      </w:r>
      <w:proofErr w:type="spellEnd"/>
      <w:r w:rsidRPr="004176CB">
        <w:rPr>
          <w:lang w:val="fr-FR"/>
        </w:rPr>
        <w:t xml:space="preserve"> </w:t>
      </w:r>
      <w:proofErr w:type="spellStart"/>
      <w:r w:rsidRPr="004176CB">
        <w:rPr>
          <w:lang w:val="fr-FR"/>
        </w:rPr>
        <w:t>ký</w:t>
      </w:r>
      <w:proofErr w:type="spellEnd"/>
      <w:r w:rsidRPr="004176CB">
        <w:rPr>
          <w:lang w:val="fr-FR"/>
        </w:rPr>
        <w:t xml:space="preserve"> </w:t>
      </w:r>
      <w:proofErr w:type="spellStart"/>
      <w:r w:rsidRPr="004176CB">
        <w:rPr>
          <w:lang w:val="fr-FR"/>
        </w:rPr>
        <w:t>tài</w:t>
      </w:r>
      <w:proofErr w:type="spellEnd"/>
      <w:r w:rsidRPr="004176CB">
        <w:rPr>
          <w:lang w:val="fr-FR"/>
        </w:rPr>
        <w:t xml:space="preserve"> </w:t>
      </w:r>
      <w:proofErr w:type="spellStart"/>
      <w:r w:rsidRPr="004176CB">
        <w:rPr>
          <w:lang w:val="fr-FR"/>
        </w:rPr>
        <w:t>sản</w:t>
      </w:r>
      <w:proofErr w:type="spellEnd"/>
      <w:r w:rsidRPr="004176CB">
        <w:rPr>
          <w:lang w:val="fr-FR"/>
        </w:rPr>
        <w:t xml:space="preserve"> </w:t>
      </w:r>
      <w:proofErr w:type="spellStart"/>
      <w:r w:rsidRPr="004176CB">
        <w:rPr>
          <w:lang w:val="fr-FR"/>
        </w:rPr>
        <w:t>theo</w:t>
      </w:r>
      <w:proofErr w:type="spellEnd"/>
      <w:r w:rsidRPr="004176CB">
        <w:rPr>
          <w:lang w:val="fr-FR"/>
        </w:rPr>
        <w:t xml:space="preserve"> </w:t>
      </w:r>
      <w:proofErr w:type="spellStart"/>
      <w:r w:rsidRPr="004176CB">
        <w:rPr>
          <w:lang w:val="fr-FR"/>
        </w:rPr>
        <w:t>các</w:t>
      </w:r>
      <w:proofErr w:type="spellEnd"/>
      <w:r w:rsidRPr="004176CB">
        <w:rPr>
          <w:lang w:val="fr-FR"/>
        </w:rPr>
        <w:t xml:space="preserve"> </w:t>
      </w:r>
      <w:proofErr w:type="spellStart"/>
      <w:r w:rsidRPr="004176CB">
        <w:rPr>
          <w:lang w:val="fr-FR"/>
        </w:rPr>
        <w:t>quy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pháp</w:t>
      </w:r>
      <w:proofErr w:type="spellEnd"/>
      <w:r w:rsidRPr="004176CB">
        <w:rPr>
          <w:lang w:val="fr-FR"/>
        </w:rPr>
        <w:t xml:space="preserve"> </w:t>
      </w:r>
      <w:proofErr w:type="spellStart"/>
      <w:r w:rsidRPr="004176CB">
        <w:rPr>
          <w:lang w:val="fr-FR"/>
        </w:rPr>
        <w:t>luật</w:t>
      </w:r>
      <w:proofErr w:type="spellEnd"/>
      <w:r w:rsidRPr="004176CB">
        <w:rPr>
          <w:lang w:val="fr-FR"/>
        </w:rPr>
        <w:t xml:space="preserve"> </w:t>
      </w:r>
      <w:proofErr w:type="spellStart"/>
      <w:r w:rsidRPr="004176CB">
        <w:rPr>
          <w:lang w:val="fr-FR"/>
        </w:rPr>
        <w:t>hiện</w:t>
      </w:r>
      <w:proofErr w:type="spellEnd"/>
      <w:r w:rsidRPr="004176CB">
        <w:rPr>
          <w:lang w:val="fr-FR"/>
        </w:rPr>
        <w:t xml:space="preserve"> </w:t>
      </w:r>
      <w:proofErr w:type="spellStart"/>
      <w:r w:rsidRPr="004176CB">
        <w:rPr>
          <w:lang w:val="fr-FR"/>
        </w:rPr>
        <w:t>hành</w:t>
      </w:r>
      <w:proofErr w:type="spellEnd"/>
      <w:r w:rsidRPr="004176CB">
        <w:rPr>
          <w:lang w:val="fr-FR"/>
        </w:rPr>
        <w:t>.</w:t>
      </w:r>
    </w:p>
    <w:p w14:paraId="3B04CC84" w14:textId="77777777" w:rsidR="004176CB" w:rsidRPr="004176CB" w:rsidRDefault="004176CB" w:rsidP="004176CB">
      <w:pPr>
        <w:spacing w:line="276" w:lineRule="auto"/>
        <w:jc w:val="both"/>
        <w:rPr>
          <w:lang w:val="fr-FR"/>
        </w:rPr>
      </w:pPr>
      <w:r w:rsidRPr="004176CB">
        <w:rPr>
          <w:lang w:val="fr-FR"/>
        </w:rPr>
        <w:t xml:space="preserve">c) </w:t>
      </w:r>
      <w:proofErr w:type="spellStart"/>
      <w:r w:rsidRPr="004176CB">
        <w:rPr>
          <w:lang w:val="fr-FR"/>
        </w:rPr>
        <w:t>Việc</w:t>
      </w:r>
      <w:proofErr w:type="spellEnd"/>
      <w:r w:rsidRPr="004176CB">
        <w:rPr>
          <w:lang w:val="fr-FR"/>
        </w:rPr>
        <w:t xml:space="preserve"> </w:t>
      </w:r>
      <w:proofErr w:type="spellStart"/>
      <w:r w:rsidRPr="004176CB">
        <w:rPr>
          <w:lang w:val="fr-FR"/>
        </w:rPr>
        <w:t>đầu</w:t>
      </w:r>
      <w:proofErr w:type="spellEnd"/>
      <w:r w:rsidRPr="004176CB">
        <w:rPr>
          <w:lang w:val="fr-FR"/>
        </w:rPr>
        <w:t xml:space="preserve"> </w:t>
      </w:r>
      <w:proofErr w:type="spellStart"/>
      <w:r w:rsidRPr="004176CB">
        <w:rPr>
          <w:lang w:val="fr-FR"/>
        </w:rPr>
        <w:t>tư</w:t>
      </w:r>
      <w:proofErr w:type="spellEnd"/>
      <w:r w:rsidRPr="004176CB">
        <w:rPr>
          <w:lang w:val="fr-FR"/>
        </w:rPr>
        <w:t xml:space="preserve"> </w:t>
      </w:r>
      <w:proofErr w:type="spellStart"/>
      <w:r w:rsidRPr="004176CB">
        <w:rPr>
          <w:lang w:val="fr-FR"/>
        </w:rPr>
        <w:t>tuân</w:t>
      </w:r>
      <w:proofErr w:type="spellEnd"/>
      <w:r w:rsidRPr="004176CB">
        <w:rPr>
          <w:lang w:val="fr-FR"/>
        </w:rPr>
        <w:t xml:space="preserve"> </w:t>
      </w:r>
      <w:proofErr w:type="spellStart"/>
      <w:r w:rsidRPr="004176CB">
        <w:rPr>
          <w:lang w:val="fr-FR"/>
        </w:rPr>
        <w:t>thủ</w:t>
      </w:r>
      <w:proofErr w:type="spellEnd"/>
      <w:r w:rsidRPr="004176CB">
        <w:rPr>
          <w:lang w:val="fr-FR"/>
        </w:rPr>
        <w:t xml:space="preserve"> </w:t>
      </w:r>
      <w:proofErr w:type="spellStart"/>
      <w:r w:rsidRPr="004176CB">
        <w:rPr>
          <w:lang w:val="fr-FR"/>
        </w:rPr>
        <w:t>các</w:t>
      </w:r>
      <w:proofErr w:type="spellEnd"/>
      <w:r w:rsidRPr="004176CB">
        <w:rPr>
          <w:lang w:val="fr-FR"/>
        </w:rPr>
        <w:t xml:space="preserve"> </w:t>
      </w:r>
      <w:proofErr w:type="spellStart"/>
      <w:r w:rsidRPr="004176CB">
        <w:rPr>
          <w:lang w:val="fr-FR"/>
        </w:rPr>
        <w:t>hạn</w:t>
      </w:r>
      <w:proofErr w:type="spellEnd"/>
      <w:r w:rsidRPr="004176CB">
        <w:rPr>
          <w:lang w:val="fr-FR"/>
        </w:rPr>
        <w:t xml:space="preserve"> </w:t>
      </w:r>
      <w:proofErr w:type="spellStart"/>
      <w:r w:rsidRPr="004176CB">
        <w:rPr>
          <w:lang w:val="fr-FR"/>
        </w:rPr>
        <w:t>chế</w:t>
      </w:r>
      <w:proofErr w:type="spellEnd"/>
      <w:r w:rsidRPr="004176CB">
        <w:rPr>
          <w:lang w:val="fr-FR"/>
        </w:rPr>
        <w:t xml:space="preserve"> </w:t>
      </w:r>
      <w:proofErr w:type="spellStart"/>
      <w:r w:rsidRPr="004176CB">
        <w:rPr>
          <w:lang w:val="fr-FR"/>
        </w:rPr>
        <w:t>về</w:t>
      </w:r>
      <w:proofErr w:type="spellEnd"/>
      <w:r w:rsidRPr="004176CB">
        <w:rPr>
          <w:lang w:val="fr-FR"/>
        </w:rPr>
        <w:t xml:space="preserve"> </w:t>
      </w:r>
      <w:proofErr w:type="spellStart"/>
      <w:r w:rsidRPr="004176CB">
        <w:rPr>
          <w:lang w:val="fr-FR"/>
        </w:rPr>
        <w:t>đầu</w:t>
      </w:r>
      <w:proofErr w:type="spellEnd"/>
      <w:r w:rsidRPr="004176CB">
        <w:rPr>
          <w:lang w:val="fr-FR"/>
        </w:rPr>
        <w:t xml:space="preserve"> </w:t>
      </w:r>
      <w:proofErr w:type="spellStart"/>
      <w:r w:rsidRPr="004176CB">
        <w:rPr>
          <w:lang w:val="fr-FR"/>
        </w:rPr>
        <w:t>tư</w:t>
      </w:r>
      <w:proofErr w:type="spellEnd"/>
      <w:r w:rsidRPr="004176CB">
        <w:rPr>
          <w:lang w:val="fr-FR"/>
        </w:rPr>
        <w:t xml:space="preserve">, </w:t>
      </w:r>
      <w:proofErr w:type="spellStart"/>
      <w:r w:rsidRPr="004176CB">
        <w:rPr>
          <w:lang w:val="fr-FR"/>
        </w:rPr>
        <w:t>hạn</w:t>
      </w:r>
      <w:proofErr w:type="spellEnd"/>
      <w:r w:rsidRPr="004176CB">
        <w:rPr>
          <w:lang w:val="fr-FR"/>
        </w:rPr>
        <w:t xml:space="preserve"> </w:t>
      </w:r>
      <w:proofErr w:type="spellStart"/>
      <w:r w:rsidRPr="004176CB">
        <w:rPr>
          <w:lang w:val="fr-FR"/>
        </w:rPr>
        <w:t>chế</w:t>
      </w:r>
      <w:proofErr w:type="spellEnd"/>
      <w:r w:rsidRPr="004176CB">
        <w:rPr>
          <w:lang w:val="fr-FR"/>
        </w:rPr>
        <w:t xml:space="preserve"> </w:t>
      </w:r>
      <w:proofErr w:type="spellStart"/>
      <w:r w:rsidRPr="004176CB">
        <w:rPr>
          <w:lang w:val="fr-FR"/>
        </w:rPr>
        <w:t>về</w:t>
      </w:r>
      <w:proofErr w:type="spellEnd"/>
      <w:r w:rsidRPr="004176CB">
        <w:rPr>
          <w:lang w:val="fr-FR"/>
        </w:rPr>
        <w:t xml:space="preserve"> </w:t>
      </w:r>
      <w:proofErr w:type="spellStart"/>
      <w:r w:rsidRPr="004176CB">
        <w:rPr>
          <w:lang w:val="fr-FR"/>
        </w:rPr>
        <w:t>vay</w:t>
      </w:r>
      <w:proofErr w:type="spellEnd"/>
      <w:r w:rsidRPr="004176CB">
        <w:rPr>
          <w:lang w:val="fr-FR"/>
        </w:rPr>
        <w:t xml:space="preserve"> </w:t>
      </w:r>
      <w:proofErr w:type="spellStart"/>
      <w:r w:rsidRPr="004176CB">
        <w:rPr>
          <w:lang w:val="fr-FR"/>
        </w:rPr>
        <w:t>theo</w:t>
      </w:r>
      <w:proofErr w:type="spellEnd"/>
      <w:r w:rsidRPr="004176CB">
        <w:rPr>
          <w:lang w:val="fr-FR"/>
        </w:rPr>
        <w:t xml:space="preserve"> </w:t>
      </w:r>
      <w:proofErr w:type="spellStart"/>
      <w:r w:rsidRPr="004176CB">
        <w:rPr>
          <w:lang w:val="fr-FR"/>
        </w:rPr>
        <w:t>quy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pháp</w:t>
      </w:r>
      <w:proofErr w:type="spellEnd"/>
      <w:r w:rsidRPr="004176CB">
        <w:rPr>
          <w:lang w:val="fr-FR"/>
        </w:rPr>
        <w:t xml:space="preserve"> </w:t>
      </w:r>
      <w:proofErr w:type="spellStart"/>
      <w:r w:rsidRPr="004176CB">
        <w:rPr>
          <w:lang w:val="fr-FR"/>
        </w:rPr>
        <w:t>luật</w:t>
      </w:r>
      <w:proofErr w:type="spellEnd"/>
      <w:r w:rsidRPr="004176CB">
        <w:rPr>
          <w:lang w:val="fr-FR"/>
        </w:rPr>
        <w:t xml:space="preserve">, </w:t>
      </w:r>
      <w:proofErr w:type="spellStart"/>
      <w:r w:rsidRPr="004176CB">
        <w:rPr>
          <w:lang w:val="fr-FR"/>
        </w:rPr>
        <w:t>quy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tại</w:t>
      </w:r>
      <w:proofErr w:type="spellEnd"/>
      <w:r w:rsidRPr="004176CB">
        <w:rPr>
          <w:lang w:val="fr-FR"/>
        </w:rPr>
        <w:t xml:space="preserve"> </w:t>
      </w:r>
      <w:proofErr w:type="spellStart"/>
      <w:r w:rsidRPr="004176CB">
        <w:rPr>
          <w:lang w:val="fr-FR"/>
        </w:rPr>
        <w:t>Điều</w:t>
      </w:r>
      <w:proofErr w:type="spellEnd"/>
      <w:r w:rsidRPr="004176CB">
        <w:rPr>
          <w:lang w:val="fr-FR"/>
        </w:rPr>
        <w:t xml:space="preserve"> </w:t>
      </w:r>
      <w:proofErr w:type="spellStart"/>
      <w:r w:rsidRPr="004176CB">
        <w:rPr>
          <w:lang w:val="fr-FR"/>
        </w:rPr>
        <w:t>lệ</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Bản</w:t>
      </w:r>
      <w:proofErr w:type="spellEnd"/>
      <w:r w:rsidRPr="004176CB">
        <w:rPr>
          <w:lang w:val="fr-FR"/>
        </w:rPr>
        <w:t xml:space="preserve"> </w:t>
      </w:r>
      <w:proofErr w:type="spellStart"/>
      <w:r w:rsidRPr="004176CB">
        <w:rPr>
          <w:lang w:val="fr-FR"/>
        </w:rPr>
        <w:t>cáo</w:t>
      </w:r>
      <w:proofErr w:type="spellEnd"/>
      <w:r w:rsidRPr="004176CB">
        <w:rPr>
          <w:lang w:val="fr-FR"/>
        </w:rPr>
        <w:t xml:space="preserve"> </w:t>
      </w:r>
      <w:proofErr w:type="spellStart"/>
      <w:proofErr w:type="gramStart"/>
      <w:r w:rsidRPr="004176CB">
        <w:rPr>
          <w:lang w:val="fr-FR"/>
        </w:rPr>
        <w:t>bạch</w:t>
      </w:r>
      <w:proofErr w:type="spellEnd"/>
      <w:r w:rsidRPr="004176CB">
        <w:rPr>
          <w:lang w:val="fr-FR"/>
        </w:rPr>
        <w:t>;</w:t>
      </w:r>
      <w:proofErr w:type="gramEnd"/>
    </w:p>
    <w:p w14:paraId="4226B015" w14:textId="77777777" w:rsidR="004176CB" w:rsidRPr="004176CB" w:rsidRDefault="004176CB" w:rsidP="004176CB">
      <w:pPr>
        <w:spacing w:line="276" w:lineRule="auto"/>
        <w:jc w:val="both"/>
        <w:rPr>
          <w:lang w:val="fr-FR"/>
        </w:rPr>
      </w:pPr>
      <w:proofErr w:type="spellStart"/>
      <w:r w:rsidRPr="004176CB">
        <w:rPr>
          <w:lang w:val="fr-FR"/>
        </w:rPr>
        <w:t>Trong</w:t>
      </w:r>
      <w:proofErr w:type="spellEnd"/>
      <w:r w:rsidRPr="004176CB">
        <w:rPr>
          <w:lang w:val="fr-FR"/>
        </w:rPr>
        <w:t xml:space="preserve"> </w:t>
      </w:r>
      <w:proofErr w:type="spellStart"/>
      <w:r w:rsidRPr="004176CB">
        <w:rPr>
          <w:lang w:val="fr-FR"/>
        </w:rPr>
        <w:t>quá</w:t>
      </w:r>
      <w:proofErr w:type="spellEnd"/>
      <w:r w:rsidRPr="004176CB">
        <w:rPr>
          <w:lang w:val="fr-FR"/>
        </w:rPr>
        <w:t xml:space="preserve"> </w:t>
      </w:r>
      <w:proofErr w:type="spellStart"/>
      <w:r w:rsidRPr="004176CB">
        <w:rPr>
          <w:lang w:val="fr-FR"/>
        </w:rPr>
        <w:t>trình</w:t>
      </w:r>
      <w:proofErr w:type="spellEnd"/>
      <w:r w:rsidRPr="004176CB">
        <w:rPr>
          <w:lang w:val="fr-FR"/>
        </w:rPr>
        <w:t xml:space="preserve"> </w:t>
      </w:r>
      <w:proofErr w:type="spellStart"/>
      <w:r w:rsidRPr="004176CB">
        <w:rPr>
          <w:lang w:val="fr-FR"/>
        </w:rPr>
        <w:t>giám</w:t>
      </w:r>
      <w:proofErr w:type="spellEnd"/>
      <w:r w:rsidRPr="004176CB">
        <w:rPr>
          <w:lang w:val="fr-FR"/>
        </w:rPr>
        <w:t xml:space="preserve"> </w:t>
      </w:r>
      <w:proofErr w:type="spellStart"/>
      <w:r w:rsidRPr="004176CB">
        <w:rPr>
          <w:lang w:val="fr-FR"/>
        </w:rPr>
        <w:t>sát</w:t>
      </w:r>
      <w:proofErr w:type="spellEnd"/>
      <w:r w:rsidRPr="004176CB">
        <w:rPr>
          <w:lang w:val="fr-FR"/>
        </w:rPr>
        <w:t xml:space="preserve"> </w:t>
      </w:r>
      <w:proofErr w:type="spellStart"/>
      <w:r w:rsidRPr="004176CB">
        <w:rPr>
          <w:lang w:val="fr-FR"/>
        </w:rPr>
        <w:t>hoạt</w:t>
      </w:r>
      <w:proofErr w:type="spellEnd"/>
      <w:r w:rsidRPr="004176CB">
        <w:rPr>
          <w:lang w:val="fr-FR"/>
        </w:rPr>
        <w:t xml:space="preserve"> </w:t>
      </w:r>
      <w:proofErr w:type="spellStart"/>
      <w:r w:rsidRPr="004176CB">
        <w:rPr>
          <w:lang w:val="fr-FR"/>
        </w:rPr>
        <w:t>động</w:t>
      </w:r>
      <w:proofErr w:type="spellEnd"/>
      <w:r w:rsidRPr="004176CB">
        <w:rPr>
          <w:lang w:val="fr-FR"/>
        </w:rPr>
        <w:t xml:space="preserve"> </w:t>
      </w:r>
      <w:proofErr w:type="spellStart"/>
      <w:r w:rsidRPr="004176CB">
        <w:rPr>
          <w:lang w:val="fr-FR"/>
        </w:rPr>
        <w:t>đầu</w:t>
      </w:r>
      <w:proofErr w:type="spellEnd"/>
      <w:r w:rsidRPr="004176CB">
        <w:rPr>
          <w:lang w:val="fr-FR"/>
        </w:rPr>
        <w:t xml:space="preserve"> </w:t>
      </w:r>
      <w:proofErr w:type="spellStart"/>
      <w:r w:rsidRPr="004176CB">
        <w:rPr>
          <w:lang w:val="fr-FR"/>
        </w:rPr>
        <w:t>tư</w:t>
      </w:r>
      <w:proofErr w:type="spellEnd"/>
      <w:r w:rsidRPr="004176CB">
        <w:rPr>
          <w:lang w:val="fr-FR"/>
        </w:rPr>
        <w:t xml:space="preserve"> </w:t>
      </w:r>
      <w:proofErr w:type="spellStart"/>
      <w:r w:rsidRPr="004176CB">
        <w:rPr>
          <w:lang w:val="fr-FR"/>
        </w:rPr>
        <w:t>và</w:t>
      </w:r>
      <w:proofErr w:type="spellEnd"/>
      <w:r w:rsidRPr="004176CB">
        <w:rPr>
          <w:lang w:val="fr-FR"/>
        </w:rPr>
        <w:t xml:space="preserve"> </w:t>
      </w:r>
      <w:proofErr w:type="spellStart"/>
      <w:r w:rsidRPr="004176CB">
        <w:rPr>
          <w:lang w:val="fr-FR"/>
        </w:rPr>
        <w:t>các</w:t>
      </w:r>
      <w:proofErr w:type="spellEnd"/>
      <w:r w:rsidRPr="004176CB">
        <w:rPr>
          <w:lang w:val="fr-FR"/>
        </w:rPr>
        <w:t xml:space="preserve"> </w:t>
      </w:r>
      <w:proofErr w:type="spellStart"/>
      <w:r w:rsidRPr="004176CB">
        <w:rPr>
          <w:lang w:val="fr-FR"/>
        </w:rPr>
        <w:t>giao</w:t>
      </w:r>
      <w:proofErr w:type="spellEnd"/>
      <w:r w:rsidRPr="004176CB">
        <w:rPr>
          <w:lang w:val="fr-FR"/>
        </w:rPr>
        <w:t xml:space="preserve"> </w:t>
      </w:r>
      <w:proofErr w:type="spellStart"/>
      <w:r w:rsidRPr="004176CB">
        <w:rPr>
          <w:lang w:val="fr-FR"/>
        </w:rPr>
        <w:t>dịch</w:t>
      </w:r>
      <w:proofErr w:type="spellEnd"/>
      <w:r w:rsidRPr="004176CB">
        <w:rPr>
          <w:lang w:val="fr-FR"/>
        </w:rPr>
        <w:t xml:space="preserve"> </w:t>
      </w:r>
      <w:proofErr w:type="spellStart"/>
      <w:r w:rsidRPr="004176CB">
        <w:rPr>
          <w:lang w:val="fr-FR"/>
        </w:rPr>
        <w:t>tài</w:t>
      </w:r>
      <w:proofErr w:type="spellEnd"/>
      <w:r w:rsidRPr="004176CB">
        <w:rPr>
          <w:lang w:val="fr-FR"/>
        </w:rPr>
        <w:t xml:space="preserve"> </w:t>
      </w:r>
      <w:proofErr w:type="spellStart"/>
      <w:r w:rsidRPr="004176CB">
        <w:rPr>
          <w:lang w:val="fr-FR"/>
        </w:rPr>
        <w:t>sản</w:t>
      </w:r>
      <w:proofErr w:type="spellEnd"/>
      <w:r w:rsidRPr="004176CB">
        <w:rPr>
          <w:lang w:val="fr-FR"/>
        </w:rPr>
        <w:t xml:space="preserve"> </w:t>
      </w:r>
      <w:proofErr w:type="spellStart"/>
      <w:r w:rsidRPr="004176CB">
        <w:rPr>
          <w:lang w:val="fr-FR"/>
        </w:rPr>
        <w:t>của</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cho</w:t>
      </w:r>
      <w:proofErr w:type="spellEnd"/>
      <w:r w:rsidRPr="004176CB">
        <w:rPr>
          <w:lang w:val="fr-FR"/>
        </w:rPr>
        <w:t xml:space="preserve"> </w:t>
      </w:r>
      <w:proofErr w:type="spellStart"/>
      <w:r w:rsidRPr="004176CB">
        <w:rPr>
          <w:lang w:val="fr-FR"/>
        </w:rPr>
        <w:t>giai</w:t>
      </w:r>
      <w:proofErr w:type="spellEnd"/>
      <w:r w:rsidRPr="004176CB">
        <w:rPr>
          <w:lang w:val="fr-FR"/>
        </w:rPr>
        <w:t xml:space="preserve"> </w:t>
      </w:r>
      <w:proofErr w:type="spellStart"/>
      <w:r w:rsidRPr="004176CB">
        <w:rPr>
          <w:lang w:val="fr-FR"/>
        </w:rPr>
        <w:t>đoạn</w:t>
      </w:r>
      <w:proofErr w:type="spellEnd"/>
      <w:r w:rsidRPr="004176CB">
        <w:rPr>
          <w:lang w:val="fr-FR"/>
        </w:rPr>
        <w:t xml:space="preserve"> </w:t>
      </w:r>
      <w:proofErr w:type="spellStart"/>
      <w:r w:rsidRPr="004176CB">
        <w:rPr>
          <w:lang w:val="fr-FR"/>
        </w:rPr>
        <w:t>từ</w:t>
      </w:r>
      <w:proofErr w:type="spellEnd"/>
      <w:r w:rsidRPr="004176CB">
        <w:rPr>
          <w:lang w:val="fr-FR"/>
        </w:rPr>
        <w:t xml:space="preserve"> </w:t>
      </w:r>
      <w:proofErr w:type="spellStart"/>
      <w:r w:rsidRPr="004176CB">
        <w:rPr>
          <w:lang w:val="fr-FR"/>
        </w:rPr>
        <w:t>ngày</w:t>
      </w:r>
      <w:proofErr w:type="spellEnd"/>
      <w:r w:rsidRPr="004176CB">
        <w:rPr>
          <w:lang w:val="fr-FR"/>
        </w:rPr>
        <w:t xml:space="preserve"> 01 </w:t>
      </w:r>
      <w:proofErr w:type="spellStart"/>
      <w:r w:rsidRPr="004176CB">
        <w:rPr>
          <w:lang w:val="fr-FR"/>
        </w:rPr>
        <w:t>tháng</w:t>
      </w:r>
      <w:proofErr w:type="spellEnd"/>
      <w:r w:rsidRPr="004176CB">
        <w:rPr>
          <w:lang w:val="fr-FR"/>
        </w:rPr>
        <w:t xml:space="preserve"> 01 </w:t>
      </w:r>
      <w:proofErr w:type="spellStart"/>
      <w:r w:rsidRPr="004176CB">
        <w:rPr>
          <w:lang w:val="fr-FR"/>
        </w:rPr>
        <w:t>năm</w:t>
      </w:r>
      <w:proofErr w:type="spellEnd"/>
      <w:r w:rsidRPr="004176CB">
        <w:rPr>
          <w:lang w:val="fr-FR"/>
        </w:rPr>
        <w:t xml:space="preserve"> 2023 </w:t>
      </w:r>
      <w:proofErr w:type="spellStart"/>
      <w:r w:rsidRPr="004176CB">
        <w:rPr>
          <w:lang w:val="fr-FR"/>
        </w:rPr>
        <w:t>đến</w:t>
      </w:r>
      <w:proofErr w:type="spellEnd"/>
      <w:r w:rsidRPr="004176CB">
        <w:rPr>
          <w:lang w:val="fr-FR"/>
        </w:rPr>
        <w:t xml:space="preserve"> </w:t>
      </w:r>
      <w:proofErr w:type="spellStart"/>
      <w:r w:rsidRPr="004176CB">
        <w:rPr>
          <w:lang w:val="fr-FR"/>
        </w:rPr>
        <w:t>ngày</w:t>
      </w:r>
      <w:proofErr w:type="spellEnd"/>
      <w:r w:rsidRPr="004176CB">
        <w:rPr>
          <w:lang w:val="fr-FR"/>
        </w:rPr>
        <w:t xml:space="preserve"> 31 </w:t>
      </w:r>
      <w:proofErr w:type="spellStart"/>
      <w:r w:rsidRPr="004176CB">
        <w:rPr>
          <w:lang w:val="fr-FR"/>
        </w:rPr>
        <w:t>tháng</w:t>
      </w:r>
      <w:proofErr w:type="spellEnd"/>
      <w:r w:rsidRPr="004176CB">
        <w:rPr>
          <w:lang w:val="fr-FR"/>
        </w:rPr>
        <w:t xml:space="preserve"> 12 </w:t>
      </w:r>
      <w:proofErr w:type="spellStart"/>
      <w:r w:rsidRPr="004176CB">
        <w:rPr>
          <w:lang w:val="fr-FR"/>
        </w:rPr>
        <w:t>năm</w:t>
      </w:r>
      <w:proofErr w:type="spellEnd"/>
      <w:r w:rsidRPr="004176CB">
        <w:rPr>
          <w:lang w:val="fr-FR"/>
        </w:rPr>
        <w:t xml:space="preserve"> 2023, </w:t>
      </w:r>
      <w:proofErr w:type="spellStart"/>
      <w:r w:rsidRPr="004176CB">
        <w:rPr>
          <w:lang w:val="fr-FR"/>
        </w:rPr>
        <w:t>Quỹ</w:t>
      </w:r>
      <w:proofErr w:type="spellEnd"/>
      <w:r w:rsidRPr="004176CB">
        <w:rPr>
          <w:lang w:val="fr-FR"/>
        </w:rPr>
        <w:t xml:space="preserve"> </w:t>
      </w:r>
      <w:proofErr w:type="spellStart"/>
      <w:r w:rsidRPr="004176CB">
        <w:rPr>
          <w:lang w:val="fr-FR"/>
        </w:rPr>
        <w:t>đã</w:t>
      </w:r>
      <w:proofErr w:type="spellEnd"/>
      <w:r w:rsidRPr="004176CB">
        <w:rPr>
          <w:lang w:val="fr-FR"/>
        </w:rPr>
        <w:t xml:space="preserve"> </w:t>
      </w:r>
      <w:proofErr w:type="spellStart"/>
      <w:r w:rsidRPr="004176CB">
        <w:rPr>
          <w:lang w:val="fr-FR"/>
        </w:rPr>
        <w:t>tuân</w:t>
      </w:r>
      <w:proofErr w:type="spellEnd"/>
      <w:r w:rsidRPr="004176CB">
        <w:rPr>
          <w:lang w:val="fr-FR"/>
        </w:rPr>
        <w:t xml:space="preserve"> </w:t>
      </w:r>
      <w:proofErr w:type="spellStart"/>
      <w:r w:rsidRPr="004176CB">
        <w:rPr>
          <w:lang w:val="fr-FR"/>
        </w:rPr>
        <w:t>thủ</w:t>
      </w:r>
      <w:proofErr w:type="spellEnd"/>
      <w:r w:rsidRPr="004176CB">
        <w:rPr>
          <w:lang w:val="fr-FR"/>
        </w:rPr>
        <w:t xml:space="preserve"> </w:t>
      </w:r>
      <w:proofErr w:type="spellStart"/>
      <w:r w:rsidRPr="004176CB">
        <w:rPr>
          <w:lang w:val="fr-FR"/>
        </w:rPr>
        <w:t>các</w:t>
      </w:r>
      <w:proofErr w:type="spellEnd"/>
      <w:r w:rsidRPr="004176CB">
        <w:rPr>
          <w:lang w:val="fr-FR"/>
        </w:rPr>
        <w:t xml:space="preserve"> </w:t>
      </w:r>
      <w:proofErr w:type="spellStart"/>
      <w:r w:rsidRPr="004176CB">
        <w:rPr>
          <w:lang w:val="fr-FR"/>
        </w:rPr>
        <w:t>giới</w:t>
      </w:r>
      <w:proofErr w:type="spellEnd"/>
      <w:r w:rsidRPr="004176CB">
        <w:rPr>
          <w:lang w:val="fr-FR"/>
        </w:rPr>
        <w:t xml:space="preserve"> </w:t>
      </w:r>
      <w:proofErr w:type="spellStart"/>
      <w:r w:rsidRPr="004176CB">
        <w:rPr>
          <w:lang w:val="fr-FR"/>
        </w:rPr>
        <w:t>hạn</w:t>
      </w:r>
      <w:proofErr w:type="spellEnd"/>
      <w:r w:rsidRPr="004176CB">
        <w:rPr>
          <w:lang w:val="fr-FR"/>
        </w:rPr>
        <w:t xml:space="preserve"> </w:t>
      </w:r>
      <w:proofErr w:type="spellStart"/>
      <w:r w:rsidRPr="004176CB">
        <w:rPr>
          <w:lang w:val="fr-FR"/>
        </w:rPr>
        <w:t>về</w:t>
      </w:r>
      <w:proofErr w:type="spellEnd"/>
      <w:r w:rsidRPr="004176CB">
        <w:rPr>
          <w:lang w:val="fr-FR"/>
        </w:rPr>
        <w:t xml:space="preserve"> </w:t>
      </w:r>
      <w:proofErr w:type="spellStart"/>
      <w:r w:rsidRPr="004176CB">
        <w:rPr>
          <w:lang w:val="fr-FR"/>
        </w:rPr>
        <w:t>hạn</w:t>
      </w:r>
      <w:proofErr w:type="spellEnd"/>
      <w:r w:rsidRPr="004176CB">
        <w:rPr>
          <w:lang w:val="fr-FR"/>
        </w:rPr>
        <w:t xml:space="preserve"> </w:t>
      </w:r>
      <w:proofErr w:type="spellStart"/>
      <w:r w:rsidRPr="004176CB">
        <w:rPr>
          <w:lang w:val="fr-FR"/>
        </w:rPr>
        <w:t>mức</w:t>
      </w:r>
      <w:proofErr w:type="spellEnd"/>
      <w:r w:rsidRPr="004176CB">
        <w:rPr>
          <w:lang w:val="fr-FR"/>
        </w:rPr>
        <w:t xml:space="preserve"> </w:t>
      </w:r>
      <w:proofErr w:type="spellStart"/>
      <w:r w:rsidRPr="004176CB">
        <w:rPr>
          <w:lang w:val="fr-FR"/>
        </w:rPr>
        <w:t>đầu</w:t>
      </w:r>
      <w:proofErr w:type="spellEnd"/>
      <w:r w:rsidRPr="004176CB">
        <w:rPr>
          <w:lang w:val="fr-FR"/>
        </w:rPr>
        <w:t xml:space="preserve"> </w:t>
      </w:r>
      <w:proofErr w:type="spellStart"/>
      <w:r w:rsidRPr="004176CB">
        <w:rPr>
          <w:lang w:val="fr-FR"/>
        </w:rPr>
        <w:t>tư</w:t>
      </w:r>
      <w:proofErr w:type="spellEnd"/>
      <w:r w:rsidRPr="004176CB">
        <w:rPr>
          <w:lang w:val="fr-FR"/>
        </w:rPr>
        <w:t xml:space="preserve"> </w:t>
      </w:r>
      <w:proofErr w:type="spellStart"/>
      <w:r w:rsidRPr="004176CB">
        <w:rPr>
          <w:lang w:val="fr-FR"/>
        </w:rPr>
        <w:t>được</w:t>
      </w:r>
      <w:proofErr w:type="spellEnd"/>
      <w:r w:rsidRPr="004176CB">
        <w:rPr>
          <w:lang w:val="fr-FR"/>
        </w:rPr>
        <w:t xml:space="preserve"> </w:t>
      </w:r>
      <w:proofErr w:type="spellStart"/>
      <w:r w:rsidRPr="004176CB">
        <w:rPr>
          <w:lang w:val="fr-FR"/>
        </w:rPr>
        <w:t>quy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tại</w:t>
      </w:r>
      <w:proofErr w:type="spellEnd"/>
      <w:r w:rsidRPr="004176CB">
        <w:rPr>
          <w:lang w:val="fr-FR"/>
        </w:rPr>
        <w:t xml:space="preserve"> </w:t>
      </w:r>
      <w:proofErr w:type="spellStart"/>
      <w:r w:rsidRPr="004176CB">
        <w:rPr>
          <w:lang w:val="fr-FR"/>
        </w:rPr>
        <w:t>các</w:t>
      </w:r>
      <w:proofErr w:type="spellEnd"/>
      <w:r w:rsidRPr="004176CB">
        <w:rPr>
          <w:lang w:val="fr-FR"/>
        </w:rPr>
        <w:t xml:space="preserve"> </w:t>
      </w:r>
      <w:proofErr w:type="spellStart"/>
      <w:r w:rsidRPr="004176CB">
        <w:rPr>
          <w:lang w:val="fr-FR"/>
        </w:rPr>
        <w:t>văn</w:t>
      </w:r>
      <w:proofErr w:type="spellEnd"/>
      <w:r w:rsidRPr="004176CB">
        <w:rPr>
          <w:lang w:val="fr-FR"/>
        </w:rPr>
        <w:t xml:space="preserve"> </w:t>
      </w:r>
      <w:proofErr w:type="spellStart"/>
      <w:r w:rsidRPr="004176CB">
        <w:rPr>
          <w:lang w:val="fr-FR"/>
        </w:rPr>
        <w:t>bản</w:t>
      </w:r>
      <w:proofErr w:type="spellEnd"/>
      <w:r w:rsidRPr="004176CB">
        <w:rPr>
          <w:lang w:val="fr-FR"/>
        </w:rPr>
        <w:t xml:space="preserve"> </w:t>
      </w:r>
      <w:proofErr w:type="spellStart"/>
      <w:r w:rsidRPr="004176CB">
        <w:rPr>
          <w:lang w:val="fr-FR"/>
        </w:rPr>
        <w:t>pháp</w:t>
      </w:r>
      <w:proofErr w:type="spellEnd"/>
      <w:r w:rsidRPr="004176CB">
        <w:rPr>
          <w:lang w:val="fr-FR"/>
        </w:rPr>
        <w:t xml:space="preserve"> </w:t>
      </w:r>
      <w:proofErr w:type="spellStart"/>
      <w:r w:rsidRPr="004176CB">
        <w:rPr>
          <w:lang w:val="fr-FR"/>
        </w:rPr>
        <w:t>luật</w:t>
      </w:r>
      <w:proofErr w:type="spellEnd"/>
      <w:r w:rsidRPr="004176CB">
        <w:rPr>
          <w:lang w:val="fr-FR"/>
        </w:rPr>
        <w:t xml:space="preserve"> </w:t>
      </w:r>
      <w:proofErr w:type="spellStart"/>
      <w:r w:rsidRPr="004176CB">
        <w:rPr>
          <w:lang w:val="fr-FR"/>
        </w:rPr>
        <w:t>chứng</w:t>
      </w:r>
      <w:proofErr w:type="spellEnd"/>
      <w:r w:rsidRPr="004176CB">
        <w:rPr>
          <w:lang w:val="fr-FR"/>
        </w:rPr>
        <w:t xml:space="preserve"> </w:t>
      </w:r>
      <w:proofErr w:type="spellStart"/>
      <w:r w:rsidRPr="004176CB">
        <w:rPr>
          <w:lang w:val="fr-FR"/>
        </w:rPr>
        <w:t>khoán</w:t>
      </w:r>
      <w:proofErr w:type="spellEnd"/>
      <w:r w:rsidRPr="004176CB">
        <w:rPr>
          <w:lang w:val="fr-FR"/>
        </w:rPr>
        <w:t xml:space="preserve"> </w:t>
      </w:r>
      <w:proofErr w:type="spellStart"/>
      <w:r w:rsidRPr="004176CB">
        <w:rPr>
          <w:lang w:val="fr-FR"/>
        </w:rPr>
        <w:t>hiện</w:t>
      </w:r>
      <w:proofErr w:type="spellEnd"/>
      <w:r w:rsidRPr="004176CB">
        <w:rPr>
          <w:lang w:val="fr-FR"/>
        </w:rPr>
        <w:t xml:space="preserve"> </w:t>
      </w:r>
      <w:proofErr w:type="spellStart"/>
      <w:r w:rsidRPr="004176CB">
        <w:rPr>
          <w:lang w:val="fr-FR"/>
        </w:rPr>
        <w:t>hành</w:t>
      </w:r>
      <w:proofErr w:type="spellEnd"/>
      <w:r w:rsidRPr="004176CB">
        <w:rPr>
          <w:lang w:val="fr-FR"/>
        </w:rPr>
        <w:t xml:space="preserve"> </w:t>
      </w:r>
      <w:proofErr w:type="spellStart"/>
      <w:r w:rsidRPr="004176CB">
        <w:rPr>
          <w:lang w:val="fr-FR"/>
        </w:rPr>
        <w:t>về</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mở</w:t>
      </w:r>
      <w:proofErr w:type="spellEnd"/>
      <w:r w:rsidRPr="004176CB">
        <w:rPr>
          <w:lang w:val="fr-FR"/>
        </w:rPr>
        <w:t xml:space="preserve">, </w:t>
      </w:r>
      <w:proofErr w:type="spellStart"/>
      <w:r w:rsidRPr="004176CB">
        <w:rPr>
          <w:lang w:val="fr-FR"/>
        </w:rPr>
        <w:t>Điều</w:t>
      </w:r>
      <w:proofErr w:type="spellEnd"/>
      <w:r w:rsidRPr="004176CB">
        <w:rPr>
          <w:lang w:val="fr-FR"/>
        </w:rPr>
        <w:t xml:space="preserve"> </w:t>
      </w:r>
      <w:proofErr w:type="spellStart"/>
      <w:r w:rsidRPr="004176CB">
        <w:rPr>
          <w:lang w:val="fr-FR"/>
        </w:rPr>
        <w:t>lệ</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Bản</w:t>
      </w:r>
      <w:proofErr w:type="spellEnd"/>
      <w:r w:rsidRPr="004176CB">
        <w:rPr>
          <w:lang w:val="fr-FR"/>
        </w:rPr>
        <w:t xml:space="preserve"> </w:t>
      </w:r>
      <w:proofErr w:type="spellStart"/>
      <w:r w:rsidRPr="004176CB">
        <w:rPr>
          <w:lang w:val="fr-FR"/>
        </w:rPr>
        <w:t>cáo</w:t>
      </w:r>
      <w:proofErr w:type="spellEnd"/>
      <w:r w:rsidRPr="004176CB">
        <w:rPr>
          <w:lang w:val="fr-FR"/>
        </w:rPr>
        <w:t xml:space="preserve"> </w:t>
      </w:r>
      <w:proofErr w:type="spellStart"/>
      <w:r w:rsidRPr="004176CB">
        <w:rPr>
          <w:lang w:val="fr-FR"/>
        </w:rPr>
        <w:t>bạch</w:t>
      </w:r>
      <w:proofErr w:type="spellEnd"/>
      <w:r w:rsidRPr="004176CB">
        <w:rPr>
          <w:lang w:val="fr-FR"/>
        </w:rPr>
        <w:t xml:space="preserve"> </w:t>
      </w:r>
      <w:proofErr w:type="spellStart"/>
      <w:r w:rsidRPr="004176CB">
        <w:rPr>
          <w:lang w:val="fr-FR"/>
        </w:rPr>
        <w:t>của</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và</w:t>
      </w:r>
      <w:proofErr w:type="spellEnd"/>
      <w:r w:rsidRPr="004176CB">
        <w:rPr>
          <w:lang w:val="fr-FR"/>
        </w:rPr>
        <w:t xml:space="preserve"> </w:t>
      </w:r>
      <w:proofErr w:type="spellStart"/>
      <w:r w:rsidRPr="004176CB">
        <w:rPr>
          <w:lang w:val="fr-FR"/>
        </w:rPr>
        <w:t>văn</w:t>
      </w:r>
      <w:proofErr w:type="spellEnd"/>
      <w:r w:rsidRPr="004176CB">
        <w:rPr>
          <w:lang w:val="fr-FR"/>
        </w:rPr>
        <w:t xml:space="preserve"> </w:t>
      </w:r>
      <w:proofErr w:type="spellStart"/>
      <w:r w:rsidRPr="004176CB">
        <w:rPr>
          <w:lang w:val="fr-FR"/>
        </w:rPr>
        <w:t>bản</w:t>
      </w:r>
      <w:proofErr w:type="spellEnd"/>
      <w:r w:rsidRPr="004176CB">
        <w:rPr>
          <w:lang w:val="fr-FR"/>
        </w:rPr>
        <w:t xml:space="preserve"> </w:t>
      </w:r>
      <w:proofErr w:type="spellStart"/>
      <w:r w:rsidRPr="004176CB">
        <w:rPr>
          <w:lang w:val="fr-FR"/>
        </w:rPr>
        <w:t>pháp</w:t>
      </w:r>
      <w:proofErr w:type="spellEnd"/>
      <w:r w:rsidRPr="004176CB">
        <w:rPr>
          <w:lang w:val="fr-FR"/>
        </w:rPr>
        <w:t xml:space="preserve"> </w:t>
      </w:r>
      <w:proofErr w:type="spellStart"/>
      <w:r w:rsidRPr="004176CB">
        <w:rPr>
          <w:lang w:val="fr-FR"/>
        </w:rPr>
        <w:t>luật</w:t>
      </w:r>
      <w:proofErr w:type="spellEnd"/>
      <w:r w:rsidRPr="004176CB">
        <w:rPr>
          <w:lang w:val="fr-FR"/>
        </w:rPr>
        <w:t xml:space="preserve"> </w:t>
      </w:r>
      <w:proofErr w:type="spellStart"/>
      <w:r w:rsidRPr="004176CB">
        <w:rPr>
          <w:lang w:val="fr-FR"/>
        </w:rPr>
        <w:t>liên</w:t>
      </w:r>
      <w:proofErr w:type="spellEnd"/>
      <w:r w:rsidRPr="004176CB">
        <w:rPr>
          <w:lang w:val="fr-FR"/>
        </w:rPr>
        <w:t xml:space="preserve"> </w:t>
      </w:r>
      <w:proofErr w:type="spellStart"/>
      <w:r w:rsidRPr="004176CB">
        <w:rPr>
          <w:lang w:val="fr-FR"/>
        </w:rPr>
        <w:t>quan</w:t>
      </w:r>
      <w:proofErr w:type="spellEnd"/>
      <w:r w:rsidRPr="004176CB">
        <w:rPr>
          <w:lang w:val="fr-FR"/>
        </w:rPr>
        <w:t>.</w:t>
      </w:r>
    </w:p>
    <w:p w14:paraId="613DDE15" w14:textId="77777777" w:rsidR="004176CB" w:rsidRPr="004176CB" w:rsidRDefault="004176CB" w:rsidP="004176CB">
      <w:pPr>
        <w:spacing w:line="276" w:lineRule="auto"/>
        <w:jc w:val="both"/>
        <w:rPr>
          <w:lang w:val="fr-FR"/>
        </w:rPr>
      </w:pPr>
      <w:proofErr w:type="spellStart"/>
      <w:r w:rsidRPr="004176CB">
        <w:rPr>
          <w:lang w:val="fr-FR"/>
        </w:rPr>
        <w:t>Từ</w:t>
      </w:r>
      <w:proofErr w:type="spellEnd"/>
      <w:r w:rsidRPr="004176CB">
        <w:rPr>
          <w:lang w:val="fr-FR"/>
        </w:rPr>
        <w:t xml:space="preserve"> </w:t>
      </w:r>
      <w:proofErr w:type="spellStart"/>
      <w:r w:rsidRPr="004176CB">
        <w:rPr>
          <w:lang w:val="fr-FR"/>
        </w:rPr>
        <w:t>ngày</w:t>
      </w:r>
      <w:proofErr w:type="spellEnd"/>
      <w:r w:rsidRPr="004176CB">
        <w:rPr>
          <w:lang w:val="fr-FR"/>
        </w:rPr>
        <w:t xml:space="preserve"> 01 </w:t>
      </w:r>
      <w:proofErr w:type="spellStart"/>
      <w:r w:rsidRPr="004176CB">
        <w:rPr>
          <w:lang w:val="fr-FR"/>
        </w:rPr>
        <w:t>tháng</w:t>
      </w:r>
      <w:proofErr w:type="spellEnd"/>
      <w:r w:rsidRPr="004176CB">
        <w:rPr>
          <w:lang w:val="fr-FR"/>
        </w:rPr>
        <w:t xml:space="preserve"> 01 </w:t>
      </w:r>
      <w:proofErr w:type="spellStart"/>
      <w:r w:rsidRPr="004176CB">
        <w:rPr>
          <w:lang w:val="fr-FR"/>
        </w:rPr>
        <w:t>năm</w:t>
      </w:r>
      <w:proofErr w:type="spellEnd"/>
      <w:r w:rsidRPr="004176CB">
        <w:rPr>
          <w:lang w:val="fr-FR"/>
        </w:rPr>
        <w:t xml:space="preserve"> 2023 </w:t>
      </w:r>
      <w:proofErr w:type="spellStart"/>
      <w:r w:rsidRPr="004176CB">
        <w:rPr>
          <w:lang w:val="fr-FR"/>
        </w:rPr>
        <w:t>đến</w:t>
      </w:r>
      <w:proofErr w:type="spellEnd"/>
      <w:r w:rsidRPr="004176CB">
        <w:rPr>
          <w:lang w:val="fr-FR"/>
        </w:rPr>
        <w:t xml:space="preserve"> </w:t>
      </w:r>
      <w:proofErr w:type="spellStart"/>
      <w:r w:rsidRPr="004176CB">
        <w:rPr>
          <w:lang w:val="fr-FR"/>
        </w:rPr>
        <w:t>ngày</w:t>
      </w:r>
      <w:proofErr w:type="spellEnd"/>
      <w:r w:rsidRPr="004176CB">
        <w:rPr>
          <w:lang w:val="fr-FR"/>
        </w:rPr>
        <w:t xml:space="preserve"> 31 </w:t>
      </w:r>
      <w:proofErr w:type="spellStart"/>
      <w:r w:rsidRPr="004176CB">
        <w:rPr>
          <w:lang w:val="fr-FR"/>
        </w:rPr>
        <w:t>tháng</w:t>
      </w:r>
      <w:proofErr w:type="spellEnd"/>
      <w:r w:rsidRPr="004176CB">
        <w:rPr>
          <w:lang w:val="fr-FR"/>
        </w:rPr>
        <w:t xml:space="preserve"> 12 </w:t>
      </w:r>
      <w:proofErr w:type="spellStart"/>
      <w:r w:rsidRPr="004176CB">
        <w:rPr>
          <w:lang w:val="fr-FR"/>
        </w:rPr>
        <w:t>năm</w:t>
      </w:r>
      <w:proofErr w:type="spellEnd"/>
      <w:r w:rsidRPr="004176CB">
        <w:rPr>
          <w:lang w:val="fr-FR"/>
        </w:rPr>
        <w:t xml:space="preserve"> 2023, </w:t>
      </w:r>
      <w:proofErr w:type="spellStart"/>
      <w:r w:rsidRPr="004176CB">
        <w:rPr>
          <w:lang w:val="fr-FR"/>
        </w:rPr>
        <w:t>Quỹ</w:t>
      </w:r>
      <w:proofErr w:type="spellEnd"/>
      <w:r w:rsidRPr="004176CB">
        <w:rPr>
          <w:lang w:val="fr-FR"/>
        </w:rPr>
        <w:t xml:space="preserve"> </w:t>
      </w:r>
      <w:proofErr w:type="spellStart"/>
      <w:r w:rsidRPr="004176CB">
        <w:rPr>
          <w:lang w:val="fr-FR"/>
        </w:rPr>
        <w:t>không</w:t>
      </w:r>
      <w:proofErr w:type="spellEnd"/>
      <w:r w:rsidRPr="004176CB">
        <w:rPr>
          <w:lang w:val="fr-FR"/>
        </w:rPr>
        <w:t xml:space="preserve"> </w:t>
      </w:r>
      <w:proofErr w:type="spellStart"/>
      <w:r w:rsidRPr="004176CB">
        <w:rPr>
          <w:lang w:val="fr-FR"/>
        </w:rPr>
        <w:t>có</w:t>
      </w:r>
      <w:proofErr w:type="spellEnd"/>
      <w:r w:rsidRPr="004176CB">
        <w:rPr>
          <w:lang w:val="fr-FR"/>
        </w:rPr>
        <w:t xml:space="preserve"> </w:t>
      </w:r>
      <w:proofErr w:type="spellStart"/>
      <w:r w:rsidRPr="004176CB">
        <w:rPr>
          <w:lang w:val="fr-FR"/>
        </w:rPr>
        <w:t>bất</w:t>
      </w:r>
      <w:proofErr w:type="spellEnd"/>
      <w:r w:rsidRPr="004176CB">
        <w:rPr>
          <w:lang w:val="fr-FR"/>
        </w:rPr>
        <w:t xml:space="preserve"> </w:t>
      </w:r>
      <w:proofErr w:type="spellStart"/>
      <w:r w:rsidRPr="004176CB">
        <w:rPr>
          <w:lang w:val="fr-FR"/>
        </w:rPr>
        <w:t>kỳ</w:t>
      </w:r>
      <w:proofErr w:type="spellEnd"/>
      <w:r w:rsidRPr="004176CB">
        <w:rPr>
          <w:lang w:val="fr-FR"/>
        </w:rPr>
        <w:t xml:space="preserve"> </w:t>
      </w:r>
      <w:proofErr w:type="spellStart"/>
      <w:r w:rsidRPr="004176CB">
        <w:rPr>
          <w:lang w:val="fr-FR"/>
        </w:rPr>
        <w:t>hợp</w:t>
      </w:r>
      <w:proofErr w:type="spellEnd"/>
      <w:r w:rsidRPr="004176CB">
        <w:rPr>
          <w:lang w:val="fr-FR"/>
        </w:rPr>
        <w:t xml:space="preserve"> </w:t>
      </w:r>
      <w:proofErr w:type="spellStart"/>
      <w:r w:rsidRPr="004176CB">
        <w:rPr>
          <w:lang w:val="fr-FR"/>
        </w:rPr>
        <w:t>đồng</w:t>
      </w:r>
      <w:proofErr w:type="spellEnd"/>
      <w:r w:rsidRPr="004176CB">
        <w:rPr>
          <w:lang w:val="fr-FR"/>
        </w:rPr>
        <w:t xml:space="preserve"> </w:t>
      </w:r>
      <w:proofErr w:type="spellStart"/>
      <w:r w:rsidRPr="004176CB">
        <w:rPr>
          <w:lang w:val="fr-FR"/>
        </w:rPr>
        <w:t>vay</w:t>
      </w:r>
      <w:proofErr w:type="spellEnd"/>
      <w:r w:rsidRPr="004176CB">
        <w:rPr>
          <w:lang w:val="fr-FR"/>
        </w:rPr>
        <w:t xml:space="preserve"> </w:t>
      </w:r>
      <w:proofErr w:type="spellStart"/>
      <w:r w:rsidRPr="004176CB">
        <w:rPr>
          <w:lang w:val="fr-FR"/>
        </w:rPr>
        <w:t>và</w:t>
      </w:r>
      <w:proofErr w:type="spellEnd"/>
      <w:r w:rsidRPr="004176CB">
        <w:rPr>
          <w:lang w:val="fr-FR"/>
        </w:rPr>
        <w:t xml:space="preserve"> </w:t>
      </w:r>
      <w:proofErr w:type="spellStart"/>
      <w:r w:rsidRPr="004176CB">
        <w:rPr>
          <w:lang w:val="fr-FR"/>
        </w:rPr>
        <w:t>cho</w:t>
      </w:r>
      <w:proofErr w:type="spellEnd"/>
      <w:r w:rsidRPr="004176CB">
        <w:rPr>
          <w:lang w:val="fr-FR"/>
        </w:rPr>
        <w:t xml:space="preserve"> </w:t>
      </w:r>
      <w:proofErr w:type="spellStart"/>
      <w:r w:rsidRPr="004176CB">
        <w:rPr>
          <w:lang w:val="fr-FR"/>
        </w:rPr>
        <w:t>vay</w:t>
      </w:r>
      <w:proofErr w:type="spellEnd"/>
      <w:r w:rsidRPr="004176CB">
        <w:rPr>
          <w:lang w:val="fr-FR"/>
        </w:rPr>
        <w:t>.</w:t>
      </w:r>
    </w:p>
    <w:p w14:paraId="1D7DBE46" w14:textId="77777777" w:rsidR="004176CB" w:rsidRPr="004176CB" w:rsidRDefault="004176CB" w:rsidP="004176CB">
      <w:pPr>
        <w:spacing w:line="276" w:lineRule="auto"/>
        <w:jc w:val="both"/>
        <w:rPr>
          <w:lang w:val="fr-FR"/>
        </w:rPr>
      </w:pPr>
      <w:r w:rsidRPr="004176CB">
        <w:rPr>
          <w:lang w:val="fr-FR"/>
        </w:rPr>
        <w:t xml:space="preserve">d) </w:t>
      </w:r>
      <w:proofErr w:type="spellStart"/>
      <w:r w:rsidRPr="004176CB">
        <w:rPr>
          <w:lang w:val="fr-FR"/>
        </w:rPr>
        <w:t>Việc</w:t>
      </w:r>
      <w:proofErr w:type="spellEnd"/>
      <w:r w:rsidRPr="004176CB">
        <w:rPr>
          <w:lang w:val="fr-FR"/>
        </w:rPr>
        <w:t xml:space="preserve"> </w:t>
      </w:r>
      <w:proofErr w:type="spellStart"/>
      <w:r w:rsidRPr="004176CB">
        <w:rPr>
          <w:lang w:val="fr-FR"/>
        </w:rPr>
        <w:t>xác</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giá</w:t>
      </w:r>
      <w:proofErr w:type="spellEnd"/>
      <w:r w:rsidRPr="004176CB">
        <w:rPr>
          <w:lang w:val="fr-FR"/>
        </w:rPr>
        <w:t xml:space="preserve"> </w:t>
      </w:r>
      <w:proofErr w:type="spellStart"/>
      <w:r w:rsidRPr="004176CB">
        <w:rPr>
          <w:lang w:val="fr-FR"/>
        </w:rPr>
        <w:t>trị</w:t>
      </w:r>
      <w:proofErr w:type="spellEnd"/>
      <w:r w:rsidRPr="004176CB">
        <w:rPr>
          <w:lang w:val="fr-FR"/>
        </w:rPr>
        <w:t xml:space="preserve"> </w:t>
      </w:r>
      <w:proofErr w:type="spellStart"/>
      <w:r w:rsidRPr="004176CB">
        <w:rPr>
          <w:lang w:val="fr-FR"/>
        </w:rPr>
        <w:t>tài</w:t>
      </w:r>
      <w:proofErr w:type="spellEnd"/>
      <w:r w:rsidRPr="004176CB">
        <w:rPr>
          <w:lang w:val="fr-FR"/>
        </w:rPr>
        <w:t xml:space="preserve"> </w:t>
      </w:r>
      <w:proofErr w:type="spellStart"/>
      <w:r w:rsidRPr="004176CB">
        <w:rPr>
          <w:lang w:val="fr-FR"/>
        </w:rPr>
        <w:t>sản</w:t>
      </w:r>
      <w:proofErr w:type="spellEnd"/>
      <w:r w:rsidRPr="004176CB">
        <w:rPr>
          <w:lang w:val="fr-FR"/>
        </w:rPr>
        <w:t xml:space="preserve"> </w:t>
      </w:r>
      <w:proofErr w:type="spellStart"/>
      <w:r w:rsidRPr="004176CB">
        <w:rPr>
          <w:lang w:val="fr-FR"/>
        </w:rPr>
        <w:t>ròng</w:t>
      </w:r>
      <w:proofErr w:type="spellEnd"/>
      <w:r w:rsidRPr="004176CB">
        <w:rPr>
          <w:lang w:val="fr-FR"/>
        </w:rPr>
        <w:t xml:space="preserve"> </w:t>
      </w:r>
      <w:proofErr w:type="spellStart"/>
      <w:r w:rsidRPr="004176CB">
        <w:rPr>
          <w:lang w:val="fr-FR"/>
        </w:rPr>
        <w:t>theo</w:t>
      </w:r>
      <w:proofErr w:type="spellEnd"/>
      <w:r w:rsidRPr="004176CB">
        <w:rPr>
          <w:lang w:val="fr-FR"/>
        </w:rPr>
        <w:t xml:space="preserve"> </w:t>
      </w:r>
      <w:proofErr w:type="spellStart"/>
      <w:r w:rsidRPr="004176CB">
        <w:rPr>
          <w:lang w:val="fr-FR"/>
        </w:rPr>
        <w:t>quy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pháp</w:t>
      </w:r>
      <w:proofErr w:type="spellEnd"/>
      <w:r w:rsidRPr="004176CB">
        <w:rPr>
          <w:lang w:val="fr-FR"/>
        </w:rPr>
        <w:t xml:space="preserve"> </w:t>
      </w:r>
      <w:proofErr w:type="spellStart"/>
      <w:r w:rsidRPr="004176CB">
        <w:rPr>
          <w:lang w:val="fr-FR"/>
        </w:rPr>
        <w:t>luật</w:t>
      </w:r>
      <w:proofErr w:type="spellEnd"/>
      <w:r w:rsidRPr="004176CB">
        <w:rPr>
          <w:lang w:val="fr-FR"/>
        </w:rPr>
        <w:t xml:space="preserve">, </w:t>
      </w:r>
      <w:proofErr w:type="spellStart"/>
      <w:r w:rsidRPr="004176CB">
        <w:rPr>
          <w:lang w:val="fr-FR"/>
        </w:rPr>
        <w:t>quy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tại</w:t>
      </w:r>
      <w:proofErr w:type="spellEnd"/>
      <w:r w:rsidRPr="004176CB">
        <w:rPr>
          <w:lang w:val="fr-FR"/>
        </w:rPr>
        <w:t xml:space="preserve"> </w:t>
      </w:r>
      <w:proofErr w:type="spellStart"/>
      <w:r w:rsidRPr="004176CB">
        <w:rPr>
          <w:lang w:val="fr-FR"/>
        </w:rPr>
        <w:t>Điều</w:t>
      </w:r>
      <w:proofErr w:type="spellEnd"/>
      <w:r w:rsidRPr="004176CB">
        <w:rPr>
          <w:lang w:val="fr-FR"/>
        </w:rPr>
        <w:t xml:space="preserve"> </w:t>
      </w:r>
      <w:proofErr w:type="spellStart"/>
      <w:r w:rsidRPr="004176CB">
        <w:rPr>
          <w:lang w:val="fr-FR"/>
        </w:rPr>
        <w:t>lệ</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Bản</w:t>
      </w:r>
      <w:proofErr w:type="spellEnd"/>
      <w:r w:rsidRPr="004176CB">
        <w:rPr>
          <w:lang w:val="fr-FR"/>
        </w:rPr>
        <w:t xml:space="preserve"> </w:t>
      </w:r>
      <w:proofErr w:type="spellStart"/>
      <w:r w:rsidRPr="004176CB">
        <w:rPr>
          <w:lang w:val="fr-FR"/>
        </w:rPr>
        <w:t>cáo</w:t>
      </w:r>
      <w:proofErr w:type="spellEnd"/>
      <w:r w:rsidRPr="004176CB">
        <w:rPr>
          <w:lang w:val="fr-FR"/>
        </w:rPr>
        <w:t xml:space="preserve"> </w:t>
      </w:r>
      <w:proofErr w:type="spellStart"/>
      <w:r w:rsidRPr="004176CB">
        <w:rPr>
          <w:lang w:val="fr-FR"/>
        </w:rPr>
        <w:t>bạch</w:t>
      </w:r>
      <w:proofErr w:type="spellEnd"/>
      <w:r w:rsidRPr="004176CB">
        <w:rPr>
          <w:lang w:val="fr-FR"/>
        </w:rPr>
        <w:t xml:space="preserve">, </w:t>
      </w:r>
      <w:proofErr w:type="spellStart"/>
      <w:r w:rsidRPr="004176CB">
        <w:rPr>
          <w:lang w:val="fr-FR"/>
        </w:rPr>
        <w:t>Sổ</w:t>
      </w:r>
      <w:proofErr w:type="spellEnd"/>
      <w:r w:rsidRPr="004176CB">
        <w:rPr>
          <w:lang w:val="fr-FR"/>
        </w:rPr>
        <w:t xml:space="preserve"> </w:t>
      </w:r>
      <w:proofErr w:type="spellStart"/>
      <w:r w:rsidRPr="004176CB">
        <w:rPr>
          <w:lang w:val="fr-FR"/>
        </w:rPr>
        <w:t>tay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proofErr w:type="gramStart"/>
      <w:r w:rsidRPr="004176CB">
        <w:rPr>
          <w:lang w:val="fr-FR"/>
        </w:rPr>
        <w:t>giá</w:t>
      </w:r>
      <w:proofErr w:type="spellEnd"/>
      <w:r w:rsidRPr="004176CB">
        <w:rPr>
          <w:lang w:val="fr-FR"/>
        </w:rPr>
        <w:t>:</w:t>
      </w:r>
      <w:proofErr w:type="gramEnd"/>
      <w:r w:rsidRPr="004176CB">
        <w:rPr>
          <w:lang w:val="fr-FR"/>
        </w:rPr>
        <w:t xml:space="preserve"> </w:t>
      </w:r>
      <w:proofErr w:type="spellStart"/>
      <w:r w:rsidRPr="004176CB">
        <w:rPr>
          <w:lang w:val="fr-FR"/>
        </w:rPr>
        <w:t>việc</w:t>
      </w:r>
      <w:proofErr w:type="spellEnd"/>
      <w:r w:rsidRPr="004176CB">
        <w:rPr>
          <w:lang w:val="fr-FR"/>
        </w:rPr>
        <w:t xml:space="preserve"> </w:t>
      </w:r>
      <w:proofErr w:type="spellStart"/>
      <w:r w:rsidRPr="004176CB">
        <w:rPr>
          <w:lang w:val="fr-FR"/>
        </w:rPr>
        <w:t>xác</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giá</w:t>
      </w:r>
      <w:proofErr w:type="spellEnd"/>
      <w:r w:rsidRPr="004176CB">
        <w:rPr>
          <w:lang w:val="fr-FR"/>
        </w:rPr>
        <w:t xml:space="preserve"> </w:t>
      </w:r>
      <w:proofErr w:type="spellStart"/>
      <w:r w:rsidRPr="004176CB">
        <w:rPr>
          <w:lang w:val="fr-FR"/>
        </w:rPr>
        <w:t>trị</w:t>
      </w:r>
      <w:proofErr w:type="spellEnd"/>
      <w:r w:rsidRPr="004176CB">
        <w:rPr>
          <w:lang w:val="fr-FR"/>
        </w:rPr>
        <w:t xml:space="preserve"> </w:t>
      </w:r>
      <w:proofErr w:type="spellStart"/>
      <w:r w:rsidRPr="004176CB">
        <w:rPr>
          <w:lang w:val="fr-FR"/>
        </w:rPr>
        <w:t>tài</w:t>
      </w:r>
      <w:proofErr w:type="spellEnd"/>
      <w:r w:rsidRPr="004176CB">
        <w:rPr>
          <w:lang w:val="fr-FR"/>
        </w:rPr>
        <w:t xml:space="preserve"> </w:t>
      </w:r>
      <w:proofErr w:type="spellStart"/>
      <w:r w:rsidRPr="004176CB">
        <w:rPr>
          <w:lang w:val="fr-FR"/>
        </w:rPr>
        <w:t>sản</w:t>
      </w:r>
      <w:proofErr w:type="spellEnd"/>
      <w:r w:rsidRPr="004176CB">
        <w:rPr>
          <w:lang w:val="fr-FR"/>
        </w:rPr>
        <w:t xml:space="preserve"> </w:t>
      </w:r>
      <w:proofErr w:type="spellStart"/>
      <w:r w:rsidRPr="004176CB">
        <w:rPr>
          <w:lang w:val="fr-FR"/>
        </w:rPr>
        <w:t>ròng</w:t>
      </w:r>
      <w:proofErr w:type="spellEnd"/>
      <w:r w:rsidRPr="004176CB">
        <w:rPr>
          <w:lang w:val="fr-FR"/>
        </w:rPr>
        <w:t xml:space="preserve"> </w:t>
      </w:r>
      <w:proofErr w:type="spellStart"/>
      <w:r w:rsidRPr="004176CB">
        <w:rPr>
          <w:lang w:val="fr-FR"/>
        </w:rPr>
        <w:t>của</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đã</w:t>
      </w:r>
      <w:proofErr w:type="spellEnd"/>
      <w:r w:rsidRPr="004176CB">
        <w:rPr>
          <w:lang w:val="fr-FR"/>
        </w:rPr>
        <w:t xml:space="preserve"> </w:t>
      </w:r>
      <w:proofErr w:type="spellStart"/>
      <w:r w:rsidRPr="004176CB">
        <w:rPr>
          <w:lang w:val="fr-FR"/>
        </w:rPr>
        <w:t>tuân</w:t>
      </w:r>
      <w:proofErr w:type="spellEnd"/>
      <w:r w:rsidRPr="004176CB">
        <w:rPr>
          <w:lang w:val="fr-FR"/>
        </w:rPr>
        <w:t xml:space="preserve"> </w:t>
      </w:r>
      <w:proofErr w:type="spellStart"/>
      <w:r w:rsidRPr="004176CB">
        <w:rPr>
          <w:lang w:val="fr-FR"/>
        </w:rPr>
        <w:t>thủ</w:t>
      </w:r>
      <w:proofErr w:type="spellEnd"/>
      <w:r w:rsidRPr="004176CB">
        <w:rPr>
          <w:lang w:val="fr-FR"/>
        </w:rPr>
        <w:t xml:space="preserve"> </w:t>
      </w:r>
      <w:proofErr w:type="spellStart"/>
      <w:r w:rsidRPr="004176CB">
        <w:rPr>
          <w:lang w:val="fr-FR"/>
        </w:rPr>
        <w:t>theo</w:t>
      </w:r>
      <w:proofErr w:type="spellEnd"/>
      <w:r w:rsidRPr="004176CB">
        <w:rPr>
          <w:lang w:val="fr-FR"/>
        </w:rPr>
        <w:t xml:space="preserve"> </w:t>
      </w:r>
      <w:proofErr w:type="spellStart"/>
      <w:r w:rsidRPr="004176CB">
        <w:rPr>
          <w:lang w:val="fr-FR"/>
        </w:rPr>
        <w:t>quy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pháp</w:t>
      </w:r>
      <w:proofErr w:type="spellEnd"/>
      <w:r w:rsidRPr="004176CB">
        <w:rPr>
          <w:lang w:val="fr-FR"/>
        </w:rPr>
        <w:t xml:space="preserve"> </w:t>
      </w:r>
      <w:proofErr w:type="spellStart"/>
      <w:r w:rsidRPr="004176CB">
        <w:rPr>
          <w:lang w:val="fr-FR"/>
        </w:rPr>
        <w:t>luật</w:t>
      </w:r>
      <w:proofErr w:type="spellEnd"/>
      <w:r w:rsidRPr="004176CB">
        <w:rPr>
          <w:lang w:val="fr-FR"/>
        </w:rPr>
        <w:t xml:space="preserve">, </w:t>
      </w:r>
      <w:proofErr w:type="spellStart"/>
      <w:r w:rsidRPr="004176CB">
        <w:rPr>
          <w:lang w:val="fr-FR"/>
        </w:rPr>
        <w:t>quy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tại</w:t>
      </w:r>
      <w:proofErr w:type="spellEnd"/>
      <w:r w:rsidRPr="004176CB">
        <w:rPr>
          <w:lang w:val="fr-FR"/>
        </w:rPr>
        <w:t xml:space="preserve"> </w:t>
      </w:r>
      <w:proofErr w:type="spellStart"/>
      <w:r w:rsidRPr="004176CB">
        <w:rPr>
          <w:lang w:val="fr-FR"/>
        </w:rPr>
        <w:t>Điều</w:t>
      </w:r>
      <w:proofErr w:type="spellEnd"/>
      <w:r w:rsidRPr="004176CB">
        <w:rPr>
          <w:lang w:val="fr-FR"/>
        </w:rPr>
        <w:t xml:space="preserve"> </w:t>
      </w:r>
      <w:proofErr w:type="spellStart"/>
      <w:r w:rsidRPr="004176CB">
        <w:rPr>
          <w:lang w:val="fr-FR"/>
        </w:rPr>
        <w:t>lệ</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Bản</w:t>
      </w:r>
      <w:proofErr w:type="spellEnd"/>
      <w:r w:rsidRPr="004176CB">
        <w:rPr>
          <w:lang w:val="fr-FR"/>
        </w:rPr>
        <w:t xml:space="preserve"> </w:t>
      </w:r>
      <w:proofErr w:type="spellStart"/>
      <w:r w:rsidRPr="004176CB">
        <w:rPr>
          <w:lang w:val="fr-FR"/>
        </w:rPr>
        <w:t>cáo</w:t>
      </w:r>
      <w:proofErr w:type="spellEnd"/>
      <w:r w:rsidRPr="004176CB">
        <w:rPr>
          <w:lang w:val="fr-FR"/>
        </w:rPr>
        <w:t xml:space="preserve"> </w:t>
      </w:r>
      <w:proofErr w:type="spellStart"/>
      <w:r w:rsidRPr="004176CB">
        <w:rPr>
          <w:lang w:val="fr-FR"/>
        </w:rPr>
        <w:t>bạch</w:t>
      </w:r>
      <w:proofErr w:type="spellEnd"/>
      <w:r w:rsidRPr="004176CB">
        <w:rPr>
          <w:lang w:val="fr-FR"/>
        </w:rPr>
        <w:t xml:space="preserve">, </w:t>
      </w:r>
      <w:proofErr w:type="spellStart"/>
      <w:r w:rsidRPr="004176CB">
        <w:rPr>
          <w:lang w:val="fr-FR"/>
        </w:rPr>
        <w:t>Sổ</w:t>
      </w:r>
      <w:proofErr w:type="spellEnd"/>
      <w:r w:rsidRPr="004176CB">
        <w:rPr>
          <w:lang w:val="fr-FR"/>
        </w:rPr>
        <w:t xml:space="preserve"> </w:t>
      </w:r>
      <w:proofErr w:type="spellStart"/>
      <w:r w:rsidRPr="004176CB">
        <w:rPr>
          <w:lang w:val="fr-FR"/>
        </w:rPr>
        <w:t>tay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giá</w:t>
      </w:r>
      <w:proofErr w:type="spellEnd"/>
      <w:r w:rsidRPr="004176CB">
        <w:rPr>
          <w:lang w:val="fr-FR"/>
        </w:rPr>
        <w:t xml:space="preserve"> </w:t>
      </w:r>
      <w:proofErr w:type="spellStart"/>
      <w:r w:rsidRPr="004176CB">
        <w:rPr>
          <w:lang w:val="fr-FR"/>
        </w:rPr>
        <w:t>đã</w:t>
      </w:r>
      <w:proofErr w:type="spellEnd"/>
      <w:r w:rsidRPr="004176CB">
        <w:rPr>
          <w:lang w:val="fr-FR"/>
        </w:rPr>
        <w:t xml:space="preserve"> </w:t>
      </w:r>
      <w:proofErr w:type="spellStart"/>
      <w:r w:rsidRPr="004176CB">
        <w:rPr>
          <w:lang w:val="fr-FR"/>
        </w:rPr>
        <w:t>được</w:t>
      </w:r>
      <w:proofErr w:type="spellEnd"/>
      <w:r w:rsidRPr="004176CB">
        <w:rPr>
          <w:lang w:val="fr-FR"/>
        </w:rPr>
        <w:t xml:space="preserve"> Ban </w:t>
      </w:r>
      <w:proofErr w:type="spellStart"/>
      <w:r w:rsidRPr="004176CB">
        <w:rPr>
          <w:lang w:val="fr-FR"/>
        </w:rPr>
        <w:t>Đại</w:t>
      </w:r>
      <w:proofErr w:type="spellEnd"/>
      <w:r w:rsidRPr="004176CB">
        <w:rPr>
          <w:lang w:val="fr-FR"/>
        </w:rPr>
        <w:t xml:space="preserve"> </w:t>
      </w:r>
      <w:proofErr w:type="spellStart"/>
      <w:r w:rsidRPr="004176CB">
        <w:rPr>
          <w:lang w:val="fr-FR"/>
        </w:rPr>
        <w:t>diện</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phê</w:t>
      </w:r>
      <w:proofErr w:type="spellEnd"/>
      <w:r w:rsidRPr="004176CB">
        <w:rPr>
          <w:lang w:val="fr-FR"/>
        </w:rPr>
        <w:t xml:space="preserve"> </w:t>
      </w:r>
      <w:proofErr w:type="spellStart"/>
      <w:r w:rsidRPr="004176CB">
        <w:rPr>
          <w:lang w:val="fr-FR"/>
        </w:rPr>
        <w:t>duyệt</w:t>
      </w:r>
      <w:proofErr w:type="spellEnd"/>
      <w:r w:rsidRPr="004176CB">
        <w:rPr>
          <w:lang w:val="fr-FR"/>
        </w:rPr>
        <w:t xml:space="preserve"> </w:t>
      </w:r>
      <w:proofErr w:type="spellStart"/>
      <w:r w:rsidRPr="004176CB">
        <w:rPr>
          <w:lang w:val="fr-FR"/>
        </w:rPr>
        <w:t>và</w:t>
      </w:r>
      <w:proofErr w:type="spellEnd"/>
      <w:r w:rsidRPr="004176CB">
        <w:rPr>
          <w:lang w:val="fr-FR"/>
        </w:rPr>
        <w:t xml:space="preserve"> </w:t>
      </w:r>
      <w:proofErr w:type="spellStart"/>
      <w:r w:rsidRPr="004176CB">
        <w:rPr>
          <w:lang w:val="fr-FR"/>
        </w:rPr>
        <w:t>các</w:t>
      </w:r>
      <w:proofErr w:type="spellEnd"/>
      <w:r w:rsidRPr="004176CB">
        <w:rPr>
          <w:lang w:val="fr-FR"/>
        </w:rPr>
        <w:t xml:space="preserve"> </w:t>
      </w:r>
      <w:proofErr w:type="spellStart"/>
      <w:r w:rsidRPr="004176CB">
        <w:rPr>
          <w:lang w:val="fr-FR"/>
        </w:rPr>
        <w:t>văn</w:t>
      </w:r>
      <w:proofErr w:type="spellEnd"/>
      <w:r w:rsidRPr="004176CB">
        <w:rPr>
          <w:lang w:val="fr-FR"/>
        </w:rPr>
        <w:t xml:space="preserve"> </w:t>
      </w:r>
      <w:proofErr w:type="spellStart"/>
      <w:r w:rsidRPr="004176CB">
        <w:rPr>
          <w:lang w:val="fr-FR"/>
        </w:rPr>
        <w:t>bản</w:t>
      </w:r>
      <w:proofErr w:type="spellEnd"/>
      <w:r w:rsidRPr="004176CB">
        <w:rPr>
          <w:lang w:val="fr-FR"/>
        </w:rPr>
        <w:t xml:space="preserve"> </w:t>
      </w:r>
      <w:proofErr w:type="spellStart"/>
      <w:r w:rsidRPr="004176CB">
        <w:rPr>
          <w:lang w:val="fr-FR"/>
        </w:rPr>
        <w:t>pháp</w:t>
      </w:r>
      <w:proofErr w:type="spellEnd"/>
      <w:r w:rsidRPr="004176CB">
        <w:rPr>
          <w:lang w:val="fr-FR"/>
        </w:rPr>
        <w:t xml:space="preserve"> </w:t>
      </w:r>
      <w:proofErr w:type="spellStart"/>
      <w:r w:rsidRPr="004176CB">
        <w:rPr>
          <w:lang w:val="fr-FR"/>
        </w:rPr>
        <w:t>luật</w:t>
      </w:r>
      <w:proofErr w:type="spellEnd"/>
      <w:r w:rsidRPr="004176CB">
        <w:rPr>
          <w:lang w:val="fr-FR"/>
        </w:rPr>
        <w:t xml:space="preserve"> </w:t>
      </w:r>
      <w:proofErr w:type="spellStart"/>
      <w:r w:rsidRPr="004176CB">
        <w:rPr>
          <w:lang w:val="fr-FR"/>
        </w:rPr>
        <w:t>có</w:t>
      </w:r>
      <w:proofErr w:type="spellEnd"/>
      <w:r w:rsidRPr="004176CB">
        <w:rPr>
          <w:lang w:val="fr-FR"/>
        </w:rPr>
        <w:t xml:space="preserve"> </w:t>
      </w:r>
      <w:proofErr w:type="spellStart"/>
      <w:r w:rsidRPr="004176CB">
        <w:rPr>
          <w:lang w:val="fr-FR"/>
        </w:rPr>
        <w:t>liên</w:t>
      </w:r>
      <w:proofErr w:type="spellEnd"/>
      <w:r w:rsidRPr="004176CB">
        <w:rPr>
          <w:lang w:val="fr-FR"/>
        </w:rPr>
        <w:t xml:space="preserve"> </w:t>
      </w:r>
      <w:proofErr w:type="spellStart"/>
      <w:r w:rsidRPr="004176CB">
        <w:rPr>
          <w:lang w:val="fr-FR"/>
        </w:rPr>
        <w:t>quan</w:t>
      </w:r>
      <w:proofErr w:type="spellEnd"/>
      <w:r w:rsidRPr="004176CB">
        <w:rPr>
          <w:lang w:val="fr-FR"/>
        </w:rPr>
        <w:t>.</w:t>
      </w:r>
    </w:p>
    <w:p w14:paraId="7BF93375" w14:textId="77777777" w:rsidR="004176CB" w:rsidRPr="004176CB" w:rsidRDefault="004176CB" w:rsidP="004176CB">
      <w:pPr>
        <w:spacing w:line="276" w:lineRule="auto"/>
        <w:jc w:val="both"/>
        <w:rPr>
          <w:lang w:val="fr-FR"/>
        </w:rPr>
      </w:pPr>
      <w:r w:rsidRPr="004176CB">
        <w:rPr>
          <w:lang w:val="fr-FR"/>
        </w:rPr>
        <w:t xml:space="preserve">e) </w:t>
      </w:r>
      <w:proofErr w:type="spellStart"/>
      <w:r w:rsidRPr="004176CB">
        <w:rPr>
          <w:lang w:val="fr-FR"/>
        </w:rPr>
        <w:t>Việc</w:t>
      </w:r>
      <w:proofErr w:type="spellEnd"/>
      <w:r w:rsidRPr="004176CB">
        <w:rPr>
          <w:lang w:val="fr-FR"/>
        </w:rPr>
        <w:t xml:space="preserve"> </w:t>
      </w:r>
      <w:proofErr w:type="spellStart"/>
      <w:r w:rsidRPr="004176CB">
        <w:rPr>
          <w:lang w:val="fr-FR"/>
        </w:rPr>
        <w:t>phát</w:t>
      </w:r>
      <w:proofErr w:type="spellEnd"/>
      <w:r w:rsidRPr="004176CB">
        <w:rPr>
          <w:lang w:val="fr-FR"/>
        </w:rPr>
        <w:t xml:space="preserve"> </w:t>
      </w:r>
      <w:proofErr w:type="spellStart"/>
      <w:r w:rsidRPr="004176CB">
        <w:rPr>
          <w:lang w:val="fr-FR"/>
        </w:rPr>
        <w:t>hành</w:t>
      </w:r>
      <w:proofErr w:type="spellEnd"/>
      <w:r w:rsidRPr="004176CB">
        <w:rPr>
          <w:lang w:val="fr-FR"/>
        </w:rPr>
        <w:t xml:space="preserve"> </w:t>
      </w:r>
      <w:proofErr w:type="spellStart"/>
      <w:r w:rsidRPr="004176CB">
        <w:rPr>
          <w:lang w:val="fr-FR"/>
        </w:rPr>
        <w:t>bổ</w:t>
      </w:r>
      <w:proofErr w:type="spellEnd"/>
      <w:r w:rsidRPr="004176CB">
        <w:rPr>
          <w:lang w:val="fr-FR"/>
        </w:rPr>
        <w:t xml:space="preserve"> </w:t>
      </w:r>
      <w:proofErr w:type="spellStart"/>
      <w:r w:rsidRPr="004176CB">
        <w:rPr>
          <w:lang w:val="fr-FR"/>
        </w:rPr>
        <w:t>sung</w:t>
      </w:r>
      <w:proofErr w:type="spellEnd"/>
      <w:r w:rsidRPr="004176CB">
        <w:rPr>
          <w:lang w:val="fr-FR"/>
        </w:rPr>
        <w:t xml:space="preserve"> </w:t>
      </w:r>
      <w:proofErr w:type="spellStart"/>
      <w:r w:rsidRPr="004176CB">
        <w:rPr>
          <w:lang w:val="fr-FR"/>
        </w:rPr>
        <w:t>chứng</w:t>
      </w:r>
      <w:proofErr w:type="spellEnd"/>
      <w:r w:rsidRPr="004176CB">
        <w:rPr>
          <w:lang w:val="fr-FR"/>
        </w:rPr>
        <w:t xml:space="preserve"> </w:t>
      </w:r>
      <w:proofErr w:type="spellStart"/>
      <w:r w:rsidRPr="004176CB">
        <w:rPr>
          <w:lang w:val="fr-FR"/>
        </w:rPr>
        <w:t>chỉ</w:t>
      </w:r>
      <w:proofErr w:type="spellEnd"/>
      <w:r w:rsidRPr="004176CB">
        <w:rPr>
          <w:lang w:val="fr-FR"/>
        </w:rPr>
        <w:t xml:space="preserve"> </w:t>
      </w:r>
      <w:proofErr w:type="spellStart"/>
      <w:r w:rsidRPr="004176CB">
        <w:rPr>
          <w:lang w:val="fr-FR"/>
        </w:rPr>
        <w:t>quỹ</w:t>
      </w:r>
      <w:proofErr w:type="spellEnd"/>
      <w:r w:rsidRPr="004176CB">
        <w:rPr>
          <w:lang w:val="fr-FR"/>
        </w:rPr>
        <w:t xml:space="preserve">, mua </w:t>
      </w:r>
      <w:proofErr w:type="spellStart"/>
      <w:r w:rsidRPr="004176CB">
        <w:rPr>
          <w:lang w:val="fr-FR"/>
        </w:rPr>
        <w:t>lại</w:t>
      </w:r>
      <w:proofErr w:type="spellEnd"/>
      <w:r w:rsidRPr="004176CB">
        <w:rPr>
          <w:lang w:val="fr-FR"/>
        </w:rPr>
        <w:t xml:space="preserve"> </w:t>
      </w:r>
      <w:proofErr w:type="spellStart"/>
      <w:r w:rsidRPr="004176CB">
        <w:rPr>
          <w:lang w:val="fr-FR"/>
        </w:rPr>
        <w:t>chứng</w:t>
      </w:r>
      <w:proofErr w:type="spellEnd"/>
      <w:r w:rsidRPr="004176CB">
        <w:rPr>
          <w:lang w:val="fr-FR"/>
        </w:rPr>
        <w:t xml:space="preserve"> </w:t>
      </w:r>
      <w:proofErr w:type="spellStart"/>
      <w:r w:rsidRPr="004176CB">
        <w:rPr>
          <w:lang w:val="fr-FR"/>
        </w:rPr>
        <w:t>chỉ</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theo</w:t>
      </w:r>
      <w:proofErr w:type="spellEnd"/>
      <w:r w:rsidRPr="004176CB">
        <w:rPr>
          <w:lang w:val="fr-FR"/>
        </w:rPr>
        <w:t xml:space="preserve"> </w:t>
      </w:r>
      <w:proofErr w:type="spellStart"/>
      <w:r w:rsidRPr="004176CB">
        <w:rPr>
          <w:lang w:val="fr-FR"/>
        </w:rPr>
        <w:t>quy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pháp</w:t>
      </w:r>
      <w:proofErr w:type="spellEnd"/>
      <w:r w:rsidRPr="004176CB">
        <w:rPr>
          <w:lang w:val="fr-FR"/>
        </w:rPr>
        <w:t xml:space="preserve"> </w:t>
      </w:r>
      <w:proofErr w:type="spellStart"/>
      <w:r w:rsidRPr="004176CB">
        <w:rPr>
          <w:lang w:val="fr-FR"/>
        </w:rPr>
        <w:t>luật</w:t>
      </w:r>
      <w:proofErr w:type="spellEnd"/>
      <w:r w:rsidRPr="004176CB">
        <w:rPr>
          <w:lang w:val="fr-FR"/>
        </w:rPr>
        <w:t xml:space="preserve">, </w:t>
      </w:r>
      <w:proofErr w:type="spellStart"/>
      <w:r w:rsidRPr="004176CB">
        <w:rPr>
          <w:lang w:val="fr-FR"/>
        </w:rPr>
        <w:t>quy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tại</w:t>
      </w:r>
      <w:proofErr w:type="spellEnd"/>
      <w:r w:rsidRPr="004176CB">
        <w:rPr>
          <w:lang w:val="fr-FR"/>
        </w:rPr>
        <w:t xml:space="preserve"> </w:t>
      </w:r>
      <w:proofErr w:type="spellStart"/>
      <w:r w:rsidRPr="004176CB">
        <w:rPr>
          <w:lang w:val="fr-FR"/>
        </w:rPr>
        <w:t>Điều</w:t>
      </w:r>
      <w:proofErr w:type="spellEnd"/>
      <w:r w:rsidRPr="004176CB">
        <w:rPr>
          <w:lang w:val="fr-FR"/>
        </w:rPr>
        <w:t xml:space="preserve"> </w:t>
      </w:r>
      <w:proofErr w:type="spellStart"/>
      <w:r w:rsidRPr="004176CB">
        <w:rPr>
          <w:lang w:val="fr-FR"/>
        </w:rPr>
        <w:t>lệ</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Bản</w:t>
      </w:r>
      <w:proofErr w:type="spellEnd"/>
      <w:r w:rsidRPr="004176CB">
        <w:rPr>
          <w:lang w:val="fr-FR"/>
        </w:rPr>
        <w:t xml:space="preserve"> </w:t>
      </w:r>
      <w:proofErr w:type="spellStart"/>
      <w:r w:rsidRPr="004176CB">
        <w:rPr>
          <w:lang w:val="fr-FR"/>
        </w:rPr>
        <w:t>cáo</w:t>
      </w:r>
      <w:proofErr w:type="spellEnd"/>
      <w:r w:rsidRPr="004176CB">
        <w:rPr>
          <w:lang w:val="fr-FR"/>
        </w:rPr>
        <w:t xml:space="preserve"> </w:t>
      </w:r>
      <w:proofErr w:type="spellStart"/>
      <w:proofErr w:type="gramStart"/>
      <w:r w:rsidRPr="004176CB">
        <w:rPr>
          <w:lang w:val="fr-FR"/>
        </w:rPr>
        <w:t>bạch</w:t>
      </w:r>
      <w:proofErr w:type="spellEnd"/>
      <w:r w:rsidRPr="004176CB">
        <w:rPr>
          <w:lang w:val="fr-FR"/>
        </w:rPr>
        <w:t>:</w:t>
      </w:r>
      <w:proofErr w:type="gramEnd"/>
      <w:r w:rsidRPr="004176CB">
        <w:rPr>
          <w:lang w:val="fr-FR"/>
        </w:rPr>
        <w:t xml:space="preserve"> </w:t>
      </w:r>
      <w:proofErr w:type="spellStart"/>
      <w:r w:rsidRPr="004176CB">
        <w:rPr>
          <w:lang w:val="fr-FR"/>
        </w:rPr>
        <w:t>việc</w:t>
      </w:r>
      <w:proofErr w:type="spellEnd"/>
      <w:r w:rsidRPr="004176CB">
        <w:rPr>
          <w:lang w:val="fr-FR"/>
        </w:rPr>
        <w:t xml:space="preserve"> </w:t>
      </w:r>
      <w:proofErr w:type="spellStart"/>
      <w:r w:rsidRPr="004176CB">
        <w:rPr>
          <w:lang w:val="fr-FR"/>
        </w:rPr>
        <w:t>phát</w:t>
      </w:r>
      <w:proofErr w:type="spellEnd"/>
      <w:r w:rsidRPr="004176CB">
        <w:rPr>
          <w:lang w:val="fr-FR"/>
        </w:rPr>
        <w:t xml:space="preserve"> </w:t>
      </w:r>
      <w:proofErr w:type="spellStart"/>
      <w:r w:rsidRPr="004176CB">
        <w:rPr>
          <w:lang w:val="fr-FR"/>
        </w:rPr>
        <w:t>hành</w:t>
      </w:r>
      <w:proofErr w:type="spellEnd"/>
      <w:r w:rsidRPr="004176CB">
        <w:rPr>
          <w:lang w:val="fr-FR"/>
        </w:rPr>
        <w:t xml:space="preserve"> </w:t>
      </w:r>
      <w:proofErr w:type="spellStart"/>
      <w:r w:rsidRPr="004176CB">
        <w:rPr>
          <w:lang w:val="fr-FR"/>
        </w:rPr>
        <w:t>bổ</w:t>
      </w:r>
      <w:proofErr w:type="spellEnd"/>
      <w:r w:rsidRPr="004176CB">
        <w:rPr>
          <w:lang w:val="fr-FR"/>
        </w:rPr>
        <w:t xml:space="preserve"> </w:t>
      </w:r>
      <w:proofErr w:type="spellStart"/>
      <w:r w:rsidRPr="004176CB">
        <w:rPr>
          <w:lang w:val="fr-FR"/>
        </w:rPr>
        <w:t>sung</w:t>
      </w:r>
      <w:proofErr w:type="spellEnd"/>
      <w:r w:rsidRPr="004176CB">
        <w:rPr>
          <w:lang w:val="fr-FR"/>
        </w:rPr>
        <w:t xml:space="preserve"> </w:t>
      </w:r>
      <w:proofErr w:type="spellStart"/>
      <w:r w:rsidRPr="004176CB">
        <w:rPr>
          <w:lang w:val="fr-FR"/>
        </w:rPr>
        <w:t>chứng</w:t>
      </w:r>
      <w:proofErr w:type="spellEnd"/>
      <w:r w:rsidRPr="004176CB">
        <w:rPr>
          <w:lang w:val="fr-FR"/>
        </w:rPr>
        <w:t xml:space="preserve"> </w:t>
      </w:r>
      <w:proofErr w:type="spellStart"/>
      <w:r w:rsidRPr="004176CB">
        <w:rPr>
          <w:lang w:val="fr-FR"/>
        </w:rPr>
        <w:t>chỉ</w:t>
      </w:r>
      <w:proofErr w:type="spellEnd"/>
      <w:r w:rsidRPr="004176CB">
        <w:rPr>
          <w:lang w:val="fr-FR"/>
        </w:rPr>
        <w:t xml:space="preserve"> </w:t>
      </w:r>
      <w:proofErr w:type="spellStart"/>
      <w:r w:rsidRPr="004176CB">
        <w:rPr>
          <w:lang w:val="fr-FR"/>
        </w:rPr>
        <w:t>quỹ</w:t>
      </w:r>
      <w:proofErr w:type="spellEnd"/>
      <w:r w:rsidRPr="004176CB">
        <w:rPr>
          <w:lang w:val="fr-FR"/>
        </w:rPr>
        <w:t xml:space="preserve">, mua </w:t>
      </w:r>
      <w:proofErr w:type="spellStart"/>
      <w:r w:rsidRPr="004176CB">
        <w:rPr>
          <w:lang w:val="fr-FR"/>
        </w:rPr>
        <w:t>lại</w:t>
      </w:r>
      <w:proofErr w:type="spellEnd"/>
      <w:r w:rsidRPr="004176CB">
        <w:rPr>
          <w:lang w:val="fr-FR"/>
        </w:rPr>
        <w:t xml:space="preserve"> </w:t>
      </w:r>
      <w:proofErr w:type="spellStart"/>
      <w:r w:rsidRPr="004176CB">
        <w:rPr>
          <w:lang w:val="fr-FR"/>
        </w:rPr>
        <w:t>chứng</w:t>
      </w:r>
      <w:proofErr w:type="spellEnd"/>
      <w:r w:rsidRPr="004176CB">
        <w:rPr>
          <w:lang w:val="fr-FR"/>
        </w:rPr>
        <w:t xml:space="preserve"> </w:t>
      </w:r>
      <w:proofErr w:type="spellStart"/>
      <w:r w:rsidRPr="004176CB">
        <w:rPr>
          <w:lang w:val="fr-FR"/>
        </w:rPr>
        <w:t>chỉ</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đã</w:t>
      </w:r>
      <w:proofErr w:type="spellEnd"/>
      <w:r w:rsidRPr="004176CB">
        <w:rPr>
          <w:lang w:val="fr-FR"/>
        </w:rPr>
        <w:t xml:space="preserve"> </w:t>
      </w:r>
      <w:proofErr w:type="spellStart"/>
      <w:r w:rsidRPr="004176CB">
        <w:rPr>
          <w:lang w:val="fr-FR"/>
        </w:rPr>
        <w:t>tuân</w:t>
      </w:r>
      <w:proofErr w:type="spellEnd"/>
      <w:r w:rsidRPr="004176CB">
        <w:rPr>
          <w:lang w:val="fr-FR"/>
        </w:rPr>
        <w:t xml:space="preserve"> </w:t>
      </w:r>
      <w:proofErr w:type="spellStart"/>
      <w:r w:rsidRPr="004176CB">
        <w:rPr>
          <w:lang w:val="fr-FR"/>
        </w:rPr>
        <w:t>thủ</w:t>
      </w:r>
      <w:proofErr w:type="spellEnd"/>
      <w:r w:rsidRPr="004176CB">
        <w:rPr>
          <w:lang w:val="fr-FR"/>
        </w:rPr>
        <w:t xml:space="preserve"> </w:t>
      </w:r>
      <w:proofErr w:type="spellStart"/>
      <w:r w:rsidRPr="004176CB">
        <w:rPr>
          <w:lang w:val="fr-FR"/>
        </w:rPr>
        <w:t>theo</w:t>
      </w:r>
      <w:proofErr w:type="spellEnd"/>
      <w:r w:rsidRPr="004176CB">
        <w:rPr>
          <w:lang w:val="fr-FR"/>
        </w:rPr>
        <w:t xml:space="preserve"> </w:t>
      </w:r>
      <w:proofErr w:type="spellStart"/>
      <w:r w:rsidRPr="004176CB">
        <w:rPr>
          <w:lang w:val="fr-FR"/>
        </w:rPr>
        <w:t>quy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pháp</w:t>
      </w:r>
      <w:proofErr w:type="spellEnd"/>
      <w:r w:rsidRPr="004176CB">
        <w:rPr>
          <w:lang w:val="fr-FR"/>
        </w:rPr>
        <w:t xml:space="preserve"> </w:t>
      </w:r>
      <w:proofErr w:type="spellStart"/>
      <w:r w:rsidRPr="004176CB">
        <w:rPr>
          <w:lang w:val="fr-FR"/>
        </w:rPr>
        <w:t>luật</w:t>
      </w:r>
      <w:proofErr w:type="spellEnd"/>
      <w:r w:rsidRPr="004176CB">
        <w:rPr>
          <w:lang w:val="fr-FR"/>
        </w:rPr>
        <w:t xml:space="preserve"> </w:t>
      </w:r>
      <w:proofErr w:type="spellStart"/>
      <w:r w:rsidRPr="004176CB">
        <w:rPr>
          <w:lang w:val="fr-FR"/>
        </w:rPr>
        <w:t>liên</w:t>
      </w:r>
      <w:proofErr w:type="spellEnd"/>
      <w:r w:rsidRPr="004176CB">
        <w:rPr>
          <w:lang w:val="fr-FR"/>
        </w:rPr>
        <w:t xml:space="preserve"> </w:t>
      </w:r>
      <w:proofErr w:type="spellStart"/>
      <w:r w:rsidRPr="004176CB">
        <w:rPr>
          <w:lang w:val="fr-FR"/>
        </w:rPr>
        <w:t>quan</w:t>
      </w:r>
      <w:proofErr w:type="spellEnd"/>
      <w:r w:rsidRPr="004176CB">
        <w:rPr>
          <w:lang w:val="fr-FR"/>
        </w:rPr>
        <w:t xml:space="preserve">, </w:t>
      </w:r>
      <w:proofErr w:type="spellStart"/>
      <w:r w:rsidRPr="004176CB">
        <w:rPr>
          <w:lang w:val="fr-FR"/>
        </w:rPr>
        <w:t>quy</w:t>
      </w:r>
      <w:proofErr w:type="spellEnd"/>
      <w:r w:rsidRPr="004176CB">
        <w:rPr>
          <w:lang w:val="fr-FR"/>
        </w:rPr>
        <w:t xml:space="preserve"> </w:t>
      </w:r>
      <w:proofErr w:type="spellStart"/>
      <w:r w:rsidRPr="004176CB">
        <w:rPr>
          <w:lang w:val="fr-FR"/>
        </w:rPr>
        <w:t>định</w:t>
      </w:r>
      <w:proofErr w:type="spellEnd"/>
      <w:r w:rsidRPr="004176CB">
        <w:rPr>
          <w:lang w:val="fr-FR"/>
        </w:rPr>
        <w:t xml:space="preserve"> </w:t>
      </w:r>
      <w:proofErr w:type="spellStart"/>
      <w:r w:rsidRPr="004176CB">
        <w:rPr>
          <w:lang w:val="fr-FR"/>
        </w:rPr>
        <w:t>tại</w:t>
      </w:r>
      <w:proofErr w:type="spellEnd"/>
      <w:r w:rsidRPr="004176CB">
        <w:rPr>
          <w:lang w:val="fr-FR"/>
        </w:rPr>
        <w:t xml:space="preserve"> </w:t>
      </w:r>
      <w:proofErr w:type="spellStart"/>
      <w:r w:rsidRPr="004176CB">
        <w:rPr>
          <w:lang w:val="fr-FR"/>
        </w:rPr>
        <w:t>Điều</w:t>
      </w:r>
      <w:proofErr w:type="spellEnd"/>
      <w:r w:rsidRPr="004176CB">
        <w:rPr>
          <w:lang w:val="fr-FR"/>
        </w:rPr>
        <w:t xml:space="preserve"> </w:t>
      </w:r>
      <w:proofErr w:type="spellStart"/>
      <w:r w:rsidRPr="004176CB">
        <w:rPr>
          <w:lang w:val="fr-FR"/>
        </w:rPr>
        <w:t>lệ</w:t>
      </w:r>
      <w:proofErr w:type="spellEnd"/>
      <w:r w:rsidRPr="004176CB">
        <w:rPr>
          <w:lang w:val="fr-FR"/>
        </w:rPr>
        <w:t xml:space="preserve"> </w:t>
      </w:r>
      <w:proofErr w:type="spellStart"/>
      <w:r w:rsidRPr="004176CB">
        <w:rPr>
          <w:lang w:val="fr-FR"/>
        </w:rPr>
        <w:t>Quỹ</w:t>
      </w:r>
      <w:proofErr w:type="spellEnd"/>
      <w:r w:rsidRPr="004176CB">
        <w:rPr>
          <w:lang w:val="fr-FR"/>
        </w:rPr>
        <w:t xml:space="preserve">, </w:t>
      </w:r>
      <w:proofErr w:type="spellStart"/>
      <w:r w:rsidRPr="004176CB">
        <w:rPr>
          <w:lang w:val="fr-FR"/>
        </w:rPr>
        <w:t>Bản</w:t>
      </w:r>
      <w:proofErr w:type="spellEnd"/>
      <w:r w:rsidRPr="004176CB">
        <w:rPr>
          <w:lang w:val="fr-FR"/>
        </w:rPr>
        <w:t xml:space="preserve"> </w:t>
      </w:r>
      <w:proofErr w:type="spellStart"/>
      <w:r w:rsidRPr="004176CB">
        <w:rPr>
          <w:lang w:val="fr-FR"/>
        </w:rPr>
        <w:t>cáo</w:t>
      </w:r>
      <w:proofErr w:type="spellEnd"/>
      <w:r w:rsidRPr="004176CB">
        <w:rPr>
          <w:lang w:val="fr-FR"/>
        </w:rPr>
        <w:t xml:space="preserve"> </w:t>
      </w:r>
      <w:proofErr w:type="spellStart"/>
      <w:r w:rsidRPr="004176CB">
        <w:rPr>
          <w:lang w:val="fr-FR"/>
        </w:rPr>
        <w:t>bạch</w:t>
      </w:r>
      <w:proofErr w:type="spellEnd"/>
      <w:r w:rsidRPr="004176CB">
        <w:rPr>
          <w:lang w:val="fr-FR"/>
        </w:rPr>
        <w:t>.</w:t>
      </w:r>
    </w:p>
    <w:p w14:paraId="71053EBE" w14:textId="2237F9E7" w:rsidR="00A62095" w:rsidRPr="00FC4F13" w:rsidRDefault="004176CB" w:rsidP="004176CB">
      <w:pPr>
        <w:spacing w:line="276" w:lineRule="auto"/>
        <w:jc w:val="both"/>
        <w:rPr>
          <w:lang w:val="fr-FR"/>
        </w:rPr>
      </w:pPr>
      <w:r w:rsidRPr="004176CB">
        <w:rPr>
          <w:lang w:val="fr-FR"/>
        </w:rPr>
        <w:t xml:space="preserve">f) </w:t>
      </w:r>
      <w:proofErr w:type="spellStart"/>
      <w:r w:rsidRPr="004176CB">
        <w:rPr>
          <w:lang w:val="fr-FR"/>
        </w:rPr>
        <w:t>Việc</w:t>
      </w:r>
      <w:proofErr w:type="spellEnd"/>
      <w:r w:rsidRPr="004176CB">
        <w:rPr>
          <w:lang w:val="fr-FR"/>
        </w:rPr>
        <w:t xml:space="preserve"> </w:t>
      </w:r>
      <w:proofErr w:type="spellStart"/>
      <w:r w:rsidRPr="004176CB">
        <w:rPr>
          <w:lang w:val="fr-FR"/>
        </w:rPr>
        <w:t>phân</w:t>
      </w:r>
      <w:proofErr w:type="spellEnd"/>
      <w:r w:rsidRPr="004176CB">
        <w:rPr>
          <w:lang w:val="fr-FR"/>
        </w:rPr>
        <w:t xml:space="preserve"> chia </w:t>
      </w:r>
      <w:proofErr w:type="spellStart"/>
      <w:r w:rsidRPr="004176CB">
        <w:rPr>
          <w:lang w:val="fr-FR"/>
        </w:rPr>
        <w:t>lợi</w:t>
      </w:r>
      <w:proofErr w:type="spellEnd"/>
      <w:r w:rsidRPr="004176CB">
        <w:rPr>
          <w:lang w:val="fr-FR"/>
        </w:rPr>
        <w:t xml:space="preserve"> </w:t>
      </w:r>
      <w:proofErr w:type="spellStart"/>
      <w:r w:rsidRPr="004176CB">
        <w:rPr>
          <w:lang w:val="fr-FR"/>
        </w:rPr>
        <w:t>nhuận</w:t>
      </w:r>
      <w:proofErr w:type="spellEnd"/>
      <w:r w:rsidRPr="004176CB">
        <w:rPr>
          <w:lang w:val="fr-FR"/>
        </w:rPr>
        <w:t xml:space="preserve"> </w:t>
      </w:r>
      <w:proofErr w:type="spellStart"/>
      <w:r w:rsidRPr="004176CB">
        <w:rPr>
          <w:lang w:val="fr-FR"/>
        </w:rPr>
        <w:t>của</w:t>
      </w:r>
      <w:proofErr w:type="spellEnd"/>
      <w:r w:rsidRPr="004176CB">
        <w:rPr>
          <w:lang w:val="fr-FR"/>
        </w:rPr>
        <w:t xml:space="preserve"> </w:t>
      </w:r>
      <w:proofErr w:type="spellStart"/>
      <w:proofErr w:type="gramStart"/>
      <w:r w:rsidRPr="004176CB">
        <w:rPr>
          <w:lang w:val="fr-FR"/>
        </w:rPr>
        <w:t>quỹ</w:t>
      </w:r>
      <w:proofErr w:type="spellEnd"/>
      <w:r w:rsidRPr="004176CB">
        <w:rPr>
          <w:lang w:val="fr-FR"/>
        </w:rPr>
        <w:t>:</w:t>
      </w:r>
      <w:proofErr w:type="gramEnd"/>
      <w:r w:rsidRPr="004176CB">
        <w:rPr>
          <w:lang w:val="fr-FR"/>
        </w:rPr>
        <w:t xml:space="preserve"> </w:t>
      </w:r>
      <w:proofErr w:type="spellStart"/>
      <w:r w:rsidRPr="004176CB">
        <w:rPr>
          <w:lang w:val="fr-FR"/>
        </w:rPr>
        <w:t>từ</w:t>
      </w:r>
      <w:proofErr w:type="spellEnd"/>
      <w:r w:rsidRPr="004176CB">
        <w:rPr>
          <w:lang w:val="fr-FR"/>
        </w:rPr>
        <w:t xml:space="preserve"> </w:t>
      </w:r>
      <w:proofErr w:type="spellStart"/>
      <w:r w:rsidRPr="004176CB">
        <w:rPr>
          <w:lang w:val="fr-FR"/>
        </w:rPr>
        <w:t>ngày</w:t>
      </w:r>
      <w:proofErr w:type="spellEnd"/>
      <w:r w:rsidRPr="004176CB">
        <w:rPr>
          <w:lang w:val="fr-FR"/>
        </w:rPr>
        <w:t xml:space="preserve"> 01 </w:t>
      </w:r>
      <w:proofErr w:type="spellStart"/>
      <w:r w:rsidRPr="004176CB">
        <w:rPr>
          <w:lang w:val="fr-FR"/>
        </w:rPr>
        <w:t>tháng</w:t>
      </w:r>
      <w:proofErr w:type="spellEnd"/>
      <w:r w:rsidRPr="004176CB">
        <w:rPr>
          <w:lang w:val="fr-FR"/>
        </w:rPr>
        <w:t xml:space="preserve"> 01 </w:t>
      </w:r>
      <w:proofErr w:type="spellStart"/>
      <w:r w:rsidRPr="004176CB">
        <w:rPr>
          <w:lang w:val="fr-FR"/>
        </w:rPr>
        <w:t>năm</w:t>
      </w:r>
      <w:proofErr w:type="spellEnd"/>
      <w:r w:rsidRPr="004176CB">
        <w:rPr>
          <w:lang w:val="fr-FR"/>
        </w:rPr>
        <w:t xml:space="preserve"> 2023 </w:t>
      </w:r>
      <w:proofErr w:type="spellStart"/>
      <w:r w:rsidRPr="004176CB">
        <w:rPr>
          <w:lang w:val="fr-FR"/>
        </w:rPr>
        <w:t>đến</w:t>
      </w:r>
      <w:proofErr w:type="spellEnd"/>
      <w:r w:rsidRPr="004176CB">
        <w:rPr>
          <w:lang w:val="fr-FR"/>
        </w:rPr>
        <w:t xml:space="preserve"> </w:t>
      </w:r>
      <w:proofErr w:type="spellStart"/>
      <w:r w:rsidRPr="004176CB">
        <w:rPr>
          <w:lang w:val="fr-FR"/>
        </w:rPr>
        <w:t>ngày</w:t>
      </w:r>
      <w:proofErr w:type="spellEnd"/>
      <w:r w:rsidRPr="004176CB">
        <w:rPr>
          <w:lang w:val="fr-FR"/>
        </w:rPr>
        <w:t xml:space="preserve"> 31 </w:t>
      </w:r>
      <w:proofErr w:type="spellStart"/>
      <w:r w:rsidRPr="004176CB">
        <w:rPr>
          <w:lang w:val="fr-FR"/>
        </w:rPr>
        <w:t>tháng</w:t>
      </w:r>
      <w:proofErr w:type="spellEnd"/>
      <w:r w:rsidRPr="004176CB">
        <w:rPr>
          <w:lang w:val="fr-FR"/>
        </w:rPr>
        <w:t xml:space="preserve"> 12 </w:t>
      </w:r>
      <w:proofErr w:type="spellStart"/>
      <w:r w:rsidRPr="004176CB">
        <w:rPr>
          <w:lang w:val="fr-FR"/>
        </w:rPr>
        <w:t>năm</w:t>
      </w:r>
      <w:proofErr w:type="spellEnd"/>
      <w:r w:rsidRPr="004176CB">
        <w:rPr>
          <w:lang w:val="fr-FR"/>
        </w:rPr>
        <w:t xml:space="preserve"> 2023, </w:t>
      </w:r>
      <w:proofErr w:type="spellStart"/>
      <w:r w:rsidRPr="004176CB">
        <w:rPr>
          <w:lang w:val="fr-FR"/>
        </w:rPr>
        <w:t>Quỹ</w:t>
      </w:r>
      <w:proofErr w:type="spellEnd"/>
      <w:r w:rsidRPr="004176CB">
        <w:rPr>
          <w:lang w:val="fr-FR"/>
        </w:rPr>
        <w:t xml:space="preserve"> </w:t>
      </w:r>
      <w:proofErr w:type="spellStart"/>
      <w:r w:rsidRPr="004176CB">
        <w:rPr>
          <w:lang w:val="fr-FR"/>
        </w:rPr>
        <w:t>không</w:t>
      </w:r>
      <w:proofErr w:type="spellEnd"/>
      <w:r w:rsidRPr="004176CB">
        <w:rPr>
          <w:lang w:val="fr-FR"/>
        </w:rPr>
        <w:t xml:space="preserve"> </w:t>
      </w:r>
      <w:proofErr w:type="spellStart"/>
      <w:r w:rsidRPr="004176CB">
        <w:rPr>
          <w:lang w:val="fr-FR"/>
        </w:rPr>
        <w:t>thực</w:t>
      </w:r>
      <w:proofErr w:type="spellEnd"/>
      <w:r w:rsidRPr="004176CB">
        <w:rPr>
          <w:lang w:val="fr-FR"/>
        </w:rPr>
        <w:t xml:space="preserve"> </w:t>
      </w:r>
      <w:proofErr w:type="spellStart"/>
      <w:r w:rsidRPr="004176CB">
        <w:rPr>
          <w:lang w:val="fr-FR"/>
        </w:rPr>
        <w:t>hiện</w:t>
      </w:r>
      <w:proofErr w:type="spellEnd"/>
      <w:r w:rsidRPr="004176CB">
        <w:rPr>
          <w:lang w:val="fr-FR"/>
        </w:rPr>
        <w:t xml:space="preserve"> </w:t>
      </w:r>
      <w:proofErr w:type="spellStart"/>
      <w:r w:rsidRPr="004176CB">
        <w:rPr>
          <w:lang w:val="fr-FR"/>
        </w:rPr>
        <w:t>phân</w:t>
      </w:r>
      <w:proofErr w:type="spellEnd"/>
      <w:r w:rsidRPr="004176CB">
        <w:rPr>
          <w:lang w:val="fr-FR"/>
        </w:rPr>
        <w:t xml:space="preserve"> </w:t>
      </w:r>
      <w:proofErr w:type="spellStart"/>
      <w:r w:rsidRPr="004176CB">
        <w:rPr>
          <w:lang w:val="fr-FR"/>
        </w:rPr>
        <w:t>phối</w:t>
      </w:r>
      <w:proofErr w:type="spellEnd"/>
      <w:r w:rsidRPr="004176CB">
        <w:rPr>
          <w:lang w:val="fr-FR"/>
        </w:rPr>
        <w:t xml:space="preserve"> </w:t>
      </w:r>
      <w:proofErr w:type="spellStart"/>
      <w:r w:rsidRPr="004176CB">
        <w:rPr>
          <w:lang w:val="fr-FR"/>
        </w:rPr>
        <w:t>lợi</w:t>
      </w:r>
      <w:proofErr w:type="spellEnd"/>
      <w:r w:rsidRPr="004176CB">
        <w:rPr>
          <w:lang w:val="fr-FR"/>
        </w:rPr>
        <w:t xml:space="preserve"> </w:t>
      </w:r>
      <w:proofErr w:type="spellStart"/>
      <w:r w:rsidRPr="004176CB">
        <w:rPr>
          <w:lang w:val="fr-FR"/>
        </w:rPr>
        <w:t>nhuận</w:t>
      </w:r>
      <w:proofErr w:type="spellEnd"/>
      <w:r w:rsidRPr="004176CB">
        <w:rPr>
          <w:lang w:val="fr-FR"/>
        </w:rPr>
        <w:t xml:space="preserve"> </w:t>
      </w:r>
      <w:proofErr w:type="spellStart"/>
      <w:r w:rsidRPr="004176CB">
        <w:rPr>
          <w:lang w:val="fr-FR"/>
        </w:rPr>
        <w:t>cho</w:t>
      </w:r>
      <w:proofErr w:type="spellEnd"/>
      <w:r w:rsidRPr="004176CB">
        <w:rPr>
          <w:lang w:val="fr-FR"/>
        </w:rPr>
        <w:t xml:space="preserve"> </w:t>
      </w:r>
      <w:proofErr w:type="spellStart"/>
      <w:r w:rsidRPr="004176CB">
        <w:rPr>
          <w:lang w:val="fr-FR"/>
        </w:rPr>
        <w:t>nhà</w:t>
      </w:r>
      <w:proofErr w:type="spellEnd"/>
      <w:r w:rsidRPr="004176CB">
        <w:rPr>
          <w:lang w:val="fr-FR"/>
        </w:rPr>
        <w:t xml:space="preserve"> </w:t>
      </w:r>
      <w:proofErr w:type="spellStart"/>
      <w:r w:rsidRPr="004176CB">
        <w:rPr>
          <w:lang w:val="fr-FR"/>
        </w:rPr>
        <w:t>đầu</w:t>
      </w:r>
      <w:proofErr w:type="spellEnd"/>
      <w:r w:rsidRPr="004176CB">
        <w:rPr>
          <w:lang w:val="fr-FR"/>
        </w:rPr>
        <w:t xml:space="preserve"> </w:t>
      </w:r>
      <w:proofErr w:type="spellStart"/>
      <w:r w:rsidRPr="004176CB">
        <w:rPr>
          <w:lang w:val="fr-FR"/>
        </w:rPr>
        <w:t>tư</w:t>
      </w:r>
      <w:proofErr w:type="spellEnd"/>
      <w:r w:rsidRPr="004176CB">
        <w:rPr>
          <w:lang w:val="fr-FR"/>
        </w:rPr>
        <w:t>.</w:t>
      </w:r>
    </w:p>
    <w:p w14:paraId="288AE4C6" w14:textId="77777777" w:rsidR="0092390B" w:rsidRPr="00FC4F13" w:rsidRDefault="0092390B" w:rsidP="00FC4F13">
      <w:pPr>
        <w:pStyle w:val="ListParagraph"/>
        <w:tabs>
          <w:tab w:val="left" w:pos="540"/>
          <w:tab w:val="left" w:pos="1134"/>
        </w:tabs>
        <w:spacing w:after="120" w:line="276" w:lineRule="auto"/>
        <w:ind w:left="0"/>
        <w:jc w:val="both"/>
        <w:rPr>
          <w:lang w:val="nl-NL"/>
        </w:rPr>
      </w:pPr>
    </w:p>
    <w:p w14:paraId="58945593" w14:textId="0D8453AE" w:rsidR="00B04C91" w:rsidRPr="00FC4F13" w:rsidRDefault="00222A9D" w:rsidP="00951963">
      <w:pPr>
        <w:pStyle w:val="ListParagraph"/>
        <w:tabs>
          <w:tab w:val="left" w:pos="540"/>
          <w:tab w:val="left" w:pos="1134"/>
        </w:tabs>
        <w:spacing w:line="276" w:lineRule="auto"/>
        <w:ind w:left="0"/>
        <w:jc w:val="both"/>
        <w:rPr>
          <w:lang w:val="nl-NL"/>
        </w:rPr>
      </w:pPr>
      <w:r w:rsidRPr="00FC4F13">
        <w:rPr>
          <w:lang w:val="nl-NL"/>
        </w:rPr>
        <w:t xml:space="preserve">5. </w:t>
      </w:r>
      <w:r w:rsidR="00B04C91" w:rsidRPr="00FC4F13">
        <w:rPr>
          <w:lang w:val="nl-NL"/>
        </w:rPr>
        <w:t>Báo cáo về hoạt động ủy quyền</w:t>
      </w:r>
    </w:p>
    <w:p w14:paraId="4DA3D99E" w14:textId="77777777" w:rsidR="00B04C91" w:rsidRPr="00FC4F13" w:rsidRDefault="00B04C91" w:rsidP="00951963">
      <w:pPr>
        <w:spacing w:before="120" w:after="120" w:line="276" w:lineRule="auto"/>
        <w:ind w:firstLine="420"/>
        <w:jc w:val="both"/>
        <w:rPr>
          <w:lang w:val="nl-NL"/>
        </w:rPr>
      </w:pPr>
      <w:r w:rsidRPr="00FC4F13">
        <w:rPr>
          <w:lang w:val="nl-NL"/>
        </w:rPr>
        <w:t>Công ty quản lý quỹ phải lập báo cáo đánh giá chất lượng dịch vụ cung cấp bởi các tổ chức khác (bên nhận ủy quyền), như dịch vụ đại lý chuyển nhượng, dịch vụ quản trị quỹ, dịch vụ xác định giá trị tài sản ròng...với các nội dung sau:</w:t>
      </w:r>
    </w:p>
    <w:p w14:paraId="21E06DD9" w14:textId="77777777" w:rsidR="00B04C91" w:rsidRPr="00FC4F13" w:rsidRDefault="00B04C91" w:rsidP="00FC4F13">
      <w:pPr>
        <w:pStyle w:val="ListParagraph"/>
        <w:numPr>
          <w:ilvl w:val="0"/>
          <w:numId w:val="10"/>
        </w:numPr>
        <w:tabs>
          <w:tab w:val="left" w:pos="993"/>
        </w:tabs>
        <w:spacing w:after="120" w:line="276" w:lineRule="auto"/>
        <w:jc w:val="both"/>
        <w:rPr>
          <w:b w:val="0"/>
          <w:lang w:val="nl-NL"/>
        </w:rPr>
      </w:pPr>
      <w:r w:rsidRPr="00FC4F13">
        <w:rPr>
          <w:b w:val="0"/>
          <w:lang w:val="nl-NL"/>
        </w:rPr>
        <w:t>Chi phí phải trả cho bên nhận ủy quyền so với lợi nhuận, thu nhập, tổng chi phí hoạt động của quỹ</w:t>
      </w:r>
      <w:r w:rsidR="00265C26" w:rsidRPr="00FC4F13">
        <w:rPr>
          <w:b w:val="0"/>
          <w:lang w:val="nl-NL"/>
        </w:rPr>
        <w:t>:</w:t>
      </w:r>
    </w:p>
    <w:tbl>
      <w:tblPr>
        <w:tblStyle w:val="PlainTable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43"/>
        <w:gridCol w:w="1843"/>
        <w:gridCol w:w="1710"/>
      </w:tblGrid>
      <w:tr w:rsidR="008B2C23" w:rsidRPr="00FC4F13" w14:paraId="307133B1" w14:textId="77777777" w:rsidTr="00E4394F">
        <w:trPr>
          <w:cnfStyle w:val="100000000000" w:firstRow="1" w:lastRow="0" w:firstColumn="0" w:lastColumn="0" w:oddVBand="0" w:evenVBand="0" w:oddHBand="0"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noWrap/>
          </w:tcPr>
          <w:p w14:paraId="109FC271" w14:textId="77777777" w:rsidR="008B2C23" w:rsidRPr="00FC4F13" w:rsidRDefault="008B2C23" w:rsidP="00951963">
            <w:pPr>
              <w:spacing w:before="120" w:after="120" w:line="276" w:lineRule="auto"/>
              <w:jc w:val="center"/>
              <w:rPr>
                <w:b w:val="0"/>
                <w:bCs w:val="0"/>
                <w:color w:val="000000" w:themeColor="text1"/>
              </w:rPr>
            </w:pPr>
            <w:proofErr w:type="spellStart"/>
            <w:r w:rsidRPr="00FC4F13">
              <w:rPr>
                <w:color w:val="000000" w:themeColor="text1"/>
              </w:rPr>
              <w:t>Chỉ</w:t>
            </w:r>
            <w:proofErr w:type="spellEnd"/>
            <w:r w:rsidRPr="00FC4F13">
              <w:rPr>
                <w:color w:val="000000" w:themeColor="text1"/>
              </w:rPr>
              <w:t xml:space="preserve"> </w:t>
            </w:r>
            <w:proofErr w:type="spellStart"/>
            <w:r w:rsidRPr="00FC4F13">
              <w:rPr>
                <w:color w:val="000000" w:themeColor="text1"/>
              </w:rPr>
              <w:t>tiêu</w:t>
            </w:r>
            <w:proofErr w:type="spellEnd"/>
          </w:p>
        </w:tc>
        <w:tc>
          <w:tcPr>
            <w:tcW w:w="1843" w:type="dxa"/>
            <w:shd w:val="clear" w:color="auto" w:fill="auto"/>
            <w:noWrap/>
          </w:tcPr>
          <w:p w14:paraId="5BF328AA" w14:textId="0615A387" w:rsidR="008B2C23" w:rsidRPr="00FC4F13" w:rsidRDefault="008B2C23" w:rsidP="00951963">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proofErr w:type="spellStart"/>
            <w:r w:rsidRPr="00FC4F13">
              <w:rPr>
                <w:color w:val="000000" w:themeColor="text1"/>
              </w:rPr>
              <w:t>Tỷ</w:t>
            </w:r>
            <w:proofErr w:type="spellEnd"/>
            <w:r w:rsidRPr="00FC4F13">
              <w:rPr>
                <w:color w:val="000000" w:themeColor="text1"/>
              </w:rPr>
              <w:t xml:space="preserve"> </w:t>
            </w:r>
            <w:proofErr w:type="spellStart"/>
            <w:r w:rsidRPr="00FC4F13">
              <w:rPr>
                <w:color w:val="000000" w:themeColor="text1"/>
              </w:rPr>
              <w:t>lệ</w:t>
            </w:r>
            <w:proofErr w:type="spellEnd"/>
            <w:r w:rsidRPr="00FC4F13">
              <w:rPr>
                <w:color w:val="000000" w:themeColor="text1"/>
              </w:rPr>
              <w:t xml:space="preserve"> so </w:t>
            </w:r>
            <w:proofErr w:type="spellStart"/>
            <w:r w:rsidRPr="00FC4F13">
              <w:rPr>
                <w:color w:val="000000" w:themeColor="text1"/>
              </w:rPr>
              <w:t>với</w:t>
            </w:r>
            <w:proofErr w:type="spellEnd"/>
            <w:r w:rsidRPr="00FC4F13">
              <w:rPr>
                <w:color w:val="000000" w:themeColor="text1"/>
              </w:rPr>
              <w:t xml:space="preserve"> </w:t>
            </w:r>
            <w:proofErr w:type="spellStart"/>
            <w:r w:rsidRPr="00FC4F13">
              <w:rPr>
                <w:color w:val="000000" w:themeColor="text1"/>
              </w:rPr>
              <w:t>lợi</w:t>
            </w:r>
            <w:proofErr w:type="spellEnd"/>
            <w:r w:rsidRPr="00FC4F13">
              <w:rPr>
                <w:color w:val="000000" w:themeColor="text1"/>
              </w:rPr>
              <w:t xml:space="preserve"> </w:t>
            </w:r>
            <w:proofErr w:type="spellStart"/>
            <w:r w:rsidRPr="00FC4F13">
              <w:rPr>
                <w:color w:val="000000" w:themeColor="text1"/>
              </w:rPr>
              <w:t>nhuận</w:t>
            </w:r>
            <w:proofErr w:type="spellEnd"/>
          </w:p>
        </w:tc>
        <w:tc>
          <w:tcPr>
            <w:tcW w:w="1843" w:type="dxa"/>
            <w:shd w:val="clear" w:color="auto" w:fill="auto"/>
          </w:tcPr>
          <w:p w14:paraId="1A6BE3C4" w14:textId="77777777" w:rsidR="008B2C23" w:rsidRPr="00FC4F13" w:rsidRDefault="008B2C23" w:rsidP="00951963">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proofErr w:type="spellStart"/>
            <w:r w:rsidRPr="00FC4F13">
              <w:rPr>
                <w:color w:val="000000" w:themeColor="text1"/>
              </w:rPr>
              <w:t>Tỷ</w:t>
            </w:r>
            <w:proofErr w:type="spellEnd"/>
            <w:r w:rsidRPr="00FC4F13">
              <w:rPr>
                <w:color w:val="000000" w:themeColor="text1"/>
              </w:rPr>
              <w:t xml:space="preserve"> </w:t>
            </w:r>
            <w:proofErr w:type="spellStart"/>
            <w:r w:rsidRPr="00FC4F13">
              <w:rPr>
                <w:color w:val="000000" w:themeColor="text1"/>
              </w:rPr>
              <w:t>lệ</w:t>
            </w:r>
            <w:proofErr w:type="spellEnd"/>
            <w:r w:rsidRPr="00FC4F13">
              <w:rPr>
                <w:color w:val="000000" w:themeColor="text1"/>
              </w:rPr>
              <w:t xml:space="preserve"> so </w:t>
            </w:r>
            <w:proofErr w:type="spellStart"/>
            <w:r w:rsidRPr="00FC4F13">
              <w:rPr>
                <w:color w:val="000000" w:themeColor="text1"/>
              </w:rPr>
              <w:t>với</w:t>
            </w:r>
            <w:proofErr w:type="spellEnd"/>
            <w:r w:rsidRPr="00FC4F13">
              <w:rPr>
                <w:color w:val="000000" w:themeColor="text1"/>
              </w:rPr>
              <w:t xml:space="preserve"> chi </w:t>
            </w:r>
            <w:proofErr w:type="spellStart"/>
            <w:r w:rsidRPr="00FC4F13">
              <w:rPr>
                <w:color w:val="000000" w:themeColor="text1"/>
              </w:rPr>
              <w:t>phí</w:t>
            </w:r>
            <w:proofErr w:type="spellEnd"/>
            <w:r w:rsidRPr="00FC4F13">
              <w:rPr>
                <w:color w:val="000000" w:themeColor="text1"/>
              </w:rPr>
              <w:t xml:space="preserve"> </w:t>
            </w:r>
            <w:proofErr w:type="spellStart"/>
            <w:r w:rsidRPr="00FC4F13">
              <w:rPr>
                <w:color w:val="000000" w:themeColor="text1"/>
              </w:rPr>
              <w:t>hoạt</w:t>
            </w:r>
            <w:proofErr w:type="spellEnd"/>
            <w:r w:rsidRPr="00FC4F13">
              <w:rPr>
                <w:color w:val="000000" w:themeColor="text1"/>
              </w:rPr>
              <w:t xml:space="preserve"> </w:t>
            </w:r>
            <w:proofErr w:type="spellStart"/>
            <w:r w:rsidRPr="00FC4F13">
              <w:rPr>
                <w:color w:val="000000" w:themeColor="text1"/>
              </w:rPr>
              <w:t>động</w:t>
            </w:r>
            <w:proofErr w:type="spellEnd"/>
          </w:p>
        </w:tc>
        <w:tc>
          <w:tcPr>
            <w:tcW w:w="1710" w:type="dxa"/>
            <w:shd w:val="clear" w:color="auto" w:fill="auto"/>
          </w:tcPr>
          <w:p w14:paraId="380DA028" w14:textId="072F35C8" w:rsidR="008B2C23" w:rsidRPr="00FC4F13" w:rsidRDefault="008B2C23" w:rsidP="00951963">
            <w:pPr>
              <w:spacing w:before="12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roofErr w:type="spellStart"/>
            <w:r w:rsidRPr="00FC4F13">
              <w:rPr>
                <w:color w:val="000000" w:themeColor="text1"/>
              </w:rPr>
              <w:t>Tỷ</w:t>
            </w:r>
            <w:proofErr w:type="spellEnd"/>
            <w:r w:rsidRPr="00FC4F13">
              <w:rPr>
                <w:color w:val="000000" w:themeColor="text1"/>
              </w:rPr>
              <w:t xml:space="preserve"> </w:t>
            </w:r>
            <w:proofErr w:type="spellStart"/>
            <w:r w:rsidRPr="00FC4F13">
              <w:rPr>
                <w:color w:val="000000" w:themeColor="text1"/>
              </w:rPr>
              <w:t>lệ</w:t>
            </w:r>
            <w:proofErr w:type="spellEnd"/>
            <w:r w:rsidRPr="00FC4F13">
              <w:rPr>
                <w:color w:val="000000" w:themeColor="text1"/>
              </w:rPr>
              <w:t xml:space="preserve"> so </w:t>
            </w:r>
            <w:proofErr w:type="spellStart"/>
            <w:r w:rsidRPr="00FC4F13">
              <w:rPr>
                <w:color w:val="000000" w:themeColor="text1"/>
              </w:rPr>
              <w:t>với</w:t>
            </w:r>
            <w:proofErr w:type="spellEnd"/>
          </w:p>
          <w:p w14:paraId="7DC60315" w14:textId="77777777" w:rsidR="008B2C23" w:rsidRPr="00FC4F13" w:rsidRDefault="008B2C23" w:rsidP="00951963">
            <w:pPr>
              <w:spacing w:after="120"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proofErr w:type="spellStart"/>
            <w:r w:rsidRPr="00FC4F13">
              <w:rPr>
                <w:color w:val="000000" w:themeColor="text1"/>
              </w:rPr>
              <w:t>thu</w:t>
            </w:r>
            <w:proofErr w:type="spellEnd"/>
            <w:r w:rsidRPr="00FC4F13">
              <w:rPr>
                <w:color w:val="000000" w:themeColor="text1"/>
              </w:rPr>
              <w:t xml:space="preserve"> </w:t>
            </w:r>
            <w:proofErr w:type="spellStart"/>
            <w:r w:rsidRPr="00FC4F13">
              <w:rPr>
                <w:color w:val="000000" w:themeColor="text1"/>
              </w:rPr>
              <w:t>nhập</w:t>
            </w:r>
            <w:proofErr w:type="spellEnd"/>
          </w:p>
        </w:tc>
      </w:tr>
      <w:tr w:rsidR="00D96F8E" w:rsidRPr="00FC4F13" w14:paraId="55FB1F46" w14:textId="77777777" w:rsidTr="00E4394F">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noWrap/>
          </w:tcPr>
          <w:p w14:paraId="01D8D8E8" w14:textId="77777777" w:rsidR="00D96F8E" w:rsidRPr="00FC4F13" w:rsidRDefault="00D96F8E" w:rsidP="00D96F8E">
            <w:pPr>
              <w:spacing w:before="120" w:after="120" w:line="276" w:lineRule="auto"/>
              <w:rPr>
                <w:b w:val="0"/>
                <w:color w:val="000000" w:themeColor="text1"/>
              </w:rPr>
            </w:pPr>
            <w:r w:rsidRPr="00FC4F13">
              <w:rPr>
                <w:b w:val="0"/>
                <w:color w:val="000000" w:themeColor="text1"/>
              </w:rPr>
              <w:t xml:space="preserve">Chi </w:t>
            </w:r>
            <w:proofErr w:type="spellStart"/>
            <w:r w:rsidRPr="00FC4F13">
              <w:rPr>
                <w:b w:val="0"/>
                <w:color w:val="000000" w:themeColor="text1"/>
              </w:rPr>
              <w:t>phí</w:t>
            </w:r>
            <w:proofErr w:type="spellEnd"/>
            <w:r w:rsidRPr="00FC4F13">
              <w:rPr>
                <w:b w:val="0"/>
                <w:color w:val="000000" w:themeColor="text1"/>
              </w:rPr>
              <w:t xml:space="preserve"> </w:t>
            </w:r>
            <w:proofErr w:type="spellStart"/>
            <w:r w:rsidRPr="00FC4F13">
              <w:rPr>
                <w:b w:val="0"/>
                <w:color w:val="000000" w:themeColor="text1"/>
              </w:rPr>
              <w:t>dịch</w:t>
            </w:r>
            <w:proofErr w:type="spellEnd"/>
            <w:r w:rsidRPr="00FC4F13">
              <w:rPr>
                <w:b w:val="0"/>
                <w:color w:val="000000" w:themeColor="text1"/>
              </w:rPr>
              <w:t xml:space="preserve"> </w:t>
            </w:r>
            <w:proofErr w:type="spellStart"/>
            <w:r w:rsidRPr="00FC4F13">
              <w:rPr>
                <w:b w:val="0"/>
                <w:color w:val="000000" w:themeColor="text1"/>
              </w:rPr>
              <w:t>vụ</w:t>
            </w:r>
            <w:proofErr w:type="spellEnd"/>
            <w:r w:rsidRPr="00FC4F13">
              <w:rPr>
                <w:b w:val="0"/>
                <w:color w:val="000000" w:themeColor="text1"/>
              </w:rPr>
              <w:t xml:space="preserve"> </w:t>
            </w:r>
            <w:proofErr w:type="spellStart"/>
            <w:r w:rsidRPr="00FC4F13">
              <w:rPr>
                <w:b w:val="0"/>
                <w:color w:val="000000" w:themeColor="text1"/>
              </w:rPr>
              <w:t>đại</w:t>
            </w:r>
            <w:proofErr w:type="spellEnd"/>
            <w:r w:rsidRPr="00FC4F13">
              <w:rPr>
                <w:b w:val="0"/>
                <w:color w:val="000000" w:themeColor="text1"/>
              </w:rPr>
              <w:t xml:space="preserve"> </w:t>
            </w:r>
            <w:proofErr w:type="spellStart"/>
            <w:r w:rsidRPr="00FC4F13">
              <w:rPr>
                <w:b w:val="0"/>
                <w:color w:val="000000" w:themeColor="text1"/>
              </w:rPr>
              <w:t>lý</w:t>
            </w:r>
            <w:proofErr w:type="spellEnd"/>
            <w:r w:rsidRPr="00FC4F13">
              <w:rPr>
                <w:b w:val="0"/>
                <w:color w:val="000000" w:themeColor="text1"/>
              </w:rPr>
              <w:t xml:space="preserve"> </w:t>
            </w:r>
            <w:proofErr w:type="spellStart"/>
            <w:r w:rsidRPr="00FC4F13">
              <w:rPr>
                <w:b w:val="0"/>
                <w:color w:val="000000" w:themeColor="text1"/>
              </w:rPr>
              <w:t>chuyển</w:t>
            </w:r>
            <w:proofErr w:type="spellEnd"/>
            <w:r w:rsidRPr="00FC4F13">
              <w:rPr>
                <w:b w:val="0"/>
                <w:color w:val="000000" w:themeColor="text1"/>
              </w:rPr>
              <w:t xml:space="preserve"> </w:t>
            </w:r>
            <w:proofErr w:type="spellStart"/>
            <w:r w:rsidRPr="00FC4F13">
              <w:rPr>
                <w:b w:val="0"/>
                <w:color w:val="000000" w:themeColor="text1"/>
              </w:rPr>
              <w:t>nhượng</w:t>
            </w:r>
            <w:proofErr w:type="spellEnd"/>
          </w:p>
        </w:tc>
        <w:tc>
          <w:tcPr>
            <w:tcW w:w="1843" w:type="dxa"/>
            <w:shd w:val="clear" w:color="auto" w:fill="auto"/>
            <w:noWrap/>
            <w:vAlign w:val="center"/>
          </w:tcPr>
          <w:p w14:paraId="7705FA52" w14:textId="614FD573" w:rsidR="00D96F8E" w:rsidRPr="00D96F8E" w:rsidRDefault="00D96F8E" w:rsidP="00D96F8E">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D96F8E">
              <w:rPr>
                <w:color w:val="000000"/>
              </w:rPr>
              <w:t>0.017%</w:t>
            </w:r>
          </w:p>
        </w:tc>
        <w:tc>
          <w:tcPr>
            <w:tcW w:w="1843" w:type="dxa"/>
            <w:shd w:val="clear" w:color="auto" w:fill="auto"/>
            <w:vAlign w:val="center"/>
          </w:tcPr>
          <w:p w14:paraId="3B6104EB" w14:textId="2F223CF1" w:rsidR="00D96F8E" w:rsidRPr="00D96F8E" w:rsidRDefault="00D96F8E" w:rsidP="00D96F8E">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b/>
                <w:bCs/>
                <w:color w:val="000000" w:themeColor="text1"/>
              </w:rPr>
            </w:pPr>
            <w:r w:rsidRPr="00D96F8E">
              <w:rPr>
                <w:color w:val="000000"/>
              </w:rPr>
              <w:t>0.406%</w:t>
            </w:r>
          </w:p>
        </w:tc>
        <w:tc>
          <w:tcPr>
            <w:tcW w:w="1710" w:type="dxa"/>
            <w:shd w:val="clear" w:color="auto" w:fill="auto"/>
            <w:vAlign w:val="center"/>
          </w:tcPr>
          <w:p w14:paraId="14066FC9" w14:textId="4C0D4CE3" w:rsidR="00D96F8E" w:rsidRPr="00D96F8E" w:rsidRDefault="00D96F8E" w:rsidP="00D96F8E">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b/>
                <w:bCs/>
                <w:color w:val="000000" w:themeColor="text1"/>
              </w:rPr>
            </w:pPr>
            <w:r w:rsidRPr="00D96F8E">
              <w:rPr>
                <w:color w:val="000000"/>
              </w:rPr>
              <w:t>0.016%</w:t>
            </w:r>
          </w:p>
        </w:tc>
      </w:tr>
      <w:tr w:rsidR="00D96F8E" w:rsidRPr="00FC4F13" w14:paraId="28941E38" w14:textId="77777777" w:rsidTr="00E4394F">
        <w:trPr>
          <w:trHeight w:val="4"/>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noWrap/>
          </w:tcPr>
          <w:p w14:paraId="1DEBB58C" w14:textId="77777777" w:rsidR="00D96F8E" w:rsidRPr="00FC4F13" w:rsidRDefault="00D96F8E" w:rsidP="00D96F8E">
            <w:pPr>
              <w:spacing w:before="120" w:after="120" w:line="276" w:lineRule="auto"/>
              <w:rPr>
                <w:b w:val="0"/>
                <w:color w:val="000000" w:themeColor="text1"/>
              </w:rPr>
            </w:pPr>
            <w:r w:rsidRPr="00FC4F13">
              <w:rPr>
                <w:b w:val="0"/>
                <w:color w:val="000000" w:themeColor="text1"/>
              </w:rPr>
              <w:t xml:space="preserve">Chi </w:t>
            </w:r>
            <w:proofErr w:type="spellStart"/>
            <w:r w:rsidRPr="00FC4F13">
              <w:rPr>
                <w:b w:val="0"/>
                <w:color w:val="000000" w:themeColor="text1"/>
              </w:rPr>
              <w:t>phí</w:t>
            </w:r>
            <w:proofErr w:type="spellEnd"/>
            <w:r w:rsidRPr="00FC4F13">
              <w:rPr>
                <w:b w:val="0"/>
                <w:color w:val="000000" w:themeColor="text1"/>
              </w:rPr>
              <w:t xml:space="preserve"> </w:t>
            </w:r>
            <w:proofErr w:type="spellStart"/>
            <w:r w:rsidRPr="00FC4F13">
              <w:rPr>
                <w:b w:val="0"/>
                <w:color w:val="000000" w:themeColor="text1"/>
              </w:rPr>
              <w:t>dịch</w:t>
            </w:r>
            <w:proofErr w:type="spellEnd"/>
            <w:r w:rsidRPr="00FC4F13">
              <w:rPr>
                <w:b w:val="0"/>
                <w:color w:val="000000" w:themeColor="text1"/>
              </w:rPr>
              <w:t xml:space="preserve"> </w:t>
            </w:r>
            <w:proofErr w:type="spellStart"/>
            <w:r w:rsidRPr="00FC4F13">
              <w:rPr>
                <w:b w:val="0"/>
                <w:color w:val="000000" w:themeColor="text1"/>
              </w:rPr>
              <w:t>vụ</w:t>
            </w:r>
            <w:proofErr w:type="spellEnd"/>
            <w:r w:rsidRPr="00FC4F13">
              <w:rPr>
                <w:b w:val="0"/>
                <w:color w:val="000000" w:themeColor="text1"/>
              </w:rPr>
              <w:t xml:space="preserve"> Quản </w:t>
            </w:r>
            <w:proofErr w:type="spellStart"/>
            <w:r w:rsidRPr="00FC4F13">
              <w:rPr>
                <w:b w:val="0"/>
                <w:color w:val="000000" w:themeColor="text1"/>
              </w:rPr>
              <w:t>trị</w:t>
            </w:r>
            <w:proofErr w:type="spellEnd"/>
            <w:r w:rsidRPr="00FC4F13">
              <w:rPr>
                <w:b w:val="0"/>
                <w:color w:val="000000" w:themeColor="text1"/>
              </w:rPr>
              <w:t xml:space="preserve"> </w:t>
            </w:r>
            <w:proofErr w:type="spellStart"/>
            <w:r w:rsidRPr="00FC4F13">
              <w:rPr>
                <w:b w:val="0"/>
                <w:color w:val="000000" w:themeColor="text1"/>
              </w:rPr>
              <w:t>Quỹ</w:t>
            </w:r>
            <w:proofErr w:type="spellEnd"/>
          </w:p>
        </w:tc>
        <w:tc>
          <w:tcPr>
            <w:tcW w:w="1843" w:type="dxa"/>
            <w:shd w:val="clear" w:color="auto" w:fill="auto"/>
            <w:noWrap/>
            <w:vAlign w:val="center"/>
          </w:tcPr>
          <w:p w14:paraId="76A06BA9" w14:textId="2EBC1030" w:rsidR="00D96F8E" w:rsidRPr="00D96F8E" w:rsidRDefault="00D96F8E" w:rsidP="00D96F8E">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b/>
                <w:bCs/>
                <w:color w:val="000000" w:themeColor="text1"/>
              </w:rPr>
            </w:pPr>
            <w:r w:rsidRPr="00D96F8E">
              <w:rPr>
                <w:color w:val="000000"/>
              </w:rPr>
              <w:t>0.137%</w:t>
            </w:r>
          </w:p>
        </w:tc>
        <w:tc>
          <w:tcPr>
            <w:tcW w:w="1843" w:type="dxa"/>
            <w:shd w:val="clear" w:color="auto" w:fill="auto"/>
            <w:vAlign w:val="center"/>
          </w:tcPr>
          <w:p w14:paraId="034F2E41" w14:textId="6010574A" w:rsidR="00D96F8E" w:rsidRPr="00D96F8E" w:rsidRDefault="00D96F8E" w:rsidP="00D96F8E">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b/>
                <w:bCs/>
                <w:color w:val="000000" w:themeColor="text1"/>
              </w:rPr>
            </w:pPr>
            <w:r w:rsidRPr="00D96F8E">
              <w:rPr>
                <w:color w:val="000000"/>
              </w:rPr>
              <w:t>3.193%</w:t>
            </w:r>
          </w:p>
        </w:tc>
        <w:tc>
          <w:tcPr>
            <w:tcW w:w="1710" w:type="dxa"/>
            <w:shd w:val="clear" w:color="auto" w:fill="auto"/>
            <w:vAlign w:val="center"/>
          </w:tcPr>
          <w:p w14:paraId="0FAE30D5" w14:textId="67BABC2B" w:rsidR="00D96F8E" w:rsidRPr="00D96F8E" w:rsidRDefault="00D96F8E" w:rsidP="00D96F8E">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b/>
                <w:bCs/>
                <w:color w:val="000000" w:themeColor="text1"/>
              </w:rPr>
            </w:pPr>
            <w:r w:rsidRPr="00D96F8E">
              <w:rPr>
                <w:color w:val="000000"/>
              </w:rPr>
              <w:t>0.129%</w:t>
            </w:r>
          </w:p>
        </w:tc>
      </w:tr>
    </w:tbl>
    <w:p w14:paraId="70E28FF7" w14:textId="3208CB02" w:rsidR="00B04C91" w:rsidRPr="00FC4F13" w:rsidRDefault="00B04C91" w:rsidP="00FC4F13">
      <w:pPr>
        <w:tabs>
          <w:tab w:val="left" w:pos="993"/>
        </w:tabs>
        <w:spacing w:before="120" w:after="120" w:line="276" w:lineRule="auto"/>
        <w:jc w:val="both"/>
        <w:rPr>
          <w:lang w:val="nl-NL"/>
        </w:rPr>
      </w:pPr>
      <w:r w:rsidRPr="00FC4F13">
        <w:rPr>
          <w:lang w:val="nl-NL"/>
        </w:rPr>
        <w:t>b)  Các ảnh hưởng (nếu có) của hoạt động ủy quyền tới lợi nhuận, mức độ rủi ro của</w:t>
      </w:r>
      <w:r w:rsidR="00983E44" w:rsidRPr="00FC4F13">
        <w:rPr>
          <w:lang w:val="nl-NL"/>
        </w:rPr>
        <w:t xml:space="preserve"> quỹ : Chỉ làm tăng chi phí nhưng không đáng kể, hạn chế tối thiểu mức độ rủi ro ảnh hưởng đến hoạt động của Quỹ </w:t>
      </w:r>
    </w:p>
    <w:p w14:paraId="3EB9E95F" w14:textId="16A76BB7" w:rsidR="00B04C91" w:rsidRPr="00FC4F13" w:rsidRDefault="00B04C91" w:rsidP="00FC4F13">
      <w:pPr>
        <w:tabs>
          <w:tab w:val="left" w:pos="993"/>
        </w:tabs>
        <w:spacing w:after="120" w:line="276" w:lineRule="auto"/>
        <w:jc w:val="both"/>
        <w:rPr>
          <w:lang w:val="nl-NL"/>
        </w:rPr>
      </w:pPr>
      <w:r w:rsidRPr="00FC4F13">
        <w:rPr>
          <w:lang w:val="nl-NL"/>
        </w:rPr>
        <w:lastRenderedPageBreak/>
        <w:t>c)  Tổng chi phí các hoạt động ủy quyền phải trả cho bên nhận ủy quyền (trường hợp bên nhận ủy quyền cung cấp nhiều d</w:t>
      </w:r>
      <w:r w:rsidR="00E71ECD" w:rsidRPr="00FC4F13">
        <w:rPr>
          <w:lang w:val="nl-NL"/>
        </w:rPr>
        <w:t>ịch vụ cho công ty quản lý quỹ):</w:t>
      </w:r>
    </w:p>
    <w:tbl>
      <w:tblPr>
        <w:tblW w:w="8926" w:type="dxa"/>
        <w:tblLook w:val="04A0" w:firstRow="1" w:lastRow="0" w:firstColumn="1" w:lastColumn="0" w:noHBand="0" w:noVBand="1"/>
      </w:tblPr>
      <w:tblGrid>
        <w:gridCol w:w="670"/>
        <w:gridCol w:w="5704"/>
        <w:gridCol w:w="2552"/>
      </w:tblGrid>
      <w:tr w:rsidR="00184C77" w:rsidRPr="00FC4F13" w14:paraId="2090309A" w14:textId="77777777" w:rsidTr="00E4394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B9E1F" w14:textId="77777777" w:rsidR="00184C77" w:rsidRPr="00FC4F13" w:rsidRDefault="00184C77" w:rsidP="00FC4F13">
            <w:pPr>
              <w:spacing w:line="276" w:lineRule="auto"/>
              <w:jc w:val="center"/>
              <w:rPr>
                <w:b/>
                <w:bCs/>
                <w:color w:val="000000"/>
              </w:rPr>
            </w:pPr>
            <w:r w:rsidRPr="00FC4F13">
              <w:rPr>
                <w:b/>
                <w:bCs/>
                <w:color w:val="000000"/>
              </w:rPr>
              <w:t>STT</w:t>
            </w:r>
          </w:p>
        </w:tc>
        <w:tc>
          <w:tcPr>
            <w:tcW w:w="5704" w:type="dxa"/>
            <w:tcBorders>
              <w:top w:val="single" w:sz="4" w:space="0" w:color="auto"/>
              <w:left w:val="nil"/>
              <w:bottom w:val="single" w:sz="4" w:space="0" w:color="auto"/>
              <w:right w:val="single" w:sz="4" w:space="0" w:color="auto"/>
            </w:tcBorders>
            <w:shd w:val="clear" w:color="auto" w:fill="auto"/>
            <w:noWrap/>
            <w:vAlign w:val="center"/>
            <w:hideMark/>
          </w:tcPr>
          <w:p w14:paraId="50BDDF68" w14:textId="77777777" w:rsidR="00184C77" w:rsidRPr="00FC4F13" w:rsidRDefault="00184C77" w:rsidP="00FC4F13">
            <w:pPr>
              <w:spacing w:line="276" w:lineRule="auto"/>
              <w:jc w:val="center"/>
              <w:rPr>
                <w:b/>
                <w:bCs/>
                <w:color w:val="000000"/>
              </w:rPr>
            </w:pPr>
            <w:proofErr w:type="spellStart"/>
            <w:r w:rsidRPr="00FC4F13">
              <w:rPr>
                <w:b/>
                <w:bCs/>
                <w:color w:val="000000"/>
              </w:rPr>
              <w:t>Chỉ</w:t>
            </w:r>
            <w:proofErr w:type="spellEnd"/>
            <w:r w:rsidRPr="00FC4F13">
              <w:rPr>
                <w:b/>
                <w:bCs/>
                <w:color w:val="000000"/>
              </w:rPr>
              <w:t xml:space="preserve"> </w:t>
            </w:r>
            <w:proofErr w:type="spellStart"/>
            <w:r w:rsidRPr="00FC4F13">
              <w:rPr>
                <w:b/>
                <w:bCs/>
                <w:color w:val="000000"/>
              </w:rPr>
              <w:t>tiêu</w:t>
            </w:r>
            <w:proofErr w:type="spellEnd"/>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1F3071F3" w14:textId="77777777" w:rsidR="00184C77" w:rsidRPr="00FC4F13" w:rsidRDefault="00184C77" w:rsidP="00FC4F13">
            <w:pPr>
              <w:spacing w:line="276" w:lineRule="auto"/>
              <w:jc w:val="center"/>
              <w:rPr>
                <w:b/>
                <w:bCs/>
                <w:color w:val="000000"/>
              </w:rPr>
            </w:pPr>
            <w:r w:rsidRPr="00FC4F13">
              <w:rPr>
                <w:b/>
                <w:bCs/>
                <w:color w:val="000000"/>
              </w:rPr>
              <w:t xml:space="preserve"> </w:t>
            </w:r>
            <w:proofErr w:type="spellStart"/>
            <w:r w:rsidRPr="00FC4F13">
              <w:rPr>
                <w:b/>
                <w:bCs/>
                <w:color w:val="000000"/>
              </w:rPr>
              <w:t>Số</w:t>
            </w:r>
            <w:proofErr w:type="spellEnd"/>
            <w:r w:rsidRPr="00FC4F13">
              <w:rPr>
                <w:b/>
                <w:bCs/>
                <w:color w:val="000000"/>
              </w:rPr>
              <w:t xml:space="preserve"> </w:t>
            </w:r>
            <w:proofErr w:type="spellStart"/>
            <w:r w:rsidRPr="00FC4F13">
              <w:rPr>
                <w:b/>
                <w:bCs/>
                <w:color w:val="000000"/>
              </w:rPr>
              <w:t>liệu</w:t>
            </w:r>
            <w:proofErr w:type="spellEnd"/>
            <w:r w:rsidRPr="00FC4F13">
              <w:rPr>
                <w:b/>
                <w:bCs/>
                <w:color w:val="000000"/>
              </w:rPr>
              <w:t xml:space="preserve"> </w:t>
            </w:r>
          </w:p>
        </w:tc>
      </w:tr>
      <w:tr w:rsidR="007220E0" w:rsidRPr="00FC4F13" w14:paraId="0CDC7C0D" w14:textId="77777777" w:rsidTr="00500138">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6A535B2" w14:textId="77777777" w:rsidR="007220E0" w:rsidRPr="00FC4F13" w:rsidRDefault="007220E0" w:rsidP="007220E0">
            <w:pPr>
              <w:spacing w:line="276" w:lineRule="auto"/>
              <w:jc w:val="center"/>
              <w:rPr>
                <w:color w:val="000000"/>
              </w:rPr>
            </w:pPr>
            <w:r w:rsidRPr="00FC4F13">
              <w:rPr>
                <w:color w:val="000000"/>
              </w:rPr>
              <w:t>1</w:t>
            </w:r>
          </w:p>
        </w:tc>
        <w:tc>
          <w:tcPr>
            <w:tcW w:w="5704" w:type="dxa"/>
            <w:tcBorders>
              <w:top w:val="nil"/>
              <w:left w:val="nil"/>
              <w:bottom w:val="single" w:sz="4" w:space="0" w:color="auto"/>
              <w:right w:val="single" w:sz="4" w:space="0" w:color="auto"/>
            </w:tcBorders>
            <w:shd w:val="clear" w:color="auto" w:fill="auto"/>
            <w:noWrap/>
            <w:vAlign w:val="center"/>
            <w:hideMark/>
          </w:tcPr>
          <w:p w14:paraId="1B09DEE2" w14:textId="77777777" w:rsidR="007220E0" w:rsidRPr="00FC4F13" w:rsidRDefault="007220E0" w:rsidP="007220E0">
            <w:pPr>
              <w:spacing w:line="276" w:lineRule="auto"/>
              <w:rPr>
                <w:color w:val="000000"/>
              </w:rPr>
            </w:pPr>
            <w:r w:rsidRPr="00FC4F13">
              <w:rPr>
                <w:color w:val="000000"/>
              </w:rPr>
              <w:t xml:space="preserve">Chi </w:t>
            </w:r>
            <w:proofErr w:type="spellStart"/>
            <w:r w:rsidRPr="00FC4F13">
              <w:rPr>
                <w:color w:val="000000"/>
              </w:rPr>
              <w:t>phí</w:t>
            </w:r>
            <w:proofErr w:type="spellEnd"/>
            <w:r w:rsidRPr="00FC4F13">
              <w:rPr>
                <w:color w:val="000000"/>
              </w:rPr>
              <w:t xml:space="preserve"> </w:t>
            </w:r>
            <w:proofErr w:type="spellStart"/>
            <w:r w:rsidRPr="00FC4F13">
              <w:rPr>
                <w:color w:val="000000"/>
              </w:rPr>
              <w:t>dịch</w:t>
            </w:r>
            <w:proofErr w:type="spellEnd"/>
            <w:r w:rsidRPr="00FC4F13">
              <w:rPr>
                <w:color w:val="000000"/>
              </w:rPr>
              <w:t xml:space="preserve"> </w:t>
            </w:r>
            <w:proofErr w:type="spellStart"/>
            <w:r w:rsidRPr="00FC4F13">
              <w:rPr>
                <w:color w:val="000000"/>
              </w:rPr>
              <w:t>vụ</w:t>
            </w:r>
            <w:proofErr w:type="spellEnd"/>
            <w:r w:rsidRPr="00FC4F13">
              <w:rPr>
                <w:color w:val="000000"/>
              </w:rPr>
              <w:t xml:space="preserve"> </w:t>
            </w:r>
            <w:proofErr w:type="spellStart"/>
            <w:r w:rsidRPr="00FC4F13">
              <w:rPr>
                <w:color w:val="000000"/>
              </w:rPr>
              <w:t>Đại</w:t>
            </w:r>
            <w:proofErr w:type="spellEnd"/>
            <w:r w:rsidRPr="00FC4F13">
              <w:rPr>
                <w:color w:val="000000"/>
              </w:rPr>
              <w:t xml:space="preserve"> </w:t>
            </w:r>
            <w:proofErr w:type="spellStart"/>
            <w:r w:rsidRPr="00FC4F13">
              <w:rPr>
                <w:color w:val="000000"/>
              </w:rPr>
              <w:t>lý</w:t>
            </w:r>
            <w:proofErr w:type="spellEnd"/>
            <w:r w:rsidRPr="00FC4F13">
              <w:rPr>
                <w:color w:val="000000"/>
              </w:rPr>
              <w:t xml:space="preserve"> </w:t>
            </w:r>
            <w:proofErr w:type="spellStart"/>
            <w:r w:rsidRPr="00FC4F13">
              <w:rPr>
                <w:color w:val="000000"/>
              </w:rPr>
              <w:t>chuyển</w:t>
            </w:r>
            <w:proofErr w:type="spellEnd"/>
            <w:r w:rsidRPr="00FC4F13">
              <w:rPr>
                <w:color w:val="000000"/>
              </w:rPr>
              <w:t xml:space="preserve"> </w:t>
            </w:r>
            <w:proofErr w:type="spellStart"/>
            <w:r w:rsidRPr="00FC4F13">
              <w:rPr>
                <w:color w:val="000000"/>
              </w:rPr>
              <w:t>nhượng</w:t>
            </w:r>
            <w:proofErr w:type="spellEnd"/>
          </w:p>
        </w:tc>
        <w:tc>
          <w:tcPr>
            <w:tcW w:w="2552" w:type="dxa"/>
            <w:tcBorders>
              <w:top w:val="nil"/>
              <w:left w:val="nil"/>
              <w:bottom w:val="single" w:sz="4" w:space="0" w:color="auto"/>
              <w:right w:val="single" w:sz="4" w:space="0" w:color="auto"/>
            </w:tcBorders>
            <w:shd w:val="clear" w:color="auto" w:fill="auto"/>
            <w:noWrap/>
            <w:vAlign w:val="center"/>
          </w:tcPr>
          <w:p w14:paraId="64B8492F" w14:textId="27FBC413" w:rsidR="007220E0" w:rsidRPr="007220E0" w:rsidRDefault="007220E0" w:rsidP="007220E0">
            <w:pPr>
              <w:spacing w:line="276" w:lineRule="auto"/>
              <w:jc w:val="right"/>
              <w:rPr>
                <w:color w:val="000000"/>
              </w:rPr>
            </w:pPr>
            <w:r w:rsidRPr="007220E0">
              <w:rPr>
                <w:color w:val="000000"/>
              </w:rPr>
              <w:t xml:space="preserve">133,100,000 </w:t>
            </w:r>
          </w:p>
        </w:tc>
      </w:tr>
      <w:tr w:rsidR="007220E0" w:rsidRPr="00FC4F13" w14:paraId="352F8F93" w14:textId="77777777" w:rsidTr="00500138">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18FA863" w14:textId="77777777" w:rsidR="007220E0" w:rsidRPr="00FC4F13" w:rsidRDefault="007220E0" w:rsidP="007220E0">
            <w:pPr>
              <w:spacing w:line="276" w:lineRule="auto"/>
              <w:jc w:val="center"/>
              <w:rPr>
                <w:color w:val="000000"/>
              </w:rPr>
            </w:pPr>
            <w:r w:rsidRPr="00FC4F13">
              <w:rPr>
                <w:color w:val="000000"/>
              </w:rPr>
              <w:t>2</w:t>
            </w:r>
          </w:p>
        </w:tc>
        <w:tc>
          <w:tcPr>
            <w:tcW w:w="5704" w:type="dxa"/>
            <w:tcBorders>
              <w:top w:val="nil"/>
              <w:left w:val="nil"/>
              <w:bottom w:val="single" w:sz="4" w:space="0" w:color="auto"/>
              <w:right w:val="single" w:sz="4" w:space="0" w:color="auto"/>
            </w:tcBorders>
            <w:shd w:val="clear" w:color="auto" w:fill="auto"/>
            <w:noWrap/>
            <w:vAlign w:val="center"/>
            <w:hideMark/>
          </w:tcPr>
          <w:p w14:paraId="7F3B9123" w14:textId="77777777" w:rsidR="007220E0" w:rsidRPr="00FC4F13" w:rsidRDefault="007220E0" w:rsidP="007220E0">
            <w:pPr>
              <w:spacing w:line="276" w:lineRule="auto"/>
              <w:rPr>
                <w:color w:val="000000"/>
              </w:rPr>
            </w:pPr>
            <w:r w:rsidRPr="00FC4F13">
              <w:rPr>
                <w:color w:val="000000"/>
              </w:rPr>
              <w:t xml:space="preserve">Chi </w:t>
            </w:r>
            <w:proofErr w:type="spellStart"/>
            <w:r w:rsidRPr="00FC4F13">
              <w:rPr>
                <w:color w:val="000000"/>
              </w:rPr>
              <w:t>phí</w:t>
            </w:r>
            <w:proofErr w:type="spellEnd"/>
            <w:r w:rsidRPr="00FC4F13">
              <w:rPr>
                <w:color w:val="000000"/>
              </w:rPr>
              <w:t xml:space="preserve"> </w:t>
            </w:r>
            <w:proofErr w:type="spellStart"/>
            <w:r w:rsidRPr="00FC4F13">
              <w:rPr>
                <w:color w:val="000000"/>
              </w:rPr>
              <w:t>dịch</w:t>
            </w:r>
            <w:proofErr w:type="spellEnd"/>
            <w:r w:rsidRPr="00FC4F13">
              <w:rPr>
                <w:color w:val="000000"/>
              </w:rPr>
              <w:t xml:space="preserve"> </w:t>
            </w:r>
            <w:proofErr w:type="spellStart"/>
            <w:r w:rsidRPr="00FC4F13">
              <w:rPr>
                <w:color w:val="000000"/>
              </w:rPr>
              <w:t>vụ</w:t>
            </w:r>
            <w:proofErr w:type="spellEnd"/>
            <w:r w:rsidRPr="00FC4F13">
              <w:rPr>
                <w:color w:val="000000"/>
              </w:rPr>
              <w:t xml:space="preserve"> Quản </w:t>
            </w:r>
            <w:proofErr w:type="spellStart"/>
            <w:r w:rsidRPr="00FC4F13">
              <w:rPr>
                <w:color w:val="000000"/>
              </w:rPr>
              <w:t>trị</w:t>
            </w:r>
            <w:proofErr w:type="spellEnd"/>
            <w:r w:rsidRPr="00FC4F13">
              <w:rPr>
                <w:color w:val="000000"/>
              </w:rPr>
              <w:t xml:space="preserve"> </w:t>
            </w:r>
            <w:proofErr w:type="spellStart"/>
            <w:r w:rsidRPr="00FC4F13">
              <w:rPr>
                <w:color w:val="000000"/>
              </w:rPr>
              <w:t>Quỹ</w:t>
            </w:r>
            <w:proofErr w:type="spellEnd"/>
          </w:p>
        </w:tc>
        <w:tc>
          <w:tcPr>
            <w:tcW w:w="2552" w:type="dxa"/>
            <w:tcBorders>
              <w:top w:val="nil"/>
              <w:left w:val="nil"/>
              <w:bottom w:val="single" w:sz="4" w:space="0" w:color="auto"/>
              <w:right w:val="single" w:sz="4" w:space="0" w:color="auto"/>
            </w:tcBorders>
            <w:shd w:val="clear" w:color="auto" w:fill="auto"/>
            <w:noWrap/>
            <w:vAlign w:val="center"/>
          </w:tcPr>
          <w:p w14:paraId="2B3BEE3E" w14:textId="04C5813D" w:rsidR="007220E0" w:rsidRPr="007220E0" w:rsidRDefault="007220E0" w:rsidP="007220E0">
            <w:pPr>
              <w:spacing w:line="276" w:lineRule="auto"/>
              <w:jc w:val="right"/>
              <w:rPr>
                <w:color w:val="000000"/>
              </w:rPr>
            </w:pPr>
            <w:r w:rsidRPr="007220E0">
              <w:rPr>
                <w:color w:val="000000"/>
              </w:rPr>
              <w:t xml:space="preserve">1,045,644,560 </w:t>
            </w:r>
          </w:p>
        </w:tc>
      </w:tr>
      <w:tr w:rsidR="007220E0" w:rsidRPr="00FC4F13" w14:paraId="2AF67A5C" w14:textId="77777777" w:rsidTr="00500138">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CA3C614" w14:textId="77777777" w:rsidR="007220E0" w:rsidRPr="00FC4F13" w:rsidRDefault="007220E0" w:rsidP="007220E0">
            <w:pPr>
              <w:spacing w:line="276" w:lineRule="auto"/>
              <w:rPr>
                <w:color w:val="000000"/>
              </w:rPr>
            </w:pPr>
            <w:r w:rsidRPr="00FC4F13">
              <w:rPr>
                <w:color w:val="000000"/>
              </w:rPr>
              <w:t> </w:t>
            </w:r>
          </w:p>
        </w:tc>
        <w:tc>
          <w:tcPr>
            <w:tcW w:w="5704" w:type="dxa"/>
            <w:tcBorders>
              <w:top w:val="nil"/>
              <w:left w:val="nil"/>
              <w:bottom w:val="single" w:sz="4" w:space="0" w:color="auto"/>
              <w:right w:val="single" w:sz="4" w:space="0" w:color="auto"/>
            </w:tcBorders>
            <w:shd w:val="clear" w:color="auto" w:fill="auto"/>
            <w:noWrap/>
            <w:vAlign w:val="center"/>
            <w:hideMark/>
          </w:tcPr>
          <w:p w14:paraId="31F2D8A4" w14:textId="77777777" w:rsidR="007220E0" w:rsidRPr="00FC4F13" w:rsidRDefault="007220E0" w:rsidP="007220E0">
            <w:pPr>
              <w:spacing w:line="276" w:lineRule="auto"/>
              <w:rPr>
                <w:b/>
                <w:bCs/>
                <w:color w:val="000000"/>
              </w:rPr>
            </w:pPr>
            <w:proofErr w:type="spellStart"/>
            <w:r w:rsidRPr="00FC4F13">
              <w:rPr>
                <w:b/>
                <w:bCs/>
                <w:color w:val="000000"/>
              </w:rPr>
              <w:t>Tổng</w:t>
            </w:r>
            <w:proofErr w:type="spellEnd"/>
            <w:r w:rsidRPr="00FC4F13">
              <w:rPr>
                <w:b/>
                <w:bCs/>
                <w:color w:val="000000"/>
              </w:rPr>
              <w:t xml:space="preserve"> </w:t>
            </w:r>
            <w:proofErr w:type="spellStart"/>
            <w:r w:rsidRPr="00FC4F13">
              <w:rPr>
                <w:b/>
                <w:bCs/>
                <w:color w:val="000000"/>
              </w:rPr>
              <w:t>cộng</w:t>
            </w:r>
            <w:proofErr w:type="spellEnd"/>
          </w:p>
        </w:tc>
        <w:tc>
          <w:tcPr>
            <w:tcW w:w="2552" w:type="dxa"/>
            <w:tcBorders>
              <w:top w:val="nil"/>
              <w:left w:val="nil"/>
              <w:bottom w:val="single" w:sz="4" w:space="0" w:color="auto"/>
              <w:right w:val="single" w:sz="4" w:space="0" w:color="auto"/>
            </w:tcBorders>
            <w:shd w:val="clear" w:color="auto" w:fill="auto"/>
            <w:noWrap/>
            <w:vAlign w:val="center"/>
          </w:tcPr>
          <w:p w14:paraId="4C6DCA4B" w14:textId="399ADAB7" w:rsidR="007220E0" w:rsidRPr="007220E0" w:rsidRDefault="007220E0" w:rsidP="007220E0">
            <w:pPr>
              <w:spacing w:line="276" w:lineRule="auto"/>
              <w:jc w:val="right"/>
              <w:rPr>
                <w:b/>
                <w:bCs/>
                <w:color w:val="000000"/>
              </w:rPr>
            </w:pPr>
            <w:r w:rsidRPr="007220E0">
              <w:rPr>
                <w:b/>
                <w:bCs/>
                <w:color w:val="000000"/>
              </w:rPr>
              <w:t xml:space="preserve">1,178,744,560 </w:t>
            </w:r>
          </w:p>
        </w:tc>
      </w:tr>
    </w:tbl>
    <w:p w14:paraId="53AAF06A" w14:textId="44310901" w:rsidR="00222A9D" w:rsidRPr="00FC4F13" w:rsidRDefault="00B04C91" w:rsidP="00FC4F13">
      <w:pPr>
        <w:tabs>
          <w:tab w:val="left" w:pos="993"/>
        </w:tabs>
        <w:spacing w:before="120" w:after="120" w:line="276" w:lineRule="auto"/>
        <w:jc w:val="both"/>
        <w:rPr>
          <w:lang w:val="nl-NL"/>
        </w:rPr>
      </w:pPr>
      <w:bookmarkStart w:id="4" w:name="_MON_1488630532"/>
      <w:bookmarkStart w:id="5" w:name="_MON_1625576876"/>
      <w:bookmarkEnd w:id="4"/>
      <w:bookmarkEnd w:id="5"/>
      <w:r w:rsidRPr="00FC4F13">
        <w:rPr>
          <w:lang w:val="nl-NL"/>
        </w:rPr>
        <w:t>d)  Đánh giá khả năng duy trì hệ thống kiểm soát nội bộ, quản trị rủi ro, tính bảo mật, hạ tầng cơ sở vật chất kỹ thuật, hệ thống dự phòng nóng, hệ thống dư phòng thảm họa... của bên nhận ủy quyền, bảo đảm hoạt động ủy quyền được thực hiện thông suốt, không gây ảnh hưởng tới h</w:t>
      </w:r>
      <w:r w:rsidR="000C7857" w:rsidRPr="00FC4F13">
        <w:rPr>
          <w:lang w:val="nl-NL"/>
        </w:rPr>
        <w:t>oạt động đầu tư của nhà đầu tư: Tốt</w:t>
      </w:r>
    </w:p>
    <w:tbl>
      <w:tblPr>
        <w:tblW w:w="9356" w:type="dxa"/>
        <w:tblLook w:val="01E0" w:firstRow="1" w:lastRow="1" w:firstColumn="1" w:lastColumn="1" w:noHBand="0" w:noVBand="0"/>
      </w:tblPr>
      <w:tblGrid>
        <w:gridCol w:w="4111"/>
        <w:gridCol w:w="5245"/>
      </w:tblGrid>
      <w:tr w:rsidR="00951963" w:rsidRPr="00BE6006" w14:paraId="19479088" w14:textId="77777777" w:rsidTr="0052154C">
        <w:tc>
          <w:tcPr>
            <w:tcW w:w="4111" w:type="dxa"/>
          </w:tcPr>
          <w:p w14:paraId="65D9D718" w14:textId="77777777" w:rsidR="00951963" w:rsidRPr="00BE6006" w:rsidRDefault="00951963" w:rsidP="00A41AB6">
            <w:pPr>
              <w:spacing w:before="120" w:after="120" w:line="276" w:lineRule="auto"/>
            </w:pPr>
            <w:proofErr w:type="spellStart"/>
            <w:r w:rsidRPr="00BE6006">
              <w:rPr>
                <w:b/>
                <w:i/>
              </w:rPr>
              <w:t>Nơi</w:t>
            </w:r>
            <w:proofErr w:type="spellEnd"/>
            <w:r w:rsidRPr="00BE6006">
              <w:rPr>
                <w:b/>
                <w:i/>
              </w:rPr>
              <w:t xml:space="preserve"> </w:t>
            </w:r>
            <w:proofErr w:type="spellStart"/>
            <w:r w:rsidRPr="00BE6006">
              <w:rPr>
                <w:b/>
                <w:i/>
              </w:rPr>
              <w:t>nhận</w:t>
            </w:r>
            <w:proofErr w:type="spellEnd"/>
            <w:r w:rsidRPr="00BE6006">
              <w:rPr>
                <w:b/>
                <w:i/>
              </w:rPr>
              <w:t>:</w:t>
            </w:r>
            <w:r w:rsidRPr="00BE6006">
              <w:rPr>
                <w:b/>
                <w:i/>
              </w:rPr>
              <w:br/>
            </w:r>
            <w:r w:rsidRPr="00BE6006">
              <w:t xml:space="preserve">- Như </w:t>
            </w:r>
            <w:proofErr w:type="spellStart"/>
            <w:r w:rsidRPr="00BE6006">
              <w:t>trên</w:t>
            </w:r>
            <w:proofErr w:type="spellEnd"/>
            <w:r w:rsidRPr="00BE6006">
              <w:t>;</w:t>
            </w:r>
            <w:r w:rsidRPr="00BE6006">
              <w:br/>
              <w:t>- Lưu:</w:t>
            </w:r>
          </w:p>
        </w:tc>
        <w:tc>
          <w:tcPr>
            <w:tcW w:w="5245" w:type="dxa"/>
          </w:tcPr>
          <w:p w14:paraId="3E2E5972" w14:textId="77777777" w:rsidR="0052154C" w:rsidRDefault="0052154C" w:rsidP="0052154C">
            <w:pPr>
              <w:spacing w:before="120" w:after="120" w:line="276" w:lineRule="auto"/>
              <w:jc w:val="center"/>
              <w:rPr>
                <w:i/>
              </w:rPr>
            </w:pPr>
            <w:r>
              <w:rPr>
                <w:b/>
              </w:rPr>
              <w:t>ĐẠI DIỆN CÓ THẨM QUYỀN CỦA</w:t>
            </w:r>
            <w:r w:rsidRPr="00BE6006">
              <w:rPr>
                <w:b/>
              </w:rPr>
              <w:br/>
              <w:t>CÔNG TY QUẢN LÝ QUỸ</w:t>
            </w:r>
            <w:r w:rsidRPr="00BE6006">
              <w:rPr>
                <w:b/>
              </w:rPr>
              <w:br/>
            </w:r>
            <w:r w:rsidRPr="00BE6006">
              <w:rPr>
                <w:i/>
              </w:rPr>
              <w:t>(</w:t>
            </w:r>
            <w:proofErr w:type="spellStart"/>
            <w:r w:rsidRPr="00BE6006">
              <w:rPr>
                <w:i/>
              </w:rPr>
              <w:t>Ký</w:t>
            </w:r>
            <w:proofErr w:type="spellEnd"/>
            <w:r w:rsidRPr="00BE6006">
              <w:rPr>
                <w:i/>
              </w:rPr>
              <w:t xml:space="preserve">, </w:t>
            </w:r>
            <w:proofErr w:type="spellStart"/>
            <w:r w:rsidRPr="00BE6006">
              <w:rPr>
                <w:i/>
              </w:rPr>
              <w:t>ghi</w:t>
            </w:r>
            <w:proofErr w:type="spellEnd"/>
            <w:r w:rsidRPr="00BE6006">
              <w:rPr>
                <w:i/>
              </w:rPr>
              <w:t xml:space="preserve"> </w:t>
            </w:r>
            <w:proofErr w:type="spellStart"/>
            <w:r w:rsidRPr="00BE6006">
              <w:rPr>
                <w:i/>
              </w:rPr>
              <w:t>rõ</w:t>
            </w:r>
            <w:proofErr w:type="spellEnd"/>
            <w:r w:rsidRPr="00BE6006">
              <w:rPr>
                <w:i/>
              </w:rPr>
              <w:t xml:space="preserve"> </w:t>
            </w:r>
            <w:proofErr w:type="spellStart"/>
            <w:r w:rsidRPr="00BE6006">
              <w:rPr>
                <w:i/>
              </w:rPr>
              <w:t>họ</w:t>
            </w:r>
            <w:proofErr w:type="spellEnd"/>
            <w:r w:rsidRPr="00BE6006">
              <w:rPr>
                <w:i/>
              </w:rPr>
              <w:t xml:space="preserve"> </w:t>
            </w:r>
            <w:proofErr w:type="spellStart"/>
            <w:r w:rsidRPr="00BE6006">
              <w:rPr>
                <w:i/>
              </w:rPr>
              <w:t>tên</w:t>
            </w:r>
            <w:proofErr w:type="spellEnd"/>
            <w:r w:rsidRPr="00BE6006">
              <w:rPr>
                <w:i/>
              </w:rPr>
              <w:t xml:space="preserve"> </w:t>
            </w:r>
            <w:proofErr w:type="spellStart"/>
            <w:r w:rsidRPr="00BE6006">
              <w:rPr>
                <w:i/>
              </w:rPr>
              <w:t>và</w:t>
            </w:r>
            <w:proofErr w:type="spellEnd"/>
            <w:r w:rsidRPr="00BE6006">
              <w:rPr>
                <w:i/>
              </w:rPr>
              <w:t xml:space="preserve"> </w:t>
            </w:r>
            <w:proofErr w:type="spellStart"/>
            <w:r w:rsidRPr="00BE6006">
              <w:rPr>
                <w:i/>
              </w:rPr>
              <w:t>đóng</w:t>
            </w:r>
            <w:proofErr w:type="spellEnd"/>
            <w:r w:rsidRPr="00BE6006">
              <w:rPr>
                <w:i/>
              </w:rPr>
              <w:t xml:space="preserve"> </w:t>
            </w:r>
            <w:proofErr w:type="spellStart"/>
            <w:r w:rsidRPr="00BE6006">
              <w:rPr>
                <w:i/>
              </w:rPr>
              <w:t>dấu</w:t>
            </w:r>
            <w:proofErr w:type="spellEnd"/>
            <w:r w:rsidRPr="00BE6006">
              <w:rPr>
                <w:i/>
              </w:rPr>
              <w:t>)</w:t>
            </w:r>
          </w:p>
          <w:p w14:paraId="132A4CF3" w14:textId="77777777" w:rsidR="0052154C" w:rsidRDefault="0052154C" w:rsidP="0052154C">
            <w:pPr>
              <w:spacing w:before="120" w:after="120" w:line="276" w:lineRule="auto"/>
              <w:jc w:val="center"/>
              <w:rPr>
                <w:i/>
              </w:rPr>
            </w:pPr>
          </w:p>
          <w:p w14:paraId="58D6B448" w14:textId="77777777" w:rsidR="0052154C" w:rsidRDefault="0052154C" w:rsidP="0052154C">
            <w:pPr>
              <w:spacing w:before="120" w:after="120" w:line="276" w:lineRule="auto"/>
              <w:jc w:val="center"/>
              <w:rPr>
                <w:i/>
              </w:rPr>
            </w:pPr>
          </w:p>
          <w:p w14:paraId="3FCF1C3A" w14:textId="77777777" w:rsidR="0052154C" w:rsidRDefault="0052154C" w:rsidP="0052154C">
            <w:pPr>
              <w:spacing w:before="120" w:after="120" w:line="276" w:lineRule="auto"/>
              <w:jc w:val="center"/>
              <w:rPr>
                <w:i/>
              </w:rPr>
            </w:pPr>
          </w:p>
          <w:p w14:paraId="077AB065" w14:textId="77777777" w:rsidR="0052154C" w:rsidRDefault="0052154C" w:rsidP="0052154C">
            <w:pPr>
              <w:spacing w:line="276" w:lineRule="auto"/>
              <w:jc w:val="center"/>
              <w:rPr>
                <w:b/>
                <w:bCs/>
                <w:iCs/>
              </w:rPr>
            </w:pPr>
            <w:r>
              <w:rPr>
                <w:b/>
                <w:bCs/>
                <w:iCs/>
              </w:rPr>
              <w:t>LÊ HOÀNG ANH</w:t>
            </w:r>
          </w:p>
          <w:p w14:paraId="711DA4C8" w14:textId="08CDC592" w:rsidR="00951963" w:rsidRPr="00BE6006" w:rsidRDefault="0052154C" w:rsidP="0052154C">
            <w:pPr>
              <w:spacing w:before="120" w:after="120" w:line="276" w:lineRule="auto"/>
              <w:jc w:val="center"/>
              <w:rPr>
                <w:b/>
              </w:rPr>
            </w:pPr>
            <w:r>
              <w:rPr>
                <w:b/>
                <w:bCs/>
                <w:iCs/>
              </w:rPr>
              <w:t xml:space="preserve">Quyền </w:t>
            </w:r>
            <w:proofErr w:type="spellStart"/>
            <w:r>
              <w:rPr>
                <w:b/>
                <w:bCs/>
                <w:iCs/>
              </w:rPr>
              <w:t>Giám</w:t>
            </w:r>
            <w:proofErr w:type="spellEnd"/>
            <w:r>
              <w:rPr>
                <w:b/>
                <w:bCs/>
                <w:iCs/>
              </w:rPr>
              <w:t xml:space="preserve"> </w:t>
            </w:r>
            <w:proofErr w:type="spellStart"/>
            <w:r>
              <w:rPr>
                <w:b/>
                <w:bCs/>
                <w:iCs/>
              </w:rPr>
              <w:t>đốc</w:t>
            </w:r>
            <w:proofErr w:type="spellEnd"/>
            <w:r>
              <w:rPr>
                <w:b/>
                <w:bCs/>
                <w:iCs/>
              </w:rPr>
              <w:t xml:space="preserve"> </w:t>
            </w:r>
            <w:proofErr w:type="spellStart"/>
            <w:r>
              <w:rPr>
                <w:b/>
                <w:bCs/>
                <w:iCs/>
              </w:rPr>
              <w:t>nghiệp</w:t>
            </w:r>
            <w:proofErr w:type="spellEnd"/>
            <w:r>
              <w:rPr>
                <w:b/>
                <w:bCs/>
                <w:iCs/>
              </w:rPr>
              <w:t xml:space="preserve"> </w:t>
            </w:r>
            <w:proofErr w:type="spellStart"/>
            <w:r>
              <w:rPr>
                <w:b/>
                <w:bCs/>
                <w:iCs/>
              </w:rPr>
              <w:t>vụ</w:t>
            </w:r>
            <w:proofErr w:type="spellEnd"/>
            <w:r>
              <w:rPr>
                <w:b/>
                <w:bCs/>
                <w:iCs/>
              </w:rPr>
              <w:t xml:space="preserve"> </w:t>
            </w:r>
            <w:proofErr w:type="spellStart"/>
            <w:r>
              <w:rPr>
                <w:b/>
                <w:bCs/>
                <w:iCs/>
              </w:rPr>
              <w:t>Hỗ</w:t>
            </w:r>
            <w:proofErr w:type="spellEnd"/>
            <w:r>
              <w:rPr>
                <w:b/>
                <w:bCs/>
                <w:iCs/>
              </w:rPr>
              <w:t xml:space="preserve"> </w:t>
            </w:r>
            <w:proofErr w:type="spellStart"/>
            <w:r>
              <w:rPr>
                <w:b/>
                <w:bCs/>
                <w:iCs/>
              </w:rPr>
              <w:t>trợ</w:t>
            </w:r>
            <w:proofErr w:type="spellEnd"/>
            <w:r>
              <w:rPr>
                <w:b/>
                <w:bCs/>
                <w:iCs/>
              </w:rPr>
              <w:t xml:space="preserve"> </w:t>
            </w:r>
            <w:proofErr w:type="spellStart"/>
            <w:r>
              <w:rPr>
                <w:b/>
                <w:bCs/>
                <w:iCs/>
              </w:rPr>
              <w:t>Đầu</w:t>
            </w:r>
            <w:proofErr w:type="spellEnd"/>
            <w:r>
              <w:rPr>
                <w:b/>
                <w:bCs/>
                <w:iCs/>
              </w:rPr>
              <w:t xml:space="preserve"> </w:t>
            </w:r>
            <w:proofErr w:type="spellStart"/>
            <w:r>
              <w:rPr>
                <w:b/>
                <w:bCs/>
                <w:iCs/>
              </w:rPr>
              <w:t>tư</w:t>
            </w:r>
            <w:proofErr w:type="spellEnd"/>
          </w:p>
        </w:tc>
      </w:tr>
    </w:tbl>
    <w:p w14:paraId="7DCFA718" w14:textId="77777777" w:rsidR="00B04C91" w:rsidRPr="00FC4F13" w:rsidRDefault="00B04C91" w:rsidP="00FC4F13">
      <w:pPr>
        <w:spacing w:before="120" w:after="100" w:afterAutospacing="1" w:line="276" w:lineRule="auto"/>
        <w:jc w:val="both"/>
        <w:rPr>
          <w:b/>
          <w:lang w:val="nl-NL"/>
        </w:rPr>
      </w:pPr>
    </w:p>
    <w:sectPr w:rsidR="00B04C91" w:rsidRPr="00FC4F13" w:rsidSect="00FC4F13">
      <w:pgSz w:w="11906" w:h="16838"/>
      <w:pgMar w:top="1134"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A51A" w14:textId="77777777" w:rsidR="00C32CBD" w:rsidRDefault="00C32CBD" w:rsidP="000509E7">
      <w:r>
        <w:separator/>
      </w:r>
    </w:p>
  </w:endnote>
  <w:endnote w:type="continuationSeparator" w:id="0">
    <w:p w14:paraId="261033CD" w14:textId="77777777" w:rsidR="00C32CBD" w:rsidRDefault="00C32CBD" w:rsidP="0005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978D" w14:textId="77777777" w:rsidR="00C32CBD" w:rsidRDefault="00C32CBD" w:rsidP="000509E7">
      <w:r>
        <w:separator/>
      </w:r>
    </w:p>
  </w:footnote>
  <w:footnote w:type="continuationSeparator" w:id="0">
    <w:p w14:paraId="72898BAB" w14:textId="77777777" w:rsidR="00C32CBD" w:rsidRDefault="00C32CBD" w:rsidP="00050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144"/>
    <w:multiLevelType w:val="hybridMultilevel"/>
    <w:tmpl w:val="A156C73E"/>
    <w:lvl w:ilvl="0" w:tplc="FE2201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0583F6F"/>
    <w:multiLevelType w:val="hybridMultilevel"/>
    <w:tmpl w:val="71F89D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5523E"/>
    <w:multiLevelType w:val="hybridMultilevel"/>
    <w:tmpl w:val="273EDDF0"/>
    <w:lvl w:ilvl="0" w:tplc="CB005032">
      <w:start w:val="1"/>
      <w:numFmt w:val="lowerLetter"/>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8B75C38"/>
    <w:multiLevelType w:val="hybridMultilevel"/>
    <w:tmpl w:val="F838369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9D35F4A"/>
    <w:multiLevelType w:val="hybridMultilevel"/>
    <w:tmpl w:val="D54EA6E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22641D33"/>
    <w:multiLevelType w:val="hybridMultilevel"/>
    <w:tmpl w:val="071C37A0"/>
    <w:lvl w:ilvl="0" w:tplc="595C8814">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6" w15:restartNumberingAfterBreak="0">
    <w:nsid w:val="23DF6232"/>
    <w:multiLevelType w:val="hybridMultilevel"/>
    <w:tmpl w:val="CC5EDBF2"/>
    <w:lvl w:ilvl="0" w:tplc="08090001">
      <w:start w:val="1"/>
      <w:numFmt w:val="bullet"/>
      <w:lvlText w:val=""/>
      <w:lvlJc w:val="left"/>
      <w:pPr>
        <w:ind w:left="1440" w:hanging="360"/>
      </w:pPr>
      <w:rPr>
        <w:rFonts w:ascii="Symbol" w:hAnsi="Symbol" w:hint="default"/>
      </w:rPr>
    </w:lvl>
    <w:lvl w:ilvl="1" w:tplc="A56E06BE">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451F21"/>
    <w:multiLevelType w:val="hybridMultilevel"/>
    <w:tmpl w:val="C2D84A0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DC76AC5"/>
    <w:multiLevelType w:val="hybridMultilevel"/>
    <w:tmpl w:val="93A6E8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2707C4"/>
    <w:multiLevelType w:val="hybridMultilevel"/>
    <w:tmpl w:val="5784C46A"/>
    <w:lvl w:ilvl="0" w:tplc="C3E83D2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8C03187"/>
    <w:multiLevelType w:val="hybridMultilevel"/>
    <w:tmpl w:val="69846390"/>
    <w:lvl w:ilvl="0" w:tplc="FC0018DE">
      <w:start w:val="5"/>
      <w:numFmt w:val="bullet"/>
      <w:lvlText w:val="-"/>
      <w:lvlJc w:val="left"/>
      <w:pPr>
        <w:ind w:left="1146" w:hanging="360"/>
      </w:pPr>
      <w:rPr>
        <w:rFonts w:ascii="Arial" w:eastAsia="Times New Roman" w:hAnsi="Arial" w:cs="Aria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B0A7740"/>
    <w:multiLevelType w:val="hybridMultilevel"/>
    <w:tmpl w:val="DAD48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04F0F"/>
    <w:multiLevelType w:val="hybridMultilevel"/>
    <w:tmpl w:val="61E2A8A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3" w15:restartNumberingAfterBreak="0">
    <w:nsid w:val="50156AE5"/>
    <w:multiLevelType w:val="hybridMultilevel"/>
    <w:tmpl w:val="C59EB80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4459C3"/>
    <w:multiLevelType w:val="hybridMultilevel"/>
    <w:tmpl w:val="AC1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34F7C"/>
    <w:multiLevelType w:val="multilevel"/>
    <w:tmpl w:val="2D9E51B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13606A"/>
    <w:multiLevelType w:val="hybridMultilevel"/>
    <w:tmpl w:val="41F2481C"/>
    <w:lvl w:ilvl="0" w:tplc="4214539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19138A7"/>
    <w:multiLevelType w:val="hybridMultilevel"/>
    <w:tmpl w:val="3CCE1104"/>
    <w:lvl w:ilvl="0" w:tplc="04090005">
      <w:start w:val="1"/>
      <w:numFmt w:val="bullet"/>
      <w:lvlText w:val=""/>
      <w:lvlJc w:val="left"/>
      <w:pPr>
        <w:ind w:left="1150" w:hanging="360"/>
      </w:pPr>
      <w:rPr>
        <w:rFonts w:ascii="Wingdings" w:hAnsi="Wingdings"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8" w15:restartNumberingAfterBreak="0">
    <w:nsid w:val="652A373A"/>
    <w:multiLevelType w:val="hybridMultilevel"/>
    <w:tmpl w:val="BD2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05EA5"/>
    <w:multiLevelType w:val="hybridMultilevel"/>
    <w:tmpl w:val="7C7C1336"/>
    <w:lvl w:ilvl="0" w:tplc="DDFC9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87CA1"/>
    <w:multiLevelType w:val="hybridMultilevel"/>
    <w:tmpl w:val="300C8CA8"/>
    <w:lvl w:ilvl="0" w:tplc="0809000B">
      <w:start w:val="1"/>
      <w:numFmt w:val="bullet"/>
      <w:lvlText w:val=""/>
      <w:lvlJc w:val="left"/>
      <w:pPr>
        <w:ind w:left="720" w:hanging="360"/>
      </w:pPr>
      <w:rPr>
        <w:rFonts w:ascii="Wingdings" w:hAnsi="Wingdings" w:hint="default"/>
      </w:rPr>
    </w:lvl>
    <w:lvl w:ilvl="1" w:tplc="A56E06BE">
      <w:numFmt w:val="bullet"/>
      <w:lvlText w:val="•"/>
      <w:lvlJc w:val="left"/>
      <w:pPr>
        <w:ind w:left="1760" w:hanging="410"/>
      </w:pPr>
      <w:rPr>
        <w:rFonts w:ascii="Times New Roman" w:eastAsia="Times New Roman" w:hAnsi="Times New Roman" w:cs="Times New Roman"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15:restartNumberingAfterBreak="0">
    <w:nsid w:val="74F772BE"/>
    <w:multiLevelType w:val="hybridMultilevel"/>
    <w:tmpl w:val="D714C36A"/>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7B9268AC"/>
    <w:multiLevelType w:val="hybridMultilevel"/>
    <w:tmpl w:val="7BC48B9C"/>
    <w:lvl w:ilvl="0" w:tplc="F57091E8">
      <w:start w:val="1"/>
      <w:numFmt w:val="bullet"/>
      <w:lvlText w:val="-"/>
      <w:lvlJc w:val="left"/>
      <w:pPr>
        <w:ind w:left="1429" w:hanging="360"/>
      </w:pPr>
      <w:rPr>
        <w:rFonts w:ascii="Times New Roman" w:eastAsia="Calibri" w:hAnsi="Times New Roman" w:cs="Times New Roman"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num w:numId="1" w16cid:durableId="956108917">
    <w:abstractNumId w:val="13"/>
  </w:num>
  <w:num w:numId="2" w16cid:durableId="386225357">
    <w:abstractNumId w:val="21"/>
  </w:num>
  <w:num w:numId="3" w16cid:durableId="1540361558">
    <w:abstractNumId w:val="9"/>
  </w:num>
  <w:num w:numId="4" w16cid:durableId="1464351139">
    <w:abstractNumId w:val="22"/>
  </w:num>
  <w:num w:numId="5" w16cid:durableId="2048987348">
    <w:abstractNumId w:val="2"/>
  </w:num>
  <w:num w:numId="6" w16cid:durableId="1692803773">
    <w:abstractNumId w:val="0"/>
  </w:num>
  <w:num w:numId="7" w16cid:durableId="10651064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1393550">
    <w:abstractNumId w:val="15"/>
  </w:num>
  <w:num w:numId="9" w16cid:durableId="252663901">
    <w:abstractNumId w:val="3"/>
  </w:num>
  <w:num w:numId="10" w16cid:durableId="1357265830">
    <w:abstractNumId w:val="5"/>
  </w:num>
  <w:num w:numId="11" w16cid:durableId="525097695">
    <w:abstractNumId w:val="19"/>
  </w:num>
  <w:num w:numId="12" w16cid:durableId="1347442261">
    <w:abstractNumId w:val="10"/>
  </w:num>
  <w:num w:numId="13" w16cid:durableId="775909671">
    <w:abstractNumId w:val="14"/>
  </w:num>
  <w:num w:numId="14" w16cid:durableId="15937363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3531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3320544">
    <w:abstractNumId w:val="14"/>
  </w:num>
  <w:num w:numId="17" w16cid:durableId="1266965386">
    <w:abstractNumId w:val="8"/>
  </w:num>
  <w:num w:numId="18" w16cid:durableId="927808121">
    <w:abstractNumId w:val="20"/>
  </w:num>
  <w:num w:numId="19" w16cid:durableId="194540007">
    <w:abstractNumId w:val="12"/>
  </w:num>
  <w:num w:numId="20" w16cid:durableId="1626541067">
    <w:abstractNumId w:val="4"/>
  </w:num>
  <w:num w:numId="21" w16cid:durableId="2098940980">
    <w:abstractNumId w:val="6"/>
  </w:num>
  <w:num w:numId="22" w16cid:durableId="47531096">
    <w:abstractNumId w:val="1"/>
  </w:num>
  <w:num w:numId="23" w16cid:durableId="20647865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6130145">
    <w:abstractNumId w:val="18"/>
  </w:num>
  <w:num w:numId="25" w16cid:durableId="916599031">
    <w:abstractNumId w:val="7"/>
  </w:num>
  <w:num w:numId="26" w16cid:durableId="3043545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91"/>
    <w:rsid w:val="00000AB2"/>
    <w:rsid w:val="00003EC0"/>
    <w:rsid w:val="000040AE"/>
    <w:rsid w:val="00012AF5"/>
    <w:rsid w:val="00013916"/>
    <w:rsid w:val="00024622"/>
    <w:rsid w:val="00026D80"/>
    <w:rsid w:val="00027DA8"/>
    <w:rsid w:val="00030F08"/>
    <w:rsid w:val="00040BBE"/>
    <w:rsid w:val="00041B34"/>
    <w:rsid w:val="00041CF5"/>
    <w:rsid w:val="0004359A"/>
    <w:rsid w:val="00043971"/>
    <w:rsid w:val="00045B35"/>
    <w:rsid w:val="000509E7"/>
    <w:rsid w:val="00061663"/>
    <w:rsid w:val="00073F02"/>
    <w:rsid w:val="00077484"/>
    <w:rsid w:val="000802D5"/>
    <w:rsid w:val="000920C8"/>
    <w:rsid w:val="00097C72"/>
    <w:rsid w:val="00097DD5"/>
    <w:rsid w:val="000A1DC7"/>
    <w:rsid w:val="000A1DF5"/>
    <w:rsid w:val="000B1982"/>
    <w:rsid w:val="000C2DB9"/>
    <w:rsid w:val="000C5449"/>
    <w:rsid w:val="000C6A80"/>
    <w:rsid w:val="000C7857"/>
    <w:rsid w:val="000D3CD8"/>
    <w:rsid w:val="000D4BE6"/>
    <w:rsid w:val="000E4785"/>
    <w:rsid w:val="000E5C93"/>
    <w:rsid w:val="000E6CA4"/>
    <w:rsid w:val="000E7713"/>
    <w:rsid w:val="000F27DA"/>
    <w:rsid w:val="000F6BC1"/>
    <w:rsid w:val="00102164"/>
    <w:rsid w:val="001070A5"/>
    <w:rsid w:val="00114396"/>
    <w:rsid w:val="001168F3"/>
    <w:rsid w:val="00125301"/>
    <w:rsid w:val="001261E1"/>
    <w:rsid w:val="0013423A"/>
    <w:rsid w:val="0013468C"/>
    <w:rsid w:val="0015744A"/>
    <w:rsid w:val="00157F6D"/>
    <w:rsid w:val="00164581"/>
    <w:rsid w:val="00170D0D"/>
    <w:rsid w:val="00172354"/>
    <w:rsid w:val="00172564"/>
    <w:rsid w:val="00174852"/>
    <w:rsid w:val="00176C55"/>
    <w:rsid w:val="00184C77"/>
    <w:rsid w:val="00186D8A"/>
    <w:rsid w:val="00193CE0"/>
    <w:rsid w:val="001A49E9"/>
    <w:rsid w:val="001D5172"/>
    <w:rsid w:val="001E45BD"/>
    <w:rsid w:val="001F1881"/>
    <w:rsid w:val="002001EB"/>
    <w:rsid w:val="0020177A"/>
    <w:rsid w:val="00207D69"/>
    <w:rsid w:val="00210BFC"/>
    <w:rsid w:val="002120EA"/>
    <w:rsid w:val="00212BAB"/>
    <w:rsid w:val="0021565B"/>
    <w:rsid w:val="002172C8"/>
    <w:rsid w:val="00217EA0"/>
    <w:rsid w:val="00222A9D"/>
    <w:rsid w:val="00223605"/>
    <w:rsid w:val="00231229"/>
    <w:rsid w:val="00240E96"/>
    <w:rsid w:val="0024158E"/>
    <w:rsid w:val="002442A7"/>
    <w:rsid w:val="00255A94"/>
    <w:rsid w:val="002607CE"/>
    <w:rsid w:val="00265C26"/>
    <w:rsid w:val="0027387F"/>
    <w:rsid w:val="002771B2"/>
    <w:rsid w:val="00284B62"/>
    <w:rsid w:val="00296EB9"/>
    <w:rsid w:val="002A0D5F"/>
    <w:rsid w:val="002A0F9A"/>
    <w:rsid w:val="002A416A"/>
    <w:rsid w:val="002A51D8"/>
    <w:rsid w:val="002B0AB2"/>
    <w:rsid w:val="002C5806"/>
    <w:rsid w:val="002C60E5"/>
    <w:rsid w:val="002D1FF2"/>
    <w:rsid w:val="002D31B3"/>
    <w:rsid w:val="002E08E7"/>
    <w:rsid w:val="002E19A8"/>
    <w:rsid w:val="002E627B"/>
    <w:rsid w:val="002E7B9D"/>
    <w:rsid w:val="002F580F"/>
    <w:rsid w:val="002F5FBD"/>
    <w:rsid w:val="002F70A9"/>
    <w:rsid w:val="00304C1F"/>
    <w:rsid w:val="00305183"/>
    <w:rsid w:val="003106BD"/>
    <w:rsid w:val="003136B3"/>
    <w:rsid w:val="00313C59"/>
    <w:rsid w:val="00320003"/>
    <w:rsid w:val="003244B7"/>
    <w:rsid w:val="00324FD6"/>
    <w:rsid w:val="00334FBE"/>
    <w:rsid w:val="00342A57"/>
    <w:rsid w:val="00343B50"/>
    <w:rsid w:val="00355C09"/>
    <w:rsid w:val="00361AAA"/>
    <w:rsid w:val="00361BEB"/>
    <w:rsid w:val="003802D2"/>
    <w:rsid w:val="0038083A"/>
    <w:rsid w:val="00384F3A"/>
    <w:rsid w:val="0039203F"/>
    <w:rsid w:val="00392BF4"/>
    <w:rsid w:val="003A188B"/>
    <w:rsid w:val="003A25B8"/>
    <w:rsid w:val="003A2D60"/>
    <w:rsid w:val="003C2E41"/>
    <w:rsid w:val="003C344E"/>
    <w:rsid w:val="003C62D5"/>
    <w:rsid w:val="003D15F1"/>
    <w:rsid w:val="003E5B6E"/>
    <w:rsid w:val="003E75CB"/>
    <w:rsid w:val="00411FC5"/>
    <w:rsid w:val="0041677A"/>
    <w:rsid w:val="004176CB"/>
    <w:rsid w:val="00422455"/>
    <w:rsid w:val="004259A8"/>
    <w:rsid w:val="00433A66"/>
    <w:rsid w:val="00434A71"/>
    <w:rsid w:val="004410F5"/>
    <w:rsid w:val="004414FB"/>
    <w:rsid w:val="004449D3"/>
    <w:rsid w:val="00446838"/>
    <w:rsid w:val="004526CA"/>
    <w:rsid w:val="00455035"/>
    <w:rsid w:val="004573AE"/>
    <w:rsid w:val="0046422B"/>
    <w:rsid w:val="00464864"/>
    <w:rsid w:val="00465224"/>
    <w:rsid w:val="004720B1"/>
    <w:rsid w:val="00472D21"/>
    <w:rsid w:val="00484AC6"/>
    <w:rsid w:val="0049453A"/>
    <w:rsid w:val="00494DE8"/>
    <w:rsid w:val="0049521A"/>
    <w:rsid w:val="00497900"/>
    <w:rsid w:val="004A075C"/>
    <w:rsid w:val="004C5A71"/>
    <w:rsid w:val="004C739D"/>
    <w:rsid w:val="004D4064"/>
    <w:rsid w:val="004D4D87"/>
    <w:rsid w:val="004D5691"/>
    <w:rsid w:val="004D5D86"/>
    <w:rsid w:val="004E3F7A"/>
    <w:rsid w:val="004F22E9"/>
    <w:rsid w:val="004F369C"/>
    <w:rsid w:val="00503B7C"/>
    <w:rsid w:val="00514704"/>
    <w:rsid w:val="00516180"/>
    <w:rsid w:val="0052154C"/>
    <w:rsid w:val="00521E25"/>
    <w:rsid w:val="00523022"/>
    <w:rsid w:val="00530085"/>
    <w:rsid w:val="00536EA4"/>
    <w:rsid w:val="00537B70"/>
    <w:rsid w:val="0054165D"/>
    <w:rsid w:val="00544CF1"/>
    <w:rsid w:val="00563C6C"/>
    <w:rsid w:val="00564688"/>
    <w:rsid w:val="0056609F"/>
    <w:rsid w:val="00567848"/>
    <w:rsid w:val="00570975"/>
    <w:rsid w:val="0057126A"/>
    <w:rsid w:val="0057472D"/>
    <w:rsid w:val="00575744"/>
    <w:rsid w:val="00585CDC"/>
    <w:rsid w:val="005B154D"/>
    <w:rsid w:val="005B52AE"/>
    <w:rsid w:val="005C1F56"/>
    <w:rsid w:val="005C2332"/>
    <w:rsid w:val="005D219C"/>
    <w:rsid w:val="005D6E98"/>
    <w:rsid w:val="005E1D99"/>
    <w:rsid w:val="005E50E8"/>
    <w:rsid w:val="005E6E83"/>
    <w:rsid w:val="005F3C78"/>
    <w:rsid w:val="005F4187"/>
    <w:rsid w:val="005F5024"/>
    <w:rsid w:val="005F7A67"/>
    <w:rsid w:val="006055FA"/>
    <w:rsid w:val="00605933"/>
    <w:rsid w:val="00605E49"/>
    <w:rsid w:val="006121A1"/>
    <w:rsid w:val="0061359E"/>
    <w:rsid w:val="0061362E"/>
    <w:rsid w:val="006205A9"/>
    <w:rsid w:val="006331F6"/>
    <w:rsid w:val="00650CE6"/>
    <w:rsid w:val="00661FE4"/>
    <w:rsid w:val="0067004E"/>
    <w:rsid w:val="00674986"/>
    <w:rsid w:val="006779A4"/>
    <w:rsid w:val="006801A3"/>
    <w:rsid w:val="00683004"/>
    <w:rsid w:val="00687660"/>
    <w:rsid w:val="00687BE3"/>
    <w:rsid w:val="006937A7"/>
    <w:rsid w:val="00694CDF"/>
    <w:rsid w:val="006A67C4"/>
    <w:rsid w:val="006A7905"/>
    <w:rsid w:val="006B0262"/>
    <w:rsid w:val="006B066D"/>
    <w:rsid w:val="006B39C0"/>
    <w:rsid w:val="006C6290"/>
    <w:rsid w:val="006D33FF"/>
    <w:rsid w:val="006E3955"/>
    <w:rsid w:val="006E68F5"/>
    <w:rsid w:val="006F3ACF"/>
    <w:rsid w:val="007005DB"/>
    <w:rsid w:val="00706051"/>
    <w:rsid w:val="007220E0"/>
    <w:rsid w:val="00723466"/>
    <w:rsid w:val="00723B13"/>
    <w:rsid w:val="00732370"/>
    <w:rsid w:val="007339B0"/>
    <w:rsid w:val="0073621F"/>
    <w:rsid w:val="00740EEE"/>
    <w:rsid w:val="00755CCE"/>
    <w:rsid w:val="007575B4"/>
    <w:rsid w:val="00757A05"/>
    <w:rsid w:val="00761776"/>
    <w:rsid w:val="0076334F"/>
    <w:rsid w:val="00767237"/>
    <w:rsid w:val="007700B8"/>
    <w:rsid w:val="007707B8"/>
    <w:rsid w:val="00771889"/>
    <w:rsid w:val="00771DB2"/>
    <w:rsid w:val="0078338D"/>
    <w:rsid w:val="007939FA"/>
    <w:rsid w:val="007A0422"/>
    <w:rsid w:val="007A0D7A"/>
    <w:rsid w:val="007A1A73"/>
    <w:rsid w:val="007A403C"/>
    <w:rsid w:val="007A552A"/>
    <w:rsid w:val="007B5245"/>
    <w:rsid w:val="007C013F"/>
    <w:rsid w:val="007C274B"/>
    <w:rsid w:val="007C7C4E"/>
    <w:rsid w:val="007D11C7"/>
    <w:rsid w:val="007D2C26"/>
    <w:rsid w:val="007D3D98"/>
    <w:rsid w:val="007D6D97"/>
    <w:rsid w:val="007E24E2"/>
    <w:rsid w:val="007F2DB6"/>
    <w:rsid w:val="00800FC2"/>
    <w:rsid w:val="00812F53"/>
    <w:rsid w:val="00814AA7"/>
    <w:rsid w:val="00815BDC"/>
    <w:rsid w:val="008210F5"/>
    <w:rsid w:val="0082252C"/>
    <w:rsid w:val="00827EB5"/>
    <w:rsid w:val="00832384"/>
    <w:rsid w:val="00847AA5"/>
    <w:rsid w:val="0087681A"/>
    <w:rsid w:val="00890245"/>
    <w:rsid w:val="0089214A"/>
    <w:rsid w:val="008A06A5"/>
    <w:rsid w:val="008A5AD7"/>
    <w:rsid w:val="008B2C23"/>
    <w:rsid w:val="008D209F"/>
    <w:rsid w:val="008D600B"/>
    <w:rsid w:val="008D616C"/>
    <w:rsid w:val="008E0085"/>
    <w:rsid w:val="008E4726"/>
    <w:rsid w:val="008F5179"/>
    <w:rsid w:val="00903753"/>
    <w:rsid w:val="00905C54"/>
    <w:rsid w:val="009123B4"/>
    <w:rsid w:val="00912DD2"/>
    <w:rsid w:val="0091396D"/>
    <w:rsid w:val="00914373"/>
    <w:rsid w:val="00914F66"/>
    <w:rsid w:val="00915015"/>
    <w:rsid w:val="0092390B"/>
    <w:rsid w:val="00926BAC"/>
    <w:rsid w:val="009303CB"/>
    <w:rsid w:val="009352AA"/>
    <w:rsid w:val="00936BCC"/>
    <w:rsid w:val="00945174"/>
    <w:rsid w:val="00951963"/>
    <w:rsid w:val="009554BC"/>
    <w:rsid w:val="00956F9E"/>
    <w:rsid w:val="0096182B"/>
    <w:rsid w:val="009618B4"/>
    <w:rsid w:val="009711A9"/>
    <w:rsid w:val="00972AE3"/>
    <w:rsid w:val="00983E44"/>
    <w:rsid w:val="0099397F"/>
    <w:rsid w:val="00995B35"/>
    <w:rsid w:val="00996BBA"/>
    <w:rsid w:val="009B5CA1"/>
    <w:rsid w:val="009C02A6"/>
    <w:rsid w:val="009C19A1"/>
    <w:rsid w:val="009C6D51"/>
    <w:rsid w:val="009C76BB"/>
    <w:rsid w:val="009D2FA7"/>
    <w:rsid w:val="009E1A67"/>
    <w:rsid w:val="009E5800"/>
    <w:rsid w:val="009E6351"/>
    <w:rsid w:val="009F15F4"/>
    <w:rsid w:val="009F7C59"/>
    <w:rsid w:val="00A02FB3"/>
    <w:rsid w:val="00A05005"/>
    <w:rsid w:val="00A06C37"/>
    <w:rsid w:val="00A16099"/>
    <w:rsid w:val="00A206EA"/>
    <w:rsid w:val="00A221CC"/>
    <w:rsid w:val="00A317CB"/>
    <w:rsid w:val="00A34177"/>
    <w:rsid w:val="00A37E1F"/>
    <w:rsid w:val="00A43268"/>
    <w:rsid w:val="00A450C5"/>
    <w:rsid w:val="00A62095"/>
    <w:rsid w:val="00A702D6"/>
    <w:rsid w:val="00A722C8"/>
    <w:rsid w:val="00A95D9F"/>
    <w:rsid w:val="00AA56CA"/>
    <w:rsid w:val="00AB4058"/>
    <w:rsid w:val="00AC15B7"/>
    <w:rsid w:val="00AC4A39"/>
    <w:rsid w:val="00AC7055"/>
    <w:rsid w:val="00AD1EF8"/>
    <w:rsid w:val="00AD2B5C"/>
    <w:rsid w:val="00AD44D6"/>
    <w:rsid w:val="00AE33CE"/>
    <w:rsid w:val="00AF0E3A"/>
    <w:rsid w:val="00AF1DE8"/>
    <w:rsid w:val="00AF2DFE"/>
    <w:rsid w:val="00AF3E28"/>
    <w:rsid w:val="00B01899"/>
    <w:rsid w:val="00B02E32"/>
    <w:rsid w:val="00B0414F"/>
    <w:rsid w:val="00B04C91"/>
    <w:rsid w:val="00B2578B"/>
    <w:rsid w:val="00B4253C"/>
    <w:rsid w:val="00B4297E"/>
    <w:rsid w:val="00B509CE"/>
    <w:rsid w:val="00B5215C"/>
    <w:rsid w:val="00B617CD"/>
    <w:rsid w:val="00B679F4"/>
    <w:rsid w:val="00B74BC0"/>
    <w:rsid w:val="00B84CCE"/>
    <w:rsid w:val="00B86366"/>
    <w:rsid w:val="00B86839"/>
    <w:rsid w:val="00B96570"/>
    <w:rsid w:val="00BB2BC7"/>
    <w:rsid w:val="00BB3C33"/>
    <w:rsid w:val="00BB43DA"/>
    <w:rsid w:val="00BB5090"/>
    <w:rsid w:val="00BC0420"/>
    <w:rsid w:val="00BC0A67"/>
    <w:rsid w:val="00BC2790"/>
    <w:rsid w:val="00BC5781"/>
    <w:rsid w:val="00BC6F22"/>
    <w:rsid w:val="00BD1883"/>
    <w:rsid w:val="00BF513A"/>
    <w:rsid w:val="00C03E83"/>
    <w:rsid w:val="00C10609"/>
    <w:rsid w:val="00C108D8"/>
    <w:rsid w:val="00C12CDF"/>
    <w:rsid w:val="00C13354"/>
    <w:rsid w:val="00C32CBD"/>
    <w:rsid w:val="00C50B25"/>
    <w:rsid w:val="00C52AC6"/>
    <w:rsid w:val="00C60F5A"/>
    <w:rsid w:val="00C70831"/>
    <w:rsid w:val="00C875D1"/>
    <w:rsid w:val="00C94B7E"/>
    <w:rsid w:val="00C96007"/>
    <w:rsid w:val="00CB4923"/>
    <w:rsid w:val="00CC2134"/>
    <w:rsid w:val="00CC3C99"/>
    <w:rsid w:val="00CD27D5"/>
    <w:rsid w:val="00CE0DD6"/>
    <w:rsid w:val="00CE6131"/>
    <w:rsid w:val="00CE7F40"/>
    <w:rsid w:val="00D0371F"/>
    <w:rsid w:val="00D14BF5"/>
    <w:rsid w:val="00D21E06"/>
    <w:rsid w:val="00D30016"/>
    <w:rsid w:val="00D30FF5"/>
    <w:rsid w:val="00D33DD1"/>
    <w:rsid w:val="00D44483"/>
    <w:rsid w:val="00D506FB"/>
    <w:rsid w:val="00D51311"/>
    <w:rsid w:val="00D52715"/>
    <w:rsid w:val="00D5760E"/>
    <w:rsid w:val="00D636C8"/>
    <w:rsid w:val="00D65B00"/>
    <w:rsid w:val="00D674E7"/>
    <w:rsid w:val="00D70D22"/>
    <w:rsid w:val="00D72F62"/>
    <w:rsid w:val="00D76260"/>
    <w:rsid w:val="00D80CA3"/>
    <w:rsid w:val="00D86349"/>
    <w:rsid w:val="00D9534C"/>
    <w:rsid w:val="00D96F8E"/>
    <w:rsid w:val="00D97E2F"/>
    <w:rsid w:val="00DB0EF5"/>
    <w:rsid w:val="00DB4887"/>
    <w:rsid w:val="00DC2048"/>
    <w:rsid w:val="00DC2364"/>
    <w:rsid w:val="00DC2A4F"/>
    <w:rsid w:val="00DC5995"/>
    <w:rsid w:val="00DC698F"/>
    <w:rsid w:val="00DD2659"/>
    <w:rsid w:val="00DD7102"/>
    <w:rsid w:val="00DE4E2F"/>
    <w:rsid w:val="00DF5899"/>
    <w:rsid w:val="00E010BB"/>
    <w:rsid w:val="00E0137A"/>
    <w:rsid w:val="00E10262"/>
    <w:rsid w:val="00E14C7E"/>
    <w:rsid w:val="00E210B9"/>
    <w:rsid w:val="00E25640"/>
    <w:rsid w:val="00E3038F"/>
    <w:rsid w:val="00E339E0"/>
    <w:rsid w:val="00E4394F"/>
    <w:rsid w:val="00E46A03"/>
    <w:rsid w:val="00E50FD2"/>
    <w:rsid w:val="00E63952"/>
    <w:rsid w:val="00E714A5"/>
    <w:rsid w:val="00E71ECD"/>
    <w:rsid w:val="00E73743"/>
    <w:rsid w:val="00E74F5E"/>
    <w:rsid w:val="00E92858"/>
    <w:rsid w:val="00E93EA7"/>
    <w:rsid w:val="00E95FB5"/>
    <w:rsid w:val="00EA4A78"/>
    <w:rsid w:val="00EA4BDA"/>
    <w:rsid w:val="00EA68C7"/>
    <w:rsid w:val="00EB0207"/>
    <w:rsid w:val="00EB6DBB"/>
    <w:rsid w:val="00EC4917"/>
    <w:rsid w:val="00EC6CF1"/>
    <w:rsid w:val="00ED18A5"/>
    <w:rsid w:val="00ED1A48"/>
    <w:rsid w:val="00EE0EE2"/>
    <w:rsid w:val="00EE2CE8"/>
    <w:rsid w:val="00EE7FAC"/>
    <w:rsid w:val="00F004E1"/>
    <w:rsid w:val="00F216ED"/>
    <w:rsid w:val="00F23C14"/>
    <w:rsid w:val="00F26B73"/>
    <w:rsid w:val="00F34740"/>
    <w:rsid w:val="00F37CB4"/>
    <w:rsid w:val="00F413F6"/>
    <w:rsid w:val="00F53A4A"/>
    <w:rsid w:val="00F55AE1"/>
    <w:rsid w:val="00F60A91"/>
    <w:rsid w:val="00F62289"/>
    <w:rsid w:val="00F62346"/>
    <w:rsid w:val="00F62EF8"/>
    <w:rsid w:val="00F65B2B"/>
    <w:rsid w:val="00F7073C"/>
    <w:rsid w:val="00F72775"/>
    <w:rsid w:val="00F76FE1"/>
    <w:rsid w:val="00F826DA"/>
    <w:rsid w:val="00F8536B"/>
    <w:rsid w:val="00F85383"/>
    <w:rsid w:val="00F8626E"/>
    <w:rsid w:val="00F961A1"/>
    <w:rsid w:val="00F979A2"/>
    <w:rsid w:val="00FA1834"/>
    <w:rsid w:val="00FA443E"/>
    <w:rsid w:val="00FB0ED2"/>
    <w:rsid w:val="00FB1165"/>
    <w:rsid w:val="00FB2CBE"/>
    <w:rsid w:val="00FC4F13"/>
    <w:rsid w:val="00FC7305"/>
    <w:rsid w:val="00FD3947"/>
    <w:rsid w:val="00FD4FA7"/>
    <w:rsid w:val="00FE1932"/>
    <w:rsid w:val="00FE5B84"/>
    <w:rsid w:val="00FE76C9"/>
    <w:rsid w:val="00FF2AE7"/>
    <w:rsid w:val="00FF4250"/>
    <w:rsid w:val="00FF5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960C2"/>
  <w15:docId w15:val="{D12DF6F4-756F-44A4-8B3A-13F10599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9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62289"/>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C91"/>
    <w:pPr>
      <w:ind w:left="720"/>
      <w:contextualSpacing/>
    </w:pPr>
    <w:rPr>
      <w:b/>
      <w:lang w:val="fr-FR"/>
    </w:rPr>
  </w:style>
  <w:style w:type="paragraph" w:styleId="BodyTextIndent2">
    <w:name w:val="Body Text Indent 2"/>
    <w:basedOn w:val="Normal"/>
    <w:link w:val="BodyTextIndent2Char"/>
    <w:uiPriority w:val="99"/>
    <w:rsid w:val="009B5CA1"/>
    <w:pPr>
      <w:spacing w:before="120" w:after="120"/>
      <w:ind w:firstLine="720"/>
      <w:jc w:val="both"/>
    </w:pPr>
    <w:rPr>
      <w:rFonts w:ascii=".VnTime" w:hAnsi=".VnTime"/>
      <w:sz w:val="28"/>
      <w:szCs w:val="20"/>
    </w:rPr>
  </w:style>
  <w:style w:type="character" w:customStyle="1" w:styleId="BodyTextIndent2Char">
    <w:name w:val="Body Text Indent 2 Char"/>
    <w:basedOn w:val="DefaultParagraphFont"/>
    <w:link w:val="BodyTextIndent2"/>
    <w:uiPriority w:val="99"/>
    <w:rsid w:val="009B5CA1"/>
    <w:rPr>
      <w:rFonts w:ascii=".VnTime" w:eastAsia="Times New Roman" w:hAnsi=".VnTime" w:cs="Times New Roman"/>
      <w:sz w:val="28"/>
      <w:szCs w:val="20"/>
      <w:lang w:val="en-US"/>
    </w:rPr>
  </w:style>
  <w:style w:type="character" w:styleId="CommentReference">
    <w:name w:val="annotation reference"/>
    <w:basedOn w:val="DefaultParagraphFont"/>
    <w:uiPriority w:val="99"/>
    <w:semiHidden/>
    <w:unhideWhenUsed/>
    <w:rsid w:val="00530085"/>
    <w:rPr>
      <w:sz w:val="16"/>
      <w:szCs w:val="16"/>
    </w:rPr>
  </w:style>
  <w:style w:type="paragraph" w:styleId="CommentText">
    <w:name w:val="annotation text"/>
    <w:basedOn w:val="Normal"/>
    <w:link w:val="CommentTextChar"/>
    <w:uiPriority w:val="99"/>
    <w:unhideWhenUsed/>
    <w:rsid w:val="00530085"/>
    <w:rPr>
      <w:sz w:val="20"/>
      <w:szCs w:val="20"/>
    </w:rPr>
  </w:style>
  <w:style w:type="character" w:customStyle="1" w:styleId="CommentTextChar">
    <w:name w:val="Comment Text Char"/>
    <w:basedOn w:val="DefaultParagraphFont"/>
    <w:link w:val="CommentText"/>
    <w:uiPriority w:val="99"/>
    <w:rsid w:val="005300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0085"/>
    <w:rPr>
      <w:b/>
      <w:bCs/>
    </w:rPr>
  </w:style>
  <w:style w:type="character" w:customStyle="1" w:styleId="CommentSubjectChar">
    <w:name w:val="Comment Subject Char"/>
    <w:basedOn w:val="CommentTextChar"/>
    <w:link w:val="CommentSubject"/>
    <w:uiPriority w:val="99"/>
    <w:semiHidden/>
    <w:rsid w:val="005300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30085"/>
    <w:rPr>
      <w:rFonts w:ascii="Tahoma" w:hAnsi="Tahoma" w:cs="Tahoma"/>
      <w:sz w:val="16"/>
      <w:szCs w:val="16"/>
    </w:rPr>
  </w:style>
  <w:style w:type="character" w:customStyle="1" w:styleId="BalloonTextChar">
    <w:name w:val="Balloon Text Char"/>
    <w:basedOn w:val="DefaultParagraphFont"/>
    <w:link w:val="BalloonText"/>
    <w:uiPriority w:val="99"/>
    <w:semiHidden/>
    <w:rsid w:val="00530085"/>
    <w:rPr>
      <w:rFonts w:ascii="Tahoma" w:eastAsia="Times New Roman" w:hAnsi="Tahoma" w:cs="Tahoma"/>
      <w:sz w:val="16"/>
      <w:szCs w:val="16"/>
      <w:lang w:val="en-US"/>
    </w:rPr>
  </w:style>
  <w:style w:type="paragraph" w:styleId="BodyText">
    <w:name w:val="Body Text"/>
    <w:basedOn w:val="Normal"/>
    <w:link w:val="BodyTextChar"/>
    <w:uiPriority w:val="99"/>
    <w:unhideWhenUsed/>
    <w:rsid w:val="009C02A6"/>
    <w:pPr>
      <w:spacing w:after="120"/>
    </w:pPr>
  </w:style>
  <w:style w:type="character" w:customStyle="1" w:styleId="BodyTextChar">
    <w:name w:val="Body Text Char"/>
    <w:basedOn w:val="DefaultParagraphFont"/>
    <w:link w:val="BodyText"/>
    <w:uiPriority w:val="99"/>
    <w:rsid w:val="009C02A6"/>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F62289"/>
    <w:rPr>
      <w:rFonts w:ascii="Arial" w:eastAsia="Times New Roman" w:hAnsi="Arial" w:cs="Times New Roman"/>
      <w:b/>
      <w:bCs/>
      <w:i/>
      <w:iCs/>
      <w:sz w:val="28"/>
      <w:szCs w:val="28"/>
      <w:lang w:val="en-US"/>
    </w:rPr>
  </w:style>
  <w:style w:type="paragraph" w:styleId="Revision">
    <w:name w:val="Revision"/>
    <w:hidden/>
    <w:uiPriority w:val="99"/>
    <w:semiHidden/>
    <w:rsid w:val="00E74F5E"/>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33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B2C23"/>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650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595">
      <w:bodyDiv w:val="1"/>
      <w:marLeft w:val="0"/>
      <w:marRight w:val="0"/>
      <w:marTop w:val="0"/>
      <w:marBottom w:val="0"/>
      <w:divBdr>
        <w:top w:val="none" w:sz="0" w:space="0" w:color="auto"/>
        <w:left w:val="none" w:sz="0" w:space="0" w:color="auto"/>
        <w:bottom w:val="none" w:sz="0" w:space="0" w:color="auto"/>
        <w:right w:val="none" w:sz="0" w:space="0" w:color="auto"/>
      </w:divBdr>
    </w:div>
    <w:div w:id="123811637">
      <w:bodyDiv w:val="1"/>
      <w:marLeft w:val="0"/>
      <w:marRight w:val="0"/>
      <w:marTop w:val="0"/>
      <w:marBottom w:val="0"/>
      <w:divBdr>
        <w:top w:val="none" w:sz="0" w:space="0" w:color="auto"/>
        <w:left w:val="none" w:sz="0" w:space="0" w:color="auto"/>
        <w:bottom w:val="none" w:sz="0" w:space="0" w:color="auto"/>
        <w:right w:val="none" w:sz="0" w:space="0" w:color="auto"/>
      </w:divBdr>
    </w:div>
    <w:div w:id="171262358">
      <w:bodyDiv w:val="1"/>
      <w:marLeft w:val="0"/>
      <w:marRight w:val="0"/>
      <w:marTop w:val="0"/>
      <w:marBottom w:val="0"/>
      <w:divBdr>
        <w:top w:val="none" w:sz="0" w:space="0" w:color="auto"/>
        <w:left w:val="none" w:sz="0" w:space="0" w:color="auto"/>
        <w:bottom w:val="none" w:sz="0" w:space="0" w:color="auto"/>
        <w:right w:val="none" w:sz="0" w:space="0" w:color="auto"/>
      </w:divBdr>
    </w:div>
    <w:div w:id="217325979">
      <w:bodyDiv w:val="1"/>
      <w:marLeft w:val="0"/>
      <w:marRight w:val="0"/>
      <w:marTop w:val="0"/>
      <w:marBottom w:val="0"/>
      <w:divBdr>
        <w:top w:val="none" w:sz="0" w:space="0" w:color="auto"/>
        <w:left w:val="none" w:sz="0" w:space="0" w:color="auto"/>
        <w:bottom w:val="none" w:sz="0" w:space="0" w:color="auto"/>
        <w:right w:val="none" w:sz="0" w:space="0" w:color="auto"/>
      </w:divBdr>
    </w:div>
    <w:div w:id="247079130">
      <w:bodyDiv w:val="1"/>
      <w:marLeft w:val="0"/>
      <w:marRight w:val="0"/>
      <w:marTop w:val="0"/>
      <w:marBottom w:val="0"/>
      <w:divBdr>
        <w:top w:val="none" w:sz="0" w:space="0" w:color="auto"/>
        <w:left w:val="none" w:sz="0" w:space="0" w:color="auto"/>
        <w:bottom w:val="none" w:sz="0" w:space="0" w:color="auto"/>
        <w:right w:val="none" w:sz="0" w:space="0" w:color="auto"/>
      </w:divBdr>
    </w:div>
    <w:div w:id="286398458">
      <w:bodyDiv w:val="1"/>
      <w:marLeft w:val="0"/>
      <w:marRight w:val="0"/>
      <w:marTop w:val="0"/>
      <w:marBottom w:val="0"/>
      <w:divBdr>
        <w:top w:val="none" w:sz="0" w:space="0" w:color="auto"/>
        <w:left w:val="none" w:sz="0" w:space="0" w:color="auto"/>
        <w:bottom w:val="none" w:sz="0" w:space="0" w:color="auto"/>
        <w:right w:val="none" w:sz="0" w:space="0" w:color="auto"/>
      </w:divBdr>
    </w:div>
    <w:div w:id="300577001">
      <w:bodyDiv w:val="1"/>
      <w:marLeft w:val="0"/>
      <w:marRight w:val="0"/>
      <w:marTop w:val="0"/>
      <w:marBottom w:val="0"/>
      <w:divBdr>
        <w:top w:val="none" w:sz="0" w:space="0" w:color="auto"/>
        <w:left w:val="none" w:sz="0" w:space="0" w:color="auto"/>
        <w:bottom w:val="none" w:sz="0" w:space="0" w:color="auto"/>
        <w:right w:val="none" w:sz="0" w:space="0" w:color="auto"/>
      </w:divBdr>
    </w:div>
    <w:div w:id="383868521">
      <w:bodyDiv w:val="1"/>
      <w:marLeft w:val="0"/>
      <w:marRight w:val="0"/>
      <w:marTop w:val="0"/>
      <w:marBottom w:val="0"/>
      <w:divBdr>
        <w:top w:val="none" w:sz="0" w:space="0" w:color="auto"/>
        <w:left w:val="none" w:sz="0" w:space="0" w:color="auto"/>
        <w:bottom w:val="none" w:sz="0" w:space="0" w:color="auto"/>
        <w:right w:val="none" w:sz="0" w:space="0" w:color="auto"/>
      </w:divBdr>
    </w:div>
    <w:div w:id="399333590">
      <w:bodyDiv w:val="1"/>
      <w:marLeft w:val="0"/>
      <w:marRight w:val="0"/>
      <w:marTop w:val="0"/>
      <w:marBottom w:val="0"/>
      <w:divBdr>
        <w:top w:val="none" w:sz="0" w:space="0" w:color="auto"/>
        <w:left w:val="none" w:sz="0" w:space="0" w:color="auto"/>
        <w:bottom w:val="none" w:sz="0" w:space="0" w:color="auto"/>
        <w:right w:val="none" w:sz="0" w:space="0" w:color="auto"/>
      </w:divBdr>
    </w:div>
    <w:div w:id="520317329">
      <w:bodyDiv w:val="1"/>
      <w:marLeft w:val="0"/>
      <w:marRight w:val="0"/>
      <w:marTop w:val="0"/>
      <w:marBottom w:val="0"/>
      <w:divBdr>
        <w:top w:val="none" w:sz="0" w:space="0" w:color="auto"/>
        <w:left w:val="none" w:sz="0" w:space="0" w:color="auto"/>
        <w:bottom w:val="none" w:sz="0" w:space="0" w:color="auto"/>
        <w:right w:val="none" w:sz="0" w:space="0" w:color="auto"/>
      </w:divBdr>
    </w:div>
    <w:div w:id="545678124">
      <w:bodyDiv w:val="1"/>
      <w:marLeft w:val="0"/>
      <w:marRight w:val="0"/>
      <w:marTop w:val="0"/>
      <w:marBottom w:val="0"/>
      <w:divBdr>
        <w:top w:val="none" w:sz="0" w:space="0" w:color="auto"/>
        <w:left w:val="none" w:sz="0" w:space="0" w:color="auto"/>
        <w:bottom w:val="none" w:sz="0" w:space="0" w:color="auto"/>
        <w:right w:val="none" w:sz="0" w:space="0" w:color="auto"/>
      </w:divBdr>
    </w:div>
    <w:div w:id="565729440">
      <w:bodyDiv w:val="1"/>
      <w:marLeft w:val="0"/>
      <w:marRight w:val="0"/>
      <w:marTop w:val="0"/>
      <w:marBottom w:val="0"/>
      <w:divBdr>
        <w:top w:val="none" w:sz="0" w:space="0" w:color="auto"/>
        <w:left w:val="none" w:sz="0" w:space="0" w:color="auto"/>
        <w:bottom w:val="none" w:sz="0" w:space="0" w:color="auto"/>
        <w:right w:val="none" w:sz="0" w:space="0" w:color="auto"/>
      </w:divBdr>
    </w:div>
    <w:div w:id="579102201">
      <w:bodyDiv w:val="1"/>
      <w:marLeft w:val="0"/>
      <w:marRight w:val="0"/>
      <w:marTop w:val="0"/>
      <w:marBottom w:val="0"/>
      <w:divBdr>
        <w:top w:val="none" w:sz="0" w:space="0" w:color="auto"/>
        <w:left w:val="none" w:sz="0" w:space="0" w:color="auto"/>
        <w:bottom w:val="none" w:sz="0" w:space="0" w:color="auto"/>
        <w:right w:val="none" w:sz="0" w:space="0" w:color="auto"/>
      </w:divBdr>
    </w:div>
    <w:div w:id="596596486">
      <w:bodyDiv w:val="1"/>
      <w:marLeft w:val="0"/>
      <w:marRight w:val="0"/>
      <w:marTop w:val="0"/>
      <w:marBottom w:val="0"/>
      <w:divBdr>
        <w:top w:val="none" w:sz="0" w:space="0" w:color="auto"/>
        <w:left w:val="none" w:sz="0" w:space="0" w:color="auto"/>
        <w:bottom w:val="none" w:sz="0" w:space="0" w:color="auto"/>
        <w:right w:val="none" w:sz="0" w:space="0" w:color="auto"/>
      </w:divBdr>
    </w:div>
    <w:div w:id="609435258">
      <w:bodyDiv w:val="1"/>
      <w:marLeft w:val="0"/>
      <w:marRight w:val="0"/>
      <w:marTop w:val="0"/>
      <w:marBottom w:val="0"/>
      <w:divBdr>
        <w:top w:val="none" w:sz="0" w:space="0" w:color="auto"/>
        <w:left w:val="none" w:sz="0" w:space="0" w:color="auto"/>
        <w:bottom w:val="none" w:sz="0" w:space="0" w:color="auto"/>
        <w:right w:val="none" w:sz="0" w:space="0" w:color="auto"/>
      </w:divBdr>
    </w:div>
    <w:div w:id="624845655">
      <w:bodyDiv w:val="1"/>
      <w:marLeft w:val="0"/>
      <w:marRight w:val="0"/>
      <w:marTop w:val="0"/>
      <w:marBottom w:val="0"/>
      <w:divBdr>
        <w:top w:val="none" w:sz="0" w:space="0" w:color="auto"/>
        <w:left w:val="none" w:sz="0" w:space="0" w:color="auto"/>
        <w:bottom w:val="none" w:sz="0" w:space="0" w:color="auto"/>
        <w:right w:val="none" w:sz="0" w:space="0" w:color="auto"/>
      </w:divBdr>
    </w:div>
    <w:div w:id="638876606">
      <w:bodyDiv w:val="1"/>
      <w:marLeft w:val="0"/>
      <w:marRight w:val="0"/>
      <w:marTop w:val="0"/>
      <w:marBottom w:val="0"/>
      <w:divBdr>
        <w:top w:val="none" w:sz="0" w:space="0" w:color="auto"/>
        <w:left w:val="none" w:sz="0" w:space="0" w:color="auto"/>
        <w:bottom w:val="none" w:sz="0" w:space="0" w:color="auto"/>
        <w:right w:val="none" w:sz="0" w:space="0" w:color="auto"/>
      </w:divBdr>
    </w:div>
    <w:div w:id="724793415">
      <w:bodyDiv w:val="1"/>
      <w:marLeft w:val="0"/>
      <w:marRight w:val="0"/>
      <w:marTop w:val="0"/>
      <w:marBottom w:val="0"/>
      <w:divBdr>
        <w:top w:val="none" w:sz="0" w:space="0" w:color="auto"/>
        <w:left w:val="none" w:sz="0" w:space="0" w:color="auto"/>
        <w:bottom w:val="none" w:sz="0" w:space="0" w:color="auto"/>
        <w:right w:val="none" w:sz="0" w:space="0" w:color="auto"/>
      </w:divBdr>
    </w:div>
    <w:div w:id="783424385">
      <w:bodyDiv w:val="1"/>
      <w:marLeft w:val="0"/>
      <w:marRight w:val="0"/>
      <w:marTop w:val="0"/>
      <w:marBottom w:val="0"/>
      <w:divBdr>
        <w:top w:val="none" w:sz="0" w:space="0" w:color="auto"/>
        <w:left w:val="none" w:sz="0" w:space="0" w:color="auto"/>
        <w:bottom w:val="none" w:sz="0" w:space="0" w:color="auto"/>
        <w:right w:val="none" w:sz="0" w:space="0" w:color="auto"/>
      </w:divBdr>
    </w:div>
    <w:div w:id="789320736">
      <w:bodyDiv w:val="1"/>
      <w:marLeft w:val="0"/>
      <w:marRight w:val="0"/>
      <w:marTop w:val="0"/>
      <w:marBottom w:val="0"/>
      <w:divBdr>
        <w:top w:val="none" w:sz="0" w:space="0" w:color="auto"/>
        <w:left w:val="none" w:sz="0" w:space="0" w:color="auto"/>
        <w:bottom w:val="none" w:sz="0" w:space="0" w:color="auto"/>
        <w:right w:val="none" w:sz="0" w:space="0" w:color="auto"/>
      </w:divBdr>
    </w:div>
    <w:div w:id="917716123">
      <w:bodyDiv w:val="1"/>
      <w:marLeft w:val="0"/>
      <w:marRight w:val="0"/>
      <w:marTop w:val="0"/>
      <w:marBottom w:val="0"/>
      <w:divBdr>
        <w:top w:val="none" w:sz="0" w:space="0" w:color="auto"/>
        <w:left w:val="none" w:sz="0" w:space="0" w:color="auto"/>
        <w:bottom w:val="none" w:sz="0" w:space="0" w:color="auto"/>
        <w:right w:val="none" w:sz="0" w:space="0" w:color="auto"/>
      </w:divBdr>
    </w:div>
    <w:div w:id="927882612">
      <w:bodyDiv w:val="1"/>
      <w:marLeft w:val="0"/>
      <w:marRight w:val="0"/>
      <w:marTop w:val="0"/>
      <w:marBottom w:val="0"/>
      <w:divBdr>
        <w:top w:val="none" w:sz="0" w:space="0" w:color="auto"/>
        <w:left w:val="none" w:sz="0" w:space="0" w:color="auto"/>
        <w:bottom w:val="none" w:sz="0" w:space="0" w:color="auto"/>
        <w:right w:val="none" w:sz="0" w:space="0" w:color="auto"/>
      </w:divBdr>
    </w:div>
    <w:div w:id="947273714">
      <w:bodyDiv w:val="1"/>
      <w:marLeft w:val="0"/>
      <w:marRight w:val="0"/>
      <w:marTop w:val="0"/>
      <w:marBottom w:val="0"/>
      <w:divBdr>
        <w:top w:val="none" w:sz="0" w:space="0" w:color="auto"/>
        <w:left w:val="none" w:sz="0" w:space="0" w:color="auto"/>
        <w:bottom w:val="none" w:sz="0" w:space="0" w:color="auto"/>
        <w:right w:val="none" w:sz="0" w:space="0" w:color="auto"/>
      </w:divBdr>
    </w:div>
    <w:div w:id="948780974">
      <w:bodyDiv w:val="1"/>
      <w:marLeft w:val="0"/>
      <w:marRight w:val="0"/>
      <w:marTop w:val="0"/>
      <w:marBottom w:val="0"/>
      <w:divBdr>
        <w:top w:val="none" w:sz="0" w:space="0" w:color="auto"/>
        <w:left w:val="none" w:sz="0" w:space="0" w:color="auto"/>
        <w:bottom w:val="none" w:sz="0" w:space="0" w:color="auto"/>
        <w:right w:val="none" w:sz="0" w:space="0" w:color="auto"/>
      </w:divBdr>
    </w:div>
    <w:div w:id="985089515">
      <w:bodyDiv w:val="1"/>
      <w:marLeft w:val="0"/>
      <w:marRight w:val="0"/>
      <w:marTop w:val="0"/>
      <w:marBottom w:val="0"/>
      <w:divBdr>
        <w:top w:val="none" w:sz="0" w:space="0" w:color="auto"/>
        <w:left w:val="none" w:sz="0" w:space="0" w:color="auto"/>
        <w:bottom w:val="none" w:sz="0" w:space="0" w:color="auto"/>
        <w:right w:val="none" w:sz="0" w:space="0" w:color="auto"/>
      </w:divBdr>
    </w:div>
    <w:div w:id="1002119804">
      <w:bodyDiv w:val="1"/>
      <w:marLeft w:val="0"/>
      <w:marRight w:val="0"/>
      <w:marTop w:val="0"/>
      <w:marBottom w:val="0"/>
      <w:divBdr>
        <w:top w:val="none" w:sz="0" w:space="0" w:color="auto"/>
        <w:left w:val="none" w:sz="0" w:space="0" w:color="auto"/>
        <w:bottom w:val="none" w:sz="0" w:space="0" w:color="auto"/>
        <w:right w:val="none" w:sz="0" w:space="0" w:color="auto"/>
      </w:divBdr>
    </w:div>
    <w:div w:id="1042561152">
      <w:bodyDiv w:val="1"/>
      <w:marLeft w:val="0"/>
      <w:marRight w:val="0"/>
      <w:marTop w:val="0"/>
      <w:marBottom w:val="0"/>
      <w:divBdr>
        <w:top w:val="none" w:sz="0" w:space="0" w:color="auto"/>
        <w:left w:val="none" w:sz="0" w:space="0" w:color="auto"/>
        <w:bottom w:val="none" w:sz="0" w:space="0" w:color="auto"/>
        <w:right w:val="none" w:sz="0" w:space="0" w:color="auto"/>
      </w:divBdr>
    </w:div>
    <w:div w:id="1055618855">
      <w:bodyDiv w:val="1"/>
      <w:marLeft w:val="0"/>
      <w:marRight w:val="0"/>
      <w:marTop w:val="0"/>
      <w:marBottom w:val="0"/>
      <w:divBdr>
        <w:top w:val="none" w:sz="0" w:space="0" w:color="auto"/>
        <w:left w:val="none" w:sz="0" w:space="0" w:color="auto"/>
        <w:bottom w:val="none" w:sz="0" w:space="0" w:color="auto"/>
        <w:right w:val="none" w:sz="0" w:space="0" w:color="auto"/>
      </w:divBdr>
    </w:div>
    <w:div w:id="1055785962">
      <w:bodyDiv w:val="1"/>
      <w:marLeft w:val="0"/>
      <w:marRight w:val="0"/>
      <w:marTop w:val="0"/>
      <w:marBottom w:val="0"/>
      <w:divBdr>
        <w:top w:val="none" w:sz="0" w:space="0" w:color="auto"/>
        <w:left w:val="none" w:sz="0" w:space="0" w:color="auto"/>
        <w:bottom w:val="none" w:sz="0" w:space="0" w:color="auto"/>
        <w:right w:val="none" w:sz="0" w:space="0" w:color="auto"/>
      </w:divBdr>
    </w:div>
    <w:div w:id="1109203597">
      <w:bodyDiv w:val="1"/>
      <w:marLeft w:val="0"/>
      <w:marRight w:val="0"/>
      <w:marTop w:val="0"/>
      <w:marBottom w:val="0"/>
      <w:divBdr>
        <w:top w:val="none" w:sz="0" w:space="0" w:color="auto"/>
        <w:left w:val="none" w:sz="0" w:space="0" w:color="auto"/>
        <w:bottom w:val="none" w:sz="0" w:space="0" w:color="auto"/>
        <w:right w:val="none" w:sz="0" w:space="0" w:color="auto"/>
      </w:divBdr>
    </w:div>
    <w:div w:id="1191992408">
      <w:bodyDiv w:val="1"/>
      <w:marLeft w:val="0"/>
      <w:marRight w:val="0"/>
      <w:marTop w:val="0"/>
      <w:marBottom w:val="0"/>
      <w:divBdr>
        <w:top w:val="none" w:sz="0" w:space="0" w:color="auto"/>
        <w:left w:val="none" w:sz="0" w:space="0" w:color="auto"/>
        <w:bottom w:val="none" w:sz="0" w:space="0" w:color="auto"/>
        <w:right w:val="none" w:sz="0" w:space="0" w:color="auto"/>
      </w:divBdr>
    </w:div>
    <w:div w:id="1199009315">
      <w:bodyDiv w:val="1"/>
      <w:marLeft w:val="0"/>
      <w:marRight w:val="0"/>
      <w:marTop w:val="0"/>
      <w:marBottom w:val="0"/>
      <w:divBdr>
        <w:top w:val="none" w:sz="0" w:space="0" w:color="auto"/>
        <w:left w:val="none" w:sz="0" w:space="0" w:color="auto"/>
        <w:bottom w:val="none" w:sz="0" w:space="0" w:color="auto"/>
        <w:right w:val="none" w:sz="0" w:space="0" w:color="auto"/>
      </w:divBdr>
    </w:div>
    <w:div w:id="1199052347">
      <w:bodyDiv w:val="1"/>
      <w:marLeft w:val="0"/>
      <w:marRight w:val="0"/>
      <w:marTop w:val="0"/>
      <w:marBottom w:val="0"/>
      <w:divBdr>
        <w:top w:val="none" w:sz="0" w:space="0" w:color="auto"/>
        <w:left w:val="none" w:sz="0" w:space="0" w:color="auto"/>
        <w:bottom w:val="none" w:sz="0" w:space="0" w:color="auto"/>
        <w:right w:val="none" w:sz="0" w:space="0" w:color="auto"/>
      </w:divBdr>
    </w:div>
    <w:div w:id="1248924845">
      <w:bodyDiv w:val="1"/>
      <w:marLeft w:val="0"/>
      <w:marRight w:val="0"/>
      <w:marTop w:val="0"/>
      <w:marBottom w:val="0"/>
      <w:divBdr>
        <w:top w:val="none" w:sz="0" w:space="0" w:color="auto"/>
        <w:left w:val="none" w:sz="0" w:space="0" w:color="auto"/>
        <w:bottom w:val="none" w:sz="0" w:space="0" w:color="auto"/>
        <w:right w:val="none" w:sz="0" w:space="0" w:color="auto"/>
      </w:divBdr>
    </w:div>
    <w:div w:id="1260215847">
      <w:bodyDiv w:val="1"/>
      <w:marLeft w:val="0"/>
      <w:marRight w:val="0"/>
      <w:marTop w:val="0"/>
      <w:marBottom w:val="0"/>
      <w:divBdr>
        <w:top w:val="none" w:sz="0" w:space="0" w:color="auto"/>
        <w:left w:val="none" w:sz="0" w:space="0" w:color="auto"/>
        <w:bottom w:val="none" w:sz="0" w:space="0" w:color="auto"/>
        <w:right w:val="none" w:sz="0" w:space="0" w:color="auto"/>
      </w:divBdr>
    </w:div>
    <w:div w:id="1315912457">
      <w:bodyDiv w:val="1"/>
      <w:marLeft w:val="0"/>
      <w:marRight w:val="0"/>
      <w:marTop w:val="0"/>
      <w:marBottom w:val="0"/>
      <w:divBdr>
        <w:top w:val="none" w:sz="0" w:space="0" w:color="auto"/>
        <w:left w:val="none" w:sz="0" w:space="0" w:color="auto"/>
        <w:bottom w:val="none" w:sz="0" w:space="0" w:color="auto"/>
        <w:right w:val="none" w:sz="0" w:space="0" w:color="auto"/>
      </w:divBdr>
    </w:div>
    <w:div w:id="1390149824">
      <w:bodyDiv w:val="1"/>
      <w:marLeft w:val="0"/>
      <w:marRight w:val="0"/>
      <w:marTop w:val="0"/>
      <w:marBottom w:val="0"/>
      <w:divBdr>
        <w:top w:val="none" w:sz="0" w:space="0" w:color="auto"/>
        <w:left w:val="none" w:sz="0" w:space="0" w:color="auto"/>
        <w:bottom w:val="none" w:sz="0" w:space="0" w:color="auto"/>
        <w:right w:val="none" w:sz="0" w:space="0" w:color="auto"/>
      </w:divBdr>
    </w:div>
    <w:div w:id="1390306053">
      <w:bodyDiv w:val="1"/>
      <w:marLeft w:val="0"/>
      <w:marRight w:val="0"/>
      <w:marTop w:val="0"/>
      <w:marBottom w:val="0"/>
      <w:divBdr>
        <w:top w:val="none" w:sz="0" w:space="0" w:color="auto"/>
        <w:left w:val="none" w:sz="0" w:space="0" w:color="auto"/>
        <w:bottom w:val="none" w:sz="0" w:space="0" w:color="auto"/>
        <w:right w:val="none" w:sz="0" w:space="0" w:color="auto"/>
      </w:divBdr>
    </w:div>
    <w:div w:id="1424719806">
      <w:bodyDiv w:val="1"/>
      <w:marLeft w:val="0"/>
      <w:marRight w:val="0"/>
      <w:marTop w:val="0"/>
      <w:marBottom w:val="0"/>
      <w:divBdr>
        <w:top w:val="none" w:sz="0" w:space="0" w:color="auto"/>
        <w:left w:val="none" w:sz="0" w:space="0" w:color="auto"/>
        <w:bottom w:val="none" w:sz="0" w:space="0" w:color="auto"/>
        <w:right w:val="none" w:sz="0" w:space="0" w:color="auto"/>
      </w:divBdr>
    </w:div>
    <w:div w:id="1469056653">
      <w:bodyDiv w:val="1"/>
      <w:marLeft w:val="0"/>
      <w:marRight w:val="0"/>
      <w:marTop w:val="0"/>
      <w:marBottom w:val="0"/>
      <w:divBdr>
        <w:top w:val="none" w:sz="0" w:space="0" w:color="auto"/>
        <w:left w:val="none" w:sz="0" w:space="0" w:color="auto"/>
        <w:bottom w:val="none" w:sz="0" w:space="0" w:color="auto"/>
        <w:right w:val="none" w:sz="0" w:space="0" w:color="auto"/>
      </w:divBdr>
    </w:div>
    <w:div w:id="1472678094">
      <w:bodyDiv w:val="1"/>
      <w:marLeft w:val="0"/>
      <w:marRight w:val="0"/>
      <w:marTop w:val="0"/>
      <w:marBottom w:val="0"/>
      <w:divBdr>
        <w:top w:val="none" w:sz="0" w:space="0" w:color="auto"/>
        <w:left w:val="none" w:sz="0" w:space="0" w:color="auto"/>
        <w:bottom w:val="none" w:sz="0" w:space="0" w:color="auto"/>
        <w:right w:val="none" w:sz="0" w:space="0" w:color="auto"/>
      </w:divBdr>
    </w:div>
    <w:div w:id="1555041863">
      <w:bodyDiv w:val="1"/>
      <w:marLeft w:val="0"/>
      <w:marRight w:val="0"/>
      <w:marTop w:val="0"/>
      <w:marBottom w:val="0"/>
      <w:divBdr>
        <w:top w:val="none" w:sz="0" w:space="0" w:color="auto"/>
        <w:left w:val="none" w:sz="0" w:space="0" w:color="auto"/>
        <w:bottom w:val="none" w:sz="0" w:space="0" w:color="auto"/>
        <w:right w:val="none" w:sz="0" w:space="0" w:color="auto"/>
      </w:divBdr>
    </w:div>
    <w:div w:id="1598052488">
      <w:bodyDiv w:val="1"/>
      <w:marLeft w:val="0"/>
      <w:marRight w:val="0"/>
      <w:marTop w:val="0"/>
      <w:marBottom w:val="0"/>
      <w:divBdr>
        <w:top w:val="none" w:sz="0" w:space="0" w:color="auto"/>
        <w:left w:val="none" w:sz="0" w:space="0" w:color="auto"/>
        <w:bottom w:val="none" w:sz="0" w:space="0" w:color="auto"/>
        <w:right w:val="none" w:sz="0" w:space="0" w:color="auto"/>
      </w:divBdr>
    </w:div>
    <w:div w:id="1668820678">
      <w:bodyDiv w:val="1"/>
      <w:marLeft w:val="0"/>
      <w:marRight w:val="0"/>
      <w:marTop w:val="0"/>
      <w:marBottom w:val="0"/>
      <w:divBdr>
        <w:top w:val="none" w:sz="0" w:space="0" w:color="auto"/>
        <w:left w:val="none" w:sz="0" w:space="0" w:color="auto"/>
        <w:bottom w:val="none" w:sz="0" w:space="0" w:color="auto"/>
        <w:right w:val="none" w:sz="0" w:space="0" w:color="auto"/>
      </w:divBdr>
    </w:div>
    <w:div w:id="1697775851">
      <w:bodyDiv w:val="1"/>
      <w:marLeft w:val="0"/>
      <w:marRight w:val="0"/>
      <w:marTop w:val="0"/>
      <w:marBottom w:val="0"/>
      <w:divBdr>
        <w:top w:val="none" w:sz="0" w:space="0" w:color="auto"/>
        <w:left w:val="none" w:sz="0" w:space="0" w:color="auto"/>
        <w:bottom w:val="none" w:sz="0" w:space="0" w:color="auto"/>
        <w:right w:val="none" w:sz="0" w:space="0" w:color="auto"/>
      </w:divBdr>
    </w:div>
    <w:div w:id="1711103085">
      <w:bodyDiv w:val="1"/>
      <w:marLeft w:val="0"/>
      <w:marRight w:val="0"/>
      <w:marTop w:val="0"/>
      <w:marBottom w:val="0"/>
      <w:divBdr>
        <w:top w:val="none" w:sz="0" w:space="0" w:color="auto"/>
        <w:left w:val="none" w:sz="0" w:space="0" w:color="auto"/>
        <w:bottom w:val="none" w:sz="0" w:space="0" w:color="auto"/>
        <w:right w:val="none" w:sz="0" w:space="0" w:color="auto"/>
      </w:divBdr>
    </w:div>
    <w:div w:id="1721441096">
      <w:bodyDiv w:val="1"/>
      <w:marLeft w:val="0"/>
      <w:marRight w:val="0"/>
      <w:marTop w:val="0"/>
      <w:marBottom w:val="0"/>
      <w:divBdr>
        <w:top w:val="none" w:sz="0" w:space="0" w:color="auto"/>
        <w:left w:val="none" w:sz="0" w:space="0" w:color="auto"/>
        <w:bottom w:val="none" w:sz="0" w:space="0" w:color="auto"/>
        <w:right w:val="none" w:sz="0" w:space="0" w:color="auto"/>
      </w:divBdr>
    </w:div>
    <w:div w:id="1793205422">
      <w:bodyDiv w:val="1"/>
      <w:marLeft w:val="0"/>
      <w:marRight w:val="0"/>
      <w:marTop w:val="0"/>
      <w:marBottom w:val="0"/>
      <w:divBdr>
        <w:top w:val="none" w:sz="0" w:space="0" w:color="auto"/>
        <w:left w:val="none" w:sz="0" w:space="0" w:color="auto"/>
        <w:bottom w:val="none" w:sz="0" w:space="0" w:color="auto"/>
        <w:right w:val="none" w:sz="0" w:space="0" w:color="auto"/>
      </w:divBdr>
    </w:div>
    <w:div w:id="1802769991">
      <w:bodyDiv w:val="1"/>
      <w:marLeft w:val="0"/>
      <w:marRight w:val="0"/>
      <w:marTop w:val="0"/>
      <w:marBottom w:val="0"/>
      <w:divBdr>
        <w:top w:val="none" w:sz="0" w:space="0" w:color="auto"/>
        <w:left w:val="none" w:sz="0" w:space="0" w:color="auto"/>
        <w:bottom w:val="none" w:sz="0" w:space="0" w:color="auto"/>
        <w:right w:val="none" w:sz="0" w:space="0" w:color="auto"/>
      </w:divBdr>
    </w:div>
    <w:div w:id="1837374964">
      <w:bodyDiv w:val="1"/>
      <w:marLeft w:val="0"/>
      <w:marRight w:val="0"/>
      <w:marTop w:val="0"/>
      <w:marBottom w:val="0"/>
      <w:divBdr>
        <w:top w:val="none" w:sz="0" w:space="0" w:color="auto"/>
        <w:left w:val="none" w:sz="0" w:space="0" w:color="auto"/>
        <w:bottom w:val="none" w:sz="0" w:space="0" w:color="auto"/>
        <w:right w:val="none" w:sz="0" w:space="0" w:color="auto"/>
      </w:divBdr>
    </w:div>
    <w:div w:id="1900440991">
      <w:bodyDiv w:val="1"/>
      <w:marLeft w:val="0"/>
      <w:marRight w:val="0"/>
      <w:marTop w:val="0"/>
      <w:marBottom w:val="0"/>
      <w:divBdr>
        <w:top w:val="none" w:sz="0" w:space="0" w:color="auto"/>
        <w:left w:val="none" w:sz="0" w:space="0" w:color="auto"/>
        <w:bottom w:val="none" w:sz="0" w:space="0" w:color="auto"/>
        <w:right w:val="none" w:sz="0" w:space="0" w:color="auto"/>
      </w:divBdr>
    </w:div>
    <w:div w:id="1919628582">
      <w:bodyDiv w:val="1"/>
      <w:marLeft w:val="0"/>
      <w:marRight w:val="0"/>
      <w:marTop w:val="0"/>
      <w:marBottom w:val="0"/>
      <w:divBdr>
        <w:top w:val="none" w:sz="0" w:space="0" w:color="auto"/>
        <w:left w:val="none" w:sz="0" w:space="0" w:color="auto"/>
        <w:bottom w:val="none" w:sz="0" w:space="0" w:color="auto"/>
        <w:right w:val="none" w:sz="0" w:space="0" w:color="auto"/>
      </w:divBdr>
    </w:div>
    <w:div w:id="1930505332">
      <w:bodyDiv w:val="1"/>
      <w:marLeft w:val="0"/>
      <w:marRight w:val="0"/>
      <w:marTop w:val="0"/>
      <w:marBottom w:val="0"/>
      <w:divBdr>
        <w:top w:val="none" w:sz="0" w:space="0" w:color="auto"/>
        <w:left w:val="none" w:sz="0" w:space="0" w:color="auto"/>
        <w:bottom w:val="none" w:sz="0" w:space="0" w:color="auto"/>
        <w:right w:val="none" w:sz="0" w:space="0" w:color="auto"/>
      </w:divBdr>
    </w:div>
    <w:div w:id="1988169950">
      <w:bodyDiv w:val="1"/>
      <w:marLeft w:val="0"/>
      <w:marRight w:val="0"/>
      <w:marTop w:val="0"/>
      <w:marBottom w:val="0"/>
      <w:divBdr>
        <w:top w:val="none" w:sz="0" w:space="0" w:color="auto"/>
        <w:left w:val="none" w:sz="0" w:space="0" w:color="auto"/>
        <w:bottom w:val="none" w:sz="0" w:space="0" w:color="auto"/>
        <w:right w:val="none" w:sz="0" w:space="0" w:color="auto"/>
      </w:divBdr>
    </w:div>
    <w:div w:id="2008629612">
      <w:bodyDiv w:val="1"/>
      <w:marLeft w:val="0"/>
      <w:marRight w:val="0"/>
      <w:marTop w:val="0"/>
      <w:marBottom w:val="0"/>
      <w:divBdr>
        <w:top w:val="none" w:sz="0" w:space="0" w:color="auto"/>
        <w:left w:val="none" w:sz="0" w:space="0" w:color="auto"/>
        <w:bottom w:val="none" w:sz="0" w:space="0" w:color="auto"/>
        <w:right w:val="none" w:sz="0" w:space="0" w:color="auto"/>
      </w:divBdr>
    </w:div>
    <w:div w:id="2028553924">
      <w:bodyDiv w:val="1"/>
      <w:marLeft w:val="0"/>
      <w:marRight w:val="0"/>
      <w:marTop w:val="0"/>
      <w:marBottom w:val="0"/>
      <w:divBdr>
        <w:top w:val="none" w:sz="0" w:space="0" w:color="auto"/>
        <w:left w:val="none" w:sz="0" w:space="0" w:color="auto"/>
        <w:bottom w:val="none" w:sz="0" w:space="0" w:color="auto"/>
        <w:right w:val="none" w:sz="0" w:space="0" w:color="auto"/>
      </w:divBdr>
    </w:div>
    <w:div w:id="2092500830">
      <w:bodyDiv w:val="1"/>
      <w:marLeft w:val="0"/>
      <w:marRight w:val="0"/>
      <w:marTop w:val="0"/>
      <w:marBottom w:val="0"/>
      <w:divBdr>
        <w:top w:val="none" w:sz="0" w:space="0" w:color="auto"/>
        <w:left w:val="none" w:sz="0" w:space="0" w:color="auto"/>
        <w:bottom w:val="none" w:sz="0" w:space="0" w:color="auto"/>
        <w:right w:val="none" w:sz="0" w:space="0" w:color="auto"/>
      </w:divBdr>
    </w:div>
    <w:div w:id="2095273215">
      <w:bodyDiv w:val="1"/>
      <w:marLeft w:val="0"/>
      <w:marRight w:val="0"/>
      <w:marTop w:val="0"/>
      <w:marBottom w:val="0"/>
      <w:divBdr>
        <w:top w:val="none" w:sz="0" w:space="0" w:color="auto"/>
        <w:left w:val="none" w:sz="0" w:space="0" w:color="auto"/>
        <w:bottom w:val="none" w:sz="0" w:space="0" w:color="auto"/>
        <w:right w:val="none" w:sz="0" w:space="0" w:color="auto"/>
      </w:divBdr>
    </w:div>
    <w:div w:id="20986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agoncapital.com.vn/r/vfmvsf-bien-ban-nghi-quyet-dai-hoi-nha-dau-tu-thuong-nien-nam-tai-chinh-2022-ngay-31-03-20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agoncapital.com.vn/r/vfmvsf-dieu-le-quy-ngay-31-03-202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B5E7C50A9945B3041B2C046486F4" ma:contentTypeVersion="14" ma:contentTypeDescription="Create a new document." ma:contentTypeScope="" ma:versionID="0afbf51b299968e2faab26b5845ca7d6">
  <xsd:schema xmlns:xsd="http://www.w3.org/2001/XMLSchema" xmlns:xs="http://www.w3.org/2001/XMLSchema" xmlns:p="http://schemas.microsoft.com/office/2006/metadata/properties" xmlns:ns2="4b0ec68f-0f9b-4e66-929f-60cc462616ed" xmlns:ns3="6dd7a203-552b-46f7-87d0-4bf2c379389b" targetNamespace="http://schemas.microsoft.com/office/2006/metadata/properties" ma:root="true" ma:fieldsID="e16bc3deb39fc0d22d47f19323985150" ns2:_="" ns3:_="">
    <xsd:import namespace="4b0ec68f-0f9b-4e66-929f-60cc462616ed"/>
    <xsd:import namespace="6dd7a203-552b-46f7-87d0-4bf2c37938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c68f-0f9b-4e66-929f-60cc46261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0afc97-7c6a-4e00-b079-4567eaa0b9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7a203-552b-46f7-87d0-4bf2c379389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3bcf1e-3eff-4a73-8c90-ee622eae9f40}" ma:internalName="TaxCatchAll" ma:showField="CatchAllData" ma:web="6dd7a203-552b-46f7-87d0-4bf2c37938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dd7a203-552b-46f7-87d0-4bf2c379389b" xsi:nil="true"/>
    <lcf76f155ced4ddcb4097134ff3c332f xmlns="4b0ec68f-0f9b-4e66-929f-60cc462616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684566-EB16-4EEE-BCB2-FB2358A1B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c68f-0f9b-4e66-929f-60cc462616ed"/>
    <ds:schemaRef ds:uri="6dd7a203-552b-46f7-87d0-4bf2c3793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A13C2-8E26-40BA-A004-F77807B52BB2}">
  <ds:schemaRefs>
    <ds:schemaRef ds:uri="http://schemas.openxmlformats.org/officeDocument/2006/bibliography"/>
  </ds:schemaRefs>
</ds:datastoreItem>
</file>

<file path=customXml/itemProps3.xml><?xml version="1.0" encoding="utf-8"?>
<ds:datastoreItem xmlns:ds="http://schemas.openxmlformats.org/officeDocument/2006/customXml" ds:itemID="{F8D62EDD-0ADA-491D-80DB-52CF99DADBE3}">
  <ds:schemaRefs>
    <ds:schemaRef ds:uri="http://schemas.microsoft.com/sharepoint/v3/contenttype/forms"/>
  </ds:schemaRefs>
</ds:datastoreItem>
</file>

<file path=customXml/itemProps4.xml><?xml version="1.0" encoding="utf-8"?>
<ds:datastoreItem xmlns:ds="http://schemas.openxmlformats.org/officeDocument/2006/customXml" ds:itemID="{8E24114A-0FCC-492F-82BA-AC80645DEF20}">
  <ds:schemaRefs>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6dd7a203-552b-46f7-87d0-4bf2c379389b"/>
    <ds:schemaRef ds:uri="4b0ec68f-0f9b-4e66-929f-60cc462616e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anhvuong</dc:creator>
  <cp:lastModifiedBy>Ngoc Nguyen Thu (ISFL)</cp:lastModifiedBy>
  <cp:revision>33</cp:revision>
  <cp:lastPrinted>2019-03-14T03:27:00Z</cp:lastPrinted>
  <dcterms:created xsi:type="dcterms:W3CDTF">2024-03-08T07:35:00Z</dcterms:created>
  <dcterms:modified xsi:type="dcterms:W3CDTF">2024-03-11T09:03:00Z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0x0101000C1DB5E7C50A9945B3041B2C046486F4</vt:lpwstr>
  </property>
  <property fmtid="{D5CDD505-2E9C-101B-9397-08002B2CF9AE}" pid="3" name="Order">
    <vt:r8>17019600</vt:r8>
  </property>
  <property fmtid="{D5CDD505-2E9C-101B-9397-08002B2CF9AE}" pid="4" name="MediaServiceImageTags">
    <vt:lpwstr/>
  </property>
</Properties>
</file>