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BDF2" w14:textId="77777777" w:rsidR="007E4DB0" w:rsidRPr="00263C86" w:rsidRDefault="007E4DB0" w:rsidP="007E4DB0">
      <w:pPr>
        <w:spacing w:before="120" w:after="120"/>
        <w:jc w:val="center"/>
        <w:rPr>
          <w:rFonts w:ascii="Times New Roman" w:hAnsi="Times New Roman"/>
          <w:b/>
          <w:sz w:val="26"/>
          <w:szCs w:val="26"/>
        </w:rPr>
      </w:pPr>
      <w:r w:rsidRPr="00263C86">
        <w:rPr>
          <w:rFonts w:ascii="Times New Roman" w:hAnsi="Times New Roman"/>
          <w:b/>
          <w:sz w:val="26"/>
          <w:szCs w:val="26"/>
        </w:rPr>
        <w:t>PHỤ LỤC XXV</w:t>
      </w:r>
    </w:p>
    <w:p w14:paraId="5D5BABB4" w14:textId="77777777" w:rsidR="007E4DB0" w:rsidRPr="00263C86" w:rsidRDefault="007E4DB0" w:rsidP="007E4DB0">
      <w:pPr>
        <w:spacing w:before="120" w:after="120"/>
        <w:jc w:val="center"/>
        <w:rPr>
          <w:rFonts w:ascii="Times New Roman" w:hAnsi="Times New Roman"/>
          <w:sz w:val="26"/>
          <w:szCs w:val="26"/>
        </w:rPr>
      </w:pPr>
      <w:r w:rsidRPr="00263C86">
        <w:rPr>
          <w:rFonts w:ascii="Times New Roman" w:hAnsi="Times New Roman"/>
          <w:b/>
          <w:bCs/>
          <w:sz w:val="26"/>
          <w:szCs w:val="26"/>
        </w:rPr>
        <w:t>MẪU BÁO CÁO TỔNG KẾT HOẠT ĐỘNG QUẢN LÝ QUỸ/CÔNG TY ĐẦU TƯ CHỨNG KHOÁN BÁN NIÊN, NĂM</w:t>
      </w:r>
      <w:r w:rsidRPr="00263C86">
        <w:rPr>
          <w:rFonts w:ascii="Times New Roman" w:hAnsi="Times New Roman"/>
          <w:b/>
          <w:bCs/>
          <w:sz w:val="26"/>
          <w:szCs w:val="26"/>
        </w:rPr>
        <w:br/>
      </w:r>
      <w:r w:rsidRPr="00263C86">
        <w:rPr>
          <w:rFonts w:ascii="Times New Roman" w:hAnsi="Times New Roman"/>
          <w:i/>
          <w:sz w:val="26"/>
          <w:szCs w:val="26"/>
        </w:rPr>
        <w:t xml:space="preserve">(Ban </w:t>
      </w:r>
      <w:proofErr w:type="spellStart"/>
      <w:r w:rsidRPr="00263C86">
        <w:rPr>
          <w:rFonts w:ascii="Times New Roman" w:hAnsi="Times New Roman"/>
          <w:i/>
          <w:sz w:val="26"/>
          <w:szCs w:val="26"/>
        </w:rPr>
        <w:t>hành</w:t>
      </w:r>
      <w:proofErr w:type="spellEnd"/>
      <w:r w:rsidRPr="00263C86">
        <w:rPr>
          <w:rFonts w:ascii="Times New Roman" w:hAnsi="Times New Roman"/>
          <w:i/>
          <w:sz w:val="26"/>
          <w:szCs w:val="26"/>
        </w:rPr>
        <w:t xml:space="preserve"> </w:t>
      </w:r>
      <w:proofErr w:type="spellStart"/>
      <w:r w:rsidRPr="00263C86">
        <w:rPr>
          <w:rFonts w:ascii="Times New Roman" w:hAnsi="Times New Roman"/>
          <w:i/>
          <w:sz w:val="26"/>
          <w:szCs w:val="26"/>
        </w:rPr>
        <w:t>kèm</w:t>
      </w:r>
      <w:proofErr w:type="spellEnd"/>
      <w:r w:rsidRPr="00263C86">
        <w:rPr>
          <w:rFonts w:ascii="Times New Roman" w:hAnsi="Times New Roman"/>
          <w:i/>
          <w:sz w:val="26"/>
          <w:szCs w:val="26"/>
        </w:rPr>
        <w:t xml:space="preserve"> </w:t>
      </w:r>
      <w:proofErr w:type="spellStart"/>
      <w:r w:rsidRPr="00263C86">
        <w:rPr>
          <w:rFonts w:ascii="Times New Roman" w:hAnsi="Times New Roman"/>
          <w:i/>
          <w:sz w:val="26"/>
          <w:szCs w:val="26"/>
        </w:rPr>
        <w:t>theo</w:t>
      </w:r>
      <w:proofErr w:type="spellEnd"/>
      <w:r w:rsidRPr="00263C86">
        <w:rPr>
          <w:rFonts w:ascii="Times New Roman" w:hAnsi="Times New Roman"/>
          <w:i/>
          <w:sz w:val="26"/>
          <w:szCs w:val="26"/>
        </w:rPr>
        <w:t xml:space="preserve"> Thông </w:t>
      </w:r>
      <w:proofErr w:type="spellStart"/>
      <w:r w:rsidRPr="00263C86">
        <w:rPr>
          <w:rFonts w:ascii="Times New Roman" w:hAnsi="Times New Roman"/>
          <w:i/>
          <w:sz w:val="26"/>
          <w:szCs w:val="26"/>
        </w:rPr>
        <w:t>tư</w:t>
      </w:r>
      <w:proofErr w:type="spellEnd"/>
      <w:r w:rsidRPr="00263C86">
        <w:rPr>
          <w:rFonts w:ascii="Times New Roman" w:hAnsi="Times New Roman"/>
          <w:i/>
          <w:sz w:val="26"/>
          <w:szCs w:val="26"/>
        </w:rPr>
        <w:t xml:space="preserve"> </w:t>
      </w:r>
      <w:proofErr w:type="spellStart"/>
      <w:r w:rsidRPr="00263C86">
        <w:rPr>
          <w:rFonts w:ascii="Times New Roman" w:hAnsi="Times New Roman"/>
          <w:i/>
          <w:sz w:val="26"/>
          <w:szCs w:val="26"/>
        </w:rPr>
        <w:t>số</w:t>
      </w:r>
      <w:proofErr w:type="spellEnd"/>
      <w:r w:rsidRPr="00263C86">
        <w:rPr>
          <w:rFonts w:ascii="Times New Roman" w:hAnsi="Times New Roman"/>
          <w:i/>
          <w:sz w:val="26"/>
          <w:szCs w:val="26"/>
        </w:rPr>
        <w:t xml:space="preserve"> 98/2020/TT-BTC </w:t>
      </w:r>
      <w:proofErr w:type="spellStart"/>
      <w:r w:rsidRPr="00263C86">
        <w:rPr>
          <w:rFonts w:ascii="Times New Roman" w:hAnsi="Times New Roman"/>
          <w:i/>
          <w:sz w:val="26"/>
          <w:szCs w:val="26"/>
        </w:rPr>
        <w:t>ngày</w:t>
      </w:r>
      <w:proofErr w:type="spellEnd"/>
      <w:r w:rsidRPr="00263C86">
        <w:rPr>
          <w:rFonts w:ascii="Times New Roman" w:hAnsi="Times New Roman"/>
          <w:i/>
          <w:sz w:val="26"/>
          <w:szCs w:val="26"/>
        </w:rPr>
        <w:t xml:space="preserve"> 16 </w:t>
      </w:r>
      <w:proofErr w:type="spellStart"/>
      <w:r w:rsidRPr="00263C86">
        <w:rPr>
          <w:rFonts w:ascii="Times New Roman" w:hAnsi="Times New Roman"/>
          <w:i/>
          <w:sz w:val="26"/>
          <w:szCs w:val="26"/>
        </w:rPr>
        <w:t>tháng</w:t>
      </w:r>
      <w:proofErr w:type="spellEnd"/>
      <w:r w:rsidRPr="00263C86">
        <w:rPr>
          <w:rFonts w:ascii="Times New Roman" w:hAnsi="Times New Roman"/>
          <w:i/>
          <w:sz w:val="26"/>
          <w:szCs w:val="26"/>
        </w:rPr>
        <w:t xml:space="preserve"> 11 </w:t>
      </w:r>
      <w:proofErr w:type="spellStart"/>
      <w:r w:rsidRPr="00263C86">
        <w:rPr>
          <w:rFonts w:ascii="Times New Roman" w:hAnsi="Times New Roman"/>
          <w:i/>
          <w:sz w:val="26"/>
          <w:szCs w:val="26"/>
        </w:rPr>
        <w:t>năm</w:t>
      </w:r>
      <w:proofErr w:type="spellEnd"/>
      <w:r w:rsidRPr="00263C86">
        <w:rPr>
          <w:rFonts w:ascii="Times New Roman" w:hAnsi="Times New Roman"/>
          <w:i/>
          <w:sz w:val="26"/>
          <w:szCs w:val="26"/>
        </w:rPr>
        <w:t xml:space="preserve"> 2020 </w:t>
      </w:r>
      <w:proofErr w:type="spellStart"/>
      <w:r w:rsidRPr="00263C86">
        <w:rPr>
          <w:rFonts w:ascii="Times New Roman" w:hAnsi="Times New Roman"/>
          <w:i/>
          <w:sz w:val="26"/>
          <w:szCs w:val="26"/>
        </w:rPr>
        <w:t>của</w:t>
      </w:r>
      <w:proofErr w:type="spellEnd"/>
      <w:r w:rsidRPr="00263C86">
        <w:rPr>
          <w:rFonts w:ascii="Times New Roman" w:hAnsi="Times New Roman"/>
          <w:i/>
          <w:sz w:val="26"/>
          <w:szCs w:val="26"/>
        </w:rPr>
        <w:t xml:space="preserve"> </w:t>
      </w:r>
      <w:proofErr w:type="spellStart"/>
      <w:r w:rsidRPr="00263C86">
        <w:rPr>
          <w:rFonts w:ascii="Times New Roman" w:hAnsi="Times New Roman"/>
          <w:i/>
          <w:sz w:val="26"/>
          <w:szCs w:val="26"/>
        </w:rPr>
        <w:t>Bộ</w:t>
      </w:r>
      <w:proofErr w:type="spellEnd"/>
      <w:r w:rsidRPr="00263C86">
        <w:rPr>
          <w:rFonts w:ascii="Times New Roman" w:hAnsi="Times New Roman"/>
          <w:i/>
          <w:sz w:val="26"/>
          <w:szCs w:val="26"/>
        </w:rPr>
        <w:t xml:space="preserve"> </w:t>
      </w:r>
      <w:proofErr w:type="spellStart"/>
      <w:r w:rsidRPr="00263C86">
        <w:rPr>
          <w:rFonts w:ascii="Times New Roman" w:hAnsi="Times New Roman"/>
          <w:i/>
          <w:sz w:val="26"/>
          <w:szCs w:val="26"/>
        </w:rPr>
        <w:t>trưởng</w:t>
      </w:r>
      <w:proofErr w:type="spellEnd"/>
      <w:r w:rsidRPr="00263C86">
        <w:rPr>
          <w:rFonts w:ascii="Times New Roman" w:hAnsi="Times New Roman"/>
          <w:i/>
          <w:sz w:val="26"/>
          <w:szCs w:val="26"/>
        </w:rPr>
        <w:t xml:space="preserve"> </w:t>
      </w:r>
      <w:proofErr w:type="spellStart"/>
      <w:r w:rsidRPr="00263C86">
        <w:rPr>
          <w:rFonts w:ascii="Times New Roman" w:hAnsi="Times New Roman"/>
          <w:i/>
          <w:sz w:val="26"/>
          <w:szCs w:val="26"/>
        </w:rPr>
        <w:t>Bộ</w:t>
      </w:r>
      <w:proofErr w:type="spellEnd"/>
      <w:r w:rsidRPr="00263C86">
        <w:rPr>
          <w:rFonts w:ascii="Times New Roman" w:hAnsi="Times New Roman"/>
          <w:i/>
          <w:sz w:val="26"/>
          <w:szCs w:val="26"/>
        </w:rPr>
        <w:t xml:space="preserve"> Tài </w:t>
      </w:r>
      <w:proofErr w:type="spellStart"/>
      <w:r w:rsidRPr="00263C86">
        <w:rPr>
          <w:rFonts w:ascii="Times New Roman" w:hAnsi="Times New Roman"/>
          <w:i/>
          <w:sz w:val="26"/>
          <w:szCs w:val="26"/>
        </w:rPr>
        <w:t>chính</w:t>
      </w:r>
      <w:proofErr w:type="spellEnd"/>
      <w:r w:rsidRPr="00263C86">
        <w:rPr>
          <w:rFonts w:ascii="Times New Roman" w:hAnsi="Times New Roman"/>
          <w:i/>
          <w:sz w:val="26"/>
          <w:szCs w:val="26"/>
        </w:rPr>
        <w:t>)</w:t>
      </w:r>
    </w:p>
    <w:tbl>
      <w:tblPr>
        <w:tblW w:w="9900" w:type="dxa"/>
        <w:tblLook w:val="01E0" w:firstRow="1" w:lastRow="1" w:firstColumn="1" w:lastColumn="1" w:noHBand="0" w:noVBand="0"/>
      </w:tblPr>
      <w:tblGrid>
        <w:gridCol w:w="4050"/>
        <w:gridCol w:w="5850"/>
      </w:tblGrid>
      <w:tr w:rsidR="007E4DB0" w:rsidRPr="00263C86" w14:paraId="12B4CC2D" w14:textId="77777777" w:rsidTr="00C82674">
        <w:tc>
          <w:tcPr>
            <w:tcW w:w="4050" w:type="dxa"/>
          </w:tcPr>
          <w:p w14:paraId="20D6FA79" w14:textId="77777777" w:rsidR="007E4DB0" w:rsidRPr="00263C86" w:rsidRDefault="007E4DB0" w:rsidP="00C82674">
            <w:pPr>
              <w:spacing w:before="120" w:after="120"/>
              <w:jc w:val="center"/>
              <w:rPr>
                <w:rFonts w:ascii="Times New Roman" w:eastAsia="Times New Roman" w:hAnsi="Times New Roman"/>
                <w:b/>
                <w:sz w:val="26"/>
                <w:szCs w:val="26"/>
              </w:rPr>
            </w:pPr>
            <w:r>
              <w:rPr>
                <w:rFonts w:ascii="Times New Roman" w:eastAsia="Times New Roman" w:hAnsi="Times New Roman"/>
                <w:b/>
                <w:sz w:val="26"/>
                <w:szCs w:val="26"/>
              </w:rPr>
              <w:t>CÔNG TY CỔ PHẦN QUẢN LÝ QUỸ ĐẦU TƯ DRAGON CAPITAL VIỆT NAM</w:t>
            </w:r>
            <w:r w:rsidRPr="00263C86">
              <w:rPr>
                <w:rFonts w:ascii="Times New Roman" w:eastAsia="Times New Roman" w:hAnsi="Times New Roman"/>
                <w:b/>
                <w:sz w:val="26"/>
                <w:szCs w:val="26"/>
              </w:rPr>
              <w:br/>
              <w:t>-------</w:t>
            </w:r>
          </w:p>
        </w:tc>
        <w:tc>
          <w:tcPr>
            <w:tcW w:w="5850" w:type="dxa"/>
          </w:tcPr>
          <w:p w14:paraId="7253C4E0" w14:textId="77777777" w:rsidR="007E4DB0" w:rsidRPr="00263C86" w:rsidRDefault="007E4DB0" w:rsidP="00C82674">
            <w:pPr>
              <w:spacing w:before="120" w:after="120"/>
              <w:jc w:val="center"/>
              <w:rPr>
                <w:rFonts w:ascii="Times New Roman" w:eastAsia="Times New Roman" w:hAnsi="Times New Roman"/>
                <w:sz w:val="26"/>
                <w:szCs w:val="26"/>
              </w:rPr>
            </w:pPr>
            <w:r w:rsidRPr="00263C86">
              <w:rPr>
                <w:rFonts w:ascii="Times New Roman" w:eastAsia="Times New Roman" w:hAnsi="Times New Roman"/>
                <w:b/>
                <w:sz w:val="26"/>
                <w:szCs w:val="26"/>
              </w:rPr>
              <w:t>CỘNG HÒA XÃ HỘI CHỦ NGHĨA VIỆT NAM</w:t>
            </w:r>
            <w:r w:rsidRPr="00263C86">
              <w:rPr>
                <w:rFonts w:ascii="Times New Roman" w:eastAsia="Times New Roman" w:hAnsi="Times New Roman"/>
                <w:b/>
                <w:sz w:val="26"/>
                <w:szCs w:val="26"/>
              </w:rPr>
              <w:br/>
            </w:r>
            <w:proofErr w:type="spellStart"/>
            <w:r w:rsidRPr="00263C86">
              <w:rPr>
                <w:rFonts w:ascii="Times New Roman" w:eastAsia="Times New Roman" w:hAnsi="Times New Roman"/>
                <w:b/>
                <w:sz w:val="26"/>
                <w:szCs w:val="26"/>
              </w:rPr>
              <w:t>Độc</w:t>
            </w:r>
            <w:proofErr w:type="spellEnd"/>
            <w:r w:rsidRPr="00263C86">
              <w:rPr>
                <w:rFonts w:ascii="Times New Roman" w:eastAsia="Times New Roman" w:hAnsi="Times New Roman"/>
                <w:b/>
                <w:sz w:val="26"/>
                <w:szCs w:val="26"/>
              </w:rPr>
              <w:t xml:space="preserve"> </w:t>
            </w:r>
            <w:proofErr w:type="spellStart"/>
            <w:r w:rsidRPr="00263C86">
              <w:rPr>
                <w:rFonts w:ascii="Times New Roman" w:eastAsia="Times New Roman" w:hAnsi="Times New Roman"/>
                <w:b/>
                <w:sz w:val="26"/>
                <w:szCs w:val="26"/>
              </w:rPr>
              <w:t>lập</w:t>
            </w:r>
            <w:proofErr w:type="spellEnd"/>
            <w:r w:rsidRPr="00263C86">
              <w:rPr>
                <w:rFonts w:ascii="Times New Roman" w:eastAsia="Times New Roman" w:hAnsi="Times New Roman"/>
                <w:b/>
                <w:sz w:val="26"/>
                <w:szCs w:val="26"/>
              </w:rPr>
              <w:t xml:space="preserve"> - </w:t>
            </w:r>
            <w:proofErr w:type="spellStart"/>
            <w:r w:rsidRPr="00263C86">
              <w:rPr>
                <w:rFonts w:ascii="Times New Roman" w:eastAsia="Times New Roman" w:hAnsi="Times New Roman"/>
                <w:b/>
                <w:sz w:val="26"/>
                <w:szCs w:val="26"/>
              </w:rPr>
              <w:t>Tự</w:t>
            </w:r>
            <w:proofErr w:type="spellEnd"/>
            <w:r w:rsidRPr="00263C86">
              <w:rPr>
                <w:rFonts w:ascii="Times New Roman" w:eastAsia="Times New Roman" w:hAnsi="Times New Roman"/>
                <w:b/>
                <w:sz w:val="26"/>
                <w:szCs w:val="26"/>
              </w:rPr>
              <w:t xml:space="preserve"> do - </w:t>
            </w:r>
            <w:proofErr w:type="spellStart"/>
            <w:r w:rsidRPr="00263C86">
              <w:rPr>
                <w:rFonts w:ascii="Times New Roman" w:eastAsia="Times New Roman" w:hAnsi="Times New Roman"/>
                <w:b/>
                <w:sz w:val="26"/>
                <w:szCs w:val="26"/>
              </w:rPr>
              <w:t>Hạnh</w:t>
            </w:r>
            <w:proofErr w:type="spellEnd"/>
            <w:r w:rsidRPr="00263C86">
              <w:rPr>
                <w:rFonts w:ascii="Times New Roman" w:eastAsia="Times New Roman" w:hAnsi="Times New Roman"/>
                <w:b/>
                <w:sz w:val="26"/>
                <w:szCs w:val="26"/>
              </w:rPr>
              <w:t xml:space="preserve"> </w:t>
            </w:r>
            <w:proofErr w:type="spellStart"/>
            <w:r w:rsidRPr="00263C86">
              <w:rPr>
                <w:rFonts w:ascii="Times New Roman" w:eastAsia="Times New Roman" w:hAnsi="Times New Roman"/>
                <w:b/>
                <w:sz w:val="26"/>
                <w:szCs w:val="26"/>
              </w:rPr>
              <w:t>phúc</w:t>
            </w:r>
            <w:proofErr w:type="spellEnd"/>
            <w:r w:rsidRPr="00263C86">
              <w:rPr>
                <w:rFonts w:ascii="Times New Roman" w:eastAsia="Times New Roman" w:hAnsi="Times New Roman"/>
                <w:b/>
                <w:sz w:val="26"/>
                <w:szCs w:val="26"/>
              </w:rPr>
              <w:t xml:space="preserve"> </w:t>
            </w:r>
            <w:r w:rsidRPr="00263C86">
              <w:rPr>
                <w:rFonts w:ascii="Times New Roman" w:eastAsia="Times New Roman" w:hAnsi="Times New Roman"/>
                <w:b/>
                <w:sz w:val="26"/>
                <w:szCs w:val="26"/>
              </w:rPr>
              <w:br/>
              <w:t>---------------</w:t>
            </w:r>
          </w:p>
        </w:tc>
      </w:tr>
      <w:tr w:rsidR="007E4DB0" w:rsidRPr="00263C86" w14:paraId="31F9DD94" w14:textId="77777777" w:rsidTr="007E4DB0">
        <w:tc>
          <w:tcPr>
            <w:tcW w:w="4050" w:type="dxa"/>
          </w:tcPr>
          <w:p w14:paraId="72353FEE" w14:textId="77777777" w:rsidR="007E4DB0" w:rsidRPr="007E4DB0" w:rsidRDefault="007E4DB0" w:rsidP="00C82674">
            <w:pPr>
              <w:spacing w:before="120" w:after="120"/>
              <w:jc w:val="center"/>
              <w:rPr>
                <w:rFonts w:ascii="Times New Roman" w:eastAsia="Times New Roman" w:hAnsi="Times New Roman"/>
                <w:b/>
                <w:sz w:val="26"/>
                <w:szCs w:val="26"/>
              </w:rPr>
            </w:pPr>
            <w:proofErr w:type="spellStart"/>
            <w:r w:rsidRPr="007E4DB0">
              <w:rPr>
                <w:rFonts w:ascii="Times New Roman" w:eastAsia="Times New Roman" w:hAnsi="Times New Roman"/>
                <w:b/>
                <w:sz w:val="26"/>
                <w:szCs w:val="26"/>
              </w:rPr>
              <w:t>Số</w:t>
            </w:r>
            <w:proofErr w:type="spellEnd"/>
            <w:r w:rsidRPr="007E4DB0">
              <w:rPr>
                <w:rFonts w:ascii="Times New Roman" w:eastAsia="Times New Roman" w:hAnsi="Times New Roman"/>
                <w:b/>
                <w:sz w:val="26"/>
                <w:szCs w:val="26"/>
              </w:rPr>
              <w:t>:</w:t>
            </w:r>
          </w:p>
        </w:tc>
        <w:tc>
          <w:tcPr>
            <w:tcW w:w="5850" w:type="dxa"/>
          </w:tcPr>
          <w:p w14:paraId="7FE291A2" w14:textId="4B6A487C" w:rsidR="007E4DB0" w:rsidRPr="007E4DB0" w:rsidRDefault="00961C1D" w:rsidP="007E4DB0">
            <w:pPr>
              <w:spacing w:before="120" w:after="120"/>
              <w:jc w:val="center"/>
              <w:rPr>
                <w:rFonts w:ascii="Times New Roman" w:eastAsia="Times New Roman" w:hAnsi="Times New Roman"/>
                <w:b/>
                <w:sz w:val="26"/>
                <w:szCs w:val="26"/>
              </w:rPr>
            </w:pPr>
            <w:proofErr w:type="spellStart"/>
            <w:r>
              <w:rPr>
                <w:rFonts w:ascii="Times New Roman" w:eastAsia="Times New Roman" w:hAnsi="Times New Roman"/>
                <w:b/>
                <w:sz w:val="26"/>
                <w:szCs w:val="26"/>
              </w:rPr>
              <w:t>Tp</w:t>
            </w:r>
            <w:proofErr w:type="spellEnd"/>
            <w:r>
              <w:rPr>
                <w:rFonts w:ascii="Times New Roman" w:eastAsia="Times New Roman" w:hAnsi="Times New Roman"/>
                <w:b/>
                <w:sz w:val="26"/>
                <w:szCs w:val="26"/>
              </w:rPr>
              <w:t xml:space="preserve"> HCM</w:t>
            </w:r>
            <w:r w:rsidR="007E4DB0" w:rsidRPr="007E4DB0">
              <w:rPr>
                <w:rFonts w:ascii="Times New Roman" w:eastAsia="Times New Roman" w:hAnsi="Times New Roman"/>
                <w:b/>
                <w:sz w:val="26"/>
                <w:szCs w:val="26"/>
              </w:rPr>
              <w:t xml:space="preserve">, </w:t>
            </w:r>
            <w:proofErr w:type="spellStart"/>
            <w:r w:rsidR="007E4DB0" w:rsidRPr="007E4DB0">
              <w:rPr>
                <w:rFonts w:ascii="Times New Roman" w:eastAsia="Times New Roman" w:hAnsi="Times New Roman"/>
                <w:b/>
                <w:sz w:val="26"/>
                <w:szCs w:val="26"/>
              </w:rPr>
              <w:t>ngày</w:t>
            </w:r>
            <w:proofErr w:type="spellEnd"/>
            <w:r>
              <w:rPr>
                <w:rFonts w:ascii="Times New Roman" w:eastAsia="Times New Roman" w:hAnsi="Times New Roman"/>
                <w:b/>
                <w:sz w:val="26"/>
                <w:szCs w:val="26"/>
              </w:rPr>
              <w:t xml:space="preserve"> </w:t>
            </w:r>
            <w:r w:rsidR="00A67ED9">
              <w:rPr>
                <w:rFonts w:ascii="Times New Roman" w:eastAsia="Times New Roman" w:hAnsi="Times New Roman"/>
                <w:b/>
                <w:sz w:val="26"/>
                <w:szCs w:val="26"/>
              </w:rPr>
              <w:t>11</w:t>
            </w:r>
            <w:r w:rsidR="00CD4A8A" w:rsidRPr="007E4DB0">
              <w:rPr>
                <w:rFonts w:ascii="Times New Roman" w:eastAsia="Times New Roman" w:hAnsi="Times New Roman"/>
                <w:b/>
                <w:sz w:val="26"/>
                <w:szCs w:val="26"/>
              </w:rPr>
              <w:t xml:space="preserve"> </w:t>
            </w:r>
            <w:proofErr w:type="spellStart"/>
            <w:r w:rsidR="007E4DB0" w:rsidRPr="007E4DB0">
              <w:rPr>
                <w:rFonts w:ascii="Times New Roman" w:eastAsia="Times New Roman" w:hAnsi="Times New Roman"/>
                <w:b/>
                <w:sz w:val="26"/>
                <w:szCs w:val="26"/>
              </w:rPr>
              <w:t>tháng</w:t>
            </w:r>
            <w:proofErr w:type="spellEnd"/>
            <w:r>
              <w:rPr>
                <w:rFonts w:ascii="Times New Roman" w:eastAsia="Times New Roman" w:hAnsi="Times New Roman"/>
                <w:b/>
                <w:sz w:val="26"/>
                <w:szCs w:val="26"/>
              </w:rPr>
              <w:t xml:space="preserve"> 0</w:t>
            </w:r>
            <w:r w:rsidR="00336ABD">
              <w:rPr>
                <w:rFonts w:ascii="Times New Roman" w:eastAsia="Times New Roman" w:hAnsi="Times New Roman"/>
                <w:b/>
                <w:sz w:val="26"/>
                <w:szCs w:val="26"/>
              </w:rPr>
              <w:t>3</w:t>
            </w:r>
            <w:r w:rsidR="007E4DB0" w:rsidRPr="007E4DB0">
              <w:rPr>
                <w:rFonts w:ascii="Times New Roman" w:eastAsia="Times New Roman" w:hAnsi="Times New Roman"/>
                <w:b/>
                <w:sz w:val="26"/>
                <w:szCs w:val="26"/>
              </w:rPr>
              <w:t xml:space="preserve"> </w:t>
            </w:r>
            <w:proofErr w:type="spellStart"/>
            <w:r w:rsidR="007E4DB0" w:rsidRPr="007E4DB0">
              <w:rPr>
                <w:rFonts w:ascii="Times New Roman" w:eastAsia="Times New Roman" w:hAnsi="Times New Roman"/>
                <w:b/>
                <w:sz w:val="26"/>
                <w:szCs w:val="26"/>
              </w:rPr>
              <w:t>năm</w:t>
            </w:r>
            <w:proofErr w:type="spellEnd"/>
            <w:r w:rsidR="007E4DB0" w:rsidRPr="007E4DB0">
              <w:rPr>
                <w:rFonts w:ascii="Times New Roman" w:eastAsia="Times New Roman" w:hAnsi="Times New Roman"/>
                <w:b/>
                <w:sz w:val="26"/>
                <w:szCs w:val="26"/>
              </w:rPr>
              <w:t xml:space="preserve"> </w:t>
            </w:r>
            <w:r>
              <w:rPr>
                <w:rFonts w:ascii="Times New Roman" w:eastAsia="Times New Roman" w:hAnsi="Times New Roman"/>
                <w:b/>
                <w:sz w:val="26"/>
                <w:szCs w:val="26"/>
              </w:rPr>
              <w:t>202</w:t>
            </w:r>
            <w:r w:rsidR="00A67ED9">
              <w:rPr>
                <w:rFonts w:ascii="Times New Roman" w:eastAsia="Times New Roman" w:hAnsi="Times New Roman"/>
                <w:b/>
                <w:sz w:val="26"/>
                <w:szCs w:val="26"/>
              </w:rPr>
              <w:t>4</w:t>
            </w:r>
          </w:p>
        </w:tc>
      </w:tr>
    </w:tbl>
    <w:p w14:paraId="16261DA2" w14:textId="77777777" w:rsidR="007E4DB0" w:rsidRPr="00A67ED9" w:rsidRDefault="007E4DB0" w:rsidP="0051065D">
      <w:pPr>
        <w:spacing w:after="0"/>
        <w:jc w:val="center"/>
        <w:rPr>
          <w:rFonts w:ascii="Arial" w:hAnsi="Arial" w:cs="Arial"/>
          <w:b/>
          <w:sz w:val="20"/>
          <w:szCs w:val="20"/>
        </w:rPr>
      </w:pPr>
    </w:p>
    <w:p w14:paraId="4BB9CFE7" w14:textId="771C5CEE" w:rsidR="003B4835" w:rsidRPr="00F41967" w:rsidRDefault="0051065D" w:rsidP="0051065D">
      <w:pPr>
        <w:spacing w:after="0"/>
        <w:jc w:val="center"/>
        <w:rPr>
          <w:rFonts w:ascii="Arial" w:eastAsia="Times New Roman" w:hAnsi="Arial" w:cs="Arial"/>
          <w:b/>
          <w:bCs/>
          <w:sz w:val="32"/>
          <w:szCs w:val="32"/>
        </w:rPr>
      </w:pPr>
      <w:r w:rsidRPr="00F41967">
        <w:rPr>
          <w:rFonts w:ascii="Arial" w:hAnsi="Arial" w:cs="Arial"/>
          <w:b/>
          <w:sz w:val="32"/>
          <w:szCs w:val="32"/>
        </w:rPr>
        <w:t>BÁO CÁO TỔNG KẾT HOẠT ĐỘNG QUẢN LÝ QUỸ</w:t>
      </w:r>
    </w:p>
    <w:p w14:paraId="3269AB82" w14:textId="1FB6F3C2" w:rsidR="003B4835" w:rsidRPr="004837F3" w:rsidRDefault="00336ABD" w:rsidP="0024314A">
      <w:pPr>
        <w:spacing w:after="0"/>
        <w:jc w:val="center"/>
        <w:rPr>
          <w:rFonts w:ascii="Arial" w:eastAsia="Times New Roman" w:hAnsi="Arial" w:cs="Arial"/>
          <w:b/>
          <w:bCs/>
          <w:sz w:val="24"/>
          <w:szCs w:val="24"/>
        </w:rPr>
      </w:pPr>
      <w:proofErr w:type="spellStart"/>
      <w:r w:rsidRPr="003C09FA">
        <w:rPr>
          <w:rFonts w:ascii="Arial" w:eastAsia="Times New Roman" w:hAnsi="Arial" w:cs="Arial"/>
          <w:b/>
          <w:bCs/>
          <w:sz w:val="24"/>
          <w:szCs w:val="24"/>
        </w:rPr>
        <w:t>N</w:t>
      </w:r>
      <w:r w:rsidR="00CD4A8A" w:rsidRPr="003C09FA">
        <w:rPr>
          <w:rFonts w:ascii="Arial" w:eastAsia="Times New Roman" w:hAnsi="Arial" w:cs="Arial"/>
          <w:b/>
          <w:bCs/>
          <w:sz w:val="24"/>
          <w:szCs w:val="24"/>
        </w:rPr>
        <w:t>ăm</w:t>
      </w:r>
      <w:proofErr w:type="spellEnd"/>
      <w:r w:rsidR="00CD4A8A" w:rsidRPr="003C09FA">
        <w:rPr>
          <w:rFonts w:ascii="Arial" w:eastAsia="Times New Roman" w:hAnsi="Arial" w:cs="Arial"/>
          <w:b/>
          <w:bCs/>
          <w:sz w:val="24"/>
          <w:szCs w:val="24"/>
        </w:rPr>
        <w:t xml:space="preserve"> </w:t>
      </w:r>
      <w:r w:rsidR="00A40625" w:rsidRPr="003C09FA">
        <w:rPr>
          <w:rFonts w:ascii="Arial" w:eastAsia="Times New Roman" w:hAnsi="Arial" w:cs="Arial"/>
          <w:b/>
          <w:bCs/>
          <w:sz w:val="24"/>
          <w:szCs w:val="24"/>
        </w:rPr>
        <w:t>202</w:t>
      </w:r>
      <w:r w:rsidR="00090DEF" w:rsidRPr="003C09FA">
        <w:rPr>
          <w:rFonts w:ascii="Arial" w:eastAsia="Times New Roman" w:hAnsi="Arial" w:cs="Arial"/>
          <w:b/>
          <w:bCs/>
          <w:sz w:val="24"/>
          <w:szCs w:val="24"/>
        </w:rPr>
        <w:t>3</w:t>
      </w:r>
    </w:p>
    <w:p w14:paraId="494B8F9B" w14:textId="77777777" w:rsidR="004837F3" w:rsidRDefault="004837F3" w:rsidP="001036C3">
      <w:pPr>
        <w:spacing w:after="0"/>
        <w:jc w:val="center"/>
        <w:rPr>
          <w:rFonts w:ascii="Arial" w:eastAsia="Times New Roman" w:hAnsi="Arial" w:cs="Arial"/>
          <w:b/>
          <w:bCs/>
          <w:sz w:val="20"/>
          <w:szCs w:val="20"/>
        </w:rPr>
      </w:pPr>
    </w:p>
    <w:p w14:paraId="1AE564DC" w14:textId="6F25057A" w:rsidR="003B4835" w:rsidRDefault="004837F3" w:rsidP="001036C3">
      <w:pPr>
        <w:spacing w:after="0"/>
        <w:jc w:val="center"/>
        <w:rPr>
          <w:rFonts w:ascii="Arial" w:eastAsia="Times New Roman" w:hAnsi="Arial" w:cs="Arial"/>
          <w:b/>
          <w:bCs/>
          <w:sz w:val="20"/>
          <w:szCs w:val="20"/>
        </w:rPr>
      </w:pPr>
      <w:proofErr w:type="spellStart"/>
      <w:r>
        <w:rPr>
          <w:rFonts w:ascii="Arial" w:eastAsia="Times New Roman" w:hAnsi="Arial" w:cs="Arial"/>
          <w:b/>
          <w:bCs/>
          <w:sz w:val="20"/>
          <w:szCs w:val="20"/>
        </w:rPr>
        <w:t>Kính</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gửi</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Ủy</w:t>
      </w:r>
      <w:proofErr w:type="spellEnd"/>
      <w:r>
        <w:rPr>
          <w:rFonts w:ascii="Arial" w:eastAsia="Times New Roman" w:hAnsi="Arial" w:cs="Arial"/>
          <w:b/>
          <w:bCs/>
          <w:sz w:val="20"/>
          <w:szCs w:val="20"/>
        </w:rPr>
        <w:t xml:space="preserve"> Ban </w:t>
      </w:r>
      <w:proofErr w:type="spellStart"/>
      <w:r>
        <w:rPr>
          <w:rFonts w:ascii="Arial" w:eastAsia="Times New Roman" w:hAnsi="Arial" w:cs="Arial"/>
          <w:b/>
          <w:bCs/>
          <w:sz w:val="20"/>
          <w:szCs w:val="20"/>
        </w:rPr>
        <w:t>Chứng</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khoán</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Nhà</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nước</w:t>
      </w:r>
      <w:proofErr w:type="spellEnd"/>
    </w:p>
    <w:p w14:paraId="7042FF30" w14:textId="77777777" w:rsidR="004837F3" w:rsidRPr="00556831" w:rsidRDefault="004837F3" w:rsidP="00B67EA1">
      <w:pPr>
        <w:spacing w:after="0"/>
        <w:jc w:val="center"/>
        <w:rPr>
          <w:rFonts w:ascii="Arial" w:eastAsia="Times New Roman" w:hAnsi="Arial" w:cs="Arial"/>
          <w:b/>
          <w:bCs/>
          <w:sz w:val="20"/>
          <w:szCs w:val="20"/>
        </w:rPr>
      </w:pPr>
    </w:p>
    <w:p w14:paraId="6D5AFC19" w14:textId="77777777" w:rsidR="002D7555" w:rsidRPr="00556831" w:rsidRDefault="002D7555" w:rsidP="00556831">
      <w:pPr>
        <w:pStyle w:val="ListParagraph"/>
        <w:numPr>
          <w:ilvl w:val="0"/>
          <w:numId w:val="25"/>
        </w:numPr>
        <w:tabs>
          <w:tab w:val="left" w:pos="270"/>
          <w:tab w:val="left" w:pos="1134"/>
        </w:tabs>
        <w:spacing w:before="120" w:after="120" w:line="240" w:lineRule="auto"/>
        <w:ind w:left="0" w:firstLine="0"/>
        <w:contextualSpacing w:val="0"/>
        <w:rPr>
          <w:rFonts w:ascii="Arial" w:hAnsi="Arial" w:cs="Arial"/>
          <w:b/>
          <w:sz w:val="20"/>
          <w:szCs w:val="20"/>
        </w:rPr>
      </w:pPr>
      <w:r w:rsidRPr="00556831">
        <w:rPr>
          <w:rFonts w:ascii="Arial" w:hAnsi="Arial" w:cs="Arial"/>
          <w:b/>
          <w:sz w:val="20"/>
          <w:szCs w:val="20"/>
        </w:rPr>
        <w:t xml:space="preserve">Thông tin </w:t>
      </w:r>
      <w:proofErr w:type="spellStart"/>
      <w:r w:rsidRPr="00556831">
        <w:rPr>
          <w:rFonts w:ascii="Arial" w:hAnsi="Arial" w:cs="Arial"/>
          <w:b/>
          <w:sz w:val="20"/>
          <w:szCs w:val="20"/>
        </w:rPr>
        <w:t>về</w:t>
      </w:r>
      <w:proofErr w:type="spellEnd"/>
      <w:r w:rsidRPr="00556831">
        <w:rPr>
          <w:rFonts w:ascii="Arial" w:hAnsi="Arial" w:cs="Arial"/>
          <w:b/>
          <w:sz w:val="20"/>
          <w:szCs w:val="20"/>
        </w:rPr>
        <w:t xml:space="preserve"> </w:t>
      </w:r>
      <w:proofErr w:type="spellStart"/>
      <w:r w:rsidRPr="00556831">
        <w:rPr>
          <w:rFonts w:ascii="Arial" w:hAnsi="Arial" w:cs="Arial"/>
          <w:b/>
          <w:sz w:val="20"/>
          <w:szCs w:val="20"/>
        </w:rPr>
        <w:t>quỹ</w:t>
      </w:r>
      <w:proofErr w:type="spellEnd"/>
    </w:p>
    <w:p w14:paraId="5686436A" w14:textId="4C15B093" w:rsidR="002D7555" w:rsidRPr="00611ADB" w:rsidRDefault="002D7555" w:rsidP="00556831">
      <w:pPr>
        <w:pStyle w:val="ListParagraph"/>
        <w:numPr>
          <w:ilvl w:val="0"/>
          <w:numId w:val="26"/>
        </w:numPr>
        <w:tabs>
          <w:tab w:val="left" w:pos="270"/>
          <w:tab w:val="left" w:pos="1134"/>
        </w:tabs>
        <w:spacing w:before="120" w:after="120" w:line="240" w:lineRule="auto"/>
        <w:ind w:left="0" w:firstLine="0"/>
        <w:contextualSpacing w:val="0"/>
        <w:rPr>
          <w:rFonts w:ascii="Arial" w:hAnsi="Arial" w:cs="Arial"/>
          <w:b/>
          <w:sz w:val="20"/>
          <w:szCs w:val="20"/>
        </w:rPr>
      </w:pPr>
      <w:proofErr w:type="spellStart"/>
      <w:r w:rsidRPr="00556831">
        <w:rPr>
          <w:rFonts w:ascii="Arial" w:hAnsi="Arial" w:cs="Arial"/>
          <w:sz w:val="20"/>
          <w:szCs w:val="20"/>
        </w:rPr>
        <w:t>Tên</w:t>
      </w:r>
      <w:proofErr w:type="spellEnd"/>
      <w:r w:rsidRPr="00556831">
        <w:rPr>
          <w:rFonts w:ascii="Arial" w:hAnsi="Arial" w:cs="Arial"/>
          <w:sz w:val="20"/>
          <w:szCs w:val="20"/>
        </w:rPr>
        <w:t xml:space="preserve"> </w:t>
      </w:r>
      <w:proofErr w:type="spellStart"/>
      <w:r w:rsidRPr="00556831">
        <w:rPr>
          <w:rFonts w:ascii="Arial" w:hAnsi="Arial" w:cs="Arial"/>
          <w:sz w:val="20"/>
          <w:szCs w:val="20"/>
        </w:rPr>
        <w:t>của</w:t>
      </w:r>
      <w:proofErr w:type="spellEnd"/>
      <w:r w:rsidRPr="00556831">
        <w:rPr>
          <w:rFonts w:ascii="Arial" w:hAnsi="Arial" w:cs="Arial"/>
          <w:sz w:val="20"/>
          <w:szCs w:val="20"/>
        </w:rPr>
        <w:t xml:space="preserve"> </w:t>
      </w:r>
      <w:proofErr w:type="spellStart"/>
      <w:r w:rsidRPr="00556831">
        <w:rPr>
          <w:rFonts w:ascii="Arial" w:hAnsi="Arial" w:cs="Arial"/>
          <w:sz w:val="20"/>
          <w:szCs w:val="20"/>
        </w:rPr>
        <w:t>quỹ</w:t>
      </w:r>
      <w:proofErr w:type="spellEnd"/>
      <w:r w:rsidRPr="00556831">
        <w:rPr>
          <w:rFonts w:ascii="Arial" w:hAnsi="Arial" w:cs="Arial"/>
          <w:sz w:val="20"/>
          <w:szCs w:val="20"/>
        </w:rPr>
        <w:t xml:space="preserve">, </w:t>
      </w:r>
      <w:proofErr w:type="spellStart"/>
      <w:r w:rsidRPr="00556831">
        <w:rPr>
          <w:rFonts w:ascii="Arial" w:hAnsi="Arial" w:cs="Arial"/>
          <w:sz w:val="20"/>
          <w:szCs w:val="20"/>
        </w:rPr>
        <w:t>loại</w:t>
      </w:r>
      <w:proofErr w:type="spellEnd"/>
      <w:r w:rsidRPr="00556831">
        <w:rPr>
          <w:rFonts w:ascii="Arial" w:hAnsi="Arial" w:cs="Arial"/>
          <w:sz w:val="20"/>
          <w:szCs w:val="20"/>
        </w:rPr>
        <w:t xml:space="preserve"> </w:t>
      </w:r>
      <w:proofErr w:type="spellStart"/>
      <w:r w:rsidRPr="00556831">
        <w:rPr>
          <w:rFonts w:ascii="Arial" w:hAnsi="Arial" w:cs="Arial"/>
          <w:sz w:val="20"/>
          <w:szCs w:val="20"/>
        </w:rPr>
        <w:t>hình</w:t>
      </w:r>
      <w:proofErr w:type="spellEnd"/>
      <w:r w:rsidRPr="00556831">
        <w:rPr>
          <w:rFonts w:ascii="Arial" w:hAnsi="Arial" w:cs="Arial"/>
          <w:sz w:val="20"/>
          <w:szCs w:val="20"/>
        </w:rPr>
        <w:t xml:space="preserve"> </w:t>
      </w:r>
      <w:proofErr w:type="spellStart"/>
      <w:r w:rsidRPr="00556831">
        <w:rPr>
          <w:rFonts w:ascii="Arial" w:hAnsi="Arial" w:cs="Arial"/>
          <w:sz w:val="20"/>
          <w:szCs w:val="20"/>
        </w:rPr>
        <w:t>quỹ</w:t>
      </w:r>
      <w:proofErr w:type="spellEnd"/>
      <w:r w:rsidRPr="00556831">
        <w:rPr>
          <w:rFonts w:ascii="Arial" w:hAnsi="Arial" w:cs="Arial"/>
          <w:sz w:val="20"/>
          <w:szCs w:val="20"/>
        </w:rPr>
        <w:t xml:space="preserve">: </w:t>
      </w:r>
      <w:r w:rsidRPr="00611ADB">
        <w:rPr>
          <w:rFonts w:ascii="Arial" w:hAnsi="Arial" w:cs="Arial"/>
          <w:b/>
          <w:sz w:val="20"/>
          <w:szCs w:val="20"/>
        </w:rPr>
        <w:t xml:space="preserve">QUỸ ĐẦU TƯ TRÁI PHIẾU </w:t>
      </w:r>
      <w:r w:rsidR="00294726">
        <w:rPr>
          <w:rFonts w:ascii="Arial" w:hAnsi="Arial" w:cs="Arial"/>
          <w:b/>
          <w:sz w:val="20"/>
          <w:szCs w:val="20"/>
        </w:rPr>
        <w:t>DC (</w:t>
      </w:r>
      <w:proofErr w:type="spellStart"/>
      <w:r w:rsidR="00294726">
        <w:rPr>
          <w:rFonts w:ascii="Arial" w:hAnsi="Arial" w:cs="Arial"/>
          <w:b/>
          <w:sz w:val="20"/>
          <w:szCs w:val="20"/>
        </w:rPr>
        <w:t>trước</w:t>
      </w:r>
      <w:proofErr w:type="spellEnd"/>
      <w:r w:rsidR="00294726">
        <w:rPr>
          <w:rFonts w:ascii="Arial" w:hAnsi="Arial" w:cs="Arial"/>
          <w:b/>
          <w:sz w:val="20"/>
          <w:szCs w:val="20"/>
        </w:rPr>
        <w:t xml:space="preserve"> </w:t>
      </w:r>
      <w:proofErr w:type="spellStart"/>
      <w:r w:rsidR="00294726">
        <w:rPr>
          <w:rFonts w:ascii="Arial" w:hAnsi="Arial" w:cs="Arial"/>
          <w:b/>
          <w:sz w:val="20"/>
          <w:szCs w:val="20"/>
        </w:rPr>
        <w:t>đây</w:t>
      </w:r>
      <w:proofErr w:type="spellEnd"/>
      <w:r w:rsidR="00294726">
        <w:rPr>
          <w:rFonts w:ascii="Arial" w:hAnsi="Arial" w:cs="Arial"/>
          <w:b/>
          <w:sz w:val="20"/>
          <w:szCs w:val="20"/>
        </w:rPr>
        <w:t xml:space="preserve"> </w:t>
      </w:r>
      <w:proofErr w:type="spellStart"/>
      <w:r w:rsidR="00294726">
        <w:rPr>
          <w:rFonts w:ascii="Arial" w:hAnsi="Arial" w:cs="Arial"/>
          <w:b/>
          <w:sz w:val="20"/>
          <w:szCs w:val="20"/>
        </w:rPr>
        <w:t>là</w:t>
      </w:r>
      <w:proofErr w:type="spellEnd"/>
      <w:r w:rsidR="00294726">
        <w:rPr>
          <w:rFonts w:ascii="Arial" w:hAnsi="Arial" w:cs="Arial"/>
          <w:b/>
          <w:sz w:val="20"/>
          <w:szCs w:val="20"/>
        </w:rPr>
        <w:t xml:space="preserve"> </w:t>
      </w:r>
      <w:proofErr w:type="spellStart"/>
      <w:r w:rsidR="00294726">
        <w:rPr>
          <w:rFonts w:ascii="Arial" w:hAnsi="Arial" w:cs="Arial"/>
          <w:b/>
          <w:sz w:val="20"/>
          <w:szCs w:val="20"/>
        </w:rPr>
        <w:t>Quỹ</w:t>
      </w:r>
      <w:proofErr w:type="spellEnd"/>
      <w:r w:rsidR="00294726">
        <w:rPr>
          <w:rFonts w:ascii="Arial" w:hAnsi="Arial" w:cs="Arial"/>
          <w:b/>
          <w:sz w:val="20"/>
          <w:szCs w:val="20"/>
        </w:rPr>
        <w:t xml:space="preserve"> </w:t>
      </w:r>
      <w:proofErr w:type="spellStart"/>
      <w:r w:rsidR="00294726">
        <w:rPr>
          <w:rFonts w:ascii="Arial" w:hAnsi="Arial" w:cs="Arial"/>
          <w:b/>
          <w:sz w:val="20"/>
          <w:szCs w:val="20"/>
        </w:rPr>
        <w:t>đầu</w:t>
      </w:r>
      <w:proofErr w:type="spellEnd"/>
      <w:r w:rsidR="00294726">
        <w:rPr>
          <w:rFonts w:ascii="Arial" w:hAnsi="Arial" w:cs="Arial"/>
          <w:b/>
          <w:sz w:val="20"/>
          <w:szCs w:val="20"/>
        </w:rPr>
        <w:t xml:space="preserve"> </w:t>
      </w:r>
      <w:proofErr w:type="spellStart"/>
      <w:r w:rsidR="00294726">
        <w:rPr>
          <w:rFonts w:ascii="Arial" w:hAnsi="Arial" w:cs="Arial"/>
          <w:b/>
          <w:sz w:val="20"/>
          <w:szCs w:val="20"/>
        </w:rPr>
        <w:t>tư</w:t>
      </w:r>
      <w:proofErr w:type="spellEnd"/>
      <w:r w:rsidR="00294726">
        <w:rPr>
          <w:rFonts w:ascii="Arial" w:hAnsi="Arial" w:cs="Arial"/>
          <w:b/>
          <w:sz w:val="20"/>
          <w:szCs w:val="20"/>
        </w:rPr>
        <w:t xml:space="preserve"> </w:t>
      </w:r>
      <w:proofErr w:type="spellStart"/>
      <w:r w:rsidR="00294726">
        <w:rPr>
          <w:rFonts w:ascii="Arial" w:hAnsi="Arial" w:cs="Arial"/>
          <w:b/>
          <w:sz w:val="20"/>
          <w:szCs w:val="20"/>
        </w:rPr>
        <w:t>Trái</w:t>
      </w:r>
      <w:proofErr w:type="spellEnd"/>
      <w:r w:rsidR="00294726">
        <w:rPr>
          <w:rFonts w:ascii="Arial" w:hAnsi="Arial" w:cs="Arial"/>
          <w:b/>
          <w:sz w:val="20"/>
          <w:szCs w:val="20"/>
        </w:rPr>
        <w:t xml:space="preserve"> </w:t>
      </w:r>
      <w:proofErr w:type="spellStart"/>
      <w:r w:rsidR="00294726">
        <w:rPr>
          <w:rFonts w:ascii="Arial" w:hAnsi="Arial" w:cs="Arial"/>
          <w:b/>
          <w:sz w:val="20"/>
          <w:szCs w:val="20"/>
        </w:rPr>
        <w:t>phiếu</w:t>
      </w:r>
      <w:proofErr w:type="spellEnd"/>
      <w:r w:rsidR="00294726">
        <w:rPr>
          <w:rFonts w:ascii="Arial" w:hAnsi="Arial" w:cs="Arial"/>
          <w:b/>
          <w:sz w:val="20"/>
          <w:szCs w:val="20"/>
        </w:rPr>
        <w:t xml:space="preserve"> Việt Nam)</w:t>
      </w:r>
    </w:p>
    <w:p w14:paraId="77D52EEB" w14:textId="77777777" w:rsidR="002D7555" w:rsidRPr="00556831" w:rsidRDefault="002D7555" w:rsidP="00556831">
      <w:pPr>
        <w:pStyle w:val="ListParagraph"/>
        <w:numPr>
          <w:ilvl w:val="0"/>
          <w:numId w:val="26"/>
        </w:numPr>
        <w:tabs>
          <w:tab w:val="left" w:pos="270"/>
          <w:tab w:val="left" w:pos="1134"/>
        </w:tabs>
        <w:spacing w:before="120" w:after="120" w:line="240" w:lineRule="auto"/>
        <w:ind w:left="0" w:firstLine="0"/>
        <w:contextualSpacing w:val="0"/>
        <w:rPr>
          <w:rFonts w:ascii="Arial" w:hAnsi="Arial" w:cs="Arial"/>
          <w:sz w:val="20"/>
          <w:szCs w:val="20"/>
        </w:rPr>
      </w:pPr>
      <w:proofErr w:type="spellStart"/>
      <w:r w:rsidRPr="00556831">
        <w:rPr>
          <w:rFonts w:ascii="Arial" w:hAnsi="Arial" w:cs="Arial"/>
          <w:sz w:val="20"/>
          <w:szCs w:val="20"/>
        </w:rPr>
        <w:t>Mục</w:t>
      </w:r>
      <w:proofErr w:type="spellEnd"/>
      <w:r w:rsidRPr="00556831">
        <w:rPr>
          <w:rFonts w:ascii="Arial" w:hAnsi="Arial" w:cs="Arial"/>
          <w:sz w:val="20"/>
          <w:szCs w:val="20"/>
        </w:rPr>
        <w:t xml:space="preserve"> </w:t>
      </w:r>
      <w:proofErr w:type="spellStart"/>
      <w:r w:rsidRPr="00556831">
        <w:rPr>
          <w:rFonts w:ascii="Arial" w:hAnsi="Arial" w:cs="Arial"/>
          <w:sz w:val="20"/>
          <w:szCs w:val="20"/>
        </w:rPr>
        <w:t>tiêu</w:t>
      </w:r>
      <w:proofErr w:type="spellEnd"/>
      <w:r w:rsidRPr="00556831">
        <w:rPr>
          <w:rFonts w:ascii="Arial" w:hAnsi="Arial" w:cs="Arial"/>
          <w:sz w:val="20"/>
          <w:szCs w:val="20"/>
        </w:rPr>
        <w:t xml:space="preserve"> </w:t>
      </w:r>
      <w:proofErr w:type="spellStart"/>
      <w:r w:rsidRPr="00556831">
        <w:rPr>
          <w:rFonts w:ascii="Arial" w:hAnsi="Arial" w:cs="Arial"/>
          <w:sz w:val="20"/>
          <w:szCs w:val="20"/>
        </w:rPr>
        <w:t>đầu</w:t>
      </w:r>
      <w:proofErr w:type="spellEnd"/>
      <w:r w:rsidRPr="00556831">
        <w:rPr>
          <w:rFonts w:ascii="Arial" w:hAnsi="Arial" w:cs="Arial"/>
          <w:sz w:val="20"/>
          <w:szCs w:val="20"/>
        </w:rPr>
        <w:t xml:space="preserve"> </w:t>
      </w:r>
      <w:proofErr w:type="spellStart"/>
      <w:r w:rsidRPr="00556831">
        <w:rPr>
          <w:rFonts w:ascii="Arial" w:hAnsi="Arial" w:cs="Arial"/>
          <w:sz w:val="20"/>
          <w:szCs w:val="20"/>
        </w:rPr>
        <w:t>tư</w:t>
      </w:r>
      <w:proofErr w:type="spellEnd"/>
      <w:r w:rsidRPr="00556831">
        <w:rPr>
          <w:rFonts w:ascii="Arial" w:hAnsi="Arial" w:cs="Arial"/>
          <w:sz w:val="20"/>
          <w:szCs w:val="20"/>
        </w:rPr>
        <w:t xml:space="preserve"> </w:t>
      </w:r>
      <w:proofErr w:type="spellStart"/>
      <w:r w:rsidRPr="00556831">
        <w:rPr>
          <w:rFonts w:ascii="Arial" w:hAnsi="Arial" w:cs="Arial"/>
          <w:sz w:val="20"/>
          <w:szCs w:val="20"/>
        </w:rPr>
        <w:t>của</w:t>
      </w:r>
      <w:proofErr w:type="spellEnd"/>
      <w:r w:rsidRPr="00556831">
        <w:rPr>
          <w:rFonts w:ascii="Arial" w:hAnsi="Arial" w:cs="Arial"/>
          <w:sz w:val="20"/>
          <w:szCs w:val="20"/>
        </w:rPr>
        <w:t xml:space="preserve"> </w:t>
      </w:r>
      <w:proofErr w:type="spellStart"/>
      <w:r w:rsidRPr="00556831">
        <w:rPr>
          <w:rFonts w:ascii="Arial" w:hAnsi="Arial" w:cs="Arial"/>
          <w:sz w:val="20"/>
          <w:szCs w:val="20"/>
        </w:rPr>
        <w:t>quỹ</w:t>
      </w:r>
      <w:proofErr w:type="spellEnd"/>
      <w:r w:rsidRPr="00556831">
        <w:rPr>
          <w:rFonts w:ascii="Arial" w:hAnsi="Arial" w:cs="Arial"/>
          <w:sz w:val="20"/>
          <w:szCs w:val="20"/>
        </w:rPr>
        <w:t>:</w:t>
      </w:r>
    </w:p>
    <w:p w14:paraId="355FB628" w14:textId="77777777" w:rsidR="007E4DB0" w:rsidRPr="00C6559A" w:rsidRDefault="007E4DB0" w:rsidP="007E4DB0">
      <w:pPr>
        <w:pStyle w:val="BodyText"/>
        <w:rPr>
          <w:rFonts w:ascii="Arial" w:hAnsi="Arial" w:cs="Arial"/>
        </w:rPr>
      </w:pPr>
      <w:proofErr w:type="spellStart"/>
      <w:r w:rsidRPr="00C6559A">
        <w:rPr>
          <w:rFonts w:ascii="Arial" w:hAnsi="Arial" w:cs="Arial"/>
        </w:rPr>
        <w:t>Mục</w:t>
      </w:r>
      <w:proofErr w:type="spellEnd"/>
      <w:r w:rsidRPr="00C6559A">
        <w:rPr>
          <w:rFonts w:ascii="Arial" w:hAnsi="Arial" w:cs="Arial"/>
        </w:rPr>
        <w:t xml:space="preserve"> </w:t>
      </w:r>
      <w:proofErr w:type="spellStart"/>
      <w:r w:rsidRPr="00C6559A">
        <w:rPr>
          <w:rFonts w:ascii="Arial" w:hAnsi="Arial" w:cs="Arial"/>
        </w:rPr>
        <w:t>tiêu</w:t>
      </w:r>
      <w:proofErr w:type="spellEnd"/>
      <w:r w:rsidRPr="00C6559A">
        <w:rPr>
          <w:rFonts w:ascii="Arial" w:hAnsi="Arial" w:cs="Arial"/>
        </w:rPr>
        <w:t xml:space="preserve"> </w:t>
      </w:r>
      <w:proofErr w:type="spellStart"/>
      <w:r w:rsidRPr="00C6559A">
        <w:rPr>
          <w:rFonts w:ascii="Arial" w:hAnsi="Arial" w:cs="Arial"/>
        </w:rPr>
        <w:t>chính</w:t>
      </w:r>
      <w:proofErr w:type="spellEnd"/>
      <w:r w:rsidRPr="00C6559A">
        <w:rPr>
          <w:rFonts w:ascii="Arial" w:hAnsi="Arial" w:cs="Arial"/>
        </w:rPr>
        <w:t xml:space="preserve"> </w:t>
      </w:r>
      <w:proofErr w:type="spellStart"/>
      <w:r w:rsidRPr="00C6559A">
        <w:rPr>
          <w:rFonts w:ascii="Arial" w:hAnsi="Arial" w:cs="Arial"/>
        </w:rPr>
        <w:t>của</w:t>
      </w:r>
      <w:proofErr w:type="spellEnd"/>
      <w:r w:rsidRPr="00C6559A">
        <w:rPr>
          <w:rFonts w:ascii="Arial" w:hAnsi="Arial" w:cs="Arial"/>
        </w:rPr>
        <w:t xml:space="preserve"> </w:t>
      </w:r>
      <w:proofErr w:type="spellStart"/>
      <w:r w:rsidRPr="00C6559A">
        <w:rPr>
          <w:rFonts w:ascii="Arial" w:hAnsi="Arial" w:cs="Arial"/>
        </w:rPr>
        <w:t>Quỹ</w:t>
      </w:r>
      <w:proofErr w:type="spellEnd"/>
      <w:r w:rsidRPr="00C6559A">
        <w:rPr>
          <w:rFonts w:ascii="Arial" w:hAnsi="Arial" w:cs="Arial"/>
        </w:rPr>
        <w:t xml:space="preserve"> </w:t>
      </w:r>
      <w:proofErr w:type="spellStart"/>
      <w:r w:rsidRPr="00C6559A">
        <w:rPr>
          <w:rFonts w:ascii="Arial" w:hAnsi="Arial" w:cs="Arial"/>
        </w:rPr>
        <w:t>là</w:t>
      </w:r>
      <w:proofErr w:type="spellEnd"/>
      <w:r w:rsidRPr="00C6559A">
        <w:rPr>
          <w:rFonts w:ascii="Arial" w:hAnsi="Arial" w:cs="Arial"/>
        </w:rPr>
        <w:t xml:space="preserve"> </w:t>
      </w:r>
      <w:proofErr w:type="spellStart"/>
      <w:r w:rsidRPr="00C6559A">
        <w:rPr>
          <w:rFonts w:ascii="Arial" w:hAnsi="Arial" w:cs="Arial"/>
        </w:rPr>
        <w:t>tìm</w:t>
      </w:r>
      <w:proofErr w:type="spellEnd"/>
      <w:r w:rsidRPr="00C6559A">
        <w:rPr>
          <w:rFonts w:ascii="Arial" w:hAnsi="Arial" w:cs="Arial"/>
        </w:rPr>
        <w:t xml:space="preserve"> </w:t>
      </w:r>
      <w:proofErr w:type="spellStart"/>
      <w:r w:rsidRPr="00C6559A">
        <w:rPr>
          <w:rFonts w:ascii="Arial" w:hAnsi="Arial" w:cs="Arial"/>
        </w:rPr>
        <w:t>kiếm</w:t>
      </w:r>
      <w:proofErr w:type="spellEnd"/>
      <w:r w:rsidRPr="00C6559A">
        <w:rPr>
          <w:rFonts w:ascii="Arial" w:hAnsi="Arial" w:cs="Arial"/>
        </w:rPr>
        <w:t xml:space="preserve"> </w:t>
      </w:r>
      <w:proofErr w:type="spellStart"/>
      <w:r w:rsidRPr="00C6559A">
        <w:rPr>
          <w:rFonts w:ascii="Arial" w:hAnsi="Arial" w:cs="Arial"/>
        </w:rPr>
        <w:t>lợi</w:t>
      </w:r>
      <w:proofErr w:type="spellEnd"/>
      <w:r w:rsidRPr="00C6559A">
        <w:rPr>
          <w:rFonts w:ascii="Arial" w:hAnsi="Arial" w:cs="Arial"/>
        </w:rPr>
        <w:t xml:space="preserve"> </w:t>
      </w:r>
      <w:proofErr w:type="spellStart"/>
      <w:r w:rsidRPr="00C6559A">
        <w:rPr>
          <w:rFonts w:ascii="Arial" w:hAnsi="Arial" w:cs="Arial"/>
        </w:rPr>
        <w:t>nhuận</w:t>
      </w:r>
      <w:proofErr w:type="spellEnd"/>
      <w:r w:rsidRPr="00C6559A">
        <w:rPr>
          <w:rFonts w:ascii="Arial" w:hAnsi="Arial" w:cs="Arial"/>
        </w:rPr>
        <w:t xml:space="preserve"> </w:t>
      </w:r>
      <w:proofErr w:type="spellStart"/>
      <w:r w:rsidRPr="00C6559A">
        <w:rPr>
          <w:rFonts w:ascii="Arial" w:hAnsi="Arial" w:cs="Arial"/>
        </w:rPr>
        <w:t>từ</w:t>
      </w:r>
      <w:proofErr w:type="spellEnd"/>
      <w:r w:rsidRPr="00C6559A">
        <w:rPr>
          <w:rFonts w:ascii="Arial" w:hAnsi="Arial" w:cs="Arial"/>
        </w:rPr>
        <w:t xml:space="preserve"> </w:t>
      </w:r>
      <w:proofErr w:type="spellStart"/>
      <w:r w:rsidRPr="00C6559A">
        <w:rPr>
          <w:rFonts w:ascii="Arial" w:hAnsi="Arial" w:cs="Arial"/>
        </w:rPr>
        <w:t>việc</w:t>
      </w:r>
      <w:proofErr w:type="spellEnd"/>
      <w:r w:rsidRPr="00C6559A">
        <w:rPr>
          <w:rFonts w:ascii="Arial" w:hAnsi="Arial" w:cs="Arial"/>
        </w:rPr>
        <w:t xml:space="preserve"> </w:t>
      </w:r>
      <w:proofErr w:type="spellStart"/>
      <w:r w:rsidRPr="00C6559A">
        <w:rPr>
          <w:rFonts w:ascii="Arial" w:hAnsi="Arial" w:cs="Arial"/>
        </w:rPr>
        <w:t>đầu</w:t>
      </w:r>
      <w:proofErr w:type="spellEnd"/>
      <w:r w:rsidRPr="00C6559A">
        <w:rPr>
          <w:rFonts w:ascii="Arial" w:hAnsi="Arial" w:cs="Arial"/>
        </w:rPr>
        <w:t xml:space="preserve"> </w:t>
      </w:r>
      <w:proofErr w:type="spellStart"/>
      <w:r w:rsidRPr="00C6559A">
        <w:rPr>
          <w:rFonts w:ascii="Arial" w:hAnsi="Arial" w:cs="Arial"/>
        </w:rPr>
        <w:t>tư</w:t>
      </w:r>
      <w:proofErr w:type="spellEnd"/>
      <w:r w:rsidRPr="00C6559A">
        <w:rPr>
          <w:rFonts w:ascii="Arial" w:hAnsi="Arial" w:cs="Arial"/>
        </w:rPr>
        <w:t xml:space="preserve"> </w:t>
      </w:r>
      <w:proofErr w:type="spellStart"/>
      <w:r w:rsidRPr="00C6559A">
        <w:rPr>
          <w:rFonts w:ascii="Arial" w:hAnsi="Arial" w:cs="Arial"/>
        </w:rPr>
        <w:t>vào</w:t>
      </w:r>
      <w:proofErr w:type="spellEnd"/>
      <w:r w:rsidRPr="00C6559A">
        <w:rPr>
          <w:rFonts w:ascii="Arial" w:hAnsi="Arial" w:cs="Arial"/>
        </w:rPr>
        <w:t xml:space="preserve"> </w:t>
      </w:r>
      <w:proofErr w:type="spellStart"/>
      <w:r w:rsidRPr="00C6559A">
        <w:rPr>
          <w:rFonts w:ascii="Arial" w:hAnsi="Arial" w:cs="Arial"/>
        </w:rPr>
        <w:t>các</w:t>
      </w:r>
      <w:proofErr w:type="spellEnd"/>
      <w:r w:rsidRPr="00C6559A">
        <w:rPr>
          <w:rFonts w:ascii="Arial" w:hAnsi="Arial" w:cs="Arial"/>
        </w:rPr>
        <w:t xml:space="preserve"> </w:t>
      </w:r>
      <w:proofErr w:type="spellStart"/>
      <w:r w:rsidRPr="00C6559A">
        <w:rPr>
          <w:rFonts w:ascii="Arial" w:hAnsi="Arial" w:cs="Arial"/>
        </w:rPr>
        <w:t>loại</w:t>
      </w:r>
      <w:proofErr w:type="spellEnd"/>
      <w:r w:rsidRPr="00C6559A">
        <w:rPr>
          <w:rFonts w:ascii="Arial" w:hAnsi="Arial" w:cs="Arial"/>
        </w:rPr>
        <w:t xml:space="preserve"> </w:t>
      </w:r>
      <w:proofErr w:type="spellStart"/>
      <w:r w:rsidRPr="00C6559A">
        <w:rPr>
          <w:rFonts w:ascii="Arial" w:hAnsi="Arial" w:cs="Arial"/>
        </w:rPr>
        <w:t>chứng</w:t>
      </w:r>
      <w:proofErr w:type="spellEnd"/>
      <w:r w:rsidRPr="00C6559A">
        <w:rPr>
          <w:rFonts w:ascii="Arial" w:hAnsi="Arial" w:cs="Arial"/>
        </w:rPr>
        <w:t xml:space="preserve"> </w:t>
      </w:r>
      <w:proofErr w:type="spellStart"/>
      <w:r w:rsidRPr="00C6559A">
        <w:rPr>
          <w:rFonts w:ascii="Arial" w:hAnsi="Arial" w:cs="Arial"/>
        </w:rPr>
        <w:t>khoán</w:t>
      </w:r>
      <w:proofErr w:type="spellEnd"/>
      <w:r w:rsidRPr="00C6559A">
        <w:rPr>
          <w:rFonts w:ascii="Arial" w:hAnsi="Arial" w:cs="Arial"/>
        </w:rPr>
        <w:t xml:space="preserve"> </w:t>
      </w:r>
      <w:proofErr w:type="spellStart"/>
      <w:r w:rsidRPr="00C6559A">
        <w:rPr>
          <w:rFonts w:ascii="Arial" w:hAnsi="Arial" w:cs="Arial"/>
        </w:rPr>
        <w:t>nợ</w:t>
      </w:r>
      <w:proofErr w:type="spellEnd"/>
      <w:r w:rsidRPr="00C6559A">
        <w:rPr>
          <w:rFonts w:ascii="Arial" w:hAnsi="Arial" w:cs="Arial"/>
        </w:rPr>
        <w:t xml:space="preserve"> (bao </w:t>
      </w:r>
      <w:proofErr w:type="spellStart"/>
      <w:r w:rsidRPr="00C6559A">
        <w:rPr>
          <w:rFonts w:ascii="Arial" w:hAnsi="Arial" w:cs="Arial"/>
        </w:rPr>
        <w:t>gồm</w:t>
      </w:r>
      <w:proofErr w:type="spellEnd"/>
      <w:r w:rsidRPr="00C6559A">
        <w:rPr>
          <w:rFonts w:ascii="Arial" w:hAnsi="Arial" w:cs="Arial"/>
        </w:rPr>
        <w:t xml:space="preserve">, </w:t>
      </w:r>
      <w:proofErr w:type="spellStart"/>
      <w:r w:rsidRPr="00C6559A">
        <w:rPr>
          <w:rFonts w:ascii="Arial" w:hAnsi="Arial" w:cs="Arial"/>
        </w:rPr>
        <w:t>nhưng</w:t>
      </w:r>
      <w:proofErr w:type="spellEnd"/>
      <w:r w:rsidRPr="00C6559A">
        <w:rPr>
          <w:rFonts w:ascii="Arial" w:hAnsi="Arial" w:cs="Arial"/>
        </w:rPr>
        <w:t xml:space="preserve"> </w:t>
      </w:r>
      <w:proofErr w:type="spellStart"/>
      <w:r w:rsidRPr="00C6559A">
        <w:rPr>
          <w:rFonts w:ascii="Arial" w:hAnsi="Arial" w:cs="Arial"/>
        </w:rPr>
        <w:t>không</w:t>
      </w:r>
      <w:proofErr w:type="spellEnd"/>
      <w:r w:rsidRPr="00C6559A">
        <w:rPr>
          <w:rFonts w:ascii="Arial" w:hAnsi="Arial" w:cs="Arial"/>
        </w:rPr>
        <w:t xml:space="preserve"> </w:t>
      </w:r>
      <w:proofErr w:type="spellStart"/>
      <w:r w:rsidRPr="00C6559A">
        <w:rPr>
          <w:rFonts w:ascii="Arial" w:hAnsi="Arial" w:cs="Arial"/>
        </w:rPr>
        <w:t>giới</w:t>
      </w:r>
      <w:proofErr w:type="spellEnd"/>
      <w:r w:rsidRPr="00C6559A">
        <w:rPr>
          <w:rFonts w:ascii="Arial" w:hAnsi="Arial" w:cs="Arial"/>
        </w:rPr>
        <w:t xml:space="preserve"> </w:t>
      </w:r>
      <w:proofErr w:type="spellStart"/>
      <w:r w:rsidRPr="00C6559A">
        <w:rPr>
          <w:rFonts w:ascii="Arial" w:hAnsi="Arial" w:cs="Arial"/>
        </w:rPr>
        <w:t>hạn</w:t>
      </w:r>
      <w:proofErr w:type="spellEnd"/>
      <w:r w:rsidRPr="00C6559A">
        <w:rPr>
          <w:rFonts w:ascii="Arial" w:hAnsi="Arial" w:cs="Arial"/>
        </w:rPr>
        <w:t xml:space="preserve">, </w:t>
      </w:r>
      <w:proofErr w:type="spellStart"/>
      <w:r w:rsidRPr="00C6559A">
        <w:rPr>
          <w:rFonts w:ascii="Arial" w:hAnsi="Arial" w:cs="Arial"/>
        </w:rPr>
        <w:t>trái</w:t>
      </w:r>
      <w:proofErr w:type="spellEnd"/>
      <w:r w:rsidRPr="00C6559A">
        <w:rPr>
          <w:rFonts w:ascii="Arial" w:hAnsi="Arial" w:cs="Arial"/>
        </w:rPr>
        <w:t xml:space="preserve"> </w:t>
      </w:r>
      <w:proofErr w:type="spellStart"/>
      <w:r w:rsidRPr="00C6559A">
        <w:rPr>
          <w:rFonts w:ascii="Arial" w:hAnsi="Arial" w:cs="Arial"/>
        </w:rPr>
        <w:t>phiếu</w:t>
      </w:r>
      <w:proofErr w:type="spellEnd"/>
      <w:r w:rsidRPr="00C6559A">
        <w:rPr>
          <w:rFonts w:ascii="Arial" w:hAnsi="Arial" w:cs="Arial"/>
        </w:rPr>
        <w:t xml:space="preserve"> </w:t>
      </w:r>
      <w:proofErr w:type="spellStart"/>
      <w:r w:rsidRPr="00C6559A">
        <w:rPr>
          <w:rFonts w:ascii="Arial" w:hAnsi="Arial" w:cs="Arial"/>
        </w:rPr>
        <w:t>Chính</w:t>
      </w:r>
      <w:proofErr w:type="spellEnd"/>
      <w:r w:rsidRPr="00C6559A">
        <w:rPr>
          <w:rFonts w:ascii="Arial" w:hAnsi="Arial" w:cs="Arial"/>
        </w:rPr>
        <w:t xml:space="preserve"> </w:t>
      </w:r>
      <w:proofErr w:type="spellStart"/>
      <w:r w:rsidRPr="00C6559A">
        <w:rPr>
          <w:rFonts w:ascii="Arial" w:hAnsi="Arial" w:cs="Arial"/>
        </w:rPr>
        <w:t>phủ</w:t>
      </w:r>
      <w:proofErr w:type="spellEnd"/>
      <w:r w:rsidRPr="00C6559A">
        <w:rPr>
          <w:rFonts w:ascii="Arial" w:hAnsi="Arial" w:cs="Arial"/>
        </w:rPr>
        <w:t xml:space="preserve">, </w:t>
      </w:r>
      <w:proofErr w:type="spellStart"/>
      <w:r w:rsidRPr="00C6559A">
        <w:rPr>
          <w:rFonts w:ascii="Arial" w:hAnsi="Arial" w:cs="Arial"/>
        </w:rPr>
        <w:t>trái</w:t>
      </w:r>
      <w:proofErr w:type="spellEnd"/>
      <w:r w:rsidRPr="00C6559A">
        <w:rPr>
          <w:rFonts w:ascii="Arial" w:hAnsi="Arial" w:cs="Arial"/>
        </w:rPr>
        <w:t xml:space="preserve"> </w:t>
      </w:r>
      <w:proofErr w:type="spellStart"/>
      <w:r w:rsidRPr="00C6559A">
        <w:rPr>
          <w:rFonts w:ascii="Arial" w:hAnsi="Arial" w:cs="Arial"/>
        </w:rPr>
        <w:t>phiếu</w:t>
      </w:r>
      <w:proofErr w:type="spellEnd"/>
      <w:r w:rsidRPr="00C6559A">
        <w:rPr>
          <w:rFonts w:ascii="Arial" w:hAnsi="Arial" w:cs="Arial"/>
        </w:rPr>
        <w:t xml:space="preserve"> </w:t>
      </w:r>
      <w:proofErr w:type="spellStart"/>
      <w:r w:rsidRPr="00C6559A">
        <w:rPr>
          <w:rFonts w:ascii="Arial" w:hAnsi="Arial" w:cs="Arial"/>
        </w:rPr>
        <w:t>được</w:t>
      </w:r>
      <w:proofErr w:type="spellEnd"/>
      <w:r w:rsidRPr="00C6559A">
        <w:rPr>
          <w:rFonts w:ascii="Arial" w:hAnsi="Arial" w:cs="Arial"/>
        </w:rPr>
        <w:t xml:space="preserve"> </w:t>
      </w:r>
      <w:proofErr w:type="spellStart"/>
      <w:r w:rsidRPr="00C6559A">
        <w:rPr>
          <w:rFonts w:ascii="Arial" w:hAnsi="Arial" w:cs="Arial"/>
        </w:rPr>
        <w:t>Chính</w:t>
      </w:r>
      <w:proofErr w:type="spellEnd"/>
      <w:r w:rsidRPr="00C6559A">
        <w:rPr>
          <w:rFonts w:ascii="Arial" w:hAnsi="Arial" w:cs="Arial"/>
        </w:rPr>
        <w:t xml:space="preserve"> </w:t>
      </w:r>
      <w:proofErr w:type="spellStart"/>
      <w:r w:rsidRPr="00C6559A">
        <w:rPr>
          <w:rFonts w:ascii="Arial" w:hAnsi="Arial" w:cs="Arial"/>
        </w:rPr>
        <w:t>phủ</w:t>
      </w:r>
      <w:proofErr w:type="spellEnd"/>
      <w:r w:rsidRPr="00C6559A">
        <w:rPr>
          <w:rFonts w:ascii="Arial" w:hAnsi="Arial" w:cs="Arial"/>
        </w:rPr>
        <w:t xml:space="preserve"> </w:t>
      </w:r>
      <w:proofErr w:type="spellStart"/>
      <w:r w:rsidRPr="00C6559A">
        <w:rPr>
          <w:rFonts w:ascii="Arial" w:hAnsi="Arial" w:cs="Arial"/>
        </w:rPr>
        <w:t>bảo</w:t>
      </w:r>
      <w:proofErr w:type="spellEnd"/>
      <w:r w:rsidRPr="00C6559A">
        <w:rPr>
          <w:rFonts w:ascii="Arial" w:hAnsi="Arial" w:cs="Arial"/>
        </w:rPr>
        <w:t xml:space="preserve"> </w:t>
      </w:r>
      <w:proofErr w:type="spellStart"/>
      <w:r w:rsidRPr="00C6559A">
        <w:rPr>
          <w:rFonts w:ascii="Arial" w:hAnsi="Arial" w:cs="Arial"/>
        </w:rPr>
        <w:t>lãnh</w:t>
      </w:r>
      <w:proofErr w:type="spellEnd"/>
      <w:r w:rsidRPr="00C6559A">
        <w:rPr>
          <w:rFonts w:ascii="Arial" w:hAnsi="Arial" w:cs="Arial"/>
        </w:rPr>
        <w:t xml:space="preserve">, </w:t>
      </w:r>
      <w:proofErr w:type="spellStart"/>
      <w:r w:rsidRPr="00C6559A">
        <w:rPr>
          <w:rFonts w:ascii="Arial" w:hAnsi="Arial" w:cs="Arial"/>
        </w:rPr>
        <w:t>trái</w:t>
      </w:r>
      <w:proofErr w:type="spellEnd"/>
      <w:r w:rsidRPr="00C6559A">
        <w:rPr>
          <w:rFonts w:ascii="Arial" w:hAnsi="Arial" w:cs="Arial"/>
        </w:rPr>
        <w:t xml:space="preserve"> </w:t>
      </w:r>
      <w:proofErr w:type="spellStart"/>
      <w:r w:rsidRPr="00C6559A">
        <w:rPr>
          <w:rFonts w:ascii="Arial" w:hAnsi="Arial" w:cs="Arial"/>
        </w:rPr>
        <w:t>phiếu</w:t>
      </w:r>
      <w:proofErr w:type="spellEnd"/>
      <w:r w:rsidRPr="00C6559A">
        <w:rPr>
          <w:rFonts w:ascii="Arial" w:hAnsi="Arial" w:cs="Arial"/>
        </w:rPr>
        <w:t xml:space="preserve"> </w:t>
      </w:r>
      <w:proofErr w:type="spellStart"/>
      <w:r w:rsidRPr="00C6559A">
        <w:rPr>
          <w:rFonts w:ascii="Arial" w:hAnsi="Arial" w:cs="Arial"/>
        </w:rPr>
        <w:t>chính</w:t>
      </w:r>
      <w:proofErr w:type="spellEnd"/>
      <w:r w:rsidRPr="00C6559A">
        <w:rPr>
          <w:rFonts w:ascii="Arial" w:hAnsi="Arial" w:cs="Arial"/>
        </w:rPr>
        <w:t xml:space="preserve"> </w:t>
      </w:r>
      <w:proofErr w:type="spellStart"/>
      <w:r w:rsidRPr="00C6559A">
        <w:rPr>
          <w:rFonts w:ascii="Arial" w:hAnsi="Arial" w:cs="Arial"/>
        </w:rPr>
        <w:t>quyền</w:t>
      </w:r>
      <w:proofErr w:type="spellEnd"/>
      <w:r w:rsidRPr="00C6559A">
        <w:rPr>
          <w:rFonts w:ascii="Arial" w:hAnsi="Arial" w:cs="Arial"/>
        </w:rPr>
        <w:t xml:space="preserve"> </w:t>
      </w:r>
      <w:proofErr w:type="spellStart"/>
      <w:r w:rsidRPr="00C6559A">
        <w:rPr>
          <w:rFonts w:ascii="Arial" w:hAnsi="Arial" w:cs="Arial"/>
        </w:rPr>
        <w:t>địa</w:t>
      </w:r>
      <w:proofErr w:type="spellEnd"/>
      <w:r w:rsidRPr="00C6559A">
        <w:rPr>
          <w:rFonts w:ascii="Arial" w:hAnsi="Arial" w:cs="Arial"/>
        </w:rPr>
        <w:t xml:space="preserve"> </w:t>
      </w:r>
      <w:proofErr w:type="spellStart"/>
      <w:r w:rsidRPr="00C6559A">
        <w:rPr>
          <w:rFonts w:ascii="Arial" w:hAnsi="Arial" w:cs="Arial"/>
        </w:rPr>
        <w:t>phương</w:t>
      </w:r>
      <w:proofErr w:type="spellEnd"/>
      <w:r w:rsidRPr="00C6559A">
        <w:rPr>
          <w:rFonts w:ascii="Arial" w:hAnsi="Arial" w:cs="Arial"/>
        </w:rPr>
        <w:t xml:space="preserve">, </w:t>
      </w:r>
      <w:proofErr w:type="spellStart"/>
      <w:r w:rsidRPr="00C6559A">
        <w:rPr>
          <w:rFonts w:ascii="Arial" w:hAnsi="Arial" w:cs="Arial"/>
        </w:rPr>
        <w:t>trái</w:t>
      </w:r>
      <w:proofErr w:type="spellEnd"/>
      <w:r w:rsidRPr="00C6559A">
        <w:rPr>
          <w:rFonts w:ascii="Arial" w:hAnsi="Arial" w:cs="Arial"/>
        </w:rPr>
        <w:t xml:space="preserve"> </w:t>
      </w:r>
      <w:proofErr w:type="spellStart"/>
      <w:r w:rsidRPr="00C6559A">
        <w:rPr>
          <w:rFonts w:ascii="Arial" w:hAnsi="Arial" w:cs="Arial"/>
        </w:rPr>
        <w:t>phiếu</w:t>
      </w:r>
      <w:proofErr w:type="spellEnd"/>
      <w:r w:rsidRPr="00C6559A">
        <w:rPr>
          <w:rFonts w:ascii="Arial" w:hAnsi="Arial" w:cs="Arial"/>
        </w:rPr>
        <w:t xml:space="preserve"> </w:t>
      </w:r>
      <w:proofErr w:type="spellStart"/>
      <w:r w:rsidRPr="00C6559A">
        <w:rPr>
          <w:rFonts w:ascii="Arial" w:hAnsi="Arial" w:cs="Arial"/>
        </w:rPr>
        <w:t>của</w:t>
      </w:r>
      <w:proofErr w:type="spellEnd"/>
      <w:r w:rsidRPr="00C6559A">
        <w:rPr>
          <w:rFonts w:ascii="Arial" w:hAnsi="Arial" w:cs="Arial"/>
        </w:rPr>
        <w:t xml:space="preserve"> </w:t>
      </w:r>
      <w:proofErr w:type="spellStart"/>
      <w:r w:rsidRPr="00C6559A">
        <w:rPr>
          <w:rFonts w:ascii="Arial" w:hAnsi="Arial" w:cs="Arial"/>
        </w:rPr>
        <w:t>các</w:t>
      </w:r>
      <w:proofErr w:type="spellEnd"/>
      <w:r w:rsidRPr="00C6559A">
        <w:rPr>
          <w:rFonts w:ascii="Arial" w:hAnsi="Arial" w:cs="Arial"/>
        </w:rPr>
        <w:t xml:space="preserve"> </w:t>
      </w:r>
      <w:proofErr w:type="spellStart"/>
      <w:r w:rsidRPr="00C6559A">
        <w:rPr>
          <w:rFonts w:ascii="Arial" w:hAnsi="Arial" w:cs="Arial"/>
        </w:rPr>
        <w:t>tổ</w:t>
      </w:r>
      <w:proofErr w:type="spellEnd"/>
      <w:r w:rsidRPr="00C6559A">
        <w:rPr>
          <w:rFonts w:ascii="Arial" w:hAnsi="Arial" w:cs="Arial"/>
        </w:rPr>
        <w:t xml:space="preserve"> </w:t>
      </w:r>
      <w:proofErr w:type="spellStart"/>
      <w:r w:rsidRPr="00C6559A">
        <w:rPr>
          <w:rFonts w:ascii="Arial" w:hAnsi="Arial" w:cs="Arial"/>
        </w:rPr>
        <w:t>chức</w:t>
      </w:r>
      <w:proofErr w:type="spellEnd"/>
      <w:r w:rsidRPr="00C6559A">
        <w:rPr>
          <w:rFonts w:ascii="Arial" w:hAnsi="Arial" w:cs="Arial"/>
        </w:rPr>
        <w:t xml:space="preserve"> </w:t>
      </w:r>
      <w:proofErr w:type="spellStart"/>
      <w:r w:rsidRPr="00C6559A">
        <w:rPr>
          <w:rFonts w:ascii="Arial" w:hAnsi="Arial" w:cs="Arial"/>
        </w:rPr>
        <w:t>phát</w:t>
      </w:r>
      <w:proofErr w:type="spellEnd"/>
      <w:r w:rsidRPr="00C6559A">
        <w:rPr>
          <w:rFonts w:ascii="Arial" w:hAnsi="Arial" w:cs="Arial"/>
        </w:rPr>
        <w:t xml:space="preserve"> </w:t>
      </w:r>
      <w:proofErr w:type="spellStart"/>
      <w:r w:rsidRPr="00C6559A">
        <w:rPr>
          <w:rFonts w:ascii="Arial" w:hAnsi="Arial" w:cs="Arial"/>
        </w:rPr>
        <w:t>hành</w:t>
      </w:r>
      <w:proofErr w:type="spellEnd"/>
      <w:r w:rsidRPr="00C6559A">
        <w:rPr>
          <w:rFonts w:ascii="Arial" w:hAnsi="Arial" w:cs="Arial"/>
        </w:rPr>
        <w:t xml:space="preserve"> </w:t>
      </w:r>
      <w:proofErr w:type="spellStart"/>
      <w:r w:rsidRPr="00C6559A">
        <w:rPr>
          <w:rFonts w:ascii="Arial" w:hAnsi="Arial" w:cs="Arial"/>
        </w:rPr>
        <w:t>hoạt</w:t>
      </w:r>
      <w:proofErr w:type="spellEnd"/>
      <w:r w:rsidRPr="00C6559A">
        <w:rPr>
          <w:rFonts w:ascii="Arial" w:hAnsi="Arial" w:cs="Arial"/>
        </w:rPr>
        <w:t xml:space="preserve"> </w:t>
      </w:r>
      <w:proofErr w:type="spellStart"/>
      <w:r w:rsidRPr="00C6559A">
        <w:rPr>
          <w:rFonts w:ascii="Arial" w:hAnsi="Arial" w:cs="Arial"/>
        </w:rPr>
        <w:t>động</w:t>
      </w:r>
      <w:proofErr w:type="spellEnd"/>
      <w:r w:rsidRPr="00C6559A">
        <w:rPr>
          <w:rFonts w:ascii="Arial" w:hAnsi="Arial" w:cs="Arial"/>
        </w:rPr>
        <w:t xml:space="preserve"> </w:t>
      </w:r>
      <w:proofErr w:type="spellStart"/>
      <w:r w:rsidRPr="00C6559A">
        <w:rPr>
          <w:rFonts w:ascii="Arial" w:hAnsi="Arial" w:cs="Arial"/>
        </w:rPr>
        <w:t>theo</w:t>
      </w:r>
      <w:proofErr w:type="spellEnd"/>
      <w:r w:rsidRPr="00C6559A">
        <w:rPr>
          <w:rFonts w:ascii="Arial" w:hAnsi="Arial" w:cs="Arial"/>
        </w:rPr>
        <w:t xml:space="preserve"> </w:t>
      </w:r>
      <w:proofErr w:type="spellStart"/>
      <w:r w:rsidRPr="00C6559A">
        <w:rPr>
          <w:rFonts w:ascii="Arial" w:hAnsi="Arial" w:cs="Arial"/>
        </w:rPr>
        <w:t>pháp</w:t>
      </w:r>
      <w:proofErr w:type="spellEnd"/>
      <w:r w:rsidRPr="00C6559A">
        <w:rPr>
          <w:rFonts w:ascii="Arial" w:hAnsi="Arial" w:cs="Arial"/>
        </w:rPr>
        <w:t xml:space="preserve"> </w:t>
      </w:r>
      <w:proofErr w:type="spellStart"/>
      <w:r w:rsidRPr="00C6559A">
        <w:rPr>
          <w:rFonts w:ascii="Arial" w:hAnsi="Arial" w:cs="Arial"/>
        </w:rPr>
        <w:t>luật</w:t>
      </w:r>
      <w:proofErr w:type="spellEnd"/>
      <w:r w:rsidRPr="00C6559A">
        <w:rPr>
          <w:rFonts w:ascii="Arial" w:hAnsi="Arial" w:cs="Arial"/>
        </w:rPr>
        <w:t xml:space="preserve"> Việt Nam…), </w:t>
      </w:r>
      <w:proofErr w:type="spellStart"/>
      <w:r w:rsidRPr="00C6559A">
        <w:rPr>
          <w:rFonts w:ascii="Arial" w:hAnsi="Arial" w:cs="Arial"/>
        </w:rPr>
        <w:t>giấy</w:t>
      </w:r>
      <w:proofErr w:type="spellEnd"/>
      <w:r w:rsidRPr="00C6559A">
        <w:rPr>
          <w:rFonts w:ascii="Arial" w:hAnsi="Arial" w:cs="Arial"/>
        </w:rPr>
        <w:t xml:space="preserve"> </w:t>
      </w:r>
      <w:proofErr w:type="spellStart"/>
      <w:r w:rsidRPr="00C6559A">
        <w:rPr>
          <w:rFonts w:ascii="Arial" w:hAnsi="Arial" w:cs="Arial"/>
        </w:rPr>
        <w:t>tờ</w:t>
      </w:r>
      <w:proofErr w:type="spellEnd"/>
      <w:r w:rsidRPr="00C6559A">
        <w:rPr>
          <w:rFonts w:ascii="Arial" w:hAnsi="Arial" w:cs="Arial"/>
        </w:rPr>
        <w:t xml:space="preserve"> </w:t>
      </w:r>
      <w:proofErr w:type="spellStart"/>
      <w:r w:rsidRPr="00C6559A">
        <w:rPr>
          <w:rFonts w:ascii="Arial" w:hAnsi="Arial" w:cs="Arial"/>
        </w:rPr>
        <w:t>có</w:t>
      </w:r>
      <w:proofErr w:type="spellEnd"/>
      <w:r w:rsidRPr="00C6559A">
        <w:rPr>
          <w:rFonts w:ascii="Arial" w:hAnsi="Arial" w:cs="Arial"/>
        </w:rPr>
        <w:t xml:space="preserve"> </w:t>
      </w:r>
      <w:proofErr w:type="spellStart"/>
      <w:r w:rsidRPr="00C6559A">
        <w:rPr>
          <w:rFonts w:ascii="Arial" w:hAnsi="Arial" w:cs="Arial"/>
        </w:rPr>
        <w:t>giá</w:t>
      </w:r>
      <w:proofErr w:type="spellEnd"/>
      <w:r w:rsidRPr="00C6559A">
        <w:rPr>
          <w:rFonts w:ascii="Arial" w:hAnsi="Arial" w:cs="Arial"/>
        </w:rPr>
        <w:t xml:space="preserve"> </w:t>
      </w:r>
      <w:proofErr w:type="spellStart"/>
      <w:r w:rsidRPr="00C6559A">
        <w:rPr>
          <w:rFonts w:ascii="Arial" w:hAnsi="Arial" w:cs="Arial"/>
        </w:rPr>
        <w:t>và</w:t>
      </w:r>
      <w:proofErr w:type="spellEnd"/>
      <w:r w:rsidRPr="00C6559A">
        <w:rPr>
          <w:rFonts w:ascii="Arial" w:hAnsi="Arial" w:cs="Arial"/>
        </w:rPr>
        <w:t xml:space="preserve"> </w:t>
      </w:r>
      <w:proofErr w:type="spellStart"/>
      <w:r w:rsidRPr="00C6559A">
        <w:rPr>
          <w:rFonts w:ascii="Arial" w:hAnsi="Arial" w:cs="Arial"/>
        </w:rPr>
        <w:t>các</w:t>
      </w:r>
      <w:proofErr w:type="spellEnd"/>
      <w:r w:rsidRPr="00C6559A">
        <w:rPr>
          <w:rFonts w:ascii="Arial" w:hAnsi="Arial" w:cs="Arial"/>
        </w:rPr>
        <w:t xml:space="preserve"> </w:t>
      </w:r>
      <w:proofErr w:type="spellStart"/>
      <w:r w:rsidRPr="00C6559A">
        <w:rPr>
          <w:rFonts w:ascii="Arial" w:hAnsi="Arial" w:cs="Arial"/>
        </w:rPr>
        <w:t>công</w:t>
      </w:r>
      <w:proofErr w:type="spellEnd"/>
      <w:r w:rsidRPr="00C6559A">
        <w:rPr>
          <w:rFonts w:ascii="Arial" w:hAnsi="Arial" w:cs="Arial"/>
        </w:rPr>
        <w:t xml:space="preserve"> </w:t>
      </w:r>
      <w:proofErr w:type="spellStart"/>
      <w:r w:rsidRPr="00C6559A">
        <w:rPr>
          <w:rFonts w:ascii="Arial" w:hAnsi="Arial" w:cs="Arial"/>
        </w:rPr>
        <w:t>cụ</w:t>
      </w:r>
      <w:proofErr w:type="spellEnd"/>
      <w:r w:rsidRPr="00C6559A">
        <w:rPr>
          <w:rFonts w:ascii="Arial" w:hAnsi="Arial" w:cs="Arial"/>
        </w:rPr>
        <w:t xml:space="preserve"> </w:t>
      </w:r>
      <w:proofErr w:type="spellStart"/>
      <w:r w:rsidRPr="00C6559A">
        <w:rPr>
          <w:rFonts w:ascii="Arial" w:hAnsi="Arial" w:cs="Arial"/>
        </w:rPr>
        <w:t>có</w:t>
      </w:r>
      <w:proofErr w:type="spellEnd"/>
      <w:r w:rsidRPr="00C6559A">
        <w:rPr>
          <w:rFonts w:ascii="Arial" w:hAnsi="Arial" w:cs="Arial"/>
        </w:rPr>
        <w:t xml:space="preserve"> </w:t>
      </w:r>
      <w:proofErr w:type="spellStart"/>
      <w:r w:rsidRPr="00C6559A">
        <w:rPr>
          <w:rFonts w:ascii="Arial" w:hAnsi="Arial" w:cs="Arial"/>
        </w:rPr>
        <w:t>thu</w:t>
      </w:r>
      <w:proofErr w:type="spellEnd"/>
      <w:r w:rsidRPr="00C6559A">
        <w:rPr>
          <w:rFonts w:ascii="Arial" w:hAnsi="Arial" w:cs="Arial"/>
        </w:rPr>
        <w:t xml:space="preserve"> </w:t>
      </w:r>
      <w:proofErr w:type="spellStart"/>
      <w:r w:rsidRPr="00C6559A">
        <w:rPr>
          <w:rFonts w:ascii="Arial" w:hAnsi="Arial" w:cs="Arial"/>
        </w:rPr>
        <w:t>nhập</w:t>
      </w:r>
      <w:proofErr w:type="spellEnd"/>
      <w:r w:rsidRPr="00C6559A">
        <w:rPr>
          <w:rFonts w:ascii="Arial" w:hAnsi="Arial" w:cs="Arial"/>
        </w:rPr>
        <w:t xml:space="preserve"> </w:t>
      </w:r>
      <w:proofErr w:type="spellStart"/>
      <w:r w:rsidRPr="00C6559A">
        <w:rPr>
          <w:rFonts w:ascii="Arial" w:hAnsi="Arial" w:cs="Arial"/>
        </w:rPr>
        <w:t>cố</w:t>
      </w:r>
      <w:proofErr w:type="spellEnd"/>
      <w:r w:rsidRPr="00C6559A">
        <w:rPr>
          <w:rFonts w:ascii="Arial" w:hAnsi="Arial" w:cs="Arial"/>
        </w:rPr>
        <w:t xml:space="preserve"> </w:t>
      </w:r>
      <w:proofErr w:type="spellStart"/>
      <w:r w:rsidRPr="00C6559A">
        <w:rPr>
          <w:rFonts w:ascii="Arial" w:hAnsi="Arial" w:cs="Arial"/>
        </w:rPr>
        <w:t>định</w:t>
      </w:r>
      <w:proofErr w:type="spellEnd"/>
      <w:r w:rsidRPr="00C6559A">
        <w:rPr>
          <w:rFonts w:ascii="Arial" w:hAnsi="Arial" w:cs="Arial"/>
        </w:rPr>
        <w:t xml:space="preserve">. </w:t>
      </w:r>
      <w:proofErr w:type="spellStart"/>
      <w:r w:rsidRPr="00C6559A">
        <w:rPr>
          <w:rFonts w:ascii="Arial" w:hAnsi="Arial" w:cs="Arial"/>
        </w:rPr>
        <w:t>Quỹ</w:t>
      </w:r>
      <w:proofErr w:type="spellEnd"/>
      <w:r w:rsidRPr="00C6559A">
        <w:rPr>
          <w:rFonts w:ascii="Arial" w:hAnsi="Arial" w:cs="Arial"/>
        </w:rPr>
        <w:t xml:space="preserve"> </w:t>
      </w:r>
      <w:proofErr w:type="spellStart"/>
      <w:r w:rsidRPr="00C6559A">
        <w:rPr>
          <w:rFonts w:ascii="Arial" w:hAnsi="Arial" w:cs="Arial"/>
        </w:rPr>
        <w:t>thực</w:t>
      </w:r>
      <w:proofErr w:type="spellEnd"/>
      <w:r w:rsidRPr="00C6559A">
        <w:rPr>
          <w:rFonts w:ascii="Arial" w:hAnsi="Arial" w:cs="Arial"/>
        </w:rPr>
        <w:t xml:space="preserve"> </w:t>
      </w:r>
      <w:proofErr w:type="spellStart"/>
      <w:r w:rsidRPr="00C6559A">
        <w:rPr>
          <w:rFonts w:ascii="Arial" w:hAnsi="Arial" w:cs="Arial"/>
        </w:rPr>
        <w:t>hiện</w:t>
      </w:r>
      <w:proofErr w:type="spellEnd"/>
      <w:r w:rsidRPr="00C6559A">
        <w:rPr>
          <w:rFonts w:ascii="Arial" w:hAnsi="Arial" w:cs="Arial"/>
        </w:rPr>
        <w:t xml:space="preserve"> </w:t>
      </w:r>
      <w:proofErr w:type="spellStart"/>
      <w:r w:rsidRPr="00C6559A">
        <w:rPr>
          <w:rFonts w:ascii="Arial" w:hAnsi="Arial" w:cs="Arial"/>
        </w:rPr>
        <w:t>việc</w:t>
      </w:r>
      <w:proofErr w:type="spellEnd"/>
      <w:r w:rsidRPr="00C6559A">
        <w:rPr>
          <w:rFonts w:ascii="Arial" w:hAnsi="Arial" w:cs="Arial"/>
        </w:rPr>
        <w:t xml:space="preserve"> </w:t>
      </w:r>
      <w:proofErr w:type="spellStart"/>
      <w:r w:rsidRPr="00C6559A">
        <w:rPr>
          <w:rFonts w:ascii="Arial" w:hAnsi="Arial" w:cs="Arial"/>
        </w:rPr>
        <w:t>đầu</w:t>
      </w:r>
      <w:proofErr w:type="spellEnd"/>
      <w:r w:rsidRPr="00C6559A">
        <w:rPr>
          <w:rFonts w:ascii="Arial" w:hAnsi="Arial" w:cs="Arial"/>
        </w:rPr>
        <w:t xml:space="preserve"> </w:t>
      </w:r>
      <w:proofErr w:type="spellStart"/>
      <w:r w:rsidRPr="00C6559A">
        <w:rPr>
          <w:rFonts w:ascii="Arial" w:hAnsi="Arial" w:cs="Arial"/>
        </w:rPr>
        <w:t>tư</w:t>
      </w:r>
      <w:proofErr w:type="spellEnd"/>
      <w:r w:rsidRPr="00C6559A">
        <w:rPr>
          <w:rFonts w:ascii="Arial" w:hAnsi="Arial" w:cs="Arial"/>
        </w:rPr>
        <w:t xml:space="preserve"> </w:t>
      </w:r>
      <w:proofErr w:type="spellStart"/>
      <w:r w:rsidRPr="00C6559A">
        <w:rPr>
          <w:rFonts w:ascii="Arial" w:hAnsi="Arial" w:cs="Arial"/>
        </w:rPr>
        <w:t>bằng</w:t>
      </w:r>
      <w:proofErr w:type="spellEnd"/>
      <w:r w:rsidRPr="00C6559A">
        <w:rPr>
          <w:rFonts w:ascii="Arial" w:hAnsi="Arial" w:cs="Arial"/>
        </w:rPr>
        <w:t xml:space="preserve"> </w:t>
      </w:r>
      <w:proofErr w:type="spellStart"/>
      <w:r w:rsidRPr="00C6559A">
        <w:rPr>
          <w:rFonts w:ascii="Arial" w:hAnsi="Arial" w:cs="Arial"/>
        </w:rPr>
        <w:t>các</w:t>
      </w:r>
      <w:proofErr w:type="spellEnd"/>
      <w:r w:rsidRPr="00C6559A">
        <w:rPr>
          <w:rFonts w:ascii="Arial" w:hAnsi="Arial" w:cs="Arial"/>
        </w:rPr>
        <w:t xml:space="preserve"> </w:t>
      </w:r>
      <w:proofErr w:type="spellStart"/>
      <w:r w:rsidRPr="00C6559A">
        <w:rPr>
          <w:rFonts w:ascii="Arial" w:hAnsi="Arial" w:cs="Arial"/>
        </w:rPr>
        <w:t>hình</w:t>
      </w:r>
      <w:proofErr w:type="spellEnd"/>
      <w:r w:rsidRPr="00C6559A">
        <w:rPr>
          <w:rFonts w:ascii="Arial" w:hAnsi="Arial" w:cs="Arial"/>
        </w:rPr>
        <w:t xml:space="preserve"> </w:t>
      </w:r>
      <w:proofErr w:type="spellStart"/>
      <w:r w:rsidRPr="00C6559A">
        <w:rPr>
          <w:rFonts w:ascii="Arial" w:hAnsi="Arial" w:cs="Arial"/>
        </w:rPr>
        <w:t>thức</w:t>
      </w:r>
      <w:proofErr w:type="spellEnd"/>
      <w:r w:rsidRPr="00C6559A">
        <w:rPr>
          <w:rFonts w:ascii="Arial" w:hAnsi="Arial" w:cs="Arial"/>
        </w:rPr>
        <w:t xml:space="preserve"> </w:t>
      </w:r>
      <w:proofErr w:type="spellStart"/>
      <w:r w:rsidRPr="00C6559A">
        <w:rPr>
          <w:rFonts w:ascii="Arial" w:hAnsi="Arial" w:cs="Arial"/>
        </w:rPr>
        <w:t>đầu</w:t>
      </w:r>
      <w:proofErr w:type="spellEnd"/>
      <w:r w:rsidRPr="00C6559A">
        <w:rPr>
          <w:rFonts w:ascii="Arial" w:hAnsi="Arial" w:cs="Arial"/>
        </w:rPr>
        <w:t xml:space="preserve"> </w:t>
      </w:r>
      <w:proofErr w:type="spellStart"/>
      <w:r w:rsidRPr="00C6559A">
        <w:rPr>
          <w:rFonts w:ascii="Arial" w:hAnsi="Arial" w:cs="Arial"/>
        </w:rPr>
        <w:t>tư</w:t>
      </w:r>
      <w:proofErr w:type="spellEnd"/>
      <w:r w:rsidRPr="00C6559A">
        <w:rPr>
          <w:rFonts w:ascii="Arial" w:hAnsi="Arial" w:cs="Arial"/>
        </w:rPr>
        <w:t xml:space="preserve"> </w:t>
      </w:r>
      <w:proofErr w:type="spellStart"/>
      <w:r w:rsidRPr="00C6559A">
        <w:rPr>
          <w:rFonts w:ascii="Arial" w:hAnsi="Arial" w:cs="Arial"/>
        </w:rPr>
        <w:t>mà</w:t>
      </w:r>
      <w:proofErr w:type="spellEnd"/>
      <w:r w:rsidRPr="00C6559A">
        <w:rPr>
          <w:rFonts w:ascii="Arial" w:hAnsi="Arial" w:cs="Arial"/>
        </w:rPr>
        <w:t xml:space="preserve"> </w:t>
      </w:r>
      <w:proofErr w:type="spellStart"/>
      <w:r w:rsidRPr="00C6559A">
        <w:rPr>
          <w:rFonts w:ascii="Arial" w:hAnsi="Arial" w:cs="Arial"/>
        </w:rPr>
        <w:t>pháp</w:t>
      </w:r>
      <w:proofErr w:type="spellEnd"/>
      <w:r w:rsidRPr="00C6559A">
        <w:rPr>
          <w:rFonts w:ascii="Arial" w:hAnsi="Arial" w:cs="Arial"/>
        </w:rPr>
        <w:t xml:space="preserve"> </w:t>
      </w:r>
      <w:proofErr w:type="spellStart"/>
      <w:r w:rsidRPr="00C6559A">
        <w:rPr>
          <w:rFonts w:ascii="Arial" w:hAnsi="Arial" w:cs="Arial"/>
        </w:rPr>
        <w:t>luật</w:t>
      </w:r>
      <w:proofErr w:type="spellEnd"/>
      <w:r w:rsidRPr="00C6559A">
        <w:rPr>
          <w:rFonts w:ascii="Arial" w:hAnsi="Arial" w:cs="Arial"/>
        </w:rPr>
        <w:t xml:space="preserve"> </w:t>
      </w:r>
      <w:proofErr w:type="spellStart"/>
      <w:r w:rsidRPr="00C6559A">
        <w:rPr>
          <w:rFonts w:ascii="Arial" w:hAnsi="Arial" w:cs="Arial"/>
        </w:rPr>
        <w:t>hiện</w:t>
      </w:r>
      <w:proofErr w:type="spellEnd"/>
      <w:r w:rsidRPr="00C6559A">
        <w:rPr>
          <w:rFonts w:ascii="Arial" w:hAnsi="Arial" w:cs="Arial"/>
        </w:rPr>
        <w:t xml:space="preserve"> </w:t>
      </w:r>
      <w:proofErr w:type="spellStart"/>
      <w:r w:rsidRPr="00C6559A">
        <w:rPr>
          <w:rFonts w:ascii="Arial" w:hAnsi="Arial" w:cs="Arial"/>
        </w:rPr>
        <w:t>hành</w:t>
      </w:r>
      <w:proofErr w:type="spellEnd"/>
      <w:r w:rsidRPr="00C6559A">
        <w:rPr>
          <w:rFonts w:ascii="Arial" w:hAnsi="Arial" w:cs="Arial"/>
        </w:rPr>
        <w:t xml:space="preserve"> </w:t>
      </w:r>
      <w:proofErr w:type="spellStart"/>
      <w:r w:rsidRPr="00C6559A">
        <w:rPr>
          <w:rFonts w:ascii="Arial" w:hAnsi="Arial" w:cs="Arial"/>
        </w:rPr>
        <w:t>cho</w:t>
      </w:r>
      <w:proofErr w:type="spellEnd"/>
      <w:r w:rsidRPr="00C6559A">
        <w:rPr>
          <w:rFonts w:ascii="Arial" w:hAnsi="Arial" w:cs="Arial"/>
        </w:rPr>
        <w:t xml:space="preserve"> </w:t>
      </w:r>
      <w:proofErr w:type="spellStart"/>
      <w:r w:rsidRPr="00C6559A">
        <w:rPr>
          <w:rFonts w:ascii="Arial" w:hAnsi="Arial" w:cs="Arial"/>
        </w:rPr>
        <w:t>phép</w:t>
      </w:r>
      <w:proofErr w:type="spellEnd"/>
      <w:r w:rsidRPr="00C6559A">
        <w:rPr>
          <w:rFonts w:ascii="Arial" w:hAnsi="Arial" w:cs="Arial"/>
        </w:rPr>
        <w:t xml:space="preserve">. </w:t>
      </w:r>
      <w:proofErr w:type="spellStart"/>
      <w:r w:rsidRPr="00C6559A">
        <w:rPr>
          <w:rFonts w:ascii="Arial" w:hAnsi="Arial" w:cs="Arial"/>
        </w:rPr>
        <w:t>Ngoài</w:t>
      </w:r>
      <w:proofErr w:type="spellEnd"/>
      <w:r w:rsidRPr="00C6559A">
        <w:rPr>
          <w:rFonts w:ascii="Arial" w:hAnsi="Arial" w:cs="Arial"/>
        </w:rPr>
        <w:t xml:space="preserve"> </w:t>
      </w:r>
      <w:proofErr w:type="spellStart"/>
      <w:r w:rsidRPr="00C6559A">
        <w:rPr>
          <w:rFonts w:ascii="Arial" w:hAnsi="Arial" w:cs="Arial"/>
        </w:rPr>
        <w:t>ra</w:t>
      </w:r>
      <w:proofErr w:type="spellEnd"/>
      <w:r w:rsidRPr="00C6559A">
        <w:rPr>
          <w:rFonts w:ascii="Arial" w:hAnsi="Arial" w:cs="Arial"/>
        </w:rPr>
        <w:t xml:space="preserve">, </w:t>
      </w:r>
      <w:proofErr w:type="spellStart"/>
      <w:r w:rsidRPr="00C6559A">
        <w:rPr>
          <w:rFonts w:ascii="Arial" w:hAnsi="Arial" w:cs="Arial"/>
        </w:rPr>
        <w:t>mục</w:t>
      </w:r>
      <w:proofErr w:type="spellEnd"/>
      <w:r w:rsidRPr="00C6559A">
        <w:rPr>
          <w:rFonts w:ascii="Arial" w:hAnsi="Arial" w:cs="Arial"/>
        </w:rPr>
        <w:t xml:space="preserve"> </w:t>
      </w:r>
      <w:proofErr w:type="spellStart"/>
      <w:r w:rsidRPr="00C6559A">
        <w:rPr>
          <w:rFonts w:ascii="Arial" w:hAnsi="Arial" w:cs="Arial"/>
        </w:rPr>
        <w:t>tiêu</w:t>
      </w:r>
      <w:proofErr w:type="spellEnd"/>
      <w:r w:rsidRPr="00C6559A">
        <w:rPr>
          <w:rFonts w:ascii="Arial" w:hAnsi="Arial" w:cs="Arial"/>
        </w:rPr>
        <w:t xml:space="preserve"> </w:t>
      </w:r>
      <w:proofErr w:type="spellStart"/>
      <w:r w:rsidRPr="00C6559A">
        <w:rPr>
          <w:rFonts w:ascii="Arial" w:hAnsi="Arial" w:cs="Arial"/>
        </w:rPr>
        <w:t>đầu</w:t>
      </w:r>
      <w:proofErr w:type="spellEnd"/>
      <w:r w:rsidRPr="00C6559A">
        <w:rPr>
          <w:rFonts w:ascii="Arial" w:hAnsi="Arial" w:cs="Arial"/>
        </w:rPr>
        <w:t xml:space="preserve"> </w:t>
      </w:r>
      <w:proofErr w:type="spellStart"/>
      <w:r w:rsidRPr="00C6559A">
        <w:rPr>
          <w:rFonts w:ascii="Arial" w:hAnsi="Arial" w:cs="Arial"/>
        </w:rPr>
        <w:t>tư</w:t>
      </w:r>
      <w:proofErr w:type="spellEnd"/>
      <w:r w:rsidRPr="00C6559A">
        <w:rPr>
          <w:rFonts w:ascii="Arial" w:hAnsi="Arial" w:cs="Arial"/>
        </w:rPr>
        <w:t xml:space="preserve"> </w:t>
      </w:r>
      <w:proofErr w:type="spellStart"/>
      <w:r w:rsidRPr="00C6559A">
        <w:rPr>
          <w:rFonts w:ascii="Arial" w:hAnsi="Arial" w:cs="Arial"/>
        </w:rPr>
        <w:t>của</w:t>
      </w:r>
      <w:proofErr w:type="spellEnd"/>
      <w:r w:rsidRPr="00C6559A">
        <w:rPr>
          <w:rFonts w:ascii="Arial" w:hAnsi="Arial" w:cs="Arial"/>
        </w:rPr>
        <w:t xml:space="preserve"> </w:t>
      </w:r>
      <w:proofErr w:type="spellStart"/>
      <w:r w:rsidRPr="00C6559A">
        <w:rPr>
          <w:rFonts w:ascii="Arial" w:hAnsi="Arial" w:cs="Arial"/>
        </w:rPr>
        <w:t>Quỹ</w:t>
      </w:r>
      <w:proofErr w:type="spellEnd"/>
      <w:r w:rsidRPr="00C6559A">
        <w:rPr>
          <w:rFonts w:ascii="Arial" w:hAnsi="Arial" w:cs="Arial"/>
        </w:rPr>
        <w:t xml:space="preserve"> </w:t>
      </w:r>
      <w:proofErr w:type="spellStart"/>
      <w:r w:rsidRPr="00C6559A">
        <w:rPr>
          <w:rFonts w:ascii="Arial" w:hAnsi="Arial" w:cs="Arial"/>
        </w:rPr>
        <w:t>có</w:t>
      </w:r>
      <w:proofErr w:type="spellEnd"/>
      <w:r w:rsidRPr="00C6559A">
        <w:rPr>
          <w:rFonts w:ascii="Arial" w:hAnsi="Arial" w:cs="Arial"/>
        </w:rPr>
        <w:t xml:space="preserve"> </w:t>
      </w:r>
      <w:proofErr w:type="spellStart"/>
      <w:r w:rsidRPr="00C6559A">
        <w:rPr>
          <w:rFonts w:ascii="Arial" w:hAnsi="Arial" w:cs="Arial"/>
        </w:rPr>
        <w:t>thể</w:t>
      </w:r>
      <w:proofErr w:type="spellEnd"/>
      <w:r w:rsidRPr="00C6559A">
        <w:rPr>
          <w:rFonts w:ascii="Arial" w:hAnsi="Arial" w:cs="Arial"/>
        </w:rPr>
        <w:t xml:space="preserve"> </w:t>
      </w:r>
      <w:proofErr w:type="spellStart"/>
      <w:r w:rsidRPr="00C6559A">
        <w:rPr>
          <w:rFonts w:ascii="Arial" w:hAnsi="Arial" w:cs="Arial"/>
        </w:rPr>
        <w:t>được</w:t>
      </w:r>
      <w:proofErr w:type="spellEnd"/>
      <w:r w:rsidRPr="00C6559A">
        <w:rPr>
          <w:rFonts w:ascii="Arial" w:hAnsi="Arial" w:cs="Arial"/>
        </w:rPr>
        <w:t xml:space="preserve"> </w:t>
      </w:r>
      <w:proofErr w:type="spellStart"/>
      <w:r w:rsidRPr="00C6559A">
        <w:rPr>
          <w:rFonts w:ascii="Arial" w:hAnsi="Arial" w:cs="Arial"/>
        </w:rPr>
        <w:t>thay</w:t>
      </w:r>
      <w:proofErr w:type="spellEnd"/>
      <w:r w:rsidRPr="00C6559A">
        <w:rPr>
          <w:rFonts w:ascii="Arial" w:hAnsi="Arial" w:cs="Arial"/>
        </w:rPr>
        <w:t xml:space="preserve"> </w:t>
      </w:r>
      <w:proofErr w:type="spellStart"/>
      <w:r w:rsidRPr="00C6559A">
        <w:rPr>
          <w:rFonts w:ascii="Arial" w:hAnsi="Arial" w:cs="Arial"/>
        </w:rPr>
        <w:t>đổi</w:t>
      </w:r>
      <w:proofErr w:type="spellEnd"/>
      <w:r w:rsidRPr="00C6559A">
        <w:rPr>
          <w:rFonts w:ascii="Arial" w:hAnsi="Arial" w:cs="Arial"/>
        </w:rPr>
        <w:t xml:space="preserve"> </w:t>
      </w:r>
      <w:proofErr w:type="spellStart"/>
      <w:r w:rsidRPr="00C6559A">
        <w:rPr>
          <w:rFonts w:ascii="Arial" w:hAnsi="Arial" w:cs="Arial"/>
        </w:rPr>
        <w:t>hoàn</w:t>
      </w:r>
      <w:proofErr w:type="spellEnd"/>
      <w:r w:rsidRPr="00C6559A">
        <w:rPr>
          <w:rFonts w:ascii="Arial" w:hAnsi="Arial" w:cs="Arial"/>
        </w:rPr>
        <w:t xml:space="preserve"> </w:t>
      </w:r>
      <w:proofErr w:type="spellStart"/>
      <w:r w:rsidRPr="00C6559A">
        <w:rPr>
          <w:rFonts w:ascii="Arial" w:hAnsi="Arial" w:cs="Arial"/>
        </w:rPr>
        <w:t>toàn</w:t>
      </w:r>
      <w:proofErr w:type="spellEnd"/>
      <w:r w:rsidRPr="00C6559A">
        <w:rPr>
          <w:rFonts w:ascii="Arial" w:hAnsi="Arial" w:cs="Arial"/>
        </w:rPr>
        <w:t xml:space="preserve"> </w:t>
      </w:r>
      <w:proofErr w:type="spellStart"/>
      <w:r w:rsidRPr="00C6559A">
        <w:rPr>
          <w:rFonts w:ascii="Arial" w:hAnsi="Arial" w:cs="Arial"/>
        </w:rPr>
        <w:t>theo</w:t>
      </w:r>
      <w:proofErr w:type="spellEnd"/>
      <w:r w:rsidRPr="00C6559A">
        <w:rPr>
          <w:rFonts w:ascii="Arial" w:hAnsi="Arial" w:cs="Arial"/>
        </w:rPr>
        <w:t xml:space="preserve"> </w:t>
      </w:r>
      <w:proofErr w:type="spellStart"/>
      <w:r w:rsidRPr="00C6559A">
        <w:rPr>
          <w:rFonts w:ascii="Arial" w:hAnsi="Arial" w:cs="Arial"/>
        </w:rPr>
        <w:t>quyết</w:t>
      </w:r>
      <w:proofErr w:type="spellEnd"/>
      <w:r w:rsidRPr="00C6559A">
        <w:rPr>
          <w:rFonts w:ascii="Arial" w:hAnsi="Arial" w:cs="Arial"/>
        </w:rPr>
        <w:t xml:space="preserve"> </w:t>
      </w:r>
      <w:proofErr w:type="spellStart"/>
      <w:r w:rsidRPr="00C6559A">
        <w:rPr>
          <w:rFonts w:ascii="Arial" w:hAnsi="Arial" w:cs="Arial"/>
        </w:rPr>
        <w:t>định</w:t>
      </w:r>
      <w:proofErr w:type="spellEnd"/>
      <w:r w:rsidRPr="00C6559A">
        <w:rPr>
          <w:rFonts w:ascii="Arial" w:hAnsi="Arial" w:cs="Arial"/>
        </w:rPr>
        <w:t xml:space="preserve"> </w:t>
      </w:r>
      <w:proofErr w:type="spellStart"/>
      <w:r w:rsidRPr="00C6559A">
        <w:rPr>
          <w:rFonts w:ascii="Arial" w:hAnsi="Arial" w:cs="Arial"/>
        </w:rPr>
        <w:t>của</w:t>
      </w:r>
      <w:proofErr w:type="spellEnd"/>
      <w:r w:rsidRPr="00C6559A">
        <w:rPr>
          <w:rFonts w:ascii="Arial" w:hAnsi="Arial" w:cs="Arial"/>
        </w:rPr>
        <w:t xml:space="preserve"> </w:t>
      </w:r>
      <w:proofErr w:type="spellStart"/>
      <w:r w:rsidRPr="00C6559A">
        <w:rPr>
          <w:rFonts w:ascii="Arial" w:hAnsi="Arial" w:cs="Arial"/>
        </w:rPr>
        <w:t>Đại</w:t>
      </w:r>
      <w:proofErr w:type="spellEnd"/>
      <w:r w:rsidRPr="00C6559A">
        <w:rPr>
          <w:rFonts w:ascii="Arial" w:hAnsi="Arial" w:cs="Arial"/>
        </w:rPr>
        <w:t xml:space="preserve"> </w:t>
      </w:r>
      <w:proofErr w:type="spellStart"/>
      <w:r w:rsidRPr="00C6559A">
        <w:rPr>
          <w:rFonts w:ascii="Arial" w:hAnsi="Arial" w:cs="Arial"/>
        </w:rPr>
        <w:t>hội</w:t>
      </w:r>
      <w:proofErr w:type="spellEnd"/>
      <w:r w:rsidRPr="00C6559A">
        <w:rPr>
          <w:rFonts w:ascii="Arial" w:hAnsi="Arial" w:cs="Arial"/>
        </w:rPr>
        <w:t xml:space="preserve"> </w:t>
      </w:r>
      <w:proofErr w:type="spellStart"/>
      <w:r w:rsidRPr="00C6559A">
        <w:rPr>
          <w:rFonts w:ascii="Arial" w:hAnsi="Arial" w:cs="Arial"/>
        </w:rPr>
        <w:t>Nhà</w:t>
      </w:r>
      <w:proofErr w:type="spellEnd"/>
      <w:r w:rsidRPr="00C6559A">
        <w:rPr>
          <w:rFonts w:ascii="Arial" w:hAnsi="Arial" w:cs="Arial"/>
        </w:rPr>
        <w:t xml:space="preserve"> </w:t>
      </w:r>
      <w:proofErr w:type="spellStart"/>
      <w:r w:rsidRPr="00C6559A">
        <w:rPr>
          <w:rFonts w:ascii="Arial" w:hAnsi="Arial" w:cs="Arial"/>
        </w:rPr>
        <w:t>đầu</w:t>
      </w:r>
      <w:proofErr w:type="spellEnd"/>
      <w:r w:rsidRPr="00C6559A">
        <w:rPr>
          <w:rFonts w:ascii="Arial" w:hAnsi="Arial" w:cs="Arial"/>
        </w:rPr>
        <w:t xml:space="preserve"> </w:t>
      </w:r>
      <w:proofErr w:type="spellStart"/>
      <w:r w:rsidRPr="00C6559A">
        <w:rPr>
          <w:rFonts w:ascii="Arial" w:hAnsi="Arial" w:cs="Arial"/>
        </w:rPr>
        <w:t>tư</w:t>
      </w:r>
      <w:proofErr w:type="spellEnd"/>
      <w:r w:rsidRPr="00C6559A">
        <w:rPr>
          <w:rFonts w:ascii="Arial" w:hAnsi="Arial" w:cs="Arial"/>
        </w:rPr>
        <w:t xml:space="preserve">, </w:t>
      </w:r>
      <w:proofErr w:type="spellStart"/>
      <w:r w:rsidRPr="00C6559A">
        <w:rPr>
          <w:rFonts w:ascii="Arial" w:hAnsi="Arial" w:cs="Arial"/>
        </w:rPr>
        <w:t>phù</w:t>
      </w:r>
      <w:proofErr w:type="spellEnd"/>
      <w:r w:rsidRPr="00C6559A">
        <w:rPr>
          <w:rFonts w:ascii="Arial" w:hAnsi="Arial" w:cs="Arial"/>
        </w:rPr>
        <w:t xml:space="preserve"> </w:t>
      </w:r>
      <w:proofErr w:type="spellStart"/>
      <w:r w:rsidRPr="00C6559A">
        <w:rPr>
          <w:rFonts w:ascii="Arial" w:hAnsi="Arial" w:cs="Arial"/>
        </w:rPr>
        <w:t>hợp</w:t>
      </w:r>
      <w:proofErr w:type="spellEnd"/>
      <w:r w:rsidRPr="00C6559A">
        <w:rPr>
          <w:rFonts w:ascii="Arial" w:hAnsi="Arial" w:cs="Arial"/>
        </w:rPr>
        <w:t xml:space="preserve"> </w:t>
      </w:r>
      <w:proofErr w:type="spellStart"/>
      <w:r w:rsidRPr="00C6559A">
        <w:rPr>
          <w:rFonts w:ascii="Arial" w:hAnsi="Arial" w:cs="Arial"/>
        </w:rPr>
        <w:t>với</w:t>
      </w:r>
      <w:proofErr w:type="spellEnd"/>
      <w:r w:rsidRPr="00C6559A">
        <w:rPr>
          <w:rFonts w:ascii="Arial" w:hAnsi="Arial" w:cs="Arial"/>
        </w:rPr>
        <w:t xml:space="preserve"> </w:t>
      </w:r>
      <w:proofErr w:type="spellStart"/>
      <w:r w:rsidRPr="00C6559A">
        <w:rPr>
          <w:rFonts w:ascii="Arial" w:hAnsi="Arial" w:cs="Arial"/>
        </w:rPr>
        <w:t>quy</w:t>
      </w:r>
      <w:proofErr w:type="spellEnd"/>
      <w:r w:rsidRPr="00C6559A">
        <w:rPr>
          <w:rFonts w:ascii="Arial" w:hAnsi="Arial" w:cs="Arial"/>
        </w:rPr>
        <w:t xml:space="preserve"> </w:t>
      </w:r>
      <w:proofErr w:type="spellStart"/>
      <w:r w:rsidRPr="00C6559A">
        <w:rPr>
          <w:rFonts w:ascii="Arial" w:hAnsi="Arial" w:cs="Arial"/>
        </w:rPr>
        <w:t>định</w:t>
      </w:r>
      <w:proofErr w:type="spellEnd"/>
      <w:r w:rsidRPr="00C6559A">
        <w:rPr>
          <w:rFonts w:ascii="Arial" w:hAnsi="Arial" w:cs="Arial"/>
        </w:rPr>
        <w:t xml:space="preserve"> </w:t>
      </w:r>
      <w:proofErr w:type="spellStart"/>
      <w:r w:rsidRPr="00C6559A">
        <w:rPr>
          <w:rFonts w:ascii="Arial" w:hAnsi="Arial" w:cs="Arial"/>
        </w:rPr>
        <w:t>pháp</w:t>
      </w:r>
      <w:proofErr w:type="spellEnd"/>
      <w:r w:rsidRPr="00C6559A">
        <w:rPr>
          <w:rFonts w:ascii="Arial" w:hAnsi="Arial" w:cs="Arial"/>
        </w:rPr>
        <w:t xml:space="preserve"> </w:t>
      </w:r>
      <w:proofErr w:type="spellStart"/>
      <w:r w:rsidRPr="00C6559A">
        <w:rPr>
          <w:rFonts w:ascii="Arial" w:hAnsi="Arial" w:cs="Arial"/>
        </w:rPr>
        <w:t>luật</w:t>
      </w:r>
      <w:proofErr w:type="spellEnd"/>
      <w:r w:rsidRPr="00C6559A">
        <w:rPr>
          <w:rFonts w:ascii="Arial" w:hAnsi="Arial" w:cs="Arial"/>
        </w:rPr>
        <w:t xml:space="preserve"> </w:t>
      </w:r>
      <w:proofErr w:type="spellStart"/>
      <w:r w:rsidRPr="00C6559A">
        <w:rPr>
          <w:rFonts w:ascii="Arial" w:hAnsi="Arial" w:cs="Arial"/>
        </w:rPr>
        <w:t>hiện</w:t>
      </w:r>
      <w:proofErr w:type="spellEnd"/>
      <w:r w:rsidRPr="00C6559A">
        <w:rPr>
          <w:rFonts w:ascii="Arial" w:hAnsi="Arial" w:cs="Arial"/>
        </w:rPr>
        <w:t xml:space="preserve"> </w:t>
      </w:r>
      <w:proofErr w:type="spellStart"/>
      <w:r w:rsidRPr="00C6559A">
        <w:rPr>
          <w:rFonts w:ascii="Arial" w:hAnsi="Arial" w:cs="Arial"/>
        </w:rPr>
        <w:t>hành</w:t>
      </w:r>
      <w:proofErr w:type="spellEnd"/>
      <w:r w:rsidRPr="00C6559A">
        <w:rPr>
          <w:rFonts w:ascii="Arial" w:hAnsi="Arial" w:cs="Arial"/>
        </w:rPr>
        <w:t xml:space="preserve"> </w:t>
      </w:r>
      <w:proofErr w:type="spellStart"/>
      <w:r w:rsidRPr="00C6559A">
        <w:rPr>
          <w:rFonts w:ascii="Arial" w:hAnsi="Arial" w:cs="Arial"/>
        </w:rPr>
        <w:t>và</w:t>
      </w:r>
      <w:proofErr w:type="spellEnd"/>
      <w:r w:rsidRPr="00C6559A">
        <w:rPr>
          <w:rFonts w:ascii="Arial" w:hAnsi="Arial" w:cs="Arial"/>
        </w:rPr>
        <w:t xml:space="preserve"> </w:t>
      </w:r>
      <w:proofErr w:type="spellStart"/>
      <w:r w:rsidRPr="00C6559A">
        <w:rPr>
          <w:rFonts w:ascii="Arial" w:hAnsi="Arial" w:cs="Arial"/>
        </w:rPr>
        <w:t>báo</w:t>
      </w:r>
      <w:proofErr w:type="spellEnd"/>
      <w:r w:rsidRPr="00C6559A">
        <w:rPr>
          <w:rFonts w:ascii="Arial" w:hAnsi="Arial" w:cs="Arial"/>
        </w:rPr>
        <w:t xml:space="preserve"> </w:t>
      </w:r>
      <w:proofErr w:type="spellStart"/>
      <w:r w:rsidRPr="00C6559A">
        <w:rPr>
          <w:rFonts w:ascii="Arial" w:hAnsi="Arial" w:cs="Arial"/>
        </w:rPr>
        <w:t>cáo</w:t>
      </w:r>
      <w:proofErr w:type="spellEnd"/>
      <w:r w:rsidRPr="00C6559A">
        <w:rPr>
          <w:rFonts w:ascii="Arial" w:hAnsi="Arial" w:cs="Arial"/>
        </w:rPr>
        <w:t xml:space="preserve"> </w:t>
      </w:r>
      <w:proofErr w:type="spellStart"/>
      <w:r w:rsidRPr="00C6559A">
        <w:rPr>
          <w:rFonts w:ascii="Arial" w:hAnsi="Arial" w:cs="Arial"/>
        </w:rPr>
        <w:t>với</w:t>
      </w:r>
      <w:proofErr w:type="spellEnd"/>
      <w:r w:rsidRPr="00C6559A">
        <w:rPr>
          <w:rFonts w:ascii="Arial" w:hAnsi="Arial" w:cs="Arial"/>
        </w:rPr>
        <w:t xml:space="preserve"> </w:t>
      </w:r>
      <w:proofErr w:type="spellStart"/>
      <w:r w:rsidRPr="00C6559A">
        <w:rPr>
          <w:rFonts w:ascii="Arial" w:hAnsi="Arial" w:cs="Arial"/>
        </w:rPr>
        <w:t>Ủy</w:t>
      </w:r>
      <w:proofErr w:type="spellEnd"/>
      <w:r w:rsidRPr="00C6559A">
        <w:rPr>
          <w:rFonts w:ascii="Arial" w:hAnsi="Arial" w:cs="Arial"/>
        </w:rPr>
        <w:t xml:space="preserve"> ban </w:t>
      </w:r>
      <w:proofErr w:type="spellStart"/>
      <w:r w:rsidRPr="00C6559A">
        <w:rPr>
          <w:rFonts w:ascii="Arial" w:hAnsi="Arial" w:cs="Arial"/>
        </w:rPr>
        <w:t>Chứng</w:t>
      </w:r>
      <w:proofErr w:type="spellEnd"/>
      <w:r w:rsidRPr="00C6559A">
        <w:rPr>
          <w:rFonts w:ascii="Arial" w:hAnsi="Arial" w:cs="Arial"/>
        </w:rPr>
        <w:t xml:space="preserve"> </w:t>
      </w:r>
      <w:proofErr w:type="spellStart"/>
      <w:r w:rsidRPr="00C6559A">
        <w:rPr>
          <w:rFonts w:ascii="Arial" w:hAnsi="Arial" w:cs="Arial"/>
        </w:rPr>
        <w:t>khoán</w:t>
      </w:r>
      <w:proofErr w:type="spellEnd"/>
      <w:r w:rsidRPr="00C6559A">
        <w:rPr>
          <w:rFonts w:ascii="Arial" w:hAnsi="Arial" w:cs="Arial"/>
        </w:rPr>
        <w:t xml:space="preserve"> </w:t>
      </w:r>
      <w:proofErr w:type="spellStart"/>
      <w:r w:rsidRPr="00C6559A">
        <w:rPr>
          <w:rFonts w:ascii="Arial" w:hAnsi="Arial" w:cs="Arial"/>
        </w:rPr>
        <w:t>Nhà</w:t>
      </w:r>
      <w:proofErr w:type="spellEnd"/>
      <w:r w:rsidRPr="00C6559A">
        <w:rPr>
          <w:rFonts w:ascii="Arial" w:hAnsi="Arial" w:cs="Arial"/>
        </w:rPr>
        <w:t xml:space="preserve"> </w:t>
      </w:r>
      <w:proofErr w:type="spellStart"/>
      <w:r w:rsidRPr="00C6559A">
        <w:rPr>
          <w:rFonts w:ascii="Arial" w:hAnsi="Arial" w:cs="Arial"/>
        </w:rPr>
        <w:t>Nước</w:t>
      </w:r>
      <w:proofErr w:type="spellEnd"/>
      <w:r w:rsidRPr="00C6559A">
        <w:rPr>
          <w:rFonts w:ascii="Arial" w:hAnsi="Arial" w:cs="Arial"/>
        </w:rPr>
        <w:t>.</w:t>
      </w:r>
    </w:p>
    <w:p w14:paraId="6D08AAAA" w14:textId="77777777" w:rsidR="002D7555" w:rsidRPr="00556831" w:rsidRDefault="002D7555" w:rsidP="00556831">
      <w:pPr>
        <w:pStyle w:val="ListParagraph"/>
        <w:numPr>
          <w:ilvl w:val="0"/>
          <w:numId w:val="26"/>
        </w:numPr>
        <w:tabs>
          <w:tab w:val="left" w:pos="270"/>
          <w:tab w:val="left" w:pos="1134"/>
        </w:tabs>
        <w:spacing w:before="120" w:after="120" w:line="240" w:lineRule="auto"/>
        <w:ind w:left="0" w:firstLine="0"/>
        <w:contextualSpacing w:val="0"/>
        <w:jc w:val="both"/>
        <w:rPr>
          <w:rFonts w:ascii="Arial" w:hAnsi="Arial" w:cs="Arial"/>
          <w:sz w:val="20"/>
          <w:szCs w:val="20"/>
        </w:rPr>
      </w:pPr>
      <w:proofErr w:type="spellStart"/>
      <w:r w:rsidRPr="00556831">
        <w:rPr>
          <w:rFonts w:ascii="Arial" w:hAnsi="Arial" w:cs="Arial"/>
          <w:sz w:val="20"/>
          <w:szCs w:val="20"/>
        </w:rPr>
        <w:t>Thời</w:t>
      </w:r>
      <w:proofErr w:type="spellEnd"/>
      <w:r w:rsidRPr="00556831">
        <w:rPr>
          <w:rFonts w:ascii="Arial" w:hAnsi="Arial" w:cs="Arial"/>
          <w:sz w:val="20"/>
          <w:szCs w:val="20"/>
        </w:rPr>
        <w:t xml:space="preserve"> </w:t>
      </w:r>
      <w:proofErr w:type="spellStart"/>
      <w:r w:rsidRPr="00556831">
        <w:rPr>
          <w:rFonts w:ascii="Arial" w:hAnsi="Arial" w:cs="Arial"/>
          <w:sz w:val="20"/>
          <w:szCs w:val="20"/>
        </w:rPr>
        <w:t>hạn</w:t>
      </w:r>
      <w:proofErr w:type="spellEnd"/>
      <w:r w:rsidRPr="00556831">
        <w:rPr>
          <w:rFonts w:ascii="Arial" w:hAnsi="Arial" w:cs="Arial"/>
          <w:sz w:val="20"/>
          <w:szCs w:val="20"/>
        </w:rPr>
        <w:t xml:space="preserve"> </w:t>
      </w:r>
      <w:proofErr w:type="spellStart"/>
      <w:r w:rsidRPr="00556831">
        <w:rPr>
          <w:rFonts w:ascii="Arial" w:hAnsi="Arial" w:cs="Arial"/>
          <w:sz w:val="20"/>
          <w:szCs w:val="20"/>
        </w:rPr>
        <w:t>hoạt</w:t>
      </w:r>
      <w:proofErr w:type="spellEnd"/>
      <w:r w:rsidRPr="00556831">
        <w:rPr>
          <w:rFonts w:ascii="Arial" w:hAnsi="Arial" w:cs="Arial"/>
          <w:sz w:val="20"/>
          <w:szCs w:val="20"/>
        </w:rPr>
        <w:t xml:space="preserve"> </w:t>
      </w:r>
      <w:proofErr w:type="spellStart"/>
      <w:r w:rsidRPr="00556831">
        <w:rPr>
          <w:rFonts w:ascii="Arial" w:hAnsi="Arial" w:cs="Arial"/>
          <w:sz w:val="20"/>
          <w:szCs w:val="20"/>
        </w:rPr>
        <w:t>động</w:t>
      </w:r>
      <w:proofErr w:type="spellEnd"/>
      <w:r w:rsidRPr="00556831">
        <w:rPr>
          <w:rFonts w:ascii="Arial" w:hAnsi="Arial" w:cs="Arial"/>
          <w:sz w:val="20"/>
          <w:szCs w:val="20"/>
        </w:rPr>
        <w:t xml:space="preserve"> </w:t>
      </w:r>
      <w:proofErr w:type="spellStart"/>
      <w:r w:rsidRPr="00556831">
        <w:rPr>
          <w:rFonts w:ascii="Arial" w:hAnsi="Arial" w:cs="Arial"/>
          <w:sz w:val="20"/>
          <w:szCs w:val="20"/>
        </w:rPr>
        <w:t>của</w:t>
      </w:r>
      <w:proofErr w:type="spellEnd"/>
      <w:r w:rsidRPr="00556831">
        <w:rPr>
          <w:rFonts w:ascii="Arial" w:hAnsi="Arial" w:cs="Arial"/>
          <w:sz w:val="20"/>
          <w:szCs w:val="20"/>
        </w:rPr>
        <w:t xml:space="preserve"> </w:t>
      </w:r>
      <w:proofErr w:type="spellStart"/>
      <w:r w:rsidRPr="00556831">
        <w:rPr>
          <w:rFonts w:ascii="Arial" w:hAnsi="Arial" w:cs="Arial"/>
          <w:sz w:val="20"/>
          <w:szCs w:val="20"/>
        </w:rPr>
        <w:t>quỹ</w:t>
      </w:r>
      <w:proofErr w:type="spellEnd"/>
      <w:r w:rsidRPr="00556831">
        <w:rPr>
          <w:rFonts w:ascii="Arial" w:hAnsi="Arial" w:cs="Arial"/>
          <w:sz w:val="20"/>
          <w:szCs w:val="20"/>
        </w:rPr>
        <w:t xml:space="preserve">: </w:t>
      </w:r>
      <w:proofErr w:type="spellStart"/>
      <w:r w:rsidRPr="00556831">
        <w:rPr>
          <w:rFonts w:ascii="Arial" w:hAnsi="Arial" w:cs="Arial"/>
          <w:sz w:val="20"/>
          <w:szCs w:val="20"/>
        </w:rPr>
        <w:t>được</w:t>
      </w:r>
      <w:proofErr w:type="spellEnd"/>
      <w:r w:rsidRPr="00556831">
        <w:rPr>
          <w:rFonts w:ascii="Arial" w:hAnsi="Arial" w:cs="Arial"/>
          <w:sz w:val="20"/>
          <w:szCs w:val="20"/>
        </w:rPr>
        <w:t xml:space="preserve"> </w:t>
      </w:r>
      <w:proofErr w:type="spellStart"/>
      <w:r w:rsidRPr="00556831">
        <w:rPr>
          <w:rFonts w:ascii="Arial" w:hAnsi="Arial" w:cs="Arial"/>
          <w:sz w:val="20"/>
          <w:szCs w:val="20"/>
        </w:rPr>
        <w:t>tính</w:t>
      </w:r>
      <w:proofErr w:type="spellEnd"/>
      <w:r w:rsidRPr="00556831">
        <w:rPr>
          <w:rFonts w:ascii="Arial" w:hAnsi="Arial" w:cs="Arial"/>
          <w:sz w:val="20"/>
          <w:szCs w:val="20"/>
        </w:rPr>
        <w:t xml:space="preserve"> </w:t>
      </w:r>
      <w:proofErr w:type="spellStart"/>
      <w:r w:rsidRPr="00556831">
        <w:rPr>
          <w:rFonts w:ascii="Arial" w:hAnsi="Arial" w:cs="Arial"/>
          <w:sz w:val="20"/>
          <w:szCs w:val="20"/>
        </w:rPr>
        <w:t>từ</w:t>
      </w:r>
      <w:proofErr w:type="spellEnd"/>
      <w:r w:rsidRPr="00556831">
        <w:rPr>
          <w:rFonts w:ascii="Arial" w:hAnsi="Arial" w:cs="Arial"/>
          <w:sz w:val="20"/>
          <w:szCs w:val="20"/>
        </w:rPr>
        <w:t xml:space="preserve"> </w:t>
      </w:r>
      <w:proofErr w:type="spellStart"/>
      <w:r w:rsidRPr="00556831">
        <w:rPr>
          <w:rFonts w:ascii="Arial" w:hAnsi="Arial" w:cs="Arial"/>
          <w:sz w:val="20"/>
          <w:szCs w:val="20"/>
        </w:rPr>
        <w:t>ngày</w:t>
      </w:r>
      <w:proofErr w:type="spellEnd"/>
      <w:r w:rsidRPr="00556831">
        <w:rPr>
          <w:rFonts w:ascii="Arial" w:hAnsi="Arial" w:cs="Arial"/>
          <w:sz w:val="20"/>
          <w:szCs w:val="20"/>
        </w:rPr>
        <w:t xml:space="preserve"> </w:t>
      </w:r>
      <w:proofErr w:type="spellStart"/>
      <w:r w:rsidRPr="00556831">
        <w:rPr>
          <w:rFonts w:ascii="Arial" w:hAnsi="Arial" w:cs="Arial"/>
          <w:sz w:val="20"/>
          <w:szCs w:val="20"/>
        </w:rPr>
        <w:t>được</w:t>
      </w:r>
      <w:proofErr w:type="spellEnd"/>
      <w:r w:rsidRPr="00556831">
        <w:rPr>
          <w:rFonts w:ascii="Arial" w:hAnsi="Arial" w:cs="Arial"/>
          <w:sz w:val="20"/>
          <w:szCs w:val="20"/>
        </w:rPr>
        <w:t xml:space="preserve"> UBCKNN </w:t>
      </w:r>
      <w:proofErr w:type="spellStart"/>
      <w:r w:rsidR="009C048C" w:rsidRPr="00556831">
        <w:rPr>
          <w:rFonts w:ascii="Arial" w:hAnsi="Arial" w:cs="Arial"/>
          <w:sz w:val="20"/>
          <w:szCs w:val="20"/>
        </w:rPr>
        <w:t>cấp</w:t>
      </w:r>
      <w:proofErr w:type="spellEnd"/>
      <w:r w:rsidRPr="00556831">
        <w:rPr>
          <w:rFonts w:ascii="Arial" w:hAnsi="Arial" w:cs="Arial"/>
          <w:sz w:val="20"/>
          <w:szCs w:val="20"/>
        </w:rPr>
        <w:t xml:space="preserve"> </w:t>
      </w:r>
      <w:proofErr w:type="spellStart"/>
      <w:r w:rsidRPr="00556831">
        <w:rPr>
          <w:rFonts w:ascii="Arial" w:hAnsi="Arial" w:cs="Arial"/>
          <w:sz w:val="20"/>
          <w:szCs w:val="20"/>
        </w:rPr>
        <w:t>giấy</w:t>
      </w:r>
      <w:proofErr w:type="spellEnd"/>
      <w:r w:rsidRPr="00556831">
        <w:rPr>
          <w:rFonts w:ascii="Arial" w:hAnsi="Arial" w:cs="Arial"/>
          <w:sz w:val="20"/>
          <w:szCs w:val="20"/>
        </w:rPr>
        <w:t xml:space="preserve"> </w:t>
      </w:r>
      <w:proofErr w:type="spellStart"/>
      <w:r w:rsidRPr="00556831">
        <w:rPr>
          <w:rFonts w:ascii="Arial" w:hAnsi="Arial" w:cs="Arial"/>
          <w:sz w:val="20"/>
          <w:szCs w:val="20"/>
        </w:rPr>
        <w:t>chứng</w:t>
      </w:r>
      <w:proofErr w:type="spellEnd"/>
      <w:r w:rsidRPr="00556831">
        <w:rPr>
          <w:rFonts w:ascii="Arial" w:hAnsi="Arial" w:cs="Arial"/>
          <w:sz w:val="20"/>
          <w:szCs w:val="20"/>
        </w:rPr>
        <w:t xml:space="preserve"> </w:t>
      </w:r>
      <w:proofErr w:type="spellStart"/>
      <w:r w:rsidRPr="00556831">
        <w:rPr>
          <w:rFonts w:ascii="Arial" w:hAnsi="Arial" w:cs="Arial"/>
          <w:sz w:val="20"/>
          <w:szCs w:val="20"/>
        </w:rPr>
        <w:t>nhận</w:t>
      </w:r>
      <w:proofErr w:type="spellEnd"/>
      <w:r w:rsidRPr="00556831">
        <w:rPr>
          <w:rFonts w:ascii="Arial" w:hAnsi="Arial" w:cs="Arial"/>
          <w:sz w:val="20"/>
          <w:szCs w:val="20"/>
        </w:rPr>
        <w:t xml:space="preserve"> </w:t>
      </w:r>
      <w:proofErr w:type="spellStart"/>
      <w:r w:rsidRPr="00556831">
        <w:rPr>
          <w:rFonts w:ascii="Arial" w:hAnsi="Arial" w:cs="Arial"/>
          <w:sz w:val="20"/>
          <w:szCs w:val="20"/>
        </w:rPr>
        <w:t>đăng</w:t>
      </w:r>
      <w:proofErr w:type="spellEnd"/>
      <w:r w:rsidRPr="00556831">
        <w:rPr>
          <w:rFonts w:ascii="Arial" w:hAnsi="Arial" w:cs="Arial"/>
          <w:sz w:val="20"/>
          <w:szCs w:val="20"/>
        </w:rPr>
        <w:t xml:space="preserve"> </w:t>
      </w:r>
      <w:proofErr w:type="spellStart"/>
      <w:r w:rsidRPr="00556831">
        <w:rPr>
          <w:rFonts w:ascii="Arial" w:hAnsi="Arial" w:cs="Arial"/>
          <w:sz w:val="20"/>
          <w:szCs w:val="20"/>
        </w:rPr>
        <w:t>ký</w:t>
      </w:r>
      <w:proofErr w:type="spellEnd"/>
      <w:r w:rsidRPr="00556831">
        <w:rPr>
          <w:rFonts w:ascii="Arial" w:hAnsi="Arial" w:cs="Arial"/>
          <w:sz w:val="20"/>
          <w:szCs w:val="20"/>
        </w:rPr>
        <w:t xml:space="preserve"> </w:t>
      </w:r>
      <w:proofErr w:type="spellStart"/>
      <w:r w:rsidRPr="00556831">
        <w:rPr>
          <w:rFonts w:ascii="Arial" w:hAnsi="Arial" w:cs="Arial"/>
          <w:sz w:val="20"/>
          <w:szCs w:val="20"/>
        </w:rPr>
        <w:t>lập</w:t>
      </w:r>
      <w:proofErr w:type="spellEnd"/>
      <w:r w:rsidRPr="00556831">
        <w:rPr>
          <w:rFonts w:ascii="Arial" w:hAnsi="Arial" w:cs="Arial"/>
          <w:sz w:val="20"/>
          <w:szCs w:val="20"/>
        </w:rPr>
        <w:t xml:space="preserve"> </w:t>
      </w:r>
      <w:proofErr w:type="spellStart"/>
      <w:r w:rsidRPr="00556831">
        <w:rPr>
          <w:rFonts w:ascii="Arial" w:hAnsi="Arial" w:cs="Arial"/>
          <w:sz w:val="20"/>
          <w:szCs w:val="20"/>
        </w:rPr>
        <w:t>quỹ</w:t>
      </w:r>
      <w:proofErr w:type="spellEnd"/>
      <w:r w:rsidRPr="00556831">
        <w:rPr>
          <w:rFonts w:ascii="Arial" w:hAnsi="Arial" w:cs="Arial"/>
          <w:sz w:val="20"/>
          <w:szCs w:val="20"/>
        </w:rPr>
        <w:t xml:space="preserve">, </w:t>
      </w:r>
      <w:proofErr w:type="spellStart"/>
      <w:r w:rsidRPr="00556831">
        <w:rPr>
          <w:rFonts w:ascii="Arial" w:hAnsi="Arial" w:cs="Arial"/>
          <w:sz w:val="20"/>
          <w:szCs w:val="20"/>
        </w:rPr>
        <w:t>và</w:t>
      </w:r>
      <w:proofErr w:type="spellEnd"/>
      <w:r w:rsidRPr="00556831">
        <w:rPr>
          <w:rFonts w:ascii="Arial" w:hAnsi="Arial" w:cs="Arial"/>
          <w:sz w:val="20"/>
          <w:szCs w:val="20"/>
        </w:rPr>
        <w:t xml:space="preserve"> </w:t>
      </w:r>
      <w:proofErr w:type="spellStart"/>
      <w:r w:rsidRPr="00556831">
        <w:rPr>
          <w:rFonts w:ascii="Arial" w:hAnsi="Arial" w:cs="Arial"/>
          <w:sz w:val="20"/>
          <w:szCs w:val="20"/>
        </w:rPr>
        <w:t>không</w:t>
      </w:r>
      <w:proofErr w:type="spellEnd"/>
      <w:r w:rsidRPr="00556831">
        <w:rPr>
          <w:rFonts w:ascii="Arial" w:hAnsi="Arial" w:cs="Arial"/>
          <w:sz w:val="20"/>
          <w:szCs w:val="20"/>
        </w:rPr>
        <w:t xml:space="preserve"> </w:t>
      </w:r>
      <w:proofErr w:type="spellStart"/>
      <w:r w:rsidRPr="00556831">
        <w:rPr>
          <w:rFonts w:ascii="Arial" w:hAnsi="Arial" w:cs="Arial"/>
          <w:sz w:val="20"/>
          <w:szCs w:val="20"/>
        </w:rPr>
        <w:t>giới</w:t>
      </w:r>
      <w:proofErr w:type="spellEnd"/>
      <w:r w:rsidRPr="00556831">
        <w:rPr>
          <w:rFonts w:ascii="Arial" w:hAnsi="Arial" w:cs="Arial"/>
          <w:sz w:val="20"/>
          <w:szCs w:val="20"/>
        </w:rPr>
        <w:t xml:space="preserve"> </w:t>
      </w:r>
      <w:proofErr w:type="spellStart"/>
      <w:r w:rsidRPr="00556831">
        <w:rPr>
          <w:rFonts w:ascii="Arial" w:hAnsi="Arial" w:cs="Arial"/>
          <w:sz w:val="20"/>
          <w:szCs w:val="20"/>
        </w:rPr>
        <w:t>hạn</w:t>
      </w:r>
      <w:proofErr w:type="spellEnd"/>
      <w:r w:rsidRPr="00556831">
        <w:rPr>
          <w:rFonts w:ascii="Arial" w:hAnsi="Arial" w:cs="Arial"/>
          <w:sz w:val="20"/>
          <w:szCs w:val="20"/>
        </w:rPr>
        <w:t xml:space="preserve"> </w:t>
      </w:r>
      <w:proofErr w:type="spellStart"/>
      <w:r w:rsidRPr="00556831">
        <w:rPr>
          <w:rFonts w:ascii="Arial" w:hAnsi="Arial" w:cs="Arial"/>
          <w:sz w:val="20"/>
          <w:szCs w:val="20"/>
        </w:rPr>
        <w:t>về</w:t>
      </w:r>
      <w:proofErr w:type="spellEnd"/>
      <w:r w:rsidRPr="00556831">
        <w:rPr>
          <w:rFonts w:ascii="Arial" w:hAnsi="Arial" w:cs="Arial"/>
          <w:sz w:val="20"/>
          <w:szCs w:val="20"/>
        </w:rPr>
        <w:t xml:space="preserve"> </w:t>
      </w:r>
      <w:proofErr w:type="spellStart"/>
      <w:r w:rsidRPr="00556831">
        <w:rPr>
          <w:rFonts w:ascii="Arial" w:hAnsi="Arial" w:cs="Arial"/>
          <w:sz w:val="20"/>
          <w:szCs w:val="20"/>
        </w:rPr>
        <w:t>thời</w:t>
      </w:r>
      <w:proofErr w:type="spellEnd"/>
      <w:r w:rsidRPr="00556831">
        <w:rPr>
          <w:rFonts w:ascii="Arial" w:hAnsi="Arial" w:cs="Arial"/>
          <w:sz w:val="20"/>
          <w:szCs w:val="20"/>
        </w:rPr>
        <w:t xml:space="preserve"> </w:t>
      </w:r>
      <w:proofErr w:type="spellStart"/>
      <w:r w:rsidRPr="00556831">
        <w:rPr>
          <w:rFonts w:ascii="Arial" w:hAnsi="Arial" w:cs="Arial"/>
          <w:sz w:val="20"/>
          <w:szCs w:val="20"/>
        </w:rPr>
        <w:t>hạn</w:t>
      </w:r>
      <w:proofErr w:type="spellEnd"/>
      <w:r w:rsidRPr="00556831">
        <w:rPr>
          <w:rFonts w:ascii="Arial" w:hAnsi="Arial" w:cs="Arial"/>
          <w:sz w:val="20"/>
          <w:szCs w:val="20"/>
        </w:rPr>
        <w:t xml:space="preserve"> </w:t>
      </w:r>
      <w:proofErr w:type="spellStart"/>
      <w:r w:rsidRPr="00556831">
        <w:rPr>
          <w:rFonts w:ascii="Arial" w:hAnsi="Arial" w:cs="Arial"/>
          <w:sz w:val="20"/>
          <w:szCs w:val="20"/>
        </w:rPr>
        <w:t>hoạt</w:t>
      </w:r>
      <w:proofErr w:type="spellEnd"/>
      <w:r w:rsidRPr="00556831">
        <w:rPr>
          <w:rFonts w:ascii="Arial" w:hAnsi="Arial" w:cs="Arial"/>
          <w:sz w:val="20"/>
          <w:szCs w:val="20"/>
        </w:rPr>
        <w:t xml:space="preserve"> </w:t>
      </w:r>
      <w:proofErr w:type="spellStart"/>
      <w:r w:rsidRPr="00556831">
        <w:rPr>
          <w:rFonts w:ascii="Arial" w:hAnsi="Arial" w:cs="Arial"/>
          <w:sz w:val="20"/>
          <w:szCs w:val="20"/>
        </w:rPr>
        <w:t>động</w:t>
      </w:r>
      <w:proofErr w:type="spellEnd"/>
    </w:p>
    <w:p w14:paraId="00882EB4" w14:textId="77777777" w:rsidR="002D7555" w:rsidRPr="00556831" w:rsidRDefault="002D7555" w:rsidP="00556831">
      <w:pPr>
        <w:pStyle w:val="ListParagraph"/>
        <w:numPr>
          <w:ilvl w:val="0"/>
          <w:numId w:val="26"/>
        </w:numPr>
        <w:tabs>
          <w:tab w:val="left" w:pos="270"/>
          <w:tab w:val="left" w:pos="1134"/>
        </w:tabs>
        <w:spacing w:before="120" w:after="120" w:line="240" w:lineRule="auto"/>
        <w:ind w:left="0" w:firstLine="0"/>
        <w:contextualSpacing w:val="0"/>
        <w:jc w:val="both"/>
        <w:rPr>
          <w:rFonts w:ascii="Arial" w:hAnsi="Arial" w:cs="Arial"/>
          <w:sz w:val="20"/>
          <w:szCs w:val="20"/>
        </w:rPr>
      </w:pPr>
      <w:r w:rsidRPr="00556831">
        <w:rPr>
          <w:rFonts w:ascii="Arial" w:hAnsi="Arial" w:cs="Arial"/>
          <w:sz w:val="20"/>
          <w:szCs w:val="20"/>
        </w:rPr>
        <w:t xml:space="preserve">Danh </w:t>
      </w:r>
      <w:proofErr w:type="spellStart"/>
      <w:r w:rsidRPr="00556831">
        <w:rPr>
          <w:rFonts w:ascii="Arial" w:hAnsi="Arial" w:cs="Arial"/>
          <w:sz w:val="20"/>
          <w:szCs w:val="20"/>
        </w:rPr>
        <w:t>mục</w:t>
      </w:r>
      <w:proofErr w:type="spellEnd"/>
      <w:r w:rsidRPr="00556831">
        <w:rPr>
          <w:rFonts w:ascii="Arial" w:hAnsi="Arial" w:cs="Arial"/>
          <w:sz w:val="20"/>
          <w:szCs w:val="20"/>
        </w:rPr>
        <w:t xml:space="preserve"> </w:t>
      </w:r>
      <w:proofErr w:type="spellStart"/>
      <w:r w:rsidRPr="00556831">
        <w:rPr>
          <w:rFonts w:ascii="Arial" w:hAnsi="Arial" w:cs="Arial"/>
          <w:sz w:val="20"/>
          <w:szCs w:val="20"/>
        </w:rPr>
        <w:t>tham</w:t>
      </w:r>
      <w:proofErr w:type="spellEnd"/>
      <w:r w:rsidRPr="00556831">
        <w:rPr>
          <w:rFonts w:ascii="Arial" w:hAnsi="Arial" w:cs="Arial"/>
          <w:sz w:val="20"/>
          <w:szCs w:val="20"/>
        </w:rPr>
        <w:t xml:space="preserve"> </w:t>
      </w:r>
      <w:proofErr w:type="spellStart"/>
      <w:r w:rsidRPr="00556831">
        <w:rPr>
          <w:rFonts w:ascii="Arial" w:hAnsi="Arial" w:cs="Arial"/>
          <w:sz w:val="20"/>
          <w:szCs w:val="20"/>
        </w:rPr>
        <w:t>chiế</w:t>
      </w:r>
      <w:r w:rsidR="004B3FBF" w:rsidRPr="00556831">
        <w:rPr>
          <w:rFonts w:ascii="Arial" w:hAnsi="Arial" w:cs="Arial"/>
          <w:sz w:val="20"/>
          <w:szCs w:val="20"/>
        </w:rPr>
        <w:t>u</w:t>
      </w:r>
      <w:proofErr w:type="spellEnd"/>
      <w:r w:rsidR="004B3FBF" w:rsidRPr="00556831">
        <w:rPr>
          <w:rFonts w:ascii="Arial" w:hAnsi="Arial" w:cs="Arial"/>
          <w:sz w:val="20"/>
          <w:szCs w:val="20"/>
        </w:rPr>
        <w:t xml:space="preserve"> (benchmark portfolio): </w:t>
      </w:r>
      <w:proofErr w:type="spellStart"/>
      <w:r w:rsidR="004B3FBF" w:rsidRPr="00556831">
        <w:rPr>
          <w:rFonts w:ascii="Arial" w:hAnsi="Arial" w:cs="Arial"/>
          <w:sz w:val="20"/>
          <w:szCs w:val="20"/>
        </w:rPr>
        <w:t>không</w:t>
      </w:r>
      <w:proofErr w:type="spellEnd"/>
      <w:r w:rsidRPr="00556831">
        <w:rPr>
          <w:rFonts w:ascii="Arial" w:hAnsi="Arial" w:cs="Arial"/>
          <w:sz w:val="20"/>
          <w:szCs w:val="20"/>
        </w:rPr>
        <w:t xml:space="preserve"> </w:t>
      </w:r>
      <w:proofErr w:type="spellStart"/>
      <w:r w:rsidRPr="00556831">
        <w:rPr>
          <w:rFonts w:ascii="Arial" w:hAnsi="Arial" w:cs="Arial"/>
          <w:sz w:val="20"/>
          <w:szCs w:val="20"/>
        </w:rPr>
        <w:t>có</w:t>
      </w:r>
      <w:proofErr w:type="spellEnd"/>
      <w:r w:rsidRPr="00556831">
        <w:rPr>
          <w:rFonts w:ascii="Arial" w:hAnsi="Arial" w:cs="Arial"/>
          <w:sz w:val="20"/>
          <w:szCs w:val="20"/>
        </w:rPr>
        <w:t xml:space="preserve">  </w:t>
      </w:r>
    </w:p>
    <w:p w14:paraId="03745515" w14:textId="167716C5" w:rsidR="002D7555" w:rsidRPr="00556831" w:rsidRDefault="002D7555" w:rsidP="00556831">
      <w:pPr>
        <w:pStyle w:val="ListParagraph"/>
        <w:numPr>
          <w:ilvl w:val="0"/>
          <w:numId w:val="26"/>
        </w:numPr>
        <w:tabs>
          <w:tab w:val="left" w:pos="270"/>
          <w:tab w:val="left" w:pos="1134"/>
        </w:tabs>
        <w:spacing w:before="120" w:after="120" w:line="240" w:lineRule="auto"/>
        <w:ind w:left="0" w:firstLine="0"/>
        <w:contextualSpacing w:val="0"/>
        <w:jc w:val="both"/>
        <w:rPr>
          <w:rFonts w:ascii="Arial" w:hAnsi="Arial" w:cs="Arial"/>
          <w:sz w:val="20"/>
          <w:szCs w:val="20"/>
        </w:rPr>
      </w:pPr>
      <w:proofErr w:type="spellStart"/>
      <w:r w:rsidRPr="00556831">
        <w:rPr>
          <w:rFonts w:ascii="Arial" w:hAnsi="Arial" w:cs="Arial"/>
          <w:sz w:val="20"/>
          <w:szCs w:val="20"/>
        </w:rPr>
        <w:t>Chính</w:t>
      </w:r>
      <w:proofErr w:type="spellEnd"/>
      <w:r w:rsidRPr="00556831">
        <w:rPr>
          <w:rFonts w:ascii="Arial" w:hAnsi="Arial" w:cs="Arial"/>
          <w:sz w:val="20"/>
          <w:szCs w:val="20"/>
        </w:rPr>
        <w:t xml:space="preserve"> </w:t>
      </w:r>
      <w:proofErr w:type="spellStart"/>
      <w:r w:rsidRPr="00556831">
        <w:rPr>
          <w:rFonts w:ascii="Arial" w:hAnsi="Arial" w:cs="Arial"/>
          <w:sz w:val="20"/>
          <w:szCs w:val="20"/>
        </w:rPr>
        <w:t>sách</w:t>
      </w:r>
      <w:proofErr w:type="spellEnd"/>
      <w:r w:rsidRPr="00556831">
        <w:rPr>
          <w:rFonts w:ascii="Arial" w:hAnsi="Arial" w:cs="Arial"/>
          <w:sz w:val="20"/>
          <w:szCs w:val="20"/>
        </w:rPr>
        <w:t xml:space="preserve"> </w:t>
      </w:r>
      <w:proofErr w:type="spellStart"/>
      <w:r w:rsidRPr="00556831">
        <w:rPr>
          <w:rFonts w:ascii="Arial" w:hAnsi="Arial" w:cs="Arial"/>
          <w:sz w:val="20"/>
          <w:szCs w:val="20"/>
        </w:rPr>
        <w:t>phân</w:t>
      </w:r>
      <w:proofErr w:type="spellEnd"/>
      <w:r w:rsidRPr="00556831">
        <w:rPr>
          <w:rFonts w:ascii="Arial" w:hAnsi="Arial" w:cs="Arial"/>
          <w:sz w:val="20"/>
          <w:szCs w:val="20"/>
        </w:rPr>
        <w:t xml:space="preserve"> chia </w:t>
      </w:r>
      <w:proofErr w:type="spellStart"/>
      <w:r w:rsidRPr="00556831">
        <w:rPr>
          <w:rFonts w:ascii="Arial" w:hAnsi="Arial" w:cs="Arial"/>
          <w:sz w:val="20"/>
          <w:szCs w:val="20"/>
        </w:rPr>
        <w:t>lợi</w:t>
      </w:r>
      <w:proofErr w:type="spellEnd"/>
      <w:r w:rsidRPr="00556831">
        <w:rPr>
          <w:rFonts w:ascii="Arial" w:hAnsi="Arial" w:cs="Arial"/>
          <w:sz w:val="20"/>
          <w:szCs w:val="20"/>
        </w:rPr>
        <w:t xml:space="preserve"> </w:t>
      </w:r>
      <w:proofErr w:type="spellStart"/>
      <w:r w:rsidRPr="00556831">
        <w:rPr>
          <w:rFonts w:ascii="Arial" w:hAnsi="Arial" w:cs="Arial"/>
          <w:sz w:val="20"/>
          <w:szCs w:val="20"/>
        </w:rPr>
        <w:t>nhuậ</w:t>
      </w:r>
      <w:r w:rsidR="00291EEF" w:rsidRPr="00556831">
        <w:rPr>
          <w:rFonts w:ascii="Arial" w:hAnsi="Arial" w:cs="Arial"/>
          <w:sz w:val="20"/>
          <w:szCs w:val="20"/>
        </w:rPr>
        <w:t>n</w:t>
      </w:r>
      <w:proofErr w:type="spellEnd"/>
      <w:r w:rsidRPr="00556831">
        <w:rPr>
          <w:rFonts w:ascii="Arial" w:hAnsi="Arial" w:cs="Arial"/>
          <w:sz w:val="20"/>
          <w:szCs w:val="20"/>
        </w:rPr>
        <w:t>:</w:t>
      </w:r>
      <w:r w:rsidR="00291EEF" w:rsidRPr="00556831">
        <w:rPr>
          <w:rFonts w:ascii="Arial" w:hAnsi="Arial" w:cs="Arial"/>
          <w:sz w:val="20"/>
          <w:szCs w:val="20"/>
        </w:rPr>
        <w:t xml:space="preserve"> </w:t>
      </w:r>
      <w:proofErr w:type="spellStart"/>
      <w:r w:rsidR="00966A09">
        <w:rPr>
          <w:rFonts w:ascii="Arial" w:hAnsi="Arial" w:cs="Arial"/>
          <w:sz w:val="20"/>
          <w:szCs w:val="20"/>
        </w:rPr>
        <w:t>Quỹ</w:t>
      </w:r>
      <w:proofErr w:type="spellEnd"/>
      <w:r w:rsidR="00966A09">
        <w:rPr>
          <w:rFonts w:ascii="Arial" w:hAnsi="Arial" w:cs="Arial"/>
          <w:sz w:val="20"/>
          <w:szCs w:val="20"/>
        </w:rPr>
        <w:t xml:space="preserve"> </w:t>
      </w:r>
      <w:r w:rsidR="00294726">
        <w:rPr>
          <w:rFonts w:ascii="Arial" w:hAnsi="Arial" w:cs="Arial"/>
          <w:sz w:val="20"/>
          <w:szCs w:val="20"/>
        </w:rPr>
        <w:t>DCBF</w:t>
      </w:r>
      <w:r w:rsidR="00966A09">
        <w:rPr>
          <w:rFonts w:ascii="Arial" w:hAnsi="Arial" w:cs="Arial"/>
          <w:sz w:val="20"/>
          <w:szCs w:val="20"/>
        </w:rPr>
        <w:t xml:space="preserve"> </w:t>
      </w:r>
      <w:proofErr w:type="spellStart"/>
      <w:r w:rsidR="00966A09">
        <w:rPr>
          <w:rFonts w:ascii="Arial" w:hAnsi="Arial" w:cs="Arial"/>
          <w:sz w:val="20"/>
          <w:szCs w:val="20"/>
        </w:rPr>
        <w:t>sẽ</w:t>
      </w:r>
      <w:proofErr w:type="spellEnd"/>
      <w:r w:rsidR="00966A09">
        <w:rPr>
          <w:rFonts w:ascii="Arial" w:hAnsi="Arial" w:cs="Arial"/>
          <w:sz w:val="20"/>
          <w:szCs w:val="20"/>
        </w:rPr>
        <w:t xml:space="preserve"> </w:t>
      </w:r>
      <w:proofErr w:type="spellStart"/>
      <w:r w:rsidR="00966A09">
        <w:rPr>
          <w:rFonts w:ascii="Arial" w:hAnsi="Arial" w:cs="Arial"/>
          <w:sz w:val="20"/>
          <w:szCs w:val="20"/>
        </w:rPr>
        <w:t>không</w:t>
      </w:r>
      <w:proofErr w:type="spellEnd"/>
      <w:r w:rsidR="00966A09">
        <w:rPr>
          <w:rFonts w:ascii="Arial" w:hAnsi="Arial" w:cs="Arial"/>
          <w:sz w:val="20"/>
          <w:szCs w:val="20"/>
        </w:rPr>
        <w:t xml:space="preserve"> </w:t>
      </w:r>
      <w:proofErr w:type="spellStart"/>
      <w:r w:rsidR="00966A09">
        <w:rPr>
          <w:rFonts w:ascii="Arial" w:hAnsi="Arial" w:cs="Arial"/>
          <w:sz w:val="20"/>
          <w:szCs w:val="20"/>
        </w:rPr>
        <w:t>phân</w:t>
      </w:r>
      <w:proofErr w:type="spellEnd"/>
      <w:r w:rsidR="00966A09">
        <w:rPr>
          <w:rFonts w:ascii="Arial" w:hAnsi="Arial" w:cs="Arial"/>
          <w:sz w:val="20"/>
          <w:szCs w:val="20"/>
        </w:rPr>
        <w:t xml:space="preserve"> </w:t>
      </w:r>
      <w:proofErr w:type="spellStart"/>
      <w:r w:rsidR="00966A09">
        <w:rPr>
          <w:rFonts w:ascii="Arial" w:hAnsi="Arial" w:cs="Arial"/>
          <w:sz w:val="20"/>
          <w:szCs w:val="20"/>
        </w:rPr>
        <w:t>phối</w:t>
      </w:r>
      <w:proofErr w:type="spellEnd"/>
      <w:r w:rsidR="00966A09">
        <w:rPr>
          <w:rFonts w:ascii="Arial" w:hAnsi="Arial" w:cs="Arial"/>
          <w:sz w:val="20"/>
          <w:szCs w:val="20"/>
        </w:rPr>
        <w:t xml:space="preserve"> </w:t>
      </w:r>
      <w:proofErr w:type="spellStart"/>
      <w:r w:rsidR="00966A09">
        <w:rPr>
          <w:rFonts w:ascii="Arial" w:hAnsi="Arial" w:cs="Arial"/>
          <w:sz w:val="20"/>
          <w:szCs w:val="20"/>
        </w:rPr>
        <w:t>lợi</w:t>
      </w:r>
      <w:proofErr w:type="spellEnd"/>
      <w:r w:rsidR="00966A09">
        <w:rPr>
          <w:rFonts w:ascii="Arial" w:hAnsi="Arial" w:cs="Arial"/>
          <w:sz w:val="20"/>
          <w:szCs w:val="20"/>
        </w:rPr>
        <w:t xml:space="preserve"> </w:t>
      </w:r>
      <w:proofErr w:type="spellStart"/>
      <w:r w:rsidR="00966A09">
        <w:rPr>
          <w:rFonts w:ascii="Arial" w:hAnsi="Arial" w:cs="Arial"/>
          <w:sz w:val="20"/>
          <w:szCs w:val="20"/>
        </w:rPr>
        <w:t>nhuận</w:t>
      </w:r>
      <w:proofErr w:type="spellEnd"/>
    </w:p>
    <w:p w14:paraId="20F0C81F" w14:textId="3CF011AC" w:rsidR="008A0D39" w:rsidRPr="00F41967" w:rsidRDefault="008A0D39" w:rsidP="00556831">
      <w:pPr>
        <w:pStyle w:val="ListParagraph"/>
        <w:numPr>
          <w:ilvl w:val="0"/>
          <w:numId w:val="26"/>
        </w:numPr>
        <w:tabs>
          <w:tab w:val="left" w:pos="270"/>
          <w:tab w:val="left" w:pos="1134"/>
        </w:tabs>
        <w:spacing w:before="120" w:after="120" w:line="240" w:lineRule="auto"/>
        <w:ind w:left="0" w:firstLine="0"/>
        <w:contextualSpacing w:val="0"/>
        <w:jc w:val="both"/>
        <w:rPr>
          <w:rFonts w:ascii="Arial" w:hAnsi="Arial" w:cs="Arial"/>
          <w:sz w:val="20"/>
          <w:szCs w:val="20"/>
        </w:rPr>
      </w:pPr>
      <w:proofErr w:type="spellStart"/>
      <w:r w:rsidRPr="00556831">
        <w:rPr>
          <w:rFonts w:ascii="Arial" w:hAnsi="Arial" w:cs="Arial"/>
          <w:sz w:val="20"/>
          <w:szCs w:val="20"/>
        </w:rPr>
        <w:t>Số</w:t>
      </w:r>
      <w:proofErr w:type="spellEnd"/>
      <w:r w:rsidRPr="00556831">
        <w:rPr>
          <w:rFonts w:ascii="Arial" w:hAnsi="Arial" w:cs="Arial"/>
          <w:sz w:val="20"/>
          <w:szCs w:val="20"/>
        </w:rPr>
        <w:t xml:space="preserve"> </w:t>
      </w:r>
      <w:proofErr w:type="spellStart"/>
      <w:r w:rsidRPr="00556831">
        <w:rPr>
          <w:rFonts w:ascii="Arial" w:hAnsi="Arial" w:cs="Arial"/>
          <w:sz w:val="20"/>
          <w:szCs w:val="20"/>
        </w:rPr>
        <w:t>lượng</w:t>
      </w:r>
      <w:proofErr w:type="spellEnd"/>
      <w:r w:rsidRPr="00556831">
        <w:rPr>
          <w:rFonts w:ascii="Arial" w:hAnsi="Arial" w:cs="Arial"/>
          <w:sz w:val="20"/>
          <w:szCs w:val="20"/>
        </w:rPr>
        <w:t xml:space="preserve"> </w:t>
      </w:r>
      <w:proofErr w:type="spellStart"/>
      <w:r w:rsidRPr="00556831">
        <w:rPr>
          <w:rFonts w:ascii="Arial" w:hAnsi="Arial" w:cs="Arial"/>
          <w:sz w:val="20"/>
          <w:szCs w:val="20"/>
        </w:rPr>
        <w:t>đơn</w:t>
      </w:r>
      <w:proofErr w:type="spellEnd"/>
      <w:r w:rsidRPr="00556831">
        <w:rPr>
          <w:rFonts w:ascii="Arial" w:hAnsi="Arial" w:cs="Arial"/>
          <w:sz w:val="20"/>
          <w:szCs w:val="20"/>
        </w:rPr>
        <w:t xml:space="preserve"> </w:t>
      </w:r>
      <w:proofErr w:type="spellStart"/>
      <w:r w:rsidRPr="00556831">
        <w:rPr>
          <w:rFonts w:ascii="Arial" w:hAnsi="Arial" w:cs="Arial"/>
          <w:sz w:val="20"/>
          <w:szCs w:val="20"/>
        </w:rPr>
        <w:t>vị</w:t>
      </w:r>
      <w:proofErr w:type="spellEnd"/>
      <w:r w:rsidRPr="00556831">
        <w:rPr>
          <w:rFonts w:ascii="Arial" w:hAnsi="Arial" w:cs="Arial"/>
          <w:sz w:val="20"/>
          <w:szCs w:val="20"/>
        </w:rPr>
        <w:t xml:space="preserve"> </w:t>
      </w:r>
      <w:proofErr w:type="spellStart"/>
      <w:r w:rsidRPr="00556831">
        <w:rPr>
          <w:rFonts w:ascii="Arial" w:hAnsi="Arial" w:cs="Arial"/>
          <w:sz w:val="20"/>
          <w:szCs w:val="20"/>
        </w:rPr>
        <w:t>quỹ</w:t>
      </w:r>
      <w:proofErr w:type="spellEnd"/>
      <w:r w:rsidRPr="00556831">
        <w:rPr>
          <w:rFonts w:ascii="Arial" w:hAnsi="Arial" w:cs="Arial"/>
          <w:sz w:val="20"/>
          <w:szCs w:val="20"/>
        </w:rPr>
        <w:t xml:space="preserve"> </w:t>
      </w:r>
      <w:proofErr w:type="spellStart"/>
      <w:r w:rsidRPr="00556831">
        <w:rPr>
          <w:rFonts w:ascii="Arial" w:hAnsi="Arial" w:cs="Arial"/>
          <w:sz w:val="20"/>
          <w:szCs w:val="20"/>
        </w:rPr>
        <w:t>đang</w:t>
      </w:r>
      <w:proofErr w:type="spellEnd"/>
      <w:r w:rsidRPr="00556831">
        <w:rPr>
          <w:rFonts w:ascii="Arial" w:hAnsi="Arial" w:cs="Arial"/>
          <w:sz w:val="20"/>
          <w:szCs w:val="20"/>
        </w:rPr>
        <w:t xml:space="preserve"> </w:t>
      </w:r>
      <w:proofErr w:type="spellStart"/>
      <w:r w:rsidRPr="00556831">
        <w:rPr>
          <w:rFonts w:ascii="Arial" w:hAnsi="Arial" w:cs="Arial"/>
          <w:sz w:val="20"/>
          <w:szCs w:val="20"/>
        </w:rPr>
        <w:t>lưu</w:t>
      </w:r>
      <w:proofErr w:type="spellEnd"/>
      <w:r w:rsidRPr="00556831">
        <w:rPr>
          <w:rFonts w:ascii="Arial" w:hAnsi="Arial" w:cs="Arial"/>
          <w:sz w:val="20"/>
          <w:szCs w:val="20"/>
        </w:rPr>
        <w:t xml:space="preserve"> </w:t>
      </w:r>
      <w:proofErr w:type="spellStart"/>
      <w:r w:rsidRPr="00F41967">
        <w:rPr>
          <w:rFonts w:ascii="Arial" w:hAnsi="Arial" w:cs="Arial"/>
          <w:sz w:val="20"/>
          <w:szCs w:val="20"/>
        </w:rPr>
        <w:t>hành</w:t>
      </w:r>
      <w:proofErr w:type="spellEnd"/>
      <w:r w:rsidR="00294726" w:rsidRPr="00F41967">
        <w:rPr>
          <w:rFonts w:ascii="Arial" w:hAnsi="Arial" w:cs="Arial"/>
          <w:sz w:val="20"/>
          <w:szCs w:val="20"/>
        </w:rPr>
        <w:t xml:space="preserve">: </w:t>
      </w:r>
      <w:r w:rsidR="00F41967" w:rsidRPr="00F41967">
        <w:rPr>
          <w:rFonts w:ascii="Arial" w:hAnsi="Arial" w:cs="Arial"/>
          <w:sz w:val="20"/>
          <w:szCs w:val="20"/>
        </w:rPr>
        <w:t xml:space="preserve">17,786,668.27 </w:t>
      </w:r>
      <w:proofErr w:type="spellStart"/>
      <w:r w:rsidRPr="00F41967">
        <w:rPr>
          <w:rFonts w:ascii="Arial" w:hAnsi="Arial" w:cs="Arial"/>
          <w:sz w:val="20"/>
          <w:szCs w:val="20"/>
        </w:rPr>
        <w:t>chứng</w:t>
      </w:r>
      <w:proofErr w:type="spellEnd"/>
      <w:r w:rsidRPr="00F41967">
        <w:rPr>
          <w:rFonts w:ascii="Arial" w:hAnsi="Arial" w:cs="Arial"/>
          <w:sz w:val="20"/>
          <w:szCs w:val="20"/>
        </w:rPr>
        <w:t xml:space="preserve"> </w:t>
      </w:r>
      <w:proofErr w:type="spellStart"/>
      <w:r w:rsidRPr="00F41967">
        <w:rPr>
          <w:rFonts w:ascii="Arial" w:hAnsi="Arial" w:cs="Arial"/>
          <w:sz w:val="20"/>
          <w:szCs w:val="20"/>
        </w:rPr>
        <w:t>chỉ</w:t>
      </w:r>
      <w:proofErr w:type="spellEnd"/>
      <w:r w:rsidRPr="00F41967">
        <w:rPr>
          <w:rFonts w:ascii="Arial" w:hAnsi="Arial" w:cs="Arial"/>
          <w:sz w:val="20"/>
          <w:szCs w:val="20"/>
        </w:rPr>
        <w:t xml:space="preserve"> </w:t>
      </w:r>
      <w:proofErr w:type="spellStart"/>
      <w:r w:rsidRPr="00F41967">
        <w:rPr>
          <w:rFonts w:ascii="Arial" w:hAnsi="Arial" w:cs="Arial"/>
          <w:sz w:val="20"/>
          <w:szCs w:val="20"/>
        </w:rPr>
        <w:t>Quỹ</w:t>
      </w:r>
      <w:proofErr w:type="spellEnd"/>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330"/>
      </w:tblGrid>
      <w:tr w:rsidR="00F90696" w:rsidRPr="00F41967" w14:paraId="10320872" w14:textId="77777777" w:rsidTr="00F90696">
        <w:tc>
          <w:tcPr>
            <w:tcW w:w="5755" w:type="dxa"/>
          </w:tcPr>
          <w:p w14:paraId="360AA273" w14:textId="571BEED7" w:rsidR="00F90696" w:rsidRPr="00F41967" w:rsidRDefault="00F90696" w:rsidP="00F90696">
            <w:pPr>
              <w:tabs>
                <w:tab w:val="left" w:pos="270"/>
                <w:tab w:val="left" w:pos="1134"/>
              </w:tabs>
              <w:spacing w:before="120" w:after="120" w:line="240" w:lineRule="auto"/>
              <w:jc w:val="both"/>
              <w:rPr>
                <w:rFonts w:ascii="Arial" w:hAnsi="Arial" w:cs="Arial"/>
                <w:sz w:val="20"/>
                <w:szCs w:val="20"/>
              </w:rPr>
            </w:pPr>
            <w:proofErr w:type="spellStart"/>
            <w:r w:rsidRPr="00F41967">
              <w:rPr>
                <w:rFonts w:ascii="Arial" w:hAnsi="Arial" w:cs="Arial"/>
                <w:sz w:val="20"/>
                <w:szCs w:val="20"/>
              </w:rPr>
              <w:t>Tổng</w:t>
            </w:r>
            <w:proofErr w:type="spellEnd"/>
            <w:r w:rsidRPr="00F41967">
              <w:rPr>
                <w:rFonts w:ascii="Arial" w:hAnsi="Arial" w:cs="Arial"/>
                <w:sz w:val="20"/>
                <w:szCs w:val="20"/>
              </w:rPr>
              <w:t xml:space="preserve"> </w:t>
            </w:r>
            <w:proofErr w:type="spellStart"/>
            <w:r w:rsidRPr="00F41967">
              <w:rPr>
                <w:rFonts w:ascii="Arial" w:hAnsi="Arial" w:cs="Arial"/>
                <w:sz w:val="20"/>
                <w:szCs w:val="20"/>
              </w:rPr>
              <w:t>số</w:t>
            </w:r>
            <w:proofErr w:type="spellEnd"/>
            <w:r w:rsidRPr="00F41967">
              <w:rPr>
                <w:rFonts w:ascii="Arial" w:hAnsi="Arial" w:cs="Arial"/>
                <w:sz w:val="20"/>
                <w:szCs w:val="20"/>
              </w:rPr>
              <w:t xml:space="preserve"> </w:t>
            </w:r>
            <w:proofErr w:type="spellStart"/>
            <w:r w:rsidRPr="00F41967">
              <w:rPr>
                <w:rFonts w:ascii="Arial" w:hAnsi="Arial" w:cs="Arial"/>
                <w:sz w:val="20"/>
                <w:szCs w:val="20"/>
              </w:rPr>
              <w:t>chứng</w:t>
            </w:r>
            <w:proofErr w:type="spellEnd"/>
            <w:r w:rsidRPr="00F41967">
              <w:rPr>
                <w:rFonts w:ascii="Arial" w:hAnsi="Arial" w:cs="Arial"/>
                <w:sz w:val="20"/>
                <w:szCs w:val="20"/>
              </w:rPr>
              <w:t xml:space="preserve"> </w:t>
            </w:r>
            <w:proofErr w:type="spellStart"/>
            <w:r w:rsidRPr="00F41967">
              <w:rPr>
                <w:rFonts w:ascii="Arial" w:hAnsi="Arial" w:cs="Arial"/>
                <w:sz w:val="20"/>
                <w:szCs w:val="20"/>
              </w:rPr>
              <w:t>chỉ</w:t>
            </w:r>
            <w:proofErr w:type="spellEnd"/>
            <w:r w:rsidRPr="00F41967">
              <w:rPr>
                <w:rFonts w:ascii="Arial" w:hAnsi="Arial" w:cs="Arial"/>
                <w:sz w:val="20"/>
                <w:szCs w:val="20"/>
              </w:rPr>
              <w:t xml:space="preserve"> </w:t>
            </w:r>
            <w:proofErr w:type="spellStart"/>
            <w:r w:rsidRPr="00F41967">
              <w:rPr>
                <w:rFonts w:ascii="Arial" w:hAnsi="Arial" w:cs="Arial"/>
                <w:sz w:val="20"/>
                <w:szCs w:val="20"/>
              </w:rPr>
              <w:t>Quỹ</w:t>
            </w:r>
            <w:proofErr w:type="spellEnd"/>
            <w:r w:rsidRPr="00F41967">
              <w:rPr>
                <w:rFonts w:ascii="Arial" w:hAnsi="Arial" w:cs="Arial"/>
                <w:sz w:val="20"/>
                <w:szCs w:val="20"/>
              </w:rPr>
              <w:t xml:space="preserve"> </w:t>
            </w:r>
            <w:proofErr w:type="spellStart"/>
            <w:r w:rsidRPr="00F41967">
              <w:rPr>
                <w:rFonts w:ascii="Arial" w:hAnsi="Arial" w:cs="Arial"/>
                <w:sz w:val="20"/>
                <w:szCs w:val="20"/>
              </w:rPr>
              <w:t>tại</w:t>
            </w:r>
            <w:proofErr w:type="spellEnd"/>
            <w:r w:rsidRPr="00F41967">
              <w:rPr>
                <w:rFonts w:ascii="Arial" w:hAnsi="Arial" w:cs="Arial"/>
                <w:sz w:val="20"/>
                <w:szCs w:val="20"/>
              </w:rPr>
              <w:t xml:space="preserve"> </w:t>
            </w:r>
            <w:proofErr w:type="spellStart"/>
            <w:r w:rsidRPr="00F41967">
              <w:rPr>
                <w:rFonts w:ascii="Arial" w:hAnsi="Arial" w:cs="Arial"/>
                <w:sz w:val="20"/>
                <w:szCs w:val="20"/>
              </w:rPr>
              <w:t>ngày</w:t>
            </w:r>
            <w:proofErr w:type="spellEnd"/>
            <w:r w:rsidRPr="00F41967">
              <w:rPr>
                <w:rFonts w:ascii="Arial" w:hAnsi="Arial" w:cs="Arial"/>
                <w:sz w:val="20"/>
                <w:szCs w:val="20"/>
              </w:rPr>
              <w:t xml:space="preserve"> 31/12/2022</w:t>
            </w:r>
          </w:p>
        </w:tc>
        <w:tc>
          <w:tcPr>
            <w:tcW w:w="3330" w:type="dxa"/>
          </w:tcPr>
          <w:p w14:paraId="5106E2A7" w14:textId="58C0B878" w:rsidR="00F90696" w:rsidRPr="00F41967" w:rsidRDefault="00F90696" w:rsidP="00F90696">
            <w:pPr>
              <w:tabs>
                <w:tab w:val="left" w:pos="270"/>
                <w:tab w:val="left" w:pos="1134"/>
              </w:tabs>
              <w:spacing w:before="120" w:after="120" w:line="240" w:lineRule="auto"/>
              <w:jc w:val="right"/>
              <w:rPr>
                <w:rFonts w:ascii="Arial" w:hAnsi="Arial" w:cs="Arial"/>
                <w:sz w:val="20"/>
                <w:szCs w:val="20"/>
              </w:rPr>
            </w:pPr>
            <w:r w:rsidRPr="00F41967">
              <w:rPr>
                <w:rFonts w:ascii="Arial" w:hAnsi="Arial" w:cs="Arial"/>
                <w:sz w:val="20"/>
                <w:szCs w:val="20"/>
              </w:rPr>
              <w:t>18</w:t>
            </w:r>
            <w:r w:rsidR="00622025">
              <w:rPr>
                <w:rFonts w:ascii="Arial" w:hAnsi="Arial" w:cs="Arial"/>
                <w:sz w:val="20"/>
                <w:szCs w:val="20"/>
              </w:rPr>
              <w:t>.</w:t>
            </w:r>
            <w:r w:rsidRPr="00F41967">
              <w:rPr>
                <w:rFonts w:ascii="Arial" w:hAnsi="Arial" w:cs="Arial"/>
                <w:sz w:val="20"/>
                <w:szCs w:val="20"/>
              </w:rPr>
              <w:t>686</w:t>
            </w:r>
            <w:r w:rsidR="00622025">
              <w:rPr>
                <w:rFonts w:ascii="Arial" w:hAnsi="Arial" w:cs="Arial"/>
                <w:sz w:val="20"/>
                <w:szCs w:val="20"/>
              </w:rPr>
              <w:t>.</w:t>
            </w:r>
            <w:r w:rsidRPr="00F41967">
              <w:rPr>
                <w:rFonts w:ascii="Arial" w:hAnsi="Arial" w:cs="Arial"/>
                <w:sz w:val="20"/>
                <w:szCs w:val="20"/>
              </w:rPr>
              <w:t>118</w:t>
            </w:r>
            <w:r w:rsidR="00622025">
              <w:rPr>
                <w:rFonts w:ascii="Arial" w:hAnsi="Arial" w:cs="Arial"/>
                <w:sz w:val="20"/>
                <w:szCs w:val="20"/>
              </w:rPr>
              <w:t>,</w:t>
            </w:r>
            <w:r w:rsidRPr="00F41967">
              <w:rPr>
                <w:rFonts w:ascii="Arial" w:hAnsi="Arial" w:cs="Arial"/>
                <w:sz w:val="20"/>
                <w:szCs w:val="20"/>
              </w:rPr>
              <w:t>68 CCQ</w:t>
            </w:r>
          </w:p>
        </w:tc>
      </w:tr>
      <w:tr w:rsidR="00F90696" w:rsidRPr="00F41967" w14:paraId="2974F5DB" w14:textId="77777777" w:rsidTr="00F90696">
        <w:tc>
          <w:tcPr>
            <w:tcW w:w="5755" w:type="dxa"/>
          </w:tcPr>
          <w:p w14:paraId="6A7AC6D7" w14:textId="4218D0CF" w:rsidR="00F90696" w:rsidRPr="00F41967" w:rsidRDefault="00F90696" w:rsidP="00F90696">
            <w:pPr>
              <w:tabs>
                <w:tab w:val="left" w:pos="270"/>
                <w:tab w:val="left" w:pos="1134"/>
              </w:tabs>
              <w:spacing w:before="120" w:after="120" w:line="240" w:lineRule="auto"/>
              <w:jc w:val="both"/>
              <w:rPr>
                <w:rFonts w:ascii="Arial" w:hAnsi="Arial" w:cs="Arial"/>
                <w:sz w:val="20"/>
                <w:szCs w:val="20"/>
              </w:rPr>
            </w:pPr>
            <w:proofErr w:type="spellStart"/>
            <w:r w:rsidRPr="00F41967">
              <w:rPr>
                <w:rFonts w:ascii="Arial" w:hAnsi="Arial" w:cs="Arial"/>
                <w:sz w:val="20"/>
                <w:szCs w:val="20"/>
              </w:rPr>
              <w:t>Tổng</w:t>
            </w:r>
            <w:proofErr w:type="spellEnd"/>
            <w:r w:rsidRPr="00F41967">
              <w:rPr>
                <w:rFonts w:ascii="Arial" w:hAnsi="Arial" w:cs="Arial"/>
                <w:sz w:val="20"/>
                <w:szCs w:val="20"/>
              </w:rPr>
              <w:t xml:space="preserve"> </w:t>
            </w:r>
            <w:proofErr w:type="spellStart"/>
            <w:r w:rsidRPr="00F41967">
              <w:rPr>
                <w:rFonts w:ascii="Arial" w:hAnsi="Arial" w:cs="Arial"/>
                <w:sz w:val="20"/>
                <w:szCs w:val="20"/>
              </w:rPr>
              <w:t>số</w:t>
            </w:r>
            <w:proofErr w:type="spellEnd"/>
            <w:r w:rsidRPr="00F41967">
              <w:rPr>
                <w:rFonts w:ascii="Arial" w:hAnsi="Arial" w:cs="Arial"/>
                <w:sz w:val="20"/>
                <w:szCs w:val="20"/>
              </w:rPr>
              <w:t xml:space="preserve"> </w:t>
            </w:r>
            <w:proofErr w:type="spellStart"/>
            <w:r w:rsidRPr="00F41967">
              <w:rPr>
                <w:rFonts w:ascii="Arial" w:hAnsi="Arial" w:cs="Arial"/>
                <w:sz w:val="20"/>
                <w:szCs w:val="20"/>
              </w:rPr>
              <w:t>lượng</w:t>
            </w:r>
            <w:proofErr w:type="spellEnd"/>
            <w:r w:rsidRPr="00F41967">
              <w:rPr>
                <w:rFonts w:ascii="Arial" w:hAnsi="Arial" w:cs="Arial"/>
                <w:sz w:val="20"/>
                <w:szCs w:val="20"/>
              </w:rPr>
              <w:t xml:space="preserve"> </w:t>
            </w:r>
            <w:proofErr w:type="spellStart"/>
            <w:r w:rsidRPr="00F41967">
              <w:rPr>
                <w:rFonts w:ascii="Arial" w:hAnsi="Arial" w:cs="Arial"/>
                <w:sz w:val="20"/>
                <w:szCs w:val="20"/>
              </w:rPr>
              <w:t>chứng</w:t>
            </w:r>
            <w:proofErr w:type="spellEnd"/>
            <w:r w:rsidRPr="00F41967">
              <w:rPr>
                <w:rFonts w:ascii="Arial" w:hAnsi="Arial" w:cs="Arial"/>
                <w:sz w:val="20"/>
                <w:szCs w:val="20"/>
              </w:rPr>
              <w:t xml:space="preserve"> </w:t>
            </w:r>
            <w:proofErr w:type="spellStart"/>
            <w:r w:rsidRPr="00F41967">
              <w:rPr>
                <w:rFonts w:ascii="Arial" w:hAnsi="Arial" w:cs="Arial"/>
                <w:sz w:val="20"/>
                <w:szCs w:val="20"/>
              </w:rPr>
              <w:t>Quỹ</w:t>
            </w:r>
            <w:proofErr w:type="spellEnd"/>
            <w:r w:rsidRPr="00F41967">
              <w:rPr>
                <w:rFonts w:ascii="Arial" w:hAnsi="Arial" w:cs="Arial"/>
                <w:sz w:val="20"/>
                <w:szCs w:val="20"/>
              </w:rPr>
              <w:t xml:space="preserve"> </w:t>
            </w:r>
            <w:proofErr w:type="spellStart"/>
            <w:r w:rsidRPr="00F41967">
              <w:rPr>
                <w:rFonts w:ascii="Arial" w:hAnsi="Arial" w:cs="Arial"/>
                <w:sz w:val="20"/>
                <w:szCs w:val="20"/>
              </w:rPr>
              <w:t>phát</w:t>
            </w:r>
            <w:proofErr w:type="spellEnd"/>
            <w:r w:rsidRPr="00F41967">
              <w:rPr>
                <w:rFonts w:ascii="Arial" w:hAnsi="Arial" w:cs="Arial"/>
                <w:sz w:val="20"/>
                <w:szCs w:val="20"/>
              </w:rPr>
              <w:t xml:space="preserve"> </w:t>
            </w:r>
            <w:proofErr w:type="spellStart"/>
            <w:r w:rsidRPr="00F41967">
              <w:rPr>
                <w:rFonts w:ascii="Arial" w:hAnsi="Arial" w:cs="Arial"/>
                <w:sz w:val="20"/>
                <w:szCs w:val="20"/>
              </w:rPr>
              <w:t>hành</w:t>
            </w:r>
            <w:proofErr w:type="spellEnd"/>
            <w:r w:rsidRPr="00F41967">
              <w:rPr>
                <w:rFonts w:ascii="Arial" w:hAnsi="Arial" w:cs="Arial"/>
                <w:sz w:val="20"/>
                <w:szCs w:val="20"/>
              </w:rPr>
              <w:t xml:space="preserve"> </w:t>
            </w:r>
            <w:proofErr w:type="spellStart"/>
            <w:r w:rsidRPr="00F41967">
              <w:rPr>
                <w:rFonts w:ascii="Arial" w:hAnsi="Arial" w:cs="Arial"/>
                <w:sz w:val="20"/>
                <w:szCs w:val="20"/>
              </w:rPr>
              <w:t>thêm</w:t>
            </w:r>
            <w:proofErr w:type="spellEnd"/>
            <w:r w:rsidRPr="00F41967">
              <w:rPr>
                <w:rFonts w:ascii="Arial" w:hAnsi="Arial" w:cs="Arial"/>
                <w:sz w:val="20"/>
                <w:szCs w:val="20"/>
              </w:rPr>
              <w:t xml:space="preserve"> </w:t>
            </w:r>
            <w:proofErr w:type="spellStart"/>
            <w:r w:rsidRPr="00F41967">
              <w:rPr>
                <w:rFonts w:ascii="Arial" w:hAnsi="Arial" w:cs="Arial"/>
                <w:sz w:val="20"/>
                <w:szCs w:val="20"/>
              </w:rPr>
              <w:t>trong</w:t>
            </w:r>
            <w:proofErr w:type="spellEnd"/>
            <w:r w:rsidRPr="00F41967">
              <w:rPr>
                <w:rFonts w:ascii="Arial" w:hAnsi="Arial" w:cs="Arial"/>
                <w:sz w:val="20"/>
                <w:szCs w:val="20"/>
              </w:rPr>
              <w:t xml:space="preserve"> </w:t>
            </w:r>
            <w:proofErr w:type="spellStart"/>
            <w:r w:rsidRPr="00F41967">
              <w:rPr>
                <w:rFonts w:ascii="Arial" w:hAnsi="Arial" w:cs="Arial"/>
                <w:sz w:val="20"/>
                <w:szCs w:val="20"/>
              </w:rPr>
              <w:t>kỳ</w:t>
            </w:r>
            <w:proofErr w:type="spellEnd"/>
            <w:r w:rsidRPr="00F41967">
              <w:rPr>
                <w:rFonts w:ascii="Arial" w:hAnsi="Arial" w:cs="Arial"/>
                <w:sz w:val="20"/>
                <w:szCs w:val="20"/>
              </w:rPr>
              <w:t xml:space="preserve"> </w:t>
            </w:r>
          </w:p>
        </w:tc>
        <w:tc>
          <w:tcPr>
            <w:tcW w:w="3330" w:type="dxa"/>
          </w:tcPr>
          <w:p w14:paraId="032B269D" w14:textId="182062F1" w:rsidR="00F90696" w:rsidRPr="00F41967" w:rsidRDefault="00F90696" w:rsidP="00F90696">
            <w:pPr>
              <w:tabs>
                <w:tab w:val="left" w:pos="270"/>
                <w:tab w:val="left" w:pos="1134"/>
              </w:tabs>
              <w:spacing w:before="120" w:after="120" w:line="240" w:lineRule="auto"/>
              <w:jc w:val="right"/>
              <w:rPr>
                <w:rFonts w:ascii="Arial" w:hAnsi="Arial" w:cs="Arial"/>
                <w:sz w:val="20"/>
                <w:szCs w:val="20"/>
              </w:rPr>
            </w:pPr>
            <w:r w:rsidRPr="00F41967">
              <w:rPr>
                <w:rFonts w:ascii="Arial" w:hAnsi="Arial" w:cs="Arial"/>
                <w:sz w:val="20"/>
                <w:szCs w:val="20"/>
              </w:rPr>
              <w:t>3</w:t>
            </w:r>
            <w:r w:rsidR="00622025">
              <w:rPr>
                <w:rFonts w:ascii="Arial" w:hAnsi="Arial" w:cs="Arial"/>
                <w:sz w:val="20"/>
                <w:szCs w:val="20"/>
              </w:rPr>
              <w:t>.</w:t>
            </w:r>
            <w:r w:rsidRPr="00F41967">
              <w:rPr>
                <w:rFonts w:ascii="Arial" w:hAnsi="Arial" w:cs="Arial"/>
                <w:sz w:val="20"/>
                <w:szCs w:val="20"/>
              </w:rPr>
              <w:t>710</w:t>
            </w:r>
            <w:r w:rsidR="00622025">
              <w:rPr>
                <w:rFonts w:ascii="Arial" w:hAnsi="Arial" w:cs="Arial"/>
                <w:sz w:val="20"/>
                <w:szCs w:val="20"/>
              </w:rPr>
              <w:t>.</w:t>
            </w:r>
            <w:r w:rsidRPr="00F41967">
              <w:rPr>
                <w:rFonts w:ascii="Arial" w:hAnsi="Arial" w:cs="Arial"/>
                <w:sz w:val="20"/>
                <w:szCs w:val="20"/>
              </w:rPr>
              <w:t>054</w:t>
            </w:r>
            <w:r w:rsidR="00622025">
              <w:rPr>
                <w:rFonts w:ascii="Arial" w:hAnsi="Arial" w:cs="Arial"/>
                <w:sz w:val="20"/>
                <w:szCs w:val="20"/>
              </w:rPr>
              <w:t>,</w:t>
            </w:r>
            <w:r w:rsidRPr="00F41967">
              <w:rPr>
                <w:rFonts w:ascii="Arial" w:hAnsi="Arial" w:cs="Arial"/>
                <w:sz w:val="20"/>
                <w:szCs w:val="20"/>
              </w:rPr>
              <w:t>53 CCQ</w:t>
            </w:r>
          </w:p>
        </w:tc>
      </w:tr>
      <w:tr w:rsidR="00F90696" w:rsidRPr="00F41967" w14:paraId="0A4E33F8" w14:textId="77777777" w:rsidTr="00F90696">
        <w:tc>
          <w:tcPr>
            <w:tcW w:w="5755" w:type="dxa"/>
          </w:tcPr>
          <w:p w14:paraId="07089B78" w14:textId="63772C10" w:rsidR="00F90696" w:rsidRPr="00F41967" w:rsidRDefault="00F90696" w:rsidP="00F90696">
            <w:pPr>
              <w:tabs>
                <w:tab w:val="left" w:pos="270"/>
                <w:tab w:val="left" w:pos="1134"/>
              </w:tabs>
              <w:spacing w:before="120" w:after="120" w:line="240" w:lineRule="auto"/>
              <w:jc w:val="both"/>
              <w:rPr>
                <w:rFonts w:ascii="Arial" w:hAnsi="Arial" w:cs="Arial"/>
                <w:sz w:val="20"/>
                <w:szCs w:val="20"/>
              </w:rPr>
            </w:pPr>
            <w:proofErr w:type="spellStart"/>
            <w:r w:rsidRPr="00F41967">
              <w:rPr>
                <w:rFonts w:ascii="Arial" w:hAnsi="Arial" w:cs="Arial"/>
                <w:sz w:val="20"/>
                <w:szCs w:val="20"/>
              </w:rPr>
              <w:t>Tổng</w:t>
            </w:r>
            <w:proofErr w:type="spellEnd"/>
            <w:r w:rsidRPr="00F41967">
              <w:rPr>
                <w:rFonts w:ascii="Arial" w:hAnsi="Arial" w:cs="Arial"/>
                <w:sz w:val="20"/>
                <w:szCs w:val="20"/>
              </w:rPr>
              <w:t xml:space="preserve"> </w:t>
            </w:r>
            <w:proofErr w:type="spellStart"/>
            <w:r w:rsidRPr="00F41967">
              <w:rPr>
                <w:rFonts w:ascii="Arial" w:hAnsi="Arial" w:cs="Arial"/>
                <w:sz w:val="20"/>
                <w:szCs w:val="20"/>
              </w:rPr>
              <w:t>số</w:t>
            </w:r>
            <w:proofErr w:type="spellEnd"/>
            <w:r w:rsidRPr="00F41967">
              <w:rPr>
                <w:rFonts w:ascii="Arial" w:hAnsi="Arial" w:cs="Arial"/>
                <w:sz w:val="20"/>
                <w:szCs w:val="20"/>
              </w:rPr>
              <w:t xml:space="preserve"> </w:t>
            </w:r>
            <w:proofErr w:type="spellStart"/>
            <w:r w:rsidRPr="00F41967">
              <w:rPr>
                <w:rFonts w:ascii="Arial" w:hAnsi="Arial" w:cs="Arial"/>
                <w:sz w:val="20"/>
                <w:szCs w:val="20"/>
              </w:rPr>
              <w:t>lượng</w:t>
            </w:r>
            <w:proofErr w:type="spellEnd"/>
            <w:r w:rsidRPr="00F41967">
              <w:rPr>
                <w:rFonts w:ascii="Arial" w:hAnsi="Arial" w:cs="Arial"/>
                <w:sz w:val="20"/>
                <w:szCs w:val="20"/>
              </w:rPr>
              <w:t xml:space="preserve"> </w:t>
            </w:r>
            <w:proofErr w:type="spellStart"/>
            <w:r w:rsidRPr="00F41967">
              <w:rPr>
                <w:rFonts w:ascii="Arial" w:hAnsi="Arial" w:cs="Arial"/>
                <w:sz w:val="20"/>
                <w:szCs w:val="20"/>
              </w:rPr>
              <w:t>chứng</w:t>
            </w:r>
            <w:proofErr w:type="spellEnd"/>
            <w:r w:rsidRPr="00F41967">
              <w:rPr>
                <w:rFonts w:ascii="Arial" w:hAnsi="Arial" w:cs="Arial"/>
                <w:sz w:val="20"/>
                <w:szCs w:val="20"/>
              </w:rPr>
              <w:t xml:space="preserve"> </w:t>
            </w:r>
            <w:proofErr w:type="spellStart"/>
            <w:r w:rsidRPr="00F41967">
              <w:rPr>
                <w:rFonts w:ascii="Arial" w:hAnsi="Arial" w:cs="Arial"/>
                <w:sz w:val="20"/>
                <w:szCs w:val="20"/>
              </w:rPr>
              <w:t>Quỹ</w:t>
            </w:r>
            <w:proofErr w:type="spellEnd"/>
            <w:r w:rsidRPr="00F41967">
              <w:rPr>
                <w:rFonts w:ascii="Arial" w:hAnsi="Arial" w:cs="Arial"/>
                <w:sz w:val="20"/>
                <w:szCs w:val="20"/>
              </w:rPr>
              <w:t xml:space="preserve"> </w:t>
            </w:r>
            <w:proofErr w:type="spellStart"/>
            <w:r w:rsidRPr="00F41967">
              <w:rPr>
                <w:rFonts w:ascii="Arial" w:hAnsi="Arial" w:cs="Arial"/>
                <w:sz w:val="20"/>
                <w:szCs w:val="20"/>
              </w:rPr>
              <w:t>mua</w:t>
            </w:r>
            <w:proofErr w:type="spellEnd"/>
            <w:r w:rsidRPr="00F41967">
              <w:rPr>
                <w:rFonts w:ascii="Arial" w:hAnsi="Arial" w:cs="Arial"/>
                <w:sz w:val="20"/>
                <w:szCs w:val="20"/>
              </w:rPr>
              <w:t xml:space="preserve"> </w:t>
            </w:r>
            <w:proofErr w:type="spellStart"/>
            <w:r w:rsidRPr="00F41967">
              <w:rPr>
                <w:rFonts w:ascii="Arial" w:hAnsi="Arial" w:cs="Arial"/>
                <w:sz w:val="20"/>
                <w:szCs w:val="20"/>
              </w:rPr>
              <w:t>lại</w:t>
            </w:r>
            <w:proofErr w:type="spellEnd"/>
            <w:r w:rsidRPr="00F41967">
              <w:rPr>
                <w:rFonts w:ascii="Arial" w:hAnsi="Arial" w:cs="Arial"/>
                <w:sz w:val="20"/>
                <w:szCs w:val="20"/>
              </w:rPr>
              <w:t xml:space="preserve"> </w:t>
            </w:r>
            <w:proofErr w:type="spellStart"/>
            <w:r w:rsidRPr="00F41967">
              <w:rPr>
                <w:rFonts w:ascii="Arial" w:hAnsi="Arial" w:cs="Arial"/>
                <w:sz w:val="20"/>
                <w:szCs w:val="20"/>
              </w:rPr>
              <w:t>trong</w:t>
            </w:r>
            <w:proofErr w:type="spellEnd"/>
            <w:r w:rsidRPr="00F41967">
              <w:rPr>
                <w:rFonts w:ascii="Arial" w:hAnsi="Arial" w:cs="Arial"/>
                <w:sz w:val="20"/>
                <w:szCs w:val="20"/>
              </w:rPr>
              <w:t xml:space="preserve"> </w:t>
            </w:r>
            <w:proofErr w:type="spellStart"/>
            <w:r w:rsidRPr="00F41967">
              <w:rPr>
                <w:rFonts w:ascii="Arial" w:hAnsi="Arial" w:cs="Arial"/>
                <w:sz w:val="20"/>
                <w:szCs w:val="20"/>
              </w:rPr>
              <w:t>kỳ</w:t>
            </w:r>
            <w:proofErr w:type="spellEnd"/>
          </w:p>
        </w:tc>
        <w:tc>
          <w:tcPr>
            <w:tcW w:w="3330" w:type="dxa"/>
          </w:tcPr>
          <w:p w14:paraId="70410AF4" w14:textId="48133414" w:rsidR="00F90696" w:rsidRPr="00F41967" w:rsidRDefault="00B10627" w:rsidP="00F90696">
            <w:pPr>
              <w:tabs>
                <w:tab w:val="left" w:pos="270"/>
                <w:tab w:val="left" w:pos="1134"/>
              </w:tabs>
              <w:spacing w:before="120" w:after="120" w:line="240" w:lineRule="auto"/>
              <w:jc w:val="right"/>
              <w:rPr>
                <w:rFonts w:ascii="Arial" w:hAnsi="Arial" w:cs="Arial"/>
                <w:sz w:val="20"/>
                <w:szCs w:val="20"/>
              </w:rPr>
            </w:pPr>
            <w:r>
              <w:rPr>
                <w:rFonts w:ascii="Arial" w:hAnsi="Arial" w:cs="Arial"/>
                <w:sz w:val="20"/>
                <w:szCs w:val="20"/>
              </w:rPr>
              <w:t xml:space="preserve"> </w:t>
            </w:r>
            <w:r w:rsidR="00EB7526" w:rsidRPr="00F41967">
              <w:rPr>
                <w:rFonts w:ascii="Arial" w:hAnsi="Arial" w:cs="Arial"/>
                <w:sz w:val="20"/>
                <w:szCs w:val="20"/>
              </w:rPr>
              <w:t>(</w:t>
            </w:r>
            <w:r w:rsidR="00F90696" w:rsidRPr="00F41967">
              <w:rPr>
                <w:rFonts w:ascii="Arial" w:hAnsi="Arial" w:cs="Arial"/>
                <w:sz w:val="20"/>
                <w:szCs w:val="20"/>
              </w:rPr>
              <w:t>4</w:t>
            </w:r>
            <w:r w:rsidR="00622025">
              <w:rPr>
                <w:rFonts w:ascii="Arial" w:hAnsi="Arial" w:cs="Arial"/>
                <w:sz w:val="20"/>
                <w:szCs w:val="20"/>
              </w:rPr>
              <w:t>.</w:t>
            </w:r>
            <w:r w:rsidR="00F90696" w:rsidRPr="00F41967">
              <w:rPr>
                <w:rFonts w:ascii="Arial" w:hAnsi="Arial" w:cs="Arial"/>
                <w:sz w:val="20"/>
                <w:szCs w:val="20"/>
              </w:rPr>
              <w:t>609</w:t>
            </w:r>
            <w:r w:rsidR="00622025">
              <w:rPr>
                <w:rFonts w:ascii="Arial" w:hAnsi="Arial" w:cs="Arial"/>
                <w:sz w:val="20"/>
                <w:szCs w:val="20"/>
              </w:rPr>
              <w:t>.</w:t>
            </w:r>
            <w:r w:rsidR="00F90696" w:rsidRPr="00F41967">
              <w:rPr>
                <w:rFonts w:ascii="Arial" w:hAnsi="Arial" w:cs="Arial"/>
                <w:sz w:val="20"/>
                <w:szCs w:val="20"/>
              </w:rPr>
              <w:t>504</w:t>
            </w:r>
            <w:r w:rsidR="00622025">
              <w:rPr>
                <w:rFonts w:ascii="Arial" w:hAnsi="Arial" w:cs="Arial"/>
                <w:sz w:val="20"/>
                <w:szCs w:val="20"/>
              </w:rPr>
              <w:t>,</w:t>
            </w:r>
            <w:r w:rsidR="00F90696" w:rsidRPr="00F41967">
              <w:rPr>
                <w:rFonts w:ascii="Arial" w:hAnsi="Arial" w:cs="Arial"/>
                <w:sz w:val="20"/>
                <w:szCs w:val="20"/>
              </w:rPr>
              <w:t>94</w:t>
            </w:r>
            <w:r w:rsidR="00EB7526" w:rsidRPr="00F41967">
              <w:rPr>
                <w:rFonts w:ascii="Arial" w:hAnsi="Arial" w:cs="Arial"/>
                <w:sz w:val="20"/>
                <w:szCs w:val="20"/>
              </w:rPr>
              <w:t>)</w:t>
            </w:r>
            <w:r w:rsidR="00F90696" w:rsidRPr="00F41967">
              <w:rPr>
                <w:rFonts w:ascii="Arial" w:hAnsi="Arial" w:cs="Arial"/>
                <w:sz w:val="20"/>
                <w:szCs w:val="20"/>
              </w:rPr>
              <w:t xml:space="preserve"> CCQ</w:t>
            </w:r>
          </w:p>
        </w:tc>
      </w:tr>
      <w:tr w:rsidR="00F90696" w:rsidRPr="00F41967" w14:paraId="377A80CB" w14:textId="77777777" w:rsidTr="00F90696">
        <w:tc>
          <w:tcPr>
            <w:tcW w:w="5755" w:type="dxa"/>
          </w:tcPr>
          <w:p w14:paraId="752C7859" w14:textId="1D956AA2" w:rsidR="00F90696" w:rsidRPr="00F41967" w:rsidRDefault="00F90696" w:rsidP="00F90696">
            <w:pPr>
              <w:tabs>
                <w:tab w:val="left" w:pos="270"/>
                <w:tab w:val="left" w:pos="1134"/>
              </w:tabs>
              <w:spacing w:before="120" w:after="120" w:line="240" w:lineRule="auto"/>
              <w:jc w:val="both"/>
              <w:rPr>
                <w:rFonts w:ascii="Arial" w:hAnsi="Arial" w:cs="Arial"/>
                <w:sz w:val="20"/>
                <w:szCs w:val="20"/>
              </w:rPr>
            </w:pPr>
            <w:proofErr w:type="spellStart"/>
            <w:r w:rsidRPr="00F41967">
              <w:rPr>
                <w:rFonts w:ascii="Arial" w:hAnsi="Arial" w:cs="Arial"/>
                <w:sz w:val="20"/>
                <w:szCs w:val="20"/>
              </w:rPr>
              <w:t>Tổng</w:t>
            </w:r>
            <w:proofErr w:type="spellEnd"/>
            <w:r w:rsidRPr="00F41967">
              <w:rPr>
                <w:rFonts w:ascii="Arial" w:hAnsi="Arial" w:cs="Arial"/>
                <w:sz w:val="20"/>
                <w:szCs w:val="20"/>
              </w:rPr>
              <w:t xml:space="preserve"> </w:t>
            </w:r>
            <w:proofErr w:type="spellStart"/>
            <w:r w:rsidRPr="00F41967">
              <w:rPr>
                <w:rFonts w:ascii="Arial" w:hAnsi="Arial" w:cs="Arial"/>
                <w:sz w:val="20"/>
                <w:szCs w:val="20"/>
              </w:rPr>
              <w:t>số</w:t>
            </w:r>
            <w:proofErr w:type="spellEnd"/>
            <w:r w:rsidRPr="00F41967">
              <w:rPr>
                <w:rFonts w:ascii="Arial" w:hAnsi="Arial" w:cs="Arial"/>
                <w:sz w:val="20"/>
                <w:szCs w:val="20"/>
              </w:rPr>
              <w:t xml:space="preserve"> </w:t>
            </w:r>
            <w:proofErr w:type="spellStart"/>
            <w:r w:rsidRPr="00F41967">
              <w:rPr>
                <w:rFonts w:ascii="Arial" w:hAnsi="Arial" w:cs="Arial"/>
                <w:sz w:val="20"/>
                <w:szCs w:val="20"/>
              </w:rPr>
              <w:t>lượng</w:t>
            </w:r>
            <w:proofErr w:type="spellEnd"/>
            <w:r w:rsidRPr="00F41967">
              <w:rPr>
                <w:rFonts w:ascii="Arial" w:hAnsi="Arial" w:cs="Arial"/>
                <w:sz w:val="20"/>
                <w:szCs w:val="20"/>
              </w:rPr>
              <w:t xml:space="preserve"> </w:t>
            </w:r>
            <w:proofErr w:type="spellStart"/>
            <w:r w:rsidRPr="00F41967">
              <w:rPr>
                <w:rFonts w:ascii="Arial" w:hAnsi="Arial" w:cs="Arial"/>
                <w:sz w:val="20"/>
                <w:szCs w:val="20"/>
              </w:rPr>
              <w:t>chứng</w:t>
            </w:r>
            <w:proofErr w:type="spellEnd"/>
            <w:r w:rsidRPr="00F41967">
              <w:rPr>
                <w:rFonts w:ascii="Arial" w:hAnsi="Arial" w:cs="Arial"/>
                <w:sz w:val="20"/>
                <w:szCs w:val="20"/>
              </w:rPr>
              <w:t xml:space="preserve"> </w:t>
            </w:r>
            <w:proofErr w:type="spellStart"/>
            <w:r w:rsidRPr="00F41967">
              <w:rPr>
                <w:rFonts w:ascii="Arial" w:hAnsi="Arial" w:cs="Arial"/>
                <w:sz w:val="20"/>
                <w:szCs w:val="20"/>
              </w:rPr>
              <w:t>chỉ</w:t>
            </w:r>
            <w:proofErr w:type="spellEnd"/>
            <w:r w:rsidRPr="00F41967">
              <w:rPr>
                <w:rFonts w:ascii="Arial" w:hAnsi="Arial" w:cs="Arial"/>
                <w:sz w:val="20"/>
                <w:szCs w:val="20"/>
              </w:rPr>
              <w:t xml:space="preserve"> </w:t>
            </w:r>
            <w:proofErr w:type="spellStart"/>
            <w:r w:rsidRPr="00F41967">
              <w:rPr>
                <w:rFonts w:ascii="Arial" w:hAnsi="Arial" w:cs="Arial"/>
                <w:sz w:val="20"/>
                <w:szCs w:val="20"/>
              </w:rPr>
              <w:t>Quỹ</w:t>
            </w:r>
            <w:proofErr w:type="spellEnd"/>
            <w:r w:rsidRPr="00F41967">
              <w:rPr>
                <w:rFonts w:ascii="Arial" w:hAnsi="Arial" w:cs="Arial"/>
                <w:sz w:val="20"/>
                <w:szCs w:val="20"/>
              </w:rPr>
              <w:t xml:space="preserve"> </w:t>
            </w:r>
            <w:proofErr w:type="spellStart"/>
            <w:r w:rsidRPr="00F41967">
              <w:rPr>
                <w:rFonts w:ascii="Arial" w:hAnsi="Arial" w:cs="Arial"/>
                <w:sz w:val="20"/>
                <w:szCs w:val="20"/>
              </w:rPr>
              <w:t>tại</w:t>
            </w:r>
            <w:proofErr w:type="spellEnd"/>
            <w:r w:rsidRPr="00F41967">
              <w:rPr>
                <w:rFonts w:ascii="Arial" w:hAnsi="Arial" w:cs="Arial"/>
                <w:sz w:val="20"/>
                <w:szCs w:val="20"/>
              </w:rPr>
              <w:t xml:space="preserve"> </w:t>
            </w:r>
            <w:proofErr w:type="spellStart"/>
            <w:r w:rsidRPr="00F41967">
              <w:rPr>
                <w:rFonts w:ascii="Arial" w:hAnsi="Arial" w:cs="Arial"/>
                <w:sz w:val="20"/>
                <w:szCs w:val="20"/>
              </w:rPr>
              <w:t>ngày</w:t>
            </w:r>
            <w:proofErr w:type="spellEnd"/>
            <w:r w:rsidRPr="00F41967">
              <w:rPr>
                <w:rFonts w:ascii="Arial" w:hAnsi="Arial" w:cs="Arial"/>
                <w:sz w:val="20"/>
                <w:szCs w:val="20"/>
              </w:rPr>
              <w:t xml:space="preserve"> 31/12/2023</w:t>
            </w:r>
          </w:p>
        </w:tc>
        <w:tc>
          <w:tcPr>
            <w:tcW w:w="3330" w:type="dxa"/>
          </w:tcPr>
          <w:p w14:paraId="4611E492" w14:textId="005CD8A2" w:rsidR="00F90696" w:rsidRPr="00F41967" w:rsidRDefault="00F90696" w:rsidP="00F90696">
            <w:pPr>
              <w:tabs>
                <w:tab w:val="left" w:pos="270"/>
                <w:tab w:val="left" w:pos="1134"/>
              </w:tabs>
              <w:spacing w:before="120" w:after="120" w:line="240" w:lineRule="auto"/>
              <w:jc w:val="right"/>
              <w:rPr>
                <w:rFonts w:ascii="Arial" w:hAnsi="Arial" w:cs="Arial"/>
                <w:sz w:val="20"/>
                <w:szCs w:val="20"/>
              </w:rPr>
            </w:pPr>
            <w:r w:rsidRPr="00F41967">
              <w:rPr>
                <w:rFonts w:ascii="Arial" w:hAnsi="Arial" w:cs="Arial"/>
                <w:sz w:val="20"/>
                <w:szCs w:val="20"/>
              </w:rPr>
              <w:t>17</w:t>
            </w:r>
            <w:r w:rsidR="00622025">
              <w:rPr>
                <w:rFonts w:ascii="Arial" w:hAnsi="Arial" w:cs="Arial"/>
                <w:sz w:val="20"/>
                <w:szCs w:val="20"/>
              </w:rPr>
              <w:t>.</w:t>
            </w:r>
            <w:r w:rsidRPr="00F41967">
              <w:rPr>
                <w:rFonts w:ascii="Arial" w:hAnsi="Arial" w:cs="Arial"/>
                <w:sz w:val="20"/>
                <w:szCs w:val="20"/>
              </w:rPr>
              <w:t>786</w:t>
            </w:r>
            <w:r w:rsidR="00622025">
              <w:rPr>
                <w:rFonts w:ascii="Arial" w:hAnsi="Arial" w:cs="Arial"/>
                <w:sz w:val="20"/>
                <w:szCs w:val="20"/>
              </w:rPr>
              <w:t>.</w:t>
            </w:r>
            <w:r w:rsidRPr="00F41967">
              <w:rPr>
                <w:rFonts w:ascii="Arial" w:hAnsi="Arial" w:cs="Arial"/>
                <w:sz w:val="20"/>
                <w:szCs w:val="20"/>
              </w:rPr>
              <w:t>668</w:t>
            </w:r>
            <w:r w:rsidR="00622025">
              <w:rPr>
                <w:rFonts w:ascii="Arial" w:hAnsi="Arial" w:cs="Arial"/>
                <w:sz w:val="20"/>
                <w:szCs w:val="20"/>
              </w:rPr>
              <w:t>,</w:t>
            </w:r>
            <w:r w:rsidRPr="00F41967">
              <w:rPr>
                <w:rFonts w:ascii="Arial" w:hAnsi="Arial" w:cs="Arial"/>
                <w:sz w:val="20"/>
                <w:szCs w:val="20"/>
              </w:rPr>
              <w:t>27 CCQ</w:t>
            </w:r>
          </w:p>
        </w:tc>
      </w:tr>
    </w:tbl>
    <w:p w14:paraId="3B2FDE2B" w14:textId="77777777" w:rsidR="00847D85" w:rsidRDefault="00847D85" w:rsidP="00847D85">
      <w:pPr>
        <w:tabs>
          <w:tab w:val="left" w:pos="270"/>
          <w:tab w:val="left" w:pos="1134"/>
        </w:tabs>
        <w:spacing w:before="120" w:after="120" w:line="240" w:lineRule="auto"/>
        <w:jc w:val="both"/>
        <w:rPr>
          <w:rFonts w:ascii="Arial" w:hAnsi="Arial" w:cs="Arial"/>
          <w:sz w:val="20"/>
          <w:szCs w:val="20"/>
        </w:rPr>
      </w:pPr>
    </w:p>
    <w:p w14:paraId="7EBC3A42" w14:textId="77777777" w:rsidR="00AF450F" w:rsidRDefault="00AF450F" w:rsidP="00847D85">
      <w:pPr>
        <w:tabs>
          <w:tab w:val="left" w:pos="270"/>
          <w:tab w:val="left" w:pos="1134"/>
        </w:tabs>
        <w:spacing w:before="120" w:after="120" w:line="240" w:lineRule="auto"/>
        <w:jc w:val="both"/>
        <w:rPr>
          <w:rFonts w:ascii="Arial" w:hAnsi="Arial" w:cs="Arial"/>
          <w:sz w:val="20"/>
          <w:szCs w:val="20"/>
        </w:rPr>
      </w:pPr>
    </w:p>
    <w:p w14:paraId="17426F9A" w14:textId="77777777" w:rsidR="00AF450F" w:rsidRDefault="00AF450F" w:rsidP="00847D85">
      <w:pPr>
        <w:tabs>
          <w:tab w:val="left" w:pos="270"/>
          <w:tab w:val="left" w:pos="1134"/>
        </w:tabs>
        <w:spacing w:before="120" w:after="120" w:line="240" w:lineRule="auto"/>
        <w:jc w:val="both"/>
        <w:rPr>
          <w:rFonts w:ascii="Arial" w:hAnsi="Arial" w:cs="Arial"/>
          <w:sz w:val="20"/>
          <w:szCs w:val="20"/>
        </w:rPr>
      </w:pPr>
    </w:p>
    <w:p w14:paraId="66D69200" w14:textId="77777777" w:rsidR="00AF450F" w:rsidRDefault="00AF450F" w:rsidP="00847D85">
      <w:pPr>
        <w:tabs>
          <w:tab w:val="left" w:pos="270"/>
          <w:tab w:val="left" w:pos="1134"/>
        </w:tabs>
        <w:spacing w:before="120" w:after="120" w:line="240" w:lineRule="auto"/>
        <w:jc w:val="both"/>
        <w:rPr>
          <w:rFonts w:ascii="Arial" w:hAnsi="Arial" w:cs="Arial"/>
          <w:sz w:val="20"/>
          <w:szCs w:val="20"/>
        </w:rPr>
      </w:pPr>
    </w:p>
    <w:p w14:paraId="6EAC5120" w14:textId="77777777" w:rsidR="00AF450F" w:rsidRDefault="00AF450F" w:rsidP="00847D85">
      <w:pPr>
        <w:tabs>
          <w:tab w:val="left" w:pos="270"/>
          <w:tab w:val="left" w:pos="1134"/>
        </w:tabs>
        <w:spacing w:before="120" w:after="120" w:line="240" w:lineRule="auto"/>
        <w:jc w:val="both"/>
        <w:rPr>
          <w:rFonts w:ascii="Arial" w:hAnsi="Arial" w:cs="Arial"/>
          <w:sz w:val="20"/>
          <w:szCs w:val="20"/>
        </w:rPr>
      </w:pPr>
    </w:p>
    <w:p w14:paraId="20CF8F7C" w14:textId="77777777" w:rsidR="00AF450F" w:rsidRPr="00847D85" w:rsidRDefault="00AF450F" w:rsidP="00847D85">
      <w:pPr>
        <w:tabs>
          <w:tab w:val="left" w:pos="270"/>
          <w:tab w:val="left" w:pos="1134"/>
        </w:tabs>
        <w:spacing w:before="120" w:after="120" w:line="240" w:lineRule="auto"/>
        <w:jc w:val="both"/>
        <w:rPr>
          <w:rFonts w:ascii="Arial" w:hAnsi="Arial" w:cs="Arial"/>
          <w:sz w:val="20"/>
          <w:szCs w:val="20"/>
        </w:rPr>
      </w:pPr>
    </w:p>
    <w:p w14:paraId="7FCE9BC9" w14:textId="77777777" w:rsidR="00966A09" w:rsidRPr="001F7242" w:rsidRDefault="00966A09" w:rsidP="001F7242">
      <w:pPr>
        <w:tabs>
          <w:tab w:val="left" w:pos="270"/>
          <w:tab w:val="left" w:pos="1134"/>
        </w:tabs>
        <w:spacing w:before="120" w:after="120" w:line="240" w:lineRule="auto"/>
        <w:jc w:val="both"/>
        <w:rPr>
          <w:rFonts w:ascii="Arial" w:hAnsi="Arial" w:cs="Arial"/>
          <w:sz w:val="20"/>
          <w:szCs w:val="20"/>
        </w:rPr>
      </w:pPr>
    </w:p>
    <w:p w14:paraId="4CBD5EF8" w14:textId="7AE9EA40" w:rsidR="0085109B" w:rsidRPr="0085109B" w:rsidRDefault="0085109B" w:rsidP="0085109B">
      <w:pPr>
        <w:spacing w:line="360" w:lineRule="auto"/>
        <w:jc w:val="both"/>
        <w:rPr>
          <w:rFonts w:ascii="Arial" w:hAnsi="Arial" w:cs="Arial"/>
          <w:bCs/>
          <w:sz w:val="20"/>
          <w:szCs w:val="20"/>
        </w:rPr>
      </w:pPr>
      <w:r w:rsidRPr="0085109B">
        <w:rPr>
          <w:rFonts w:ascii="Arial" w:hAnsi="Arial" w:cs="Arial"/>
          <w:bCs/>
          <w:sz w:val="20"/>
          <w:szCs w:val="20"/>
        </w:rPr>
        <w:t xml:space="preserve">g) </w:t>
      </w:r>
      <w:proofErr w:type="spellStart"/>
      <w:r w:rsidRPr="0085109B">
        <w:rPr>
          <w:rFonts w:ascii="Arial" w:hAnsi="Arial" w:cs="Arial"/>
          <w:bCs/>
          <w:sz w:val="20"/>
          <w:szCs w:val="20"/>
        </w:rPr>
        <w:t>Nội</w:t>
      </w:r>
      <w:proofErr w:type="spellEnd"/>
      <w:r w:rsidRPr="0085109B">
        <w:rPr>
          <w:rFonts w:ascii="Arial" w:hAnsi="Arial" w:cs="Arial"/>
          <w:bCs/>
          <w:sz w:val="20"/>
          <w:szCs w:val="20"/>
        </w:rPr>
        <w:t xml:space="preserve"> dung </w:t>
      </w:r>
      <w:proofErr w:type="spellStart"/>
      <w:r w:rsidRPr="0085109B">
        <w:rPr>
          <w:rFonts w:ascii="Arial" w:hAnsi="Arial" w:cs="Arial"/>
          <w:bCs/>
          <w:sz w:val="20"/>
          <w:szCs w:val="20"/>
        </w:rPr>
        <w:t>thay</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đổi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Điều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lệ</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trong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kỳ</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báo</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cáo</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được</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đề</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cập</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trong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Điều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lệ</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được</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hội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Nhà</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đầu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tư</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thường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niên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năm</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tài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chính</w:t>
      </w:r>
      <w:proofErr w:type="spellEnd"/>
      <w:r w:rsidRPr="0085109B">
        <w:rPr>
          <w:rFonts w:ascii="Arial" w:hAnsi="Arial" w:cs="Arial"/>
          <w:bCs/>
          <w:sz w:val="20"/>
          <w:szCs w:val="20"/>
        </w:rPr>
        <w:t xml:space="preserve"> 2022 </w:t>
      </w:r>
      <w:proofErr w:type="spellStart"/>
      <w:r w:rsidRPr="0085109B">
        <w:rPr>
          <w:rFonts w:ascii="Arial" w:hAnsi="Arial" w:cs="Arial"/>
          <w:bCs/>
          <w:sz w:val="20"/>
          <w:szCs w:val="20"/>
        </w:rPr>
        <w:t>của</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Đầu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tư</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phiếu</w:t>
      </w:r>
      <w:proofErr w:type="spellEnd"/>
      <w:r w:rsidRPr="0085109B">
        <w:rPr>
          <w:rFonts w:ascii="Arial" w:hAnsi="Arial" w:cs="Arial"/>
          <w:bCs/>
          <w:sz w:val="20"/>
          <w:szCs w:val="20"/>
        </w:rPr>
        <w:t xml:space="preserve"> DC (</w:t>
      </w:r>
      <w:proofErr w:type="spellStart"/>
      <w:r w:rsidRPr="0085109B">
        <w:rPr>
          <w:rFonts w:ascii="Arial" w:hAnsi="Arial" w:cs="Arial"/>
          <w:bCs/>
          <w:sz w:val="20"/>
          <w:szCs w:val="20"/>
        </w:rPr>
        <w:t>tên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cũ</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Đầu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tư</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phiếu</w:t>
      </w:r>
      <w:proofErr w:type="spellEnd"/>
      <w:r w:rsidRPr="0085109B">
        <w:rPr>
          <w:rFonts w:ascii="Arial" w:hAnsi="Arial" w:cs="Arial"/>
          <w:bCs/>
          <w:sz w:val="20"/>
          <w:szCs w:val="20"/>
        </w:rPr>
        <w:t xml:space="preserve"> Việt Nam) </w:t>
      </w:r>
      <w:proofErr w:type="spellStart"/>
      <w:r w:rsidRPr="0085109B">
        <w:rPr>
          <w:rFonts w:ascii="Arial" w:hAnsi="Arial" w:cs="Arial"/>
          <w:bCs/>
          <w:sz w:val="20"/>
          <w:szCs w:val="20"/>
        </w:rPr>
        <w:t>thông</w:t>
      </w:r>
      <w:proofErr w:type="spellEnd"/>
      <w:r w:rsidRPr="0085109B">
        <w:rPr>
          <w:rFonts w:ascii="Arial" w:hAnsi="Arial" w:cs="Arial"/>
          <w:bCs/>
          <w:sz w:val="20"/>
          <w:szCs w:val="20"/>
        </w:rPr>
        <w:t xml:space="preserve"> qua </w:t>
      </w:r>
      <w:proofErr w:type="spellStart"/>
      <w:r w:rsidRPr="0085109B">
        <w:rPr>
          <w:rFonts w:ascii="Arial" w:hAnsi="Arial" w:cs="Arial"/>
          <w:bCs/>
          <w:sz w:val="20"/>
          <w:szCs w:val="20"/>
        </w:rPr>
        <w:t>ngày</w:t>
      </w:r>
      <w:proofErr w:type="spellEnd"/>
      <w:r w:rsidRPr="0085109B">
        <w:rPr>
          <w:rFonts w:ascii="Arial" w:hAnsi="Arial" w:cs="Arial"/>
          <w:bCs/>
          <w:sz w:val="20"/>
          <w:szCs w:val="20"/>
        </w:rPr>
        <w:t xml:space="preserve"> 17/04/2023. Thông tin </w:t>
      </w:r>
      <w:proofErr w:type="spellStart"/>
      <w:r w:rsidRPr="0085109B">
        <w:rPr>
          <w:rFonts w:ascii="Arial" w:hAnsi="Arial" w:cs="Arial"/>
          <w:bCs/>
          <w:sz w:val="20"/>
          <w:szCs w:val="20"/>
        </w:rPr>
        <w:t>này</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đã</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được</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công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bố</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trên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trang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thông</w:t>
      </w:r>
      <w:proofErr w:type="spellEnd"/>
      <w:r w:rsidRPr="0085109B">
        <w:rPr>
          <w:rFonts w:ascii="Arial" w:hAnsi="Arial" w:cs="Arial"/>
          <w:bCs/>
          <w:sz w:val="20"/>
          <w:szCs w:val="20"/>
        </w:rPr>
        <w:t xml:space="preserve"> tin </w:t>
      </w:r>
      <w:proofErr w:type="spellStart"/>
      <w:r w:rsidRPr="0085109B">
        <w:rPr>
          <w:rFonts w:ascii="Arial" w:hAnsi="Arial" w:cs="Arial"/>
          <w:bCs/>
          <w:sz w:val="20"/>
          <w:szCs w:val="20"/>
        </w:rPr>
        <w:t>điện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tử</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của</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w:t>
      </w:r>
      <w:proofErr w:type="spellStart"/>
      <w:r w:rsidRPr="0085109B">
        <w:rPr>
          <w:rFonts w:ascii="Arial" w:hAnsi="Arial" w:cs="Arial"/>
          <w:bCs/>
          <w:sz w:val="20"/>
          <w:szCs w:val="20"/>
        </w:rPr>
        <w:t>công</w:t>
      </w:r>
      <w:proofErr w:type="spellEnd"/>
      <w:r w:rsidRPr="0085109B">
        <w:rPr>
          <w:rFonts w:ascii="Arial" w:hAnsi="Arial" w:cs="Arial"/>
          <w:bCs/>
          <w:sz w:val="20"/>
          <w:szCs w:val="20"/>
        </w:rPr>
        <w:t xml:space="preserve"> ty </w:t>
      </w:r>
      <w:proofErr w:type="spellStart"/>
      <w:r w:rsidRPr="0085109B">
        <w:rPr>
          <w:rFonts w:ascii="Arial" w:hAnsi="Arial" w:cs="Arial"/>
          <w:bCs/>
          <w:sz w:val="20"/>
          <w:szCs w:val="20"/>
        </w:rPr>
        <w:t>quản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lý</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đường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dẫn</w:t>
      </w:r>
      <w:proofErr w:type="spellEnd"/>
      <w:r w:rsidRPr="0085109B">
        <w:rPr>
          <w:rFonts w:ascii="Arial" w:hAnsi="Arial" w:cs="Arial"/>
          <w:bCs/>
          <w:sz w:val="20"/>
          <w:szCs w:val="20"/>
        </w:rPr>
        <w:t xml:space="preserve"> DCBF- </w:t>
      </w:r>
      <w:proofErr w:type="spellStart"/>
      <w:r w:rsidRPr="0085109B">
        <w:rPr>
          <w:rFonts w:ascii="Arial" w:hAnsi="Arial" w:cs="Arial"/>
          <w:bCs/>
          <w:sz w:val="20"/>
          <w:szCs w:val="20"/>
        </w:rPr>
        <w:t>Điều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lệ</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năm</w:t>
      </w:r>
      <w:proofErr w:type="spellEnd"/>
      <w:r w:rsidRPr="0085109B">
        <w:rPr>
          <w:rFonts w:ascii="Arial" w:hAnsi="Arial" w:cs="Arial"/>
          <w:bCs/>
          <w:sz w:val="20"/>
          <w:szCs w:val="20"/>
        </w:rPr>
        <w:t xml:space="preserve"> 2023. (dragoncapital.com.vn).</w:t>
      </w:r>
    </w:p>
    <w:p w14:paraId="17F127D6" w14:textId="77777777" w:rsidR="0085109B" w:rsidRPr="0085109B" w:rsidRDefault="0085109B" w:rsidP="0085109B">
      <w:pPr>
        <w:spacing w:line="360" w:lineRule="auto"/>
        <w:jc w:val="both"/>
        <w:rPr>
          <w:rFonts w:ascii="Arial" w:hAnsi="Arial" w:cs="Arial"/>
          <w:bCs/>
          <w:sz w:val="20"/>
          <w:szCs w:val="20"/>
        </w:rPr>
      </w:pPr>
      <w:r w:rsidRPr="0085109B">
        <w:rPr>
          <w:rFonts w:ascii="Arial" w:hAnsi="Arial" w:cs="Arial"/>
          <w:bCs/>
          <w:sz w:val="20"/>
          <w:szCs w:val="20"/>
        </w:rPr>
        <w:t xml:space="preserve">h) </w:t>
      </w:r>
      <w:proofErr w:type="spellStart"/>
      <w:r w:rsidRPr="0085109B">
        <w:rPr>
          <w:rFonts w:ascii="Arial" w:hAnsi="Arial" w:cs="Arial"/>
          <w:bCs/>
          <w:sz w:val="20"/>
          <w:szCs w:val="20"/>
        </w:rPr>
        <w:t>Nội</w:t>
      </w:r>
      <w:proofErr w:type="spellEnd"/>
      <w:r w:rsidRPr="0085109B">
        <w:rPr>
          <w:rFonts w:ascii="Arial" w:hAnsi="Arial" w:cs="Arial"/>
          <w:bCs/>
          <w:sz w:val="20"/>
          <w:szCs w:val="20"/>
        </w:rPr>
        <w:t xml:space="preserve"> dung </w:t>
      </w:r>
      <w:proofErr w:type="spellStart"/>
      <w:r w:rsidRPr="0085109B">
        <w:rPr>
          <w:rFonts w:ascii="Arial" w:hAnsi="Arial" w:cs="Arial"/>
          <w:bCs/>
          <w:sz w:val="20"/>
          <w:szCs w:val="20"/>
        </w:rPr>
        <w:t>Nghị</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quyết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hội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nhà</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đầu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tư</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trong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kỳ</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báo</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cáo</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Nghị</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quyết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hội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Nhà</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đầu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tư</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thường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niên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năm</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tài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chính</w:t>
      </w:r>
      <w:proofErr w:type="spellEnd"/>
      <w:r w:rsidRPr="0085109B">
        <w:rPr>
          <w:rFonts w:ascii="Arial" w:hAnsi="Arial" w:cs="Arial"/>
          <w:bCs/>
          <w:sz w:val="20"/>
          <w:szCs w:val="20"/>
        </w:rPr>
        <w:t xml:space="preserve"> 2022 </w:t>
      </w:r>
      <w:proofErr w:type="spellStart"/>
      <w:r w:rsidRPr="0085109B">
        <w:rPr>
          <w:rFonts w:ascii="Arial" w:hAnsi="Arial" w:cs="Arial"/>
          <w:bCs/>
          <w:sz w:val="20"/>
          <w:szCs w:val="20"/>
        </w:rPr>
        <w:t>của</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Đầu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tư</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phiếu</w:t>
      </w:r>
      <w:proofErr w:type="spellEnd"/>
      <w:r w:rsidRPr="0085109B">
        <w:rPr>
          <w:rFonts w:ascii="Arial" w:hAnsi="Arial" w:cs="Arial"/>
          <w:bCs/>
          <w:sz w:val="20"/>
          <w:szCs w:val="20"/>
        </w:rPr>
        <w:t xml:space="preserve"> DC (</w:t>
      </w:r>
      <w:proofErr w:type="spellStart"/>
      <w:r w:rsidRPr="0085109B">
        <w:rPr>
          <w:rFonts w:ascii="Arial" w:hAnsi="Arial" w:cs="Arial"/>
          <w:bCs/>
          <w:sz w:val="20"/>
          <w:szCs w:val="20"/>
        </w:rPr>
        <w:t>tên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cũ</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Đầu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tư</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phiếu</w:t>
      </w:r>
      <w:proofErr w:type="spellEnd"/>
      <w:r w:rsidRPr="0085109B">
        <w:rPr>
          <w:rFonts w:ascii="Arial" w:hAnsi="Arial" w:cs="Arial"/>
          <w:bCs/>
          <w:sz w:val="20"/>
          <w:szCs w:val="20"/>
        </w:rPr>
        <w:t xml:space="preserve"> Việt Nam) </w:t>
      </w:r>
      <w:proofErr w:type="spellStart"/>
      <w:r w:rsidRPr="0085109B">
        <w:rPr>
          <w:rFonts w:ascii="Arial" w:hAnsi="Arial" w:cs="Arial"/>
          <w:bCs/>
          <w:sz w:val="20"/>
          <w:szCs w:val="20"/>
        </w:rPr>
        <w:t>ngày</w:t>
      </w:r>
      <w:proofErr w:type="spellEnd"/>
      <w:r w:rsidRPr="0085109B">
        <w:rPr>
          <w:rFonts w:ascii="Arial" w:hAnsi="Arial" w:cs="Arial"/>
          <w:bCs/>
          <w:sz w:val="20"/>
          <w:szCs w:val="20"/>
        </w:rPr>
        <w:t xml:space="preserve"> 17/04/2023 </w:t>
      </w:r>
      <w:proofErr w:type="spellStart"/>
      <w:r w:rsidRPr="0085109B">
        <w:rPr>
          <w:rFonts w:ascii="Arial" w:hAnsi="Arial" w:cs="Arial"/>
          <w:bCs/>
          <w:sz w:val="20"/>
          <w:szCs w:val="20"/>
        </w:rPr>
        <w:t>đã</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thông</w:t>
      </w:r>
      <w:proofErr w:type="spellEnd"/>
      <w:r w:rsidRPr="0085109B">
        <w:rPr>
          <w:rFonts w:ascii="Arial" w:hAnsi="Arial" w:cs="Arial"/>
          <w:bCs/>
          <w:sz w:val="20"/>
          <w:szCs w:val="20"/>
        </w:rPr>
        <w:t xml:space="preserve"> qua </w:t>
      </w:r>
      <w:proofErr w:type="spellStart"/>
      <w:r w:rsidRPr="0085109B">
        <w:rPr>
          <w:rFonts w:ascii="Arial" w:hAnsi="Arial" w:cs="Arial"/>
          <w:bCs/>
          <w:sz w:val="20"/>
          <w:szCs w:val="20"/>
        </w:rPr>
        <w:t>nội</w:t>
      </w:r>
      <w:proofErr w:type="spellEnd"/>
      <w:r w:rsidRPr="0085109B">
        <w:rPr>
          <w:rFonts w:ascii="Arial" w:hAnsi="Arial" w:cs="Arial"/>
          <w:bCs/>
          <w:sz w:val="20"/>
          <w:szCs w:val="20"/>
        </w:rPr>
        <w:t xml:space="preserve"> dung </w:t>
      </w:r>
      <w:proofErr w:type="spellStart"/>
      <w:r w:rsidRPr="0085109B">
        <w:rPr>
          <w:rFonts w:ascii="Arial" w:hAnsi="Arial" w:cs="Arial"/>
          <w:bCs/>
          <w:sz w:val="20"/>
          <w:szCs w:val="20"/>
        </w:rPr>
        <w:t>kết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quả</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hoạt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động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của</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năm</w:t>
      </w:r>
      <w:proofErr w:type="spellEnd"/>
      <w:r w:rsidRPr="0085109B">
        <w:rPr>
          <w:rFonts w:ascii="Arial" w:hAnsi="Arial" w:cs="Arial"/>
          <w:bCs/>
          <w:sz w:val="20"/>
          <w:szCs w:val="20"/>
        </w:rPr>
        <w:t xml:space="preserve"> 2022, </w:t>
      </w:r>
      <w:proofErr w:type="spellStart"/>
      <w:r w:rsidRPr="0085109B">
        <w:rPr>
          <w:rFonts w:ascii="Arial" w:hAnsi="Arial" w:cs="Arial"/>
          <w:bCs/>
          <w:sz w:val="20"/>
          <w:szCs w:val="20"/>
        </w:rPr>
        <w:t>kế</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hoạch</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hoạt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động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của</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năm</w:t>
      </w:r>
      <w:proofErr w:type="spellEnd"/>
      <w:r w:rsidRPr="0085109B">
        <w:rPr>
          <w:rFonts w:ascii="Arial" w:hAnsi="Arial" w:cs="Arial"/>
          <w:bCs/>
          <w:sz w:val="20"/>
          <w:szCs w:val="20"/>
        </w:rPr>
        <w:t xml:space="preserve"> 2023, </w:t>
      </w:r>
      <w:proofErr w:type="spellStart"/>
      <w:r w:rsidRPr="0085109B">
        <w:rPr>
          <w:rFonts w:ascii="Arial" w:hAnsi="Arial" w:cs="Arial"/>
          <w:bCs/>
          <w:sz w:val="20"/>
          <w:szCs w:val="20"/>
        </w:rPr>
        <w:t>báo</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cáo</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tài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chính</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đã</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kiểm</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toán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của</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năm</w:t>
      </w:r>
      <w:proofErr w:type="spellEnd"/>
      <w:r w:rsidRPr="0085109B">
        <w:rPr>
          <w:rFonts w:ascii="Arial" w:hAnsi="Arial" w:cs="Arial"/>
          <w:bCs/>
          <w:sz w:val="20"/>
          <w:szCs w:val="20"/>
        </w:rPr>
        <w:t xml:space="preserve"> 2022, </w:t>
      </w:r>
      <w:proofErr w:type="spellStart"/>
      <w:r w:rsidRPr="0085109B">
        <w:rPr>
          <w:rFonts w:ascii="Arial" w:hAnsi="Arial" w:cs="Arial"/>
          <w:bCs/>
          <w:sz w:val="20"/>
          <w:szCs w:val="20"/>
        </w:rPr>
        <w:t>ngân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sách</w:t>
      </w:r>
      <w:proofErr w:type="spellEnd"/>
      <w:r w:rsidRPr="0085109B">
        <w:rPr>
          <w:rFonts w:ascii="Arial" w:hAnsi="Arial" w:cs="Arial"/>
          <w:bCs/>
          <w:sz w:val="20"/>
          <w:szCs w:val="20"/>
        </w:rPr>
        <w:t xml:space="preserve"> ban </w:t>
      </w:r>
      <w:proofErr w:type="spellStart"/>
      <w:r w:rsidRPr="0085109B">
        <w:rPr>
          <w:rFonts w:ascii="Arial" w:hAnsi="Arial" w:cs="Arial"/>
          <w:bCs/>
          <w:sz w:val="20"/>
          <w:szCs w:val="20"/>
        </w:rPr>
        <w:t>đại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diện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2023, </w:t>
      </w:r>
      <w:proofErr w:type="spellStart"/>
      <w:r w:rsidRPr="0085109B">
        <w:rPr>
          <w:rFonts w:ascii="Arial" w:hAnsi="Arial" w:cs="Arial"/>
          <w:bCs/>
          <w:sz w:val="20"/>
          <w:szCs w:val="20"/>
        </w:rPr>
        <w:t>ủy</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quyền</w:t>
      </w:r>
      <w:proofErr w:type="spellEnd"/>
      <w:r w:rsidRPr="0085109B">
        <w:rPr>
          <w:rFonts w:ascii="Arial" w:hAnsi="Arial" w:cs="Arial"/>
          <w:bCs/>
          <w:sz w:val="20"/>
          <w:szCs w:val="20"/>
        </w:rPr>
        <w:t xml:space="preserve"> ban </w:t>
      </w:r>
      <w:proofErr w:type="spellStart"/>
      <w:r w:rsidRPr="0085109B">
        <w:rPr>
          <w:rFonts w:ascii="Arial" w:hAnsi="Arial" w:cs="Arial"/>
          <w:bCs/>
          <w:sz w:val="20"/>
          <w:szCs w:val="20"/>
        </w:rPr>
        <w:t>đại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diện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lựa</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chọn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công</w:t>
      </w:r>
      <w:proofErr w:type="spellEnd"/>
      <w:r w:rsidRPr="0085109B">
        <w:rPr>
          <w:rFonts w:ascii="Arial" w:hAnsi="Arial" w:cs="Arial"/>
          <w:bCs/>
          <w:sz w:val="20"/>
          <w:szCs w:val="20"/>
        </w:rPr>
        <w:t xml:space="preserve"> ty </w:t>
      </w:r>
      <w:proofErr w:type="spellStart"/>
      <w:r w:rsidRPr="0085109B">
        <w:rPr>
          <w:rFonts w:ascii="Arial" w:hAnsi="Arial" w:cs="Arial"/>
          <w:bCs/>
          <w:sz w:val="20"/>
          <w:szCs w:val="20"/>
        </w:rPr>
        <w:t>kiểm</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toán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năm</w:t>
      </w:r>
      <w:proofErr w:type="spellEnd"/>
      <w:r w:rsidRPr="0085109B">
        <w:rPr>
          <w:rFonts w:ascii="Arial" w:hAnsi="Arial" w:cs="Arial"/>
          <w:bCs/>
          <w:sz w:val="20"/>
          <w:szCs w:val="20"/>
        </w:rPr>
        <w:t xml:space="preserve"> 2023, </w:t>
      </w:r>
      <w:proofErr w:type="spellStart"/>
      <w:r w:rsidRPr="0085109B">
        <w:rPr>
          <w:rFonts w:ascii="Arial" w:hAnsi="Arial" w:cs="Arial"/>
          <w:bCs/>
          <w:sz w:val="20"/>
          <w:szCs w:val="20"/>
        </w:rPr>
        <w:t>những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thay</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đổi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về</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điều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lệ</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phù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hợp</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với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pháp</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luật</w:t>
      </w:r>
      <w:proofErr w:type="spellEnd"/>
      <w:r w:rsidRPr="0085109B">
        <w:rPr>
          <w:rFonts w:ascii="Arial" w:hAnsi="Arial" w:cs="Arial"/>
          <w:bCs/>
          <w:sz w:val="20"/>
          <w:szCs w:val="20"/>
        </w:rPr>
        <w:t xml:space="preserve">... Thông tin </w:t>
      </w:r>
      <w:proofErr w:type="spellStart"/>
      <w:r w:rsidRPr="0085109B">
        <w:rPr>
          <w:rFonts w:ascii="Arial" w:hAnsi="Arial" w:cs="Arial"/>
          <w:bCs/>
          <w:sz w:val="20"/>
          <w:szCs w:val="20"/>
        </w:rPr>
        <w:t>này</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đã</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được</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công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bố</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trên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trang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thông</w:t>
      </w:r>
      <w:proofErr w:type="spellEnd"/>
      <w:r w:rsidRPr="0085109B">
        <w:rPr>
          <w:rFonts w:ascii="Arial" w:hAnsi="Arial" w:cs="Arial"/>
          <w:bCs/>
          <w:sz w:val="20"/>
          <w:szCs w:val="20"/>
        </w:rPr>
        <w:t xml:space="preserve"> tin </w:t>
      </w:r>
      <w:proofErr w:type="spellStart"/>
      <w:r w:rsidRPr="0085109B">
        <w:rPr>
          <w:rFonts w:ascii="Arial" w:hAnsi="Arial" w:cs="Arial"/>
          <w:bCs/>
          <w:sz w:val="20"/>
          <w:szCs w:val="20"/>
        </w:rPr>
        <w:t>điện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tử</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của</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w:t>
      </w:r>
      <w:proofErr w:type="spellStart"/>
      <w:r w:rsidRPr="0085109B">
        <w:rPr>
          <w:rFonts w:ascii="Arial" w:hAnsi="Arial" w:cs="Arial"/>
          <w:bCs/>
          <w:sz w:val="20"/>
          <w:szCs w:val="20"/>
        </w:rPr>
        <w:t>công</w:t>
      </w:r>
      <w:proofErr w:type="spellEnd"/>
      <w:r w:rsidRPr="0085109B">
        <w:rPr>
          <w:rFonts w:ascii="Arial" w:hAnsi="Arial" w:cs="Arial"/>
          <w:bCs/>
          <w:sz w:val="20"/>
          <w:szCs w:val="20"/>
        </w:rPr>
        <w:t xml:space="preserve"> ty </w:t>
      </w:r>
      <w:proofErr w:type="spellStart"/>
      <w:r w:rsidRPr="0085109B">
        <w:rPr>
          <w:rFonts w:ascii="Arial" w:hAnsi="Arial" w:cs="Arial"/>
          <w:bCs/>
          <w:sz w:val="20"/>
          <w:szCs w:val="20"/>
        </w:rPr>
        <w:t>quản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lý</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đường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dẫn</w:t>
      </w:r>
      <w:proofErr w:type="spellEnd"/>
      <w:r w:rsidRPr="0085109B">
        <w:rPr>
          <w:rFonts w:ascii="Arial" w:hAnsi="Arial" w:cs="Arial"/>
          <w:bCs/>
          <w:sz w:val="20"/>
          <w:szCs w:val="20"/>
        </w:rPr>
        <w:t xml:space="preserve"> DCBF- CBTT </w:t>
      </w:r>
      <w:proofErr w:type="spellStart"/>
      <w:r w:rsidRPr="0085109B">
        <w:rPr>
          <w:rFonts w:ascii="Arial" w:hAnsi="Arial" w:cs="Arial"/>
          <w:bCs/>
          <w:sz w:val="20"/>
          <w:szCs w:val="20"/>
        </w:rPr>
        <w:t>Biên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bản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nghị</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quyết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hội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nhà</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đầu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tư</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thường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niên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năm</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tài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chính</w:t>
      </w:r>
      <w:proofErr w:type="spellEnd"/>
      <w:r w:rsidRPr="0085109B">
        <w:rPr>
          <w:rFonts w:ascii="Arial" w:hAnsi="Arial" w:cs="Arial"/>
          <w:bCs/>
          <w:sz w:val="20"/>
          <w:szCs w:val="20"/>
        </w:rPr>
        <w:t xml:space="preserve"> 2022- </w:t>
      </w:r>
      <w:proofErr w:type="spellStart"/>
      <w:r w:rsidRPr="0085109B">
        <w:rPr>
          <w:rFonts w:ascii="Arial" w:hAnsi="Arial" w:cs="Arial"/>
          <w:bCs/>
          <w:sz w:val="20"/>
          <w:szCs w:val="20"/>
        </w:rPr>
        <w:t>ngày</w:t>
      </w:r>
      <w:proofErr w:type="spellEnd"/>
      <w:r w:rsidRPr="0085109B">
        <w:rPr>
          <w:rFonts w:ascii="Arial" w:hAnsi="Arial" w:cs="Arial"/>
          <w:bCs/>
          <w:sz w:val="20"/>
          <w:szCs w:val="20"/>
        </w:rPr>
        <w:t xml:space="preserve"> 17/04/2023. (dragoncapital.com.vn).</w:t>
      </w:r>
    </w:p>
    <w:p w14:paraId="19920B1F" w14:textId="77777777" w:rsidR="0085109B" w:rsidRPr="0085109B" w:rsidRDefault="0085109B" w:rsidP="0085109B">
      <w:pPr>
        <w:spacing w:line="360" w:lineRule="auto"/>
        <w:jc w:val="both"/>
        <w:rPr>
          <w:rFonts w:ascii="Arial" w:hAnsi="Arial" w:cs="Arial"/>
          <w:bCs/>
          <w:sz w:val="20"/>
          <w:szCs w:val="20"/>
        </w:rPr>
      </w:pPr>
      <w:proofErr w:type="spellStart"/>
      <w:r w:rsidRPr="0085109B">
        <w:rPr>
          <w:rFonts w:ascii="Arial" w:hAnsi="Arial" w:cs="Arial"/>
          <w:bCs/>
          <w:sz w:val="20"/>
          <w:szCs w:val="20"/>
        </w:rPr>
        <w:t>i</w:t>
      </w:r>
      <w:proofErr w:type="spellEnd"/>
      <w:r w:rsidRPr="0085109B">
        <w:rPr>
          <w:rFonts w:ascii="Arial" w:hAnsi="Arial" w:cs="Arial"/>
          <w:bCs/>
          <w:sz w:val="20"/>
          <w:szCs w:val="20"/>
        </w:rPr>
        <w:t xml:space="preserve">) Ý </w:t>
      </w:r>
      <w:proofErr w:type="spellStart"/>
      <w:r w:rsidRPr="0085109B">
        <w:rPr>
          <w:rFonts w:ascii="Arial" w:hAnsi="Arial" w:cs="Arial"/>
          <w:bCs/>
          <w:sz w:val="20"/>
          <w:szCs w:val="20"/>
        </w:rPr>
        <w:t>kiến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nhận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xét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của</w:t>
      </w:r>
      <w:proofErr w:type="spellEnd"/>
      <w:r w:rsidRPr="0085109B">
        <w:rPr>
          <w:rFonts w:ascii="Arial" w:hAnsi="Arial" w:cs="Arial"/>
          <w:bCs/>
          <w:sz w:val="20"/>
          <w:szCs w:val="20"/>
        </w:rPr>
        <w:t xml:space="preserve"> NHGS </w:t>
      </w:r>
      <w:proofErr w:type="spellStart"/>
      <w:r w:rsidRPr="0085109B">
        <w:rPr>
          <w:rFonts w:ascii="Arial" w:hAnsi="Arial" w:cs="Arial"/>
          <w:bCs/>
          <w:sz w:val="20"/>
          <w:szCs w:val="20"/>
        </w:rPr>
        <w:t>về</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các</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nội</w:t>
      </w:r>
      <w:proofErr w:type="spellEnd"/>
      <w:r w:rsidRPr="0085109B">
        <w:rPr>
          <w:rFonts w:ascii="Arial" w:hAnsi="Arial" w:cs="Arial"/>
          <w:bCs/>
          <w:sz w:val="20"/>
          <w:szCs w:val="20"/>
        </w:rPr>
        <w:t xml:space="preserve"> dung </w:t>
      </w:r>
      <w:proofErr w:type="spellStart"/>
      <w:r w:rsidRPr="0085109B">
        <w:rPr>
          <w:rFonts w:ascii="Arial" w:hAnsi="Arial" w:cs="Arial"/>
          <w:bCs/>
          <w:sz w:val="20"/>
          <w:szCs w:val="20"/>
        </w:rPr>
        <w:t>quy</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định</w:t>
      </w:r>
      <w:proofErr w:type="spellEnd"/>
      <w:r w:rsidRPr="0085109B">
        <w:rPr>
          <w:rFonts w:ascii="Arial" w:hAnsi="Arial" w:cs="Arial"/>
          <w:bCs/>
          <w:sz w:val="20"/>
          <w:szCs w:val="20"/>
        </w:rPr>
        <w:t xml:space="preserve"> Thông </w:t>
      </w:r>
      <w:proofErr w:type="spellStart"/>
      <w:r w:rsidRPr="0085109B">
        <w:rPr>
          <w:rFonts w:ascii="Arial" w:hAnsi="Arial" w:cs="Arial"/>
          <w:bCs/>
          <w:sz w:val="20"/>
          <w:szCs w:val="20"/>
        </w:rPr>
        <w:t>tư</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hướng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dẫn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về</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hoạt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động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và</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quản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lý</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các</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quỹ</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đầu</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tư</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chứng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khoán</w:t>
      </w:r>
      <w:proofErr w:type="spellEnd"/>
    </w:p>
    <w:p w14:paraId="4D791C11" w14:textId="12C15797" w:rsidR="00DF5E10" w:rsidRPr="00090DEF" w:rsidRDefault="0085109B" w:rsidP="0085109B">
      <w:pPr>
        <w:spacing w:line="360" w:lineRule="auto"/>
        <w:jc w:val="both"/>
        <w:rPr>
          <w:lang w:val="vi-VN"/>
        </w:rPr>
      </w:pPr>
      <w:r w:rsidRPr="0085109B">
        <w:rPr>
          <w:rFonts w:ascii="Arial" w:hAnsi="Arial" w:cs="Arial"/>
          <w:bCs/>
          <w:sz w:val="20"/>
          <w:szCs w:val="20"/>
        </w:rPr>
        <w:t xml:space="preserve"> Xin </w:t>
      </w:r>
      <w:proofErr w:type="spellStart"/>
      <w:r w:rsidRPr="0085109B">
        <w:rPr>
          <w:rFonts w:ascii="Arial" w:hAnsi="Arial" w:cs="Arial"/>
          <w:bCs/>
          <w:sz w:val="20"/>
          <w:szCs w:val="20"/>
        </w:rPr>
        <w:t>xem</w:t>
      </w:r>
      <w:proofErr w:type="spellEnd"/>
      <w:r w:rsidRPr="0085109B">
        <w:rPr>
          <w:rFonts w:ascii="Arial" w:hAnsi="Arial" w:cs="Arial"/>
          <w:bCs/>
          <w:sz w:val="20"/>
          <w:szCs w:val="20"/>
        </w:rPr>
        <w:t xml:space="preserve"> chi </w:t>
      </w:r>
      <w:proofErr w:type="spellStart"/>
      <w:r w:rsidRPr="0085109B">
        <w:rPr>
          <w:rFonts w:ascii="Arial" w:hAnsi="Arial" w:cs="Arial"/>
          <w:bCs/>
          <w:sz w:val="20"/>
          <w:szCs w:val="20"/>
        </w:rPr>
        <w:t>tiết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tại</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Mục</w:t>
      </w:r>
      <w:proofErr w:type="spellEnd"/>
      <w:r w:rsidRPr="0085109B">
        <w:rPr>
          <w:rFonts w:ascii="Arial" w:hAnsi="Arial" w:cs="Arial"/>
          <w:bCs/>
          <w:sz w:val="20"/>
          <w:szCs w:val="20"/>
        </w:rPr>
        <w:t xml:space="preserve"> 4. Báo </w:t>
      </w:r>
      <w:proofErr w:type="spellStart"/>
      <w:r w:rsidRPr="0085109B">
        <w:rPr>
          <w:rFonts w:ascii="Arial" w:hAnsi="Arial" w:cs="Arial"/>
          <w:bCs/>
          <w:sz w:val="20"/>
          <w:szCs w:val="20"/>
        </w:rPr>
        <w:t>cáo</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về</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hoạt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động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giám</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sát</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của</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ngân</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hàng</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giám</w:t>
      </w:r>
      <w:proofErr w:type="spellEnd"/>
      <w:r w:rsidRPr="0085109B">
        <w:rPr>
          <w:rFonts w:ascii="Arial" w:hAnsi="Arial" w:cs="Arial"/>
          <w:bCs/>
          <w:sz w:val="20"/>
          <w:szCs w:val="20"/>
        </w:rPr>
        <w:t xml:space="preserve"> </w:t>
      </w:r>
      <w:proofErr w:type="spellStart"/>
      <w:r w:rsidRPr="0085109B">
        <w:rPr>
          <w:rFonts w:ascii="Arial" w:hAnsi="Arial" w:cs="Arial"/>
          <w:bCs/>
          <w:sz w:val="20"/>
          <w:szCs w:val="20"/>
        </w:rPr>
        <w:t>sát</w:t>
      </w:r>
      <w:proofErr w:type="spellEnd"/>
      <w:r w:rsidRPr="0085109B">
        <w:rPr>
          <w:rFonts w:ascii="Arial" w:hAnsi="Arial" w:cs="Arial"/>
          <w:bCs/>
          <w:sz w:val="20"/>
          <w:szCs w:val="20"/>
        </w:rPr>
        <w:t>.</w:t>
      </w:r>
    </w:p>
    <w:p w14:paraId="3A368534" w14:textId="77777777" w:rsidR="00091432" w:rsidRPr="00090DEF" w:rsidRDefault="00091432" w:rsidP="003B09CD">
      <w:pPr>
        <w:pStyle w:val="ListParagraph"/>
        <w:numPr>
          <w:ilvl w:val="0"/>
          <w:numId w:val="25"/>
        </w:numPr>
        <w:tabs>
          <w:tab w:val="left" w:pos="270"/>
          <w:tab w:val="left" w:pos="1134"/>
        </w:tabs>
        <w:spacing w:before="120" w:after="120" w:line="240" w:lineRule="auto"/>
        <w:ind w:left="0" w:firstLine="0"/>
        <w:contextualSpacing w:val="0"/>
        <w:jc w:val="both"/>
        <w:rPr>
          <w:rFonts w:ascii="Arial" w:hAnsi="Arial" w:cs="Arial"/>
          <w:b/>
          <w:sz w:val="20"/>
          <w:szCs w:val="20"/>
          <w:lang w:val="vi-VN"/>
        </w:rPr>
      </w:pPr>
      <w:r w:rsidRPr="00090DEF">
        <w:rPr>
          <w:rFonts w:ascii="Arial" w:hAnsi="Arial" w:cs="Arial"/>
          <w:b/>
          <w:sz w:val="20"/>
          <w:szCs w:val="20"/>
          <w:lang w:val="vi-VN"/>
        </w:rPr>
        <w:t>Báo cáo về kết quả hoạt động của quỹ</w:t>
      </w:r>
    </w:p>
    <w:p w14:paraId="58A0EB3D" w14:textId="1B0A1476" w:rsidR="00091432" w:rsidRPr="00090DEF" w:rsidRDefault="00A11AAF" w:rsidP="00556831">
      <w:pPr>
        <w:pStyle w:val="ListParagraph"/>
        <w:numPr>
          <w:ilvl w:val="0"/>
          <w:numId w:val="29"/>
        </w:numPr>
        <w:tabs>
          <w:tab w:val="left" w:pos="270"/>
          <w:tab w:val="left" w:pos="1134"/>
        </w:tabs>
        <w:spacing w:before="120" w:after="120" w:line="240" w:lineRule="auto"/>
        <w:ind w:left="0" w:firstLine="0"/>
        <w:contextualSpacing w:val="0"/>
        <w:jc w:val="both"/>
        <w:rPr>
          <w:rFonts w:ascii="Arial" w:hAnsi="Arial" w:cs="Arial"/>
          <w:sz w:val="20"/>
          <w:szCs w:val="20"/>
          <w:lang w:val="vi-VN"/>
        </w:rPr>
      </w:pPr>
      <w:r w:rsidRPr="00090DEF">
        <w:rPr>
          <w:rFonts w:ascii="Arial" w:hAnsi="Arial" w:cs="Arial"/>
          <w:sz w:val="20"/>
          <w:szCs w:val="20"/>
          <w:lang w:val="vi-VN"/>
        </w:rPr>
        <w:t>T</w:t>
      </w:r>
      <w:r w:rsidR="00091432" w:rsidRPr="00090DEF">
        <w:rPr>
          <w:rFonts w:ascii="Arial" w:hAnsi="Arial" w:cs="Arial"/>
          <w:sz w:val="20"/>
          <w:szCs w:val="20"/>
          <w:lang w:val="vi-VN"/>
        </w:rPr>
        <w:t>hông tin về danh mục đầu tư và giá trị tài sản ròng của quỹ tại thời điểm 3</w:t>
      </w:r>
      <w:r w:rsidR="00966A09" w:rsidRPr="00090DEF">
        <w:rPr>
          <w:rFonts w:ascii="Arial" w:hAnsi="Arial" w:cs="Arial"/>
          <w:sz w:val="20"/>
          <w:szCs w:val="20"/>
          <w:lang w:val="vi-VN"/>
        </w:rPr>
        <w:t>1</w:t>
      </w:r>
      <w:r w:rsidR="00091432" w:rsidRPr="00090DEF">
        <w:rPr>
          <w:rFonts w:ascii="Arial" w:hAnsi="Arial" w:cs="Arial"/>
          <w:sz w:val="20"/>
          <w:szCs w:val="20"/>
          <w:lang w:val="vi-VN"/>
        </w:rPr>
        <w:t>/</w:t>
      </w:r>
      <w:r w:rsidR="00966A09" w:rsidRPr="00090DEF">
        <w:rPr>
          <w:rFonts w:ascii="Arial" w:hAnsi="Arial" w:cs="Arial"/>
          <w:sz w:val="20"/>
          <w:szCs w:val="20"/>
          <w:lang w:val="vi-VN"/>
        </w:rPr>
        <w:t>12</w:t>
      </w:r>
      <w:r w:rsidR="00091432" w:rsidRPr="00090DEF">
        <w:rPr>
          <w:rFonts w:ascii="Arial" w:hAnsi="Arial" w:cs="Arial"/>
          <w:sz w:val="20"/>
          <w:szCs w:val="20"/>
          <w:lang w:val="vi-VN"/>
        </w:rPr>
        <w:t xml:space="preserve"> của 3 năm gần nhấ</w:t>
      </w:r>
      <w:r w:rsidR="008111AC" w:rsidRPr="00090DEF">
        <w:rPr>
          <w:rFonts w:ascii="Arial" w:hAnsi="Arial" w:cs="Arial"/>
          <w:sz w:val="20"/>
          <w:szCs w:val="20"/>
          <w:lang w:val="vi-VN"/>
        </w:rPr>
        <w:t>t</w:t>
      </w:r>
      <w:r w:rsidR="00091432" w:rsidRPr="00090DEF">
        <w:rPr>
          <w:rFonts w:ascii="Arial" w:hAnsi="Arial" w:cs="Arial"/>
          <w:sz w:val="20"/>
          <w:szCs w:val="20"/>
          <w:lang w:val="vi-VN"/>
        </w:rPr>
        <w:t xml:space="preserve">: </w:t>
      </w:r>
    </w:p>
    <w:p w14:paraId="53F274BD" w14:textId="508DA08B" w:rsidR="00112822" w:rsidRPr="00294A2F" w:rsidRDefault="00091432" w:rsidP="00294A2F">
      <w:pPr>
        <w:pStyle w:val="ListParagraph"/>
        <w:numPr>
          <w:ilvl w:val="0"/>
          <w:numId w:val="27"/>
        </w:numPr>
        <w:tabs>
          <w:tab w:val="left" w:pos="270"/>
          <w:tab w:val="left" w:pos="1134"/>
        </w:tabs>
        <w:spacing w:before="120" w:after="0" w:line="240" w:lineRule="auto"/>
        <w:ind w:left="0" w:firstLine="0"/>
        <w:contextualSpacing w:val="0"/>
        <w:jc w:val="both"/>
        <w:rPr>
          <w:rFonts w:ascii="Arial" w:hAnsi="Arial" w:cs="Arial"/>
          <w:sz w:val="20"/>
          <w:szCs w:val="20"/>
          <w:lang w:val="vi-VN"/>
        </w:rPr>
      </w:pPr>
      <w:r w:rsidRPr="00112822">
        <w:rPr>
          <w:rFonts w:ascii="Arial" w:hAnsi="Arial" w:cs="Arial"/>
          <w:sz w:val="20"/>
          <w:szCs w:val="20"/>
          <w:lang w:val="vi-VN"/>
        </w:rPr>
        <w:t>Danh mục đầu tư của quỹ phân bố theo ngành, lĩnh vực và loại sản phẩm (cổ phiếu, trái phiếu…)</w:t>
      </w:r>
      <w:r w:rsidR="007A2A55" w:rsidRPr="00112822">
        <w:rPr>
          <w:rFonts w:ascii="Arial" w:hAnsi="Arial" w:cs="Arial"/>
          <w:sz w:val="20"/>
          <w:szCs w:val="20"/>
          <w:lang w:val="vi-VN"/>
        </w:rPr>
        <w:t xml:space="preserve"> tại ngày </w:t>
      </w:r>
      <w:r w:rsidR="00E7296F" w:rsidRPr="00112822">
        <w:rPr>
          <w:rFonts w:ascii="Arial" w:hAnsi="Arial" w:cs="Arial"/>
          <w:sz w:val="20"/>
          <w:szCs w:val="20"/>
          <w:lang w:val="vi-VN"/>
        </w:rPr>
        <w:t>3</w:t>
      </w:r>
      <w:r w:rsidR="00D923CC" w:rsidRPr="00112822">
        <w:rPr>
          <w:rFonts w:ascii="Arial" w:hAnsi="Arial" w:cs="Arial"/>
          <w:sz w:val="20"/>
          <w:szCs w:val="20"/>
          <w:lang w:val="vi-VN"/>
        </w:rPr>
        <w:t>1</w:t>
      </w:r>
      <w:r w:rsidR="00E7296F" w:rsidRPr="00112822">
        <w:rPr>
          <w:rFonts w:ascii="Arial" w:hAnsi="Arial" w:cs="Arial"/>
          <w:sz w:val="20"/>
          <w:szCs w:val="20"/>
          <w:lang w:val="vi-VN"/>
        </w:rPr>
        <w:t>/</w:t>
      </w:r>
      <w:r w:rsidR="00D923CC" w:rsidRPr="00112822">
        <w:rPr>
          <w:rFonts w:ascii="Arial" w:hAnsi="Arial" w:cs="Arial"/>
          <w:sz w:val="20"/>
          <w:szCs w:val="20"/>
          <w:lang w:val="vi-VN"/>
        </w:rPr>
        <w:t>12</w:t>
      </w:r>
      <w:r w:rsidR="00E7296F" w:rsidRPr="00112822">
        <w:rPr>
          <w:rFonts w:ascii="Arial" w:hAnsi="Arial" w:cs="Arial"/>
          <w:sz w:val="20"/>
          <w:szCs w:val="20"/>
          <w:lang w:val="vi-VN"/>
        </w:rPr>
        <w:t>/202</w:t>
      </w:r>
      <w:r w:rsidR="00112822" w:rsidRPr="00112822">
        <w:rPr>
          <w:rFonts w:ascii="Arial" w:hAnsi="Arial" w:cs="Arial"/>
          <w:sz w:val="20"/>
          <w:szCs w:val="20"/>
          <w:lang w:val="vi-VN"/>
        </w:rPr>
        <w:t>3</w:t>
      </w:r>
      <w:r w:rsidR="007A2A55" w:rsidRPr="00112822">
        <w:rPr>
          <w:rFonts w:ascii="Arial" w:hAnsi="Arial" w:cs="Arial"/>
          <w:sz w:val="20"/>
          <w:szCs w:val="20"/>
          <w:lang w:val="vi-VN"/>
        </w:rPr>
        <w:t xml:space="preserve"> gồm</w:t>
      </w:r>
      <w:r w:rsidR="002F03A9" w:rsidRPr="00112822">
        <w:rPr>
          <w:rFonts w:ascii="Arial" w:hAnsi="Arial" w:cs="Arial"/>
          <w:sz w:val="20"/>
          <w:szCs w:val="20"/>
          <w:lang w:val="vi-VN"/>
        </w:rPr>
        <w:t xml:space="preserve">: </w:t>
      </w:r>
    </w:p>
    <w:p w14:paraId="5F56DC11" w14:textId="77777777" w:rsidR="00294A2F" w:rsidRPr="00294A2F" w:rsidRDefault="00294A2F" w:rsidP="00294A2F">
      <w:pPr>
        <w:tabs>
          <w:tab w:val="left" w:pos="270"/>
          <w:tab w:val="left" w:pos="1134"/>
        </w:tabs>
        <w:spacing w:before="120" w:after="0" w:line="240" w:lineRule="auto"/>
        <w:jc w:val="both"/>
        <w:rPr>
          <w:rFonts w:ascii="Arial" w:hAnsi="Arial" w:cs="Arial"/>
          <w:sz w:val="20"/>
          <w:szCs w:val="20"/>
          <w:lang w:val="vi-VN"/>
        </w:rPr>
      </w:pPr>
    </w:p>
    <w:tbl>
      <w:tblPr>
        <w:tblW w:w="9503" w:type="dxa"/>
        <w:tblLayout w:type="fixed"/>
        <w:tblLook w:val="04A0" w:firstRow="1" w:lastRow="0" w:firstColumn="1" w:lastColumn="0" w:noHBand="0" w:noVBand="1"/>
      </w:tblPr>
      <w:tblGrid>
        <w:gridCol w:w="890"/>
        <w:gridCol w:w="2349"/>
        <w:gridCol w:w="2237"/>
        <w:gridCol w:w="2058"/>
        <w:gridCol w:w="1969"/>
      </w:tblGrid>
      <w:tr w:rsidR="00090DEF" w:rsidRPr="00294A2F" w14:paraId="23DBE8AE" w14:textId="77777777" w:rsidTr="00294A2F">
        <w:trPr>
          <w:trHeight w:val="123"/>
        </w:trPr>
        <w:tc>
          <w:tcPr>
            <w:tcW w:w="89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702303A" w14:textId="77777777" w:rsidR="00090DEF" w:rsidRPr="00294A2F" w:rsidRDefault="00090DEF" w:rsidP="00090DEF">
            <w:pPr>
              <w:spacing w:after="0" w:line="240" w:lineRule="auto"/>
              <w:jc w:val="both"/>
              <w:rPr>
                <w:rFonts w:ascii="Arial" w:eastAsia="Times New Roman" w:hAnsi="Arial" w:cs="Arial"/>
                <w:b/>
                <w:bCs/>
                <w:color w:val="000000"/>
                <w:sz w:val="20"/>
                <w:szCs w:val="20"/>
              </w:rPr>
            </w:pPr>
            <w:r w:rsidRPr="00294A2F">
              <w:rPr>
                <w:rFonts w:ascii="Arial" w:eastAsia="Times New Roman" w:hAnsi="Arial" w:cs="Arial"/>
                <w:b/>
                <w:bCs/>
                <w:color w:val="000000"/>
                <w:sz w:val="20"/>
                <w:szCs w:val="20"/>
                <w:lang w:val="vi-VN"/>
              </w:rPr>
              <w:t>STT</w:t>
            </w:r>
          </w:p>
        </w:tc>
        <w:tc>
          <w:tcPr>
            <w:tcW w:w="2349" w:type="dxa"/>
            <w:tcBorders>
              <w:top w:val="single" w:sz="4" w:space="0" w:color="auto"/>
              <w:left w:val="nil"/>
              <w:bottom w:val="single" w:sz="4" w:space="0" w:color="auto"/>
              <w:right w:val="single" w:sz="4" w:space="0" w:color="auto"/>
            </w:tcBorders>
            <w:shd w:val="clear" w:color="auto" w:fill="FFC000"/>
            <w:noWrap/>
            <w:vAlign w:val="center"/>
            <w:hideMark/>
          </w:tcPr>
          <w:p w14:paraId="7A00E1E1" w14:textId="77777777" w:rsidR="00090DEF" w:rsidRPr="00294A2F" w:rsidRDefault="00090DEF" w:rsidP="00090DEF">
            <w:pPr>
              <w:spacing w:after="0" w:line="240" w:lineRule="auto"/>
              <w:jc w:val="both"/>
              <w:rPr>
                <w:rFonts w:ascii="Arial" w:eastAsia="Times New Roman" w:hAnsi="Arial" w:cs="Arial"/>
                <w:b/>
                <w:bCs/>
                <w:color w:val="000000"/>
                <w:sz w:val="20"/>
                <w:szCs w:val="20"/>
              </w:rPr>
            </w:pPr>
            <w:r w:rsidRPr="00294A2F">
              <w:rPr>
                <w:rFonts w:ascii="Arial" w:eastAsia="Times New Roman" w:hAnsi="Arial" w:cs="Arial"/>
                <w:b/>
                <w:bCs/>
                <w:color w:val="000000"/>
                <w:sz w:val="20"/>
                <w:szCs w:val="20"/>
                <w:lang w:val="vi-VN"/>
              </w:rPr>
              <w:t xml:space="preserve">Chỉ tiêu </w:t>
            </w:r>
          </w:p>
        </w:tc>
        <w:tc>
          <w:tcPr>
            <w:tcW w:w="2237" w:type="dxa"/>
            <w:tcBorders>
              <w:top w:val="single" w:sz="4" w:space="0" w:color="auto"/>
              <w:left w:val="nil"/>
              <w:bottom w:val="single" w:sz="4" w:space="0" w:color="auto"/>
              <w:right w:val="single" w:sz="4" w:space="0" w:color="auto"/>
            </w:tcBorders>
            <w:shd w:val="clear" w:color="auto" w:fill="FFC000"/>
            <w:vAlign w:val="center"/>
            <w:hideMark/>
          </w:tcPr>
          <w:p w14:paraId="0EE67984" w14:textId="1A62FC5C" w:rsidR="00090DEF" w:rsidRPr="00294A2F" w:rsidRDefault="00090DEF" w:rsidP="006E5A95">
            <w:pPr>
              <w:spacing w:after="0" w:line="240" w:lineRule="auto"/>
              <w:jc w:val="right"/>
              <w:rPr>
                <w:rFonts w:ascii="Arial" w:eastAsia="Times New Roman" w:hAnsi="Arial" w:cs="Arial"/>
                <w:b/>
                <w:bCs/>
                <w:color w:val="000000"/>
                <w:sz w:val="20"/>
                <w:szCs w:val="20"/>
              </w:rPr>
            </w:pPr>
            <w:r w:rsidRPr="00294A2F">
              <w:rPr>
                <w:rFonts w:ascii="Arial" w:eastAsia="Times New Roman" w:hAnsi="Arial" w:cs="Arial"/>
                <w:b/>
                <w:bCs/>
                <w:color w:val="000000"/>
                <w:sz w:val="20"/>
                <w:szCs w:val="20"/>
              </w:rPr>
              <w:t>31/12/2023</w:t>
            </w:r>
          </w:p>
        </w:tc>
        <w:tc>
          <w:tcPr>
            <w:tcW w:w="2058" w:type="dxa"/>
            <w:tcBorders>
              <w:top w:val="single" w:sz="4" w:space="0" w:color="auto"/>
              <w:left w:val="nil"/>
              <w:bottom w:val="single" w:sz="4" w:space="0" w:color="auto"/>
              <w:right w:val="single" w:sz="4" w:space="0" w:color="auto"/>
            </w:tcBorders>
            <w:shd w:val="clear" w:color="auto" w:fill="FFC000"/>
            <w:noWrap/>
            <w:vAlign w:val="center"/>
            <w:hideMark/>
          </w:tcPr>
          <w:p w14:paraId="3AD06B56" w14:textId="351B58A3" w:rsidR="00090DEF" w:rsidRPr="00294A2F" w:rsidRDefault="00090DEF" w:rsidP="006E5A95">
            <w:pPr>
              <w:spacing w:after="0" w:line="240" w:lineRule="auto"/>
              <w:jc w:val="right"/>
              <w:rPr>
                <w:rFonts w:ascii="Arial" w:eastAsia="Times New Roman" w:hAnsi="Arial" w:cs="Arial"/>
                <w:b/>
                <w:bCs/>
                <w:color w:val="000000"/>
                <w:sz w:val="20"/>
                <w:szCs w:val="20"/>
              </w:rPr>
            </w:pPr>
            <w:r w:rsidRPr="00294A2F">
              <w:rPr>
                <w:rFonts w:ascii="Arial" w:eastAsia="Times New Roman" w:hAnsi="Arial" w:cs="Arial"/>
                <w:b/>
                <w:bCs/>
                <w:color w:val="000000"/>
                <w:sz w:val="20"/>
                <w:szCs w:val="20"/>
              </w:rPr>
              <w:t>31/12/2022</w:t>
            </w:r>
          </w:p>
        </w:tc>
        <w:tc>
          <w:tcPr>
            <w:tcW w:w="1969" w:type="dxa"/>
            <w:tcBorders>
              <w:top w:val="single" w:sz="4" w:space="0" w:color="auto"/>
              <w:left w:val="nil"/>
              <w:bottom w:val="single" w:sz="4" w:space="0" w:color="auto"/>
              <w:right w:val="single" w:sz="4" w:space="0" w:color="auto"/>
            </w:tcBorders>
            <w:shd w:val="clear" w:color="auto" w:fill="FFC000"/>
            <w:noWrap/>
            <w:vAlign w:val="center"/>
            <w:hideMark/>
          </w:tcPr>
          <w:p w14:paraId="68B2866D" w14:textId="11F862D6" w:rsidR="00090DEF" w:rsidRPr="00294A2F" w:rsidRDefault="00090DEF" w:rsidP="006E5A95">
            <w:pPr>
              <w:spacing w:after="0" w:line="240" w:lineRule="auto"/>
              <w:jc w:val="right"/>
              <w:rPr>
                <w:rFonts w:ascii="Arial" w:eastAsia="Times New Roman" w:hAnsi="Arial" w:cs="Arial"/>
                <w:b/>
                <w:bCs/>
                <w:color w:val="000000"/>
                <w:sz w:val="20"/>
                <w:szCs w:val="20"/>
              </w:rPr>
            </w:pPr>
            <w:r w:rsidRPr="00294A2F">
              <w:rPr>
                <w:rFonts w:ascii="Arial" w:eastAsia="Times New Roman" w:hAnsi="Arial" w:cs="Arial"/>
                <w:b/>
                <w:bCs/>
                <w:color w:val="000000"/>
                <w:sz w:val="20"/>
                <w:szCs w:val="20"/>
              </w:rPr>
              <w:t>31/12/2021</w:t>
            </w:r>
          </w:p>
        </w:tc>
      </w:tr>
      <w:tr w:rsidR="00090DEF" w:rsidRPr="00294A2F" w14:paraId="4937763F" w14:textId="77777777" w:rsidTr="00294A2F">
        <w:trPr>
          <w:trHeight w:val="269"/>
        </w:trPr>
        <w:tc>
          <w:tcPr>
            <w:tcW w:w="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7A0FF6" w14:textId="77777777" w:rsidR="00090DEF" w:rsidRPr="00294A2F" w:rsidRDefault="00090DEF" w:rsidP="006E5A95">
            <w:pPr>
              <w:spacing w:after="0" w:line="240" w:lineRule="auto"/>
              <w:jc w:val="center"/>
              <w:rPr>
                <w:rFonts w:ascii="Arial" w:eastAsia="Times New Roman" w:hAnsi="Arial" w:cs="Arial"/>
                <w:color w:val="000000"/>
                <w:sz w:val="20"/>
                <w:szCs w:val="20"/>
              </w:rPr>
            </w:pPr>
            <w:r w:rsidRPr="00294A2F">
              <w:rPr>
                <w:rFonts w:ascii="Arial" w:eastAsia="Times New Roman" w:hAnsi="Arial" w:cs="Arial"/>
                <w:color w:val="000000"/>
                <w:sz w:val="20"/>
                <w:szCs w:val="20"/>
              </w:rPr>
              <w:t>1</w:t>
            </w:r>
          </w:p>
        </w:tc>
        <w:tc>
          <w:tcPr>
            <w:tcW w:w="2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32569" w14:textId="77777777" w:rsidR="00090DEF" w:rsidRPr="00294A2F" w:rsidRDefault="00090DEF" w:rsidP="006E5A95">
            <w:pPr>
              <w:spacing w:after="0" w:line="240" w:lineRule="auto"/>
              <w:rPr>
                <w:rFonts w:ascii="Arial" w:eastAsia="Times New Roman" w:hAnsi="Arial" w:cs="Arial"/>
                <w:color w:val="000000"/>
                <w:sz w:val="20"/>
                <w:szCs w:val="20"/>
              </w:rPr>
            </w:pPr>
            <w:r w:rsidRPr="00294A2F">
              <w:rPr>
                <w:rFonts w:ascii="Arial" w:eastAsia="Times New Roman" w:hAnsi="Arial" w:cs="Arial"/>
                <w:color w:val="000000"/>
                <w:sz w:val="20"/>
                <w:szCs w:val="20"/>
                <w:lang w:val="vi-VN"/>
              </w:rPr>
              <w:t>Trái phiếu</w:t>
            </w:r>
          </w:p>
        </w:tc>
        <w:tc>
          <w:tcPr>
            <w:tcW w:w="2237" w:type="dxa"/>
            <w:vMerge w:val="restart"/>
            <w:tcBorders>
              <w:top w:val="nil"/>
              <w:left w:val="single" w:sz="4" w:space="0" w:color="auto"/>
              <w:bottom w:val="single" w:sz="4" w:space="0" w:color="auto"/>
              <w:right w:val="single" w:sz="4" w:space="0" w:color="auto"/>
            </w:tcBorders>
            <w:shd w:val="clear" w:color="auto" w:fill="auto"/>
            <w:vAlign w:val="center"/>
          </w:tcPr>
          <w:p w14:paraId="252A587D" w14:textId="62580560" w:rsidR="00090DEF" w:rsidRPr="00294A2F" w:rsidRDefault="00C63680" w:rsidP="00294A2F">
            <w:pPr>
              <w:spacing w:after="0" w:line="240" w:lineRule="auto"/>
              <w:jc w:val="right"/>
              <w:rPr>
                <w:rFonts w:ascii="Arial" w:hAnsi="Arial" w:cs="Arial"/>
                <w:color w:val="000000"/>
                <w:sz w:val="20"/>
                <w:szCs w:val="20"/>
              </w:rPr>
            </w:pPr>
            <w:r w:rsidRPr="00294A2F">
              <w:rPr>
                <w:rFonts w:ascii="Arial" w:hAnsi="Arial" w:cs="Arial"/>
                <w:color w:val="000000"/>
                <w:sz w:val="20"/>
                <w:szCs w:val="20"/>
              </w:rPr>
              <w:t>377.594.675.142</w:t>
            </w:r>
          </w:p>
        </w:tc>
        <w:tc>
          <w:tcPr>
            <w:tcW w:w="2058" w:type="dxa"/>
            <w:vMerge w:val="restart"/>
            <w:tcBorders>
              <w:top w:val="nil"/>
              <w:left w:val="single" w:sz="4" w:space="0" w:color="auto"/>
              <w:bottom w:val="single" w:sz="4" w:space="0" w:color="000000"/>
              <w:right w:val="single" w:sz="4" w:space="0" w:color="auto"/>
            </w:tcBorders>
            <w:shd w:val="clear" w:color="auto" w:fill="auto"/>
            <w:noWrap/>
            <w:vAlign w:val="center"/>
          </w:tcPr>
          <w:p w14:paraId="649169A8" w14:textId="75242C05" w:rsidR="00090DEF" w:rsidRPr="00294A2F" w:rsidRDefault="00090DEF" w:rsidP="00294A2F">
            <w:pPr>
              <w:spacing w:after="0" w:line="240" w:lineRule="auto"/>
              <w:jc w:val="right"/>
              <w:rPr>
                <w:rFonts w:ascii="Arial" w:hAnsi="Arial" w:cs="Arial"/>
                <w:color w:val="000000"/>
                <w:sz w:val="20"/>
                <w:szCs w:val="20"/>
              </w:rPr>
            </w:pPr>
            <w:r w:rsidRPr="00294A2F">
              <w:rPr>
                <w:rFonts w:ascii="Arial" w:hAnsi="Arial" w:cs="Arial"/>
                <w:sz w:val="20"/>
                <w:szCs w:val="20"/>
              </w:rPr>
              <w:t>310.798.460.703</w:t>
            </w:r>
          </w:p>
        </w:tc>
        <w:tc>
          <w:tcPr>
            <w:tcW w:w="1969" w:type="dxa"/>
            <w:vMerge w:val="restart"/>
            <w:tcBorders>
              <w:top w:val="nil"/>
              <w:left w:val="single" w:sz="4" w:space="0" w:color="auto"/>
              <w:bottom w:val="single" w:sz="4" w:space="0" w:color="000000"/>
              <w:right w:val="single" w:sz="4" w:space="0" w:color="auto"/>
            </w:tcBorders>
            <w:shd w:val="clear" w:color="auto" w:fill="auto"/>
            <w:noWrap/>
            <w:vAlign w:val="center"/>
          </w:tcPr>
          <w:p w14:paraId="00F4636B" w14:textId="77777777" w:rsidR="00090DEF" w:rsidRPr="00294A2F" w:rsidRDefault="00090DEF" w:rsidP="00294A2F">
            <w:pPr>
              <w:spacing w:after="0" w:line="240" w:lineRule="auto"/>
              <w:jc w:val="right"/>
              <w:rPr>
                <w:rFonts w:ascii="Arial" w:hAnsi="Arial" w:cs="Arial"/>
                <w:color w:val="000000"/>
                <w:sz w:val="20"/>
                <w:szCs w:val="20"/>
              </w:rPr>
            </w:pPr>
            <w:r w:rsidRPr="00294A2F">
              <w:rPr>
                <w:rFonts w:ascii="Arial" w:hAnsi="Arial" w:cs="Arial"/>
                <w:sz w:val="20"/>
                <w:szCs w:val="20"/>
              </w:rPr>
              <w:t>509.023.498.166</w:t>
            </w:r>
          </w:p>
          <w:p w14:paraId="398F4ADB" w14:textId="1444EF22" w:rsidR="00090DEF" w:rsidRPr="00294A2F" w:rsidRDefault="00090DEF" w:rsidP="00294A2F">
            <w:pPr>
              <w:spacing w:after="0" w:line="240" w:lineRule="auto"/>
              <w:jc w:val="right"/>
              <w:rPr>
                <w:rFonts w:ascii="Arial" w:hAnsi="Arial" w:cs="Arial"/>
                <w:color w:val="000000"/>
                <w:sz w:val="20"/>
                <w:szCs w:val="20"/>
              </w:rPr>
            </w:pPr>
          </w:p>
        </w:tc>
      </w:tr>
      <w:tr w:rsidR="00090DEF" w:rsidRPr="00294A2F" w14:paraId="2314DE7C" w14:textId="77777777" w:rsidTr="00294A2F">
        <w:trPr>
          <w:trHeight w:val="269"/>
        </w:trPr>
        <w:tc>
          <w:tcPr>
            <w:tcW w:w="890" w:type="dxa"/>
            <w:vMerge/>
            <w:tcBorders>
              <w:top w:val="nil"/>
              <w:left w:val="single" w:sz="4" w:space="0" w:color="auto"/>
              <w:bottom w:val="single" w:sz="4" w:space="0" w:color="auto"/>
              <w:right w:val="single" w:sz="4" w:space="0" w:color="auto"/>
            </w:tcBorders>
            <w:vAlign w:val="center"/>
            <w:hideMark/>
          </w:tcPr>
          <w:p w14:paraId="6FC01BB0" w14:textId="77777777" w:rsidR="00090DEF" w:rsidRPr="00294A2F" w:rsidRDefault="00090DEF" w:rsidP="006E5A95">
            <w:pPr>
              <w:spacing w:after="0" w:line="240" w:lineRule="auto"/>
              <w:jc w:val="center"/>
              <w:rPr>
                <w:rFonts w:ascii="Arial" w:eastAsia="Times New Roman" w:hAnsi="Arial" w:cs="Arial"/>
                <w:color w:val="000000"/>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14:paraId="37F30FBF" w14:textId="77777777" w:rsidR="00090DEF" w:rsidRPr="00294A2F" w:rsidRDefault="00090DEF" w:rsidP="006E5A95">
            <w:pPr>
              <w:spacing w:after="0" w:line="240" w:lineRule="auto"/>
              <w:rPr>
                <w:rFonts w:ascii="Arial" w:eastAsia="Times New Roman" w:hAnsi="Arial" w:cs="Arial"/>
                <w:color w:val="000000"/>
                <w:sz w:val="20"/>
                <w:szCs w:val="20"/>
              </w:rPr>
            </w:pPr>
          </w:p>
        </w:tc>
        <w:tc>
          <w:tcPr>
            <w:tcW w:w="2237" w:type="dxa"/>
            <w:vMerge/>
            <w:tcBorders>
              <w:top w:val="nil"/>
              <w:left w:val="single" w:sz="4" w:space="0" w:color="auto"/>
              <w:bottom w:val="single" w:sz="4" w:space="0" w:color="auto"/>
              <w:right w:val="single" w:sz="4" w:space="0" w:color="auto"/>
            </w:tcBorders>
            <w:vAlign w:val="center"/>
          </w:tcPr>
          <w:p w14:paraId="02AFDFF1" w14:textId="77777777" w:rsidR="00090DEF" w:rsidRPr="00294A2F" w:rsidRDefault="00090DEF" w:rsidP="00294A2F">
            <w:pPr>
              <w:spacing w:after="0" w:line="240" w:lineRule="auto"/>
              <w:jc w:val="right"/>
              <w:rPr>
                <w:rFonts w:ascii="Arial" w:hAnsi="Arial" w:cs="Arial"/>
                <w:color w:val="000000"/>
                <w:sz w:val="20"/>
                <w:szCs w:val="20"/>
              </w:rPr>
            </w:pPr>
          </w:p>
        </w:tc>
        <w:tc>
          <w:tcPr>
            <w:tcW w:w="2058" w:type="dxa"/>
            <w:vMerge/>
            <w:tcBorders>
              <w:top w:val="nil"/>
              <w:left w:val="single" w:sz="4" w:space="0" w:color="auto"/>
              <w:bottom w:val="single" w:sz="4" w:space="0" w:color="000000"/>
              <w:right w:val="single" w:sz="4" w:space="0" w:color="auto"/>
            </w:tcBorders>
            <w:vAlign w:val="center"/>
          </w:tcPr>
          <w:p w14:paraId="302ED3F4" w14:textId="77777777" w:rsidR="00090DEF" w:rsidRPr="00294A2F" w:rsidRDefault="00090DEF" w:rsidP="00294A2F">
            <w:pPr>
              <w:spacing w:after="0" w:line="240" w:lineRule="auto"/>
              <w:jc w:val="right"/>
              <w:rPr>
                <w:rFonts w:ascii="Arial" w:hAnsi="Arial" w:cs="Arial"/>
                <w:color w:val="000000"/>
                <w:sz w:val="20"/>
                <w:szCs w:val="20"/>
              </w:rPr>
            </w:pPr>
          </w:p>
        </w:tc>
        <w:tc>
          <w:tcPr>
            <w:tcW w:w="1969" w:type="dxa"/>
            <w:vMerge/>
            <w:tcBorders>
              <w:top w:val="nil"/>
              <w:left w:val="single" w:sz="4" w:space="0" w:color="auto"/>
              <w:bottom w:val="single" w:sz="4" w:space="0" w:color="000000"/>
              <w:right w:val="single" w:sz="4" w:space="0" w:color="auto"/>
            </w:tcBorders>
            <w:vAlign w:val="center"/>
          </w:tcPr>
          <w:p w14:paraId="0F86025A" w14:textId="77777777" w:rsidR="00090DEF" w:rsidRPr="00294A2F" w:rsidRDefault="00090DEF" w:rsidP="00294A2F">
            <w:pPr>
              <w:spacing w:after="0" w:line="240" w:lineRule="auto"/>
              <w:jc w:val="right"/>
              <w:rPr>
                <w:rFonts w:ascii="Arial" w:hAnsi="Arial" w:cs="Arial"/>
                <w:color w:val="000000"/>
                <w:sz w:val="20"/>
                <w:szCs w:val="20"/>
              </w:rPr>
            </w:pPr>
          </w:p>
        </w:tc>
      </w:tr>
      <w:tr w:rsidR="00090DEF" w:rsidRPr="00294A2F" w14:paraId="52A4DEA6" w14:textId="77777777" w:rsidTr="00294A2F">
        <w:trPr>
          <w:trHeight w:val="206"/>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72A7FFD4" w14:textId="77777777" w:rsidR="00090DEF" w:rsidRPr="00294A2F" w:rsidRDefault="00090DEF" w:rsidP="006E5A95">
            <w:pPr>
              <w:spacing w:after="0" w:line="240" w:lineRule="auto"/>
              <w:jc w:val="center"/>
              <w:rPr>
                <w:rFonts w:ascii="Arial" w:eastAsia="Times New Roman" w:hAnsi="Arial" w:cs="Arial"/>
                <w:color w:val="000000"/>
                <w:sz w:val="20"/>
                <w:szCs w:val="20"/>
              </w:rPr>
            </w:pPr>
            <w:r w:rsidRPr="00294A2F">
              <w:rPr>
                <w:rFonts w:ascii="Arial" w:eastAsia="Times New Roman" w:hAnsi="Arial" w:cs="Arial"/>
                <w:color w:val="000000"/>
                <w:sz w:val="20"/>
                <w:szCs w:val="20"/>
              </w:rPr>
              <w:t>2</w:t>
            </w:r>
          </w:p>
        </w:tc>
        <w:tc>
          <w:tcPr>
            <w:tcW w:w="2349" w:type="dxa"/>
            <w:tcBorders>
              <w:top w:val="nil"/>
              <w:left w:val="nil"/>
              <w:bottom w:val="single" w:sz="4" w:space="0" w:color="auto"/>
              <w:right w:val="single" w:sz="4" w:space="0" w:color="auto"/>
            </w:tcBorders>
            <w:shd w:val="clear" w:color="auto" w:fill="auto"/>
            <w:noWrap/>
            <w:vAlign w:val="center"/>
            <w:hideMark/>
          </w:tcPr>
          <w:p w14:paraId="320E5E7A" w14:textId="77777777" w:rsidR="00090DEF" w:rsidRPr="00294A2F" w:rsidRDefault="00090DEF" w:rsidP="006E5A95">
            <w:pPr>
              <w:spacing w:after="0" w:line="240" w:lineRule="auto"/>
              <w:rPr>
                <w:rFonts w:ascii="Arial" w:eastAsia="Times New Roman" w:hAnsi="Arial" w:cs="Arial"/>
                <w:color w:val="000000"/>
                <w:sz w:val="20"/>
                <w:szCs w:val="20"/>
              </w:rPr>
            </w:pPr>
            <w:proofErr w:type="spellStart"/>
            <w:r w:rsidRPr="00294A2F">
              <w:rPr>
                <w:rFonts w:ascii="Arial" w:eastAsia="Times New Roman" w:hAnsi="Arial" w:cs="Arial"/>
                <w:color w:val="000000"/>
                <w:sz w:val="20"/>
                <w:szCs w:val="20"/>
              </w:rPr>
              <w:t>Chứng</w:t>
            </w:r>
            <w:proofErr w:type="spellEnd"/>
            <w:r w:rsidRPr="00294A2F">
              <w:rPr>
                <w:rFonts w:ascii="Arial" w:eastAsia="Times New Roman" w:hAnsi="Arial" w:cs="Arial"/>
                <w:color w:val="000000"/>
                <w:sz w:val="20"/>
                <w:szCs w:val="20"/>
              </w:rPr>
              <w:t xml:space="preserve"> </w:t>
            </w:r>
            <w:proofErr w:type="spellStart"/>
            <w:r w:rsidRPr="00294A2F">
              <w:rPr>
                <w:rFonts w:ascii="Arial" w:eastAsia="Times New Roman" w:hAnsi="Arial" w:cs="Arial"/>
                <w:color w:val="000000"/>
                <w:sz w:val="20"/>
                <w:szCs w:val="20"/>
              </w:rPr>
              <w:t>chỉ</w:t>
            </w:r>
            <w:proofErr w:type="spellEnd"/>
            <w:r w:rsidRPr="00294A2F">
              <w:rPr>
                <w:rFonts w:ascii="Arial" w:eastAsia="Times New Roman" w:hAnsi="Arial" w:cs="Arial"/>
                <w:color w:val="000000"/>
                <w:sz w:val="20"/>
                <w:szCs w:val="20"/>
              </w:rPr>
              <w:t xml:space="preserve"> </w:t>
            </w:r>
            <w:proofErr w:type="spellStart"/>
            <w:r w:rsidRPr="00294A2F">
              <w:rPr>
                <w:rFonts w:ascii="Arial" w:eastAsia="Times New Roman" w:hAnsi="Arial" w:cs="Arial"/>
                <w:color w:val="000000"/>
                <w:sz w:val="20"/>
                <w:szCs w:val="20"/>
              </w:rPr>
              <w:t>tiền</w:t>
            </w:r>
            <w:proofErr w:type="spellEnd"/>
            <w:r w:rsidRPr="00294A2F">
              <w:rPr>
                <w:rFonts w:ascii="Arial" w:eastAsia="Times New Roman" w:hAnsi="Arial" w:cs="Arial"/>
                <w:color w:val="000000"/>
                <w:sz w:val="20"/>
                <w:szCs w:val="20"/>
              </w:rPr>
              <w:t xml:space="preserve"> </w:t>
            </w:r>
            <w:proofErr w:type="spellStart"/>
            <w:r w:rsidRPr="00294A2F">
              <w:rPr>
                <w:rFonts w:ascii="Arial" w:eastAsia="Times New Roman" w:hAnsi="Arial" w:cs="Arial"/>
                <w:color w:val="000000"/>
                <w:sz w:val="20"/>
                <w:szCs w:val="20"/>
              </w:rPr>
              <w:t>gửi</w:t>
            </w:r>
            <w:proofErr w:type="spellEnd"/>
          </w:p>
        </w:tc>
        <w:tc>
          <w:tcPr>
            <w:tcW w:w="2237" w:type="dxa"/>
            <w:tcBorders>
              <w:top w:val="nil"/>
              <w:left w:val="nil"/>
              <w:bottom w:val="single" w:sz="4" w:space="0" w:color="auto"/>
              <w:right w:val="single" w:sz="4" w:space="0" w:color="auto"/>
            </w:tcBorders>
            <w:shd w:val="clear" w:color="auto" w:fill="auto"/>
            <w:vAlign w:val="center"/>
          </w:tcPr>
          <w:p w14:paraId="6C4B4EE7" w14:textId="54F10F9B" w:rsidR="00090DEF" w:rsidRPr="00294A2F" w:rsidRDefault="00CF52AB" w:rsidP="00294A2F">
            <w:pPr>
              <w:spacing w:after="0" w:line="240" w:lineRule="auto"/>
              <w:jc w:val="right"/>
              <w:rPr>
                <w:rFonts w:ascii="Arial" w:hAnsi="Arial" w:cs="Arial"/>
                <w:color w:val="000000"/>
                <w:sz w:val="20"/>
                <w:szCs w:val="20"/>
              </w:rPr>
            </w:pPr>
            <w:r w:rsidRPr="00294A2F">
              <w:rPr>
                <w:rFonts w:ascii="Arial" w:hAnsi="Arial" w:cs="Arial"/>
                <w:color w:val="000000"/>
                <w:sz w:val="20"/>
                <w:szCs w:val="20"/>
              </w:rPr>
              <w:t>35.000.000.000</w:t>
            </w:r>
          </w:p>
        </w:tc>
        <w:tc>
          <w:tcPr>
            <w:tcW w:w="2058" w:type="dxa"/>
            <w:tcBorders>
              <w:top w:val="nil"/>
              <w:left w:val="nil"/>
              <w:bottom w:val="single" w:sz="4" w:space="0" w:color="auto"/>
              <w:right w:val="single" w:sz="4" w:space="0" w:color="auto"/>
            </w:tcBorders>
            <w:shd w:val="clear" w:color="auto" w:fill="auto"/>
            <w:noWrap/>
            <w:vAlign w:val="center"/>
          </w:tcPr>
          <w:p w14:paraId="201ED2EE" w14:textId="796C54A2" w:rsidR="00090DEF" w:rsidRPr="00294A2F" w:rsidRDefault="00090DEF" w:rsidP="00294A2F">
            <w:pPr>
              <w:spacing w:after="0" w:line="240" w:lineRule="auto"/>
              <w:jc w:val="right"/>
              <w:rPr>
                <w:rFonts w:ascii="Arial" w:hAnsi="Arial" w:cs="Arial"/>
                <w:color w:val="000000"/>
                <w:sz w:val="20"/>
                <w:szCs w:val="20"/>
              </w:rPr>
            </w:pPr>
            <w:r w:rsidRPr="00294A2F">
              <w:rPr>
                <w:rFonts w:ascii="Arial" w:hAnsi="Arial" w:cs="Arial"/>
                <w:sz w:val="20"/>
                <w:szCs w:val="20"/>
              </w:rPr>
              <w:t>-</w:t>
            </w:r>
          </w:p>
        </w:tc>
        <w:tc>
          <w:tcPr>
            <w:tcW w:w="1969" w:type="dxa"/>
            <w:tcBorders>
              <w:top w:val="nil"/>
              <w:left w:val="nil"/>
              <w:bottom w:val="single" w:sz="4" w:space="0" w:color="auto"/>
              <w:right w:val="single" w:sz="4" w:space="0" w:color="auto"/>
            </w:tcBorders>
            <w:shd w:val="clear" w:color="auto" w:fill="auto"/>
            <w:noWrap/>
            <w:vAlign w:val="center"/>
          </w:tcPr>
          <w:p w14:paraId="598EB439" w14:textId="422ED1B9" w:rsidR="00090DEF" w:rsidRPr="00294A2F" w:rsidRDefault="00090DEF" w:rsidP="00294A2F">
            <w:pPr>
              <w:spacing w:after="0" w:line="240" w:lineRule="auto"/>
              <w:jc w:val="right"/>
              <w:rPr>
                <w:rFonts w:ascii="Arial" w:hAnsi="Arial" w:cs="Arial"/>
                <w:color w:val="000000"/>
                <w:sz w:val="20"/>
                <w:szCs w:val="20"/>
              </w:rPr>
            </w:pPr>
            <w:r w:rsidRPr="00294A2F">
              <w:rPr>
                <w:rFonts w:ascii="Arial" w:hAnsi="Arial" w:cs="Arial"/>
                <w:sz w:val="20"/>
                <w:szCs w:val="20"/>
              </w:rPr>
              <w:t>272.467.247.849</w:t>
            </w:r>
          </w:p>
        </w:tc>
      </w:tr>
      <w:tr w:rsidR="00090DEF" w:rsidRPr="00294A2F" w14:paraId="3681CB7C" w14:textId="77777777" w:rsidTr="00294A2F">
        <w:trPr>
          <w:trHeight w:val="25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19FE6E62" w14:textId="77777777" w:rsidR="00090DEF" w:rsidRPr="00294A2F" w:rsidRDefault="00090DEF" w:rsidP="006E5A95">
            <w:pPr>
              <w:spacing w:after="0" w:line="240" w:lineRule="auto"/>
              <w:jc w:val="center"/>
              <w:rPr>
                <w:rFonts w:ascii="Arial" w:eastAsia="Times New Roman" w:hAnsi="Arial" w:cs="Arial"/>
                <w:color w:val="000000"/>
                <w:sz w:val="20"/>
                <w:szCs w:val="20"/>
              </w:rPr>
            </w:pPr>
            <w:r w:rsidRPr="00294A2F">
              <w:rPr>
                <w:rFonts w:ascii="Arial" w:eastAsia="Times New Roman" w:hAnsi="Arial" w:cs="Arial"/>
                <w:color w:val="000000"/>
                <w:sz w:val="20"/>
                <w:szCs w:val="20"/>
              </w:rPr>
              <w:t>3</w:t>
            </w:r>
          </w:p>
        </w:tc>
        <w:tc>
          <w:tcPr>
            <w:tcW w:w="2349" w:type="dxa"/>
            <w:tcBorders>
              <w:top w:val="nil"/>
              <w:left w:val="nil"/>
              <w:bottom w:val="single" w:sz="4" w:space="0" w:color="auto"/>
              <w:right w:val="single" w:sz="4" w:space="0" w:color="auto"/>
            </w:tcBorders>
            <w:shd w:val="clear" w:color="auto" w:fill="auto"/>
            <w:noWrap/>
            <w:vAlign w:val="center"/>
            <w:hideMark/>
          </w:tcPr>
          <w:p w14:paraId="63DB9380" w14:textId="79B6794D" w:rsidR="00090DEF" w:rsidRPr="00294A2F" w:rsidRDefault="00090DEF" w:rsidP="006E5A95">
            <w:pPr>
              <w:spacing w:after="0" w:line="240" w:lineRule="auto"/>
              <w:rPr>
                <w:rFonts w:ascii="Arial" w:eastAsia="Times New Roman" w:hAnsi="Arial" w:cs="Arial"/>
                <w:color w:val="000000"/>
                <w:sz w:val="20"/>
                <w:szCs w:val="20"/>
              </w:rPr>
            </w:pPr>
            <w:proofErr w:type="spellStart"/>
            <w:r w:rsidRPr="00294A2F">
              <w:rPr>
                <w:rFonts w:ascii="Arial" w:eastAsia="Times New Roman" w:hAnsi="Arial" w:cs="Arial"/>
                <w:color w:val="000000"/>
                <w:sz w:val="20"/>
                <w:szCs w:val="20"/>
              </w:rPr>
              <w:t>Tiền</w:t>
            </w:r>
            <w:proofErr w:type="spellEnd"/>
            <w:r w:rsidRPr="00294A2F">
              <w:rPr>
                <w:rFonts w:ascii="Arial" w:eastAsia="Times New Roman" w:hAnsi="Arial" w:cs="Arial"/>
                <w:color w:val="000000"/>
                <w:sz w:val="20"/>
                <w:szCs w:val="20"/>
              </w:rPr>
              <w:t xml:space="preserve"> </w:t>
            </w:r>
            <w:proofErr w:type="spellStart"/>
            <w:r w:rsidRPr="00294A2F">
              <w:rPr>
                <w:rFonts w:ascii="Arial" w:eastAsia="Times New Roman" w:hAnsi="Arial" w:cs="Arial"/>
                <w:color w:val="000000"/>
                <w:sz w:val="20"/>
                <w:szCs w:val="20"/>
              </w:rPr>
              <w:t>gửi</w:t>
            </w:r>
            <w:proofErr w:type="spellEnd"/>
            <w:r w:rsidRPr="00294A2F">
              <w:rPr>
                <w:rFonts w:ascii="Arial" w:eastAsia="Times New Roman" w:hAnsi="Arial" w:cs="Arial"/>
                <w:color w:val="000000"/>
                <w:sz w:val="20"/>
                <w:szCs w:val="20"/>
              </w:rPr>
              <w:t xml:space="preserve"> </w:t>
            </w:r>
            <w:proofErr w:type="spellStart"/>
            <w:r w:rsidRPr="00294A2F">
              <w:rPr>
                <w:rFonts w:ascii="Arial" w:eastAsia="Times New Roman" w:hAnsi="Arial" w:cs="Arial"/>
                <w:color w:val="000000"/>
                <w:sz w:val="20"/>
                <w:szCs w:val="20"/>
              </w:rPr>
              <w:t>ngân</w:t>
            </w:r>
            <w:proofErr w:type="spellEnd"/>
            <w:r w:rsidRPr="00294A2F">
              <w:rPr>
                <w:rFonts w:ascii="Arial" w:eastAsia="Times New Roman" w:hAnsi="Arial" w:cs="Arial"/>
                <w:color w:val="000000"/>
                <w:sz w:val="20"/>
                <w:szCs w:val="20"/>
              </w:rPr>
              <w:t xml:space="preserve"> </w:t>
            </w:r>
            <w:proofErr w:type="spellStart"/>
            <w:r w:rsidRPr="00294A2F">
              <w:rPr>
                <w:rFonts w:ascii="Arial" w:eastAsia="Times New Roman" w:hAnsi="Arial" w:cs="Arial"/>
                <w:color w:val="000000"/>
                <w:sz w:val="20"/>
                <w:szCs w:val="20"/>
              </w:rPr>
              <w:t>hàng</w:t>
            </w:r>
            <w:proofErr w:type="spellEnd"/>
          </w:p>
          <w:p w14:paraId="50DD648A" w14:textId="5A4D55A5" w:rsidR="00090DEF" w:rsidRPr="00294A2F" w:rsidRDefault="00090DEF" w:rsidP="006E5A95">
            <w:pPr>
              <w:rPr>
                <w:rFonts w:ascii="Arial" w:eastAsia="Times New Roman" w:hAnsi="Arial" w:cs="Arial"/>
                <w:sz w:val="20"/>
                <w:szCs w:val="20"/>
              </w:rPr>
            </w:pPr>
          </w:p>
        </w:tc>
        <w:tc>
          <w:tcPr>
            <w:tcW w:w="2237" w:type="dxa"/>
            <w:tcBorders>
              <w:top w:val="nil"/>
              <w:left w:val="nil"/>
              <w:bottom w:val="single" w:sz="4" w:space="0" w:color="auto"/>
              <w:right w:val="single" w:sz="4" w:space="0" w:color="auto"/>
            </w:tcBorders>
            <w:shd w:val="clear" w:color="auto" w:fill="auto"/>
            <w:vAlign w:val="center"/>
          </w:tcPr>
          <w:p w14:paraId="5866F226" w14:textId="03FD19B3" w:rsidR="00090DEF" w:rsidRPr="00294A2F" w:rsidRDefault="00A4202F" w:rsidP="00294A2F">
            <w:pPr>
              <w:spacing w:after="0" w:line="240" w:lineRule="auto"/>
              <w:jc w:val="right"/>
              <w:rPr>
                <w:rFonts w:ascii="Arial" w:hAnsi="Arial" w:cs="Arial"/>
                <w:color w:val="000000"/>
                <w:sz w:val="20"/>
                <w:szCs w:val="20"/>
              </w:rPr>
            </w:pPr>
            <w:r w:rsidRPr="00294A2F">
              <w:rPr>
                <w:rFonts w:ascii="Arial" w:hAnsi="Arial" w:cs="Arial"/>
                <w:color w:val="000000"/>
                <w:sz w:val="20"/>
                <w:szCs w:val="20"/>
              </w:rPr>
              <w:t>25</w:t>
            </w:r>
            <w:r w:rsidR="002E2433" w:rsidRPr="00294A2F">
              <w:rPr>
                <w:rFonts w:ascii="Arial" w:hAnsi="Arial" w:cs="Arial"/>
                <w:color w:val="000000"/>
                <w:sz w:val="20"/>
                <w:szCs w:val="20"/>
              </w:rPr>
              <w:t>.</w:t>
            </w:r>
            <w:r w:rsidRPr="00294A2F">
              <w:rPr>
                <w:rFonts w:ascii="Arial" w:hAnsi="Arial" w:cs="Arial"/>
                <w:color w:val="000000"/>
                <w:sz w:val="20"/>
                <w:szCs w:val="20"/>
              </w:rPr>
              <w:t>199</w:t>
            </w:r>
            <w:r w:rsidR="002E2433" w:rsidRPr="00294A2F">
              <w:rPr>
                <w:rFonts w:ascii="Arial" w:hAnsi="Arial" w:cs="Arial"/>
                <w:color w:val="000000"/>
                <w:sz w:val="20"/>
                <w:szCs w:val="20"/>
              </w:rPr>
              <w:t>.</w:t>
            </w:r>
            <w:r w:rsidRPr="00294A2F">
              <w:rPr>
                <w:rFonts w:ascii="Arial" w:hAnsi="Arial" w:cs="Arial"/>
                <w:color w:val="000000"/>
                <w:sz w:val="20"/>
                <w:szCs w:val="20"/>
              </w:rPr>
              <w:t>614.737</w:t>
            </w:r>
          </w:p>
        </w:tc>
        <w:tc>
          <w:tcPr>
            <w:tcW w:w="2058" w:type="dxa"/>
            <w:tcBorders>
              <w:top w:val="nil"/>
              <w:left w:val="nil"/>
              <w:bottom w:val="single" w:sz="4" w:space="0" w:color="auto"/>
              <w:right w:val="single" w:sz="4" w:space="0" w:color="auto"/>
            </w:tcBorders>
            <w:shd w:val="clear" w:color="auto" w:fill="auto"/>
            <w:noWrap/>
            <w:vAlign w:val="center"/>
          </w:tcPr>
          <w:p w14:paraId="00648ADA" w14:textId="2337F8B6" w:rsidR="00090DEF" w:rsidRPr="00294A2F" w:rsidRDefault="00090DEF" w:rsidP="00294A2F">
            <w:pPr>
              <w:spacing w:line="240" w:lineRule="exact"/>
              <w:jc w:val="right"/>
              <w:rPr>
                <w:rFonts w:ascii="Arial" w:hAnsi="Arial" w:cs="Arial"/>
                <w:color w:val="000000"/>
                <w:sz w:val="20"/>
                <w:szCs w:val="20"/>
              </w:rPr>
            </w:pPr>
            <w:r w:rsidRPr="00294A2F">
              <w:rPr>
                <w:rFonts w:ascii="Arial" w:hAnsi="Arial" w:cs="Arial"/>
                <w:sz w:val="20"/>
                <w:szCs w:val="20"/>
              </w:rPr>
              <w:t>120.061.179.782</w:t>
            </w:r>
          </w:p>
        </w:tc>
        <w:tc>
          <w:tcPr>
            <w:tcW w:w="1969" w:type="dxa"/>
            <w:tcBorders>
              <w:top w:val="nil"/>
              <w:left w:val="nil"/>
              <w:bottom w:val="single" w:sz="4" w:space="0" w:color="auto"/>
              <w:right w:val="single" w:sz="4" w:space="0" w:color="auto"/>
            </w:tcBorders>
            <w:shd w:val="clear" w:color="auto" w:fill="auto"/>
            <w:noWrap/>
            <w:vAlign w:val="center"/>
          </w:tcPr>
          <w:p w14:paraId="2C2F8804" w14:textId="720C7C4A" w:rsidR="00090DEF" w:rsidRPr="00294A2F" w:rsidRDefault="00090DEF" w:rsidP="00294A2F">
            <w:pPr>
              <w:spacing w:after="0" w:line="240" w:lineRule="auto"/>
              <w:jc w:val="right"/>
              <w:rPr>
                <w:rFonts w:ascii="Arial" w:hAnsi="Arial" w:cs="Arial"/>
                <w:color w:val="000000" w:themeColor="text1"/>
                <w:sz w:val="20"/>
                <w:szCs w:val="20"/>
              </w:rPr>
            </w:pPr>
            <w:r w:rsidRPr="00294A2F">
              <w:rPr>
                <w:rFonts w:ascii="Arial" w:hAnsi="Arial" w:cs="Arial"/>
                <w:sz w:val="20"/>
                <w:szCs w:val="20"/>
              </w:rPr>
              <w:t>35.067.117.398</w:t>
            </w:r>
          </w:p>
        </w:tc>
      </w:tr>
      <w:tr w:rsidR="00090DEF" w:rsidRPr="00294A2F" w14:paraId="0D3D3018" w14:textId="77777777" w:rsidTr="00294A2F">
        <w:trPr>
          <w:trHeight w:val="162"/>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2C682798" w14:textId="77777777" w:rsidR="00090DEF" w:rsidRPr="00294A2F" w:rsidRDefault="00090DEF" w:rsidP="006E5A95">
            <w:pPr>
              <w:spacing w:after="0" w:line="240" w:lineRule="auto"/>
              <w:jc w:val="center"/>
              <w:rPr>
                <w:rFonts w:ascii="Arial" w:eastAsia="Times New Roman" w:hAnsi="Arial" w:cs="Arial"/>
                <w:color w:val="000000"/>
                <w:sz w:val="20"/>
                <w:szCs w:val="20"/>
              </w:rPr>
            </w:pPr>
            <w:r w:rsidRPr="00294A2F">
              <w:rPr>
                <w:rFonts w:ascii="Arial" w:eastAsia="Times New Roman" w:hAnsi="Arial" w:cs="Arial"/>
                <w:color w:val="000000"/>
                <w:sz w:val="20"/>
                <w:szCs w:val="20"/>
              </w:rPr>
              <w:t>4</w:t>
            </w:r>
          </w:p>
        </w:tc>
        <w:tc>
          <w:tcPr>
            <w:tcW w:w="2349" w:type="dxa"/>
            <w:tcBorders>
              <w:top w:val="nil"/>
              <w:left w:val="nil"/>
              <w:bottom w:val="single" w:sz="4" w:space="0" w:color="auto"/>
              <w:right w:val="single" w:sz="4" w:space="0" w:color="auto"/>
            </w:tcBorders>
            <w:shd w:val="clear" w:color="auto" w:fill="auto"/>
            <w:noWrap/>
            <w:vAlign w:val="center"/>
            <w:hideMark/>
          </w:tcPr>
          <w:p w14:paraId="32C3BA00" w14:textId="77777777" w:rsidR="00090DEF" w:rsidRPr="00294A2F" w:rsidRDefault="00090DEF" w:rsidP="006E5A95">
            <w:pPr>
              <w:spacing w:after="0" w:line="240" w:lineRule="auto"/>
              <w:rPr>
                <w:rFonts w:ascii="Arial" w:eastAsia="Times New Roman" w:hAnsi="Arial" w:cs="Arial"/>
                <w:color w:val="000000"/>
                <w:sz w:val="20"/>
                <w:szCs w:val="20"/>
              </w:rPr>
            </w:pPr>
            <w:r w:rsidRPr="00294A2F">
              <w:rPr>
                <w:rFonts w:ascii="Arial" w:eastAsia="Times New Roman" w:hAnsi="Arial" w:cs="Arial"/>
                <w:color w:val="000000"/>
                <w:sz w:val="20"/>
                <w:szCs w:val="20"/>
              </w:rPr>
              <w:t xml:space="preserve">Tài </w:t>
            </w:r>
            <w:proofErr w:type="spellStart"/>
            <w:r w:rsidRPr="00294A2F">
              <w:rPr>
                <w:rFonts w:ascii="Arial" w:eastAsia="Times New Roman" w:hAnsi="Arial" w:cs="Arial"/>
                <w:color w:val="000000"/>
                <w:sz w:val="20"/>
                <w:szCs w:val="20"/>
              </w:rPr>
              <w:t>sản</w:t>
            </w:r>
            <w:proofErr w:type="spellEnd"/>
            <w:r w:rsidRPr="00294A2F">
              <w:rPr>
                <w:rFonts w:ascii="Arial" w:eastAsia="Times New Roman" w:hAnsi="Arial" w:cs="Arial"/>
                <w:color w:val="000000"/>
                <w:sz w:val="20"/>
                <w:szCs w:val="20"/>
              </w:rPr>
              <w:t xml:space="preserve"> </w:t>
            </w:r>
            <w:proofErr w:type="spellStart"/>
            <w:r w:rsidRPr="00294A2F">
              <w:rPr>
                <w:rFonts w:ascii="Arial" w:eastAsia="Times New Roman" w:hAnsi="Arial" w:cs="Arial"/>
                <w:color w:val="000000"/>
                <w:sz w:val="20"/>
                <w:szCs w:val="20"/>
              </w:rPr>
              <w:t>khác</w:t>
            </w:r>
            <w:proofErr w:type="spellEnd"/>
          </w:p>
        </w:tc>
        <w:tc>
          <w:tcPr>
            <w:tcW w:w="2237" w:type="dxa"/>
            <w:tcBorders>
              <w:top w:val="nil"/>
              <w:left w:val="nil"/>
              <w:bottom w:val="single" w:sz="4" w:space="0" w:color="auto"/>
              <w:right w:val="single" w:sz="4" w:space="0" w:color="auto"/>
            </w:tcBorders>
            <w:shd w:val="clear" w:color="auto" w:fill="auto"/>
            <w:vAlign w:val="center"/>
          </w:tcPr>
          <w:p w14:paraId="19C36C4B" w14:textId="224AE517" w:rsidR="00090DEF" w:rsidRPr="00294A2F" w:rsidRDefault="002E2433" w:rsidP="00294A2F">
            <w:pPr>
              <w:spacing w:line="240" w:lineRule="exact"/>
              <w:jc w:val="right"/>
              <w:rPr>
                <w:rFonts w:ascii="Arial" w:hAnsi="Arial" w:cs="Arial"/>
                <w:color w:val="000000"/>
                <w:sz w:val="20"/>
                <w:szCs w:val="20"/>
              </w:rPr>
            </w:pPr>
            <w:r w:rsidRPr="00294A2F">
              <w:rPr>
                <w:rFonts w:ascii="Arial" w:hAnsi="Arial" w:cs="Arial"/>
                <w:color w:val="000000"/>
                <w:sz w:val="20"/>
                <w:szCs w:val="20"/>
              </w:rPr>
              <w:t>13.801.970530</w:t>
            </w:r>
          </w:p>
        </w:tc>
        <w:tc>
          <w:tcPr>
            <w:tcW w:w="2058" w:type="dxa"/>
            <w:tcBorders>
              <w:top w:val="nil"/>
              <w:left w:val="nil"/>
              <w:bottom w:val="single" w:sz="4" w:space="0" w:color="auto"/>
              <w:right w:val="single" w:sz="4" w:space="0" w:color="auto"/>
            </w:tcBorders>
            <w:shd w:val="clear" w:color="auto" w:fill="auto"/>
            <w:noWrap/>
            <w:vAlign w:val="center"/>
          </w:tcPr>
          <w:p w14:paraId="791E2800" w14:textId="37D4BD50" w:rsidR="00090DEF" w:rsidRPr="00294A2F" w:rsidRDefault="00090DEF" w:rsidP="00294A2F">
            <w:pPr>
              <w:spacing w:line="240" w:lineRule="exact"/>
              <w:jc w:val="right"/>
              <w:rPr>
                <w:rFonts w:ascii="Arial" w:hAnsi="Arial" w:cs="Arial"/>
                <w:color w:val="000000"/>
                <w:sz w:val="20"/>
                <w:szCs w:val="20"/>
              </w:rPr>
            </w:pPr>
            <w:r w:rsidRPr="00294A2F">
              <w:rPr>
                <w:rFonts w:ascii="Arial" w:hAnsi="Arial" w:cs="Arial"/>
                <w:color w:val="000000"/>
                <w:sz w:val="20"/>
                <w:szCs w:val="20"/>
              </w:rPr>
              <w:t>10.240.741.339</w:t>
            </w:r>
          </w:p>
        </w:tc>
        <w:tc>
          <w:tcPr>
            <w:tcW w:w="1969" w:type="dxa"/>
            <w:tcBorders>
              <w:top w:val="nil"/>
              <w:left w:val="nil"/>
              <w:bottom w:val="single" w:sz="4" w:space="0" w:color="auto"/>
              <w:right w:val="single" w:sz="4" w:space="0" w:color="auto"/>
            </w:tcBorders>
            <w:shd w:val="clear" w:color="auto" w:fill="auto"/>
            <w:noWrap/>
            <w:vAlign w:val="center"/>
          </w:tcPr>
          <w:p w14:paraId="14F16F08" w14:textId="4E4BCC76" w:rsidR="00090DEF" w:rsidRPr="00294A2F" w:rsidRDefault="00090DEF" w:rsidP="00294A2F">
            <w:pPr>
              <w:spacing w:line="240" w:lineRule="exact"/>
              <w:jc w:val="right"/>
              <w:rPr>
                <w:rFonts w:ascii="Arial" w:hAnsi="Arial" w:cs="Arial"/>
                <w:sz w:val="20"/>
                <w:szCs w:val="20"/>
              </w:rPr>
            </w:pPr>
            <w:r w:rsidRPr="00294A2F">
              <w:rPr>
                <w:rFonts w:ascii="Arial" w:hAnsi="Arial" w:cs="Arial"/>
                <w:color w:val="000000"/>
                <w:sz w:val="20"/>
                <w:szCs w:val="20"/>
              </w:rPr>
              <w:t>30.517.475.695</w:t>
            </w:r>
          </w:p>
        </w:tc>
      </w:tr>
      <w:tr w:rsidR="00090DEF" w:rsidRPr="00294A2F" w14:paraId="62B43559" w14:textId="77777777" w:rsidTr="00294A2F">
        <w:trPr>
          <w:trHeight w:val="341"/>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14:paraId="7F6AC64E" w14:textId="354D1E2F" w:rsidR="00090DEF" w:rsidRPr="00294A2F" w:rsidRDefault="00090DEF" w:rsidP="006E5A95">
            <w:pPr>
              <w:spacing w:after="0" w:line="240" w:lineRule="auto"/>
              <w:jc w:val="right"/>
              <w:rPr>
                <w:rFonts w:ascii="Arial" w:eastAsia="Times New Roman" w:hAnsi="Arial" w:cs="Arial"/>
                <w:color w:val="000000"/>
                <w:sz w:val="20"/>
                <w:szCs w:val="20"/>
              </w:rPr>
            </w:pPr>
          </w:p>
        </w:tc>
        <w:tc>
          <w:tcPr>
            <w:tcW w:w="2349" w:type="dxa"/>
            <w:tcBorders>
              <w:top w:val="nil"/>
              <w:left w:val="nil"/>
              <w:bottom w:val="single" w:sz="4" w:space="0" w:color="auto"/>
              <w:right w:val="single" w:sz="4" w:space="0" w:color="auto"/>
            </w:tcBorders>
            <w:shd w:val="clear" w:color="auto" w:fill="auto"/>
            <w:noWrap/>
            <w:hideMark/>
          </w:tcPr>
          <w:p w14:paraId="3E46AA61" w14:textId="77777777" w:rsidR="00090DEF" w:rsidRPr="00294A2F" w:rsidRDefault="00090DEF" w:rsidP="00294A2F">
            <w:pPr>
              <w:spacing w:after="0" w:line="240" w:lineRule="auto"/>
              <w:rPr>
                <w:rFonts w:ascii="Arial" w:eastAsia="Times New Roman" w:hAnsi="Arial" w:cs="Arial"/>
                <w:b/>
                <w:bCs/>
                <w:color w:val="000000"/>
                <w:sz w:val="20"/>
                <w:szCs w:val="20"/>
              </w:rPr>
            </w:pPr>
            <w:r w:rsidRPr="00294A2F">
              <w:rPr>
                <w:rFonts w:ascii="Arial" w:eastAsia="Times New Roman" w:hAnsi="Arial" w:cs="Arial"/>
                <w:b/>
                <w:bCs/>
                <w:color w:val="000000"/>
                <w:sz w:val="20"/>
                <w:szCs w:val="20"/>
                <w:lang w:val="vi-VN"/>
              </w:rPr>
              <w:t>Tổng giá trị danh mục</w:t>
            </w:r>
          </w:p>
        </w:tc>
        <w:tc>
          <w:tcPr>
            <w:tcW w:w="2237" w:type="dxa"/>
            <w:tcBorders>
              <w:top w:val="nil"/>
              <w:left w:val="nil"/>
              <w:bottom w:val="single" w:sz="4" w:space="0" w:color="auto"/>
              <w:right w:val="single" w:sz="4" w:space="0" w:color="auto"/>
            </w:tcBorders>
            <w:shd w:val="clear" w:color="auto" w:fill="auto"/>
          </w:tcPr>
          <w:p w14:paraId="68C123D2" w14:textId="4913E6D0" w:rsidR="00090DEF" w:rsidRPr="00294A2F" w:rsidRDefault="000A7312" w:rsidP="00294A2F">
            <w:pPr>
              <w:spacing w:after="0" w:line="240" w:lineRule="auto"/>
              <w:jc w:val="right"/>
              <w:rPr>
                <w:rFonts w:ascii="Arial" w:hAnsi="Arial" w:cs="Arial"/>
                <w:b/>
                <w:bCs/>
                <w:sz w:val="20"/>
                <w:szCs w:val="20"/>
              </w:rPr>
            </w:pPr>
            <w:r w:rsidRPr="00294A2F">
              <w:rPr>
                <w:rFonts w:ascii="Arial" w:hAnsi="Arial" w:cs="Arial"/>
                <w:b/>
                <w:bCs/>
                <w:sz w:val="20"/>
                <w:szCs w:val="20"/>
              </w:rPr>
              <w:t>451.596.260.409</w:t>
            </w:r>
          </w:p>
        </w:tc>
        <w:tc>
          <w:tcPr>
            <w:tcW w:w="2058" w:type="dxa"/>
            <w:tcBorders>
              <w:top w:val="nil"/>
              <w:left w:val="nil"/>
              <w:bottom w:val="single" w:sz="4" w:space="0" w:color="auto"/>
              <w:right w:val="single" w:sz="4" w:space="0" w:color="auto"/>
            </w:tcBorders>
            <w:shd w:val="clear" w:color="auto" w:fill="auto"/>
          </w:tcPr>
          <w:p w14:paraId="54880E39" w14:textId="338B4EBB" w:rsidR="00090DEF" w:rsidRPr="00294A2F" w:rsidRDefault="00090DEF" w:rsidP="00294A2F">
            <w:pPr>
              <w:jc w:val="right"/>
              <w:rPr>
                <w:rFonts w:ascii="Arial" w:hAnsi="Arial" w:cs="Arial"/>
                <w:b/>
                <w:bCs/>
                <w:sz w:val="20"/>
                <w:szCs w:val="20"/>
              </w:rPr>
            </w:pPr>
            <w:r w:rsidRPr="00294A2F">
              <w:rPr>
                <w:rFonts w:ascii="Arial" w:hAnsi="Arial" w:cs="Arial"/>
                <w:b/>
                <w:bCs/>
                <w:sz w:val="20"/>
                <w:szCs w:val="20"/>
              </w:rPr>
              <w:t>441.100.381.824</w:t>
            </w:r>
          </w:p>
        </w:tc>
        <w:tc>
          <w:tcPr>
            <w:tcW w:w="1969" w:type="dxa"/>
            <w:tcBorders>
              <w:top w:val="nil"/>
              <w:left w:val="nil"/>
              <w:bottom w:val="single" w:sz="4" w:space="0" w:color="auto"/>
              <w:right w:val="single" w:sz="4" w:space="0" w:color="auto"/>
            </w:tcBorders>
            <w:shd w:val="clear" w:color="auto" w:fill="auto"/>
          </w:tcPr>
          <w:p w14:paraId="02967FDF" w14:textId="4E822677" w:rsidR="00090DEF" w:rsidRPr="00294A2F" w:rsidRDefault="00090DEF" w:rsidP="00294A2F">
            <w:pPr>
              <w:jc w:val="right"/>
              <w:rPr>
                <w:rFonts w:ascii="Arial" w:hAnsi="Arial" w:cs="Arial"/>
                <w:b/>
                <w:bCs/>
                <w:sz w:val="20"/>
                <w:szCs w:val="20"/>
              </w:rPr>
            </w:pPr>
            <w:r w:rsidRPr="00294A2F">
              <w:rPr>
                <w:rFonts w:ascii="Arial" w:hAnsi="Arial" w:cs="Arial"/>
                <w:b/>
                <w:bCs/>
                <w:sz w:val="20"/>
                <w:szCs w:val="20"/>
              </w:rPr>
              <w:t>847.075.339.108</w:t>
            </w:r>
          </w:p>
        </w:tc>
      </w:tr>
    </w:tbl>
    <w:p w14:paraId="366F7F09" w14:textId="77777777" w:rsidR="00C03D83" w:rsidRPr="00294A2F" w:rsidRDefault="00C03D83">
      <w:pPr>
        <w:pStyle w:val="ListParagraph"/>
        <w:tabs>
          <w:tab w:val="left" w:pos="270"/>
          <w:tab w:val="left" w:pos="1134"/>
        </w:tabs>
        <w:spacing w:before="120" w:after="120" w:line="240" w:lineRule="auto"/>
        <w:ind w:left="0"/>
        <w:jc w:val="both"/>
        <w:rPr>
          <w:rFonts w:ascii="Arial" w:hAnsi="Arial" w:cs="Arial"/>
          <w:b/>
          <w:sz w:val="20"/>
          <w:szCs w:val="20"/>
        </w:rPr>
      </w:pP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36"/>
        <w:gridCol w:w="1961"/>
        <w:gridCol w:w="1961"/>
        <w:gridCol w:w="1982"/>
      </w:tblGrid>
      <w:tr w:rsidR="00B97E41" w:rsidRPr="00294A2F" w14:paraId="60ACB5E5" w14:textId="77777777" w:rsidTr="002A7CC4">
        <w:trPr>
          <w:trHeight w:val="427"/>
        </w:trPr>
        <w:tc>
          <w:tcPr>
            <w:tcW w:w="1905" w:type="pct"/>
            <w:shd w:val="clear" w:color="auto" w:fill="FFC000"/>
          </w:tcPr>
          <w:p w14:paraId="77EEC478" w14:textId="77777777" w:rsidR="00B97E41" w:rsidRPr="00294A2F" w:rsidRDefault="00B97E41" w:rsidP="00447738">
            <w:pPr>
              <w:tabs>
                <w:tab w:val="left" w:pos="540"/>
              </w:tabs>
              <w:spacing w:before="120" w:after="0" w:line="240" w:lineRule="auto"/>
              <w:jc w:val="center"/>
              <w:rPr>
                <w:rFonts w:ascii="Arial" w:eastAsia="Times New Roman" w:hAnsi="Arial" w:cs="Arial"/>
                <w:b/>
                <w:bCs/>
                <w:color w:val="000000" w:themeColor="text1"/>
                <w:sz w:val="20"/>
                <w:szCs w:val="20"/>
                <w:lang w:val="nl-NL"/>
              </w:rPr>
            </w:pPr>
            <w:r w:rsidRPr="00294A2F">
              <w:rPr>
                <w:rFonts w:ascii="Arial" w:eastAsia="Times New Roman" w:hAnsi="Arial" w:cs="Arial"/>
                <w:b/>
                <w:bCs/>
                <w:color w:val="000000" w:themeColor="text1"/>
                <w:sz w:val="20"/>
                <w:szCs w:val="20"/>
                <w:lang w:val="nl-NL"/>
              </w:rPr>
              <w:t>Chỉ tiêu</w:t>
            </w:r>
          </w:p>
        </w:tc>
        <w:tc>
          <w:tcPr>
            <w:tcW w:w="1028" w:type="pct"/>
            <w:shd w:val="clear" w:color="auto" w:fill="FFC000"/>
          </w:tcPr>
          <w:p w14:paraId="1DF43A70" w14:textId="77777777" w:rsidR="00B97E41" w:rsidRPr="00294A2F" w:rsidRDefault="00B97E41" w:rsidP="00447738">
            <w:pPr>
              <w:tabs>
                <w:tab w:val="left" w:pos="540"/>
              </w:tabs>
              <w:spacing w:before="120" w:after="0" w:line="240" w:lineRule="auto"/>
              <w:jc w:val="center"/>
              <w:rPr>
                <w:rFonts w:ascii="Arial" w:eastAsia="Times New Roman" w:hAnsi="Arial" w:cs="Arial"/>
                <w:b/>
                <w:color w:val="000000" w:themeColor="text1"/>
                <w:sz w:val="20"/>
                <w:szCs w:val="20"/>
                <w:lang w:val="nl-NL"/>
              </w:rPr>
            </w:pPr>
            <w:r w:rsidRPr="00294A2F">
              <w:rPr>
                <w:rFonts w:ascii="Arial" w:eastAsia="Times New Roman" w:hAnsi="Arial" w:cs="Arial"/>
                <w:b/>
                <w:color w:val="000000" w:themeColor="text1"/>
                <w:sz w:val="20"/>
                <w:szCs w:val="20"/>
                <w:lang w:val="nl-NL"/>
              </w:rPr>
              <w:t>31/12/2023</w:t>
            </w:r>
          </w:p>
          <w:p w14:paraId="3D72A47E" w14:textId="77777777" w:rsidR="00B97E41" w:rsidRPr="00294A2F" w:rsidRDefault="00B97E41" w:rsidP="00447738">
            <w:pPr>
              <w:tabs>
                <w:tab w:val="left" w:pos="540"/>
              </w:tabs>
              <w:spacing w:before="120" w:after="0" w:line="240" w:lineRule="auto"/>
              <w:jc w:val="center"/>
              <w:rPr>
                <w:rFonts w:ascii="Arial" w:eastAsia="Times New Roman" w:hAnsi="Arial" w:cs="Arial"/>
                <w:b/>
                <w:color w:val="000000" w:themeColor="text1"/>
                <w:sz w:val="20"/>
                <w:szCs w:val="20"/>
                <w:lang w:val="nl-NL"/>
              </w:rPr>
            </w:pPr>
          </w:p>
        </w:tc>
        <w:tc>
          <w:tcPr>
            <w:tcW w:w="1028" w:type="pct"/>
            <w:shd w:val="clear" w:color="auto" w:fill="FFC000"/>
          </w:tcPr>
          <w:p w14:paraId="69087144" w14:textId="5101C346" w:rsidR="00B97E41" w:rsidRPr="00294A2F" w:rsidRDefault="00B97E41" w:rsidP="002A7CC4">
            <w:pPr>
              <w:tabs>
                <w:tab w:val="left" w:pos="540"/>
              </w:tabs>
              <w:spacing w:before="120" w:after="0" w:line="240" w:lineRule="auto"/>
              <w:jc w:val="center"/>
              <w:rPr>
                <w:rFonts w:ascii="Arial" w:eastAsia="Times New Roman" w:hAnsi="Arial" w:cs="Arial"/>
                <w:b/>
                <w:color w:val="000000" w:themeColor="text1"/>
                <w:sz w:val="20"/>
                <w:szCs w:val="20"/>
                <w:lang w:val="nl-NL"/>
              </w:rPr>
            </w:pPr>
            <w:r w:rsidRPr="00294A2F">
              <w:rPr>
                <w:rFonts w:ascii="Arial" w:eastAsia="Times New Roman" w:hAnsi="Arial" w:cs="Arial"/>
                <w:b/>
                <w:color w:val="000000" w:themeColor="text1"/>
                <w:sz w:val="20"/>
                <w:szCs w:val="20"/>
                <w:lang w:val="nl-NL"/>
              </w:rPr>
              <w:t>31/12/2022</w:t>
            </w:r>
          </w:p>
        </w:tc>
        <w:tc>
          <w:tcPr>
            <w:tcW w:w="1040" w:type="pct"/>
            <w:shd w:val="clear" w:color="auto" w:fill="FFC000"/>
          </w:tcPr>
          <w:p w14:paraId="638AD8D1" w14:textId="3EE36F6F" w:rsidR="00B97E41" w:rsidRPr="00294A2F" w:rsidRDefault="00B97E41" w:rsidP="002A7CC4">
            <w:pPr>
              <w:tabs>
                <w:tab w:val="left" w:pos="540"/>
              </w:tabs>
              <w:spacing w:before="120" w:after="0" w:line="240" w:lineRule="auto"/>
              <w:jc w:val="center"/>
              <w:rPr>
                <w:rFonts w:ascii="Arial" w:eastAsia="Times New Roman" w:hAnsi="Arial" w:cs="Arial"/>
                <w:b/>
                <w:color w:val="000000" w:themeColor="text1"/>
                <w:sz w:val="20"/>
                <w:szCs w:val="20"/>
                <w:lang w:val="nl-NL"/>
              </w:rPr>
            </w:pPr>
            <w:r w:rsidRPr="00294A2F">
              <w:rPr>
                <w:rFonts w:ascii="Arial" w:eastAsia="Times New Roman" w:hAnsi="Arial" w:cs="Arial"/>
                <w:b/>
                <w:color w:val="000000" w:themeColor="text1"/>
                <w:sz w:val="20"/>
                <w:szCs w:val="20"/>
                <w:lang w:val="nl-NL"/>
              </w:rPr>
              <w:t>31/12/2021</w:t>
            </w:r>
          </w:p>
        </w:tc>
      </w:tr>
      <w:tr w:rsidR="00B97E41" w:rsidRPr="00294A2F" w14:paraId="295C808F" w14:textId="77777777" w:rsidTr="00F668EA">
        <w:trPr>
          <w:trHeight w:val="444"/>
        </w:trPr>
        <w:tc>
          <w:tcPr>
            <w:tcW w:w="1905" w:type="pct"/>
            <w:shd w:val="clear" w:color="auto" w:fill="auto"/>
            <w:vAlign w:val="center"/>
          </w:tcPr>
          <w:p w14:paraId="5CCB0894"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2.1.Giá </w:t>
            </w:r>
            <w:proofErr w:type="spellStart"/>
            <w:r w:rsidRPr="00294A2F">
              <w:rPr>
                <w:rFonts w:ascii="Arial" w:eastAsia="Times New Roman" w:hAnsi="Arial" w:cs="Arial"/>
                <w:color w:val="000000" w:themeColor="text1"/>
                <w:sz w:val="20"/>
                <w:szCs w:val="20"/>
              </w:rPr>
              <w:t>trị</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tài</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sản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ròng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của</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Quỹ</w:t>
            </w:r>
            <w:proofErr w:type="spellEnd"/>
          </w:p>
        </w:tc>
        <w:tc>
          <w:tcPr>
            <w:tcW w:w="1028" w:type="pct"/>
            <w:shd w:val="clear" w:color="auto" w:fill="auto"/>
            <w:vAlign w:val="center"/>
          </w:tcPr>
          <w:p w14:paraId="7414EF4D" w14:textId="77777777" w:rsidR="00B97E41" w:rsidRPr="00294A2F" w:rsidRDefault="00B97E41" w:rsidP="00941E61">
            <w:pPr>
              <w:spacing w:after="0" w:line="240" w:lineRule="auto"/>
              <w:ind w:right="96"/>
              <w:jc w:val="right"/>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451.596.260.409</w:t>
            </w:r>
          </w:p>
        </w:tc>
        <w:tc>
          <w:tcPr>
            <w:tcW w:w="1028" w:type="pct"/>
            <w:shd w:val="clear" w:color="auto" w:fill="auto"/>
            <w:vAlign w:val="center"/>
          </w:tcPr>
          <w:p w14:paraId="622D5F7F"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434.864.897.100</w:t>
            </w:r>
          </w:p>
        </w:tc>
        <w:tc>
          <w:tcPr>
            <w:tcW w:w="1040" w:type="pct"/>
            <w:shd w:val="clear" w:color="auto" w:fill="auto"/>
            <w:vAlign w:val="center"/>
          </w:tcPr>
          <w:p w14:paraId="01B5752A"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828.024.026.231</w:t>
            </w:r>
          </w:p>
        </w:tc>
      </w:tr>
      <w:tr w:rsidR="00B97E41" w:rsidRPr="00294A2F" w14:paraId="347D5446" w14:textId="77777777" w:rsidTr="00F668EA">
        <w:trPr>
          <w:trHeight w:val="668"/>
        </w:trPr>
        <w:tc>
          <w:tcPr>
            <w:tcW w:w="1905" w:type="pct"/>
            <w:shd w:val="clear" w:color="auto" w:fill="auto"/>
            <w:vAlign w:val="center"/>
          </w:tcPr>
          <w:p w14:paraId="5CBCBF8C"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2.2.Tổng </w:t>
            </w:r>
            <w:proofErr w:type="spellStart"/>
            <w:r w:rsidRPr="00294A2F">
              <w:rPr>
                <w:rFonts w:ascii="Arial" w:eastAsia="Times New Roman" w:hAnsi="Arial" w:cs="Arial"/>
                <w:color w:val="000000" w:themeColor="text1"/>
                <w:sz w:val="20"/>
                <w:szCs w:val="20"/>
              </w:rPr>
              <w:t>số</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chứng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chỉ</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quỹ</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đang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lưu</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hành</w:t>
            </w:r>
            <w:proofErr w:type="spellEnd"/>
          </w:p>
        </w:tc>
        <w:tc>
          <w:tcPr>
            <w:tcW w:w="1028" w:type="pct"/>
            <w:shd w:val="clear" w:color="auto" w:fill="auto"/>
            <w:vAlign w:val="center"/>
          </w:tcPr>
          <w:p w14:paraId="500D4748" w14:textId="77777777" w:rsidR="00B97E41" w:rsidRPr="00294A2F" w:rsidRDefault="00B97E41" w:rsidP="00941E61">
            <w:pPr>
              <w:spacing w:after="0" w:line="240" w:lineRule="auto"/>
              <w:ind w:right="96"/>
              <w:jc w:val="right"/>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17.786.668,27</w:t>
            </w:r>
          </w:p>
        </w:tc>
        <w:tc>
          <w:tcPr>
            <w:tcW w:w="1028" w:type="pct"/>
            <w:shd w:val="clear" w:color="auto" w:fill="auto"/>
            <w:vAlign w:val="center"/>
          </w:tcPr>
          <w:p w14:paraId="287484CD"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18.686.118,68</w:t>
            </w:r>
          </w:p>
        </w:tc>
        <w:tc>
          <w:tcPr>
            <w:tcW w:w="1040" w:type="pct"/>
            <w:shd w:val="clear" w:color="auto" w:fill="auto"/>
            <w:vAlign w:val="center"/>
          </w:tcPr>
          <w:p w14:paraId="191778AD"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37.166.709,39</w:t>
            </w:r>
          </w:p>
        </w:tc>
      </w:tr>
      <w:tr w:rsidR="00B97E41" w:rsidRPr="00294A2F" w14:paraId="430F89F2" w14:textId="77777777" w:rsidTr="00F668EA">
        <w:trPr>
          <w:trHeight w:val="713"/>
        </w:trPr>
        <w:tc>
          <w:tcPr>
            <w:tcW w:w="1905" w:type="pct"/>
            <w:shd w:val="clear" w:color="auto" w:fill="auto"/>
            <w:vAlign w:val="center"/>
          </w:tcPr>
          <w:p w14:paraId="4716C996"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2.3.Giá </w:t>
            </w:r>
            <w:proofErr w:type="spellStart"/>
            <w:r w:rsidRPr="00294A2F">
              <w:rPr>
                <w:rFonts w:ascii="Arial" w:eastAsia="Times New Roman" w:hAnsi="Arial" w:cs="Arial"/>
                <w:color w:val="000000" w:themeColor="text1"/>
                <w:sz w:val="20"/>
                <w:szCs w:val="20"/>
              </w:rPr>
              <w:t>trị</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tài</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sản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ròng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của</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một</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Chứng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chỉ</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quỹ</w:t>
            </w:r>
            <w:proofErr w:type="spellEnd"/>
            <w:r w:rsidRPr="00294A2F">
              <w:rPr>
                <w:rFonts w:ascii="Arial" w:eastAsia="Times New Roman" w:hAnsi="Arial" w:cs="Arial"/>
                <w:color w:val="000000" w:themeColor="text1"/>
                <w:sz w:val="20"/>
                <w:szCs w:val="20"/>
              </w:rPr>
              <w:t xml:space="preserve"> (CCQ)</w:t>
            </w:r>
          </w:p>
        </w:tc>
        <w:tc>
          <w:tcPr>
            <w:tcW w:w="1028" w:type="pct"/>
            <w:shd w:val="clear" w:color="auto" w:fill="auto"/>
            <w:vAlign w:val="center"/>
          </w:tcPr>
          <w:p w14:paraId="50405642" w14:textId="77777777" w:rsidR="00B97E41" w:rsidRPr="00294A2F" w:rsidRDefault="00B97E41" w:rsidP="00941E61">
            <w:pPr>
              <w:spacing w:after="0" w:line="240" w:lineRule="auto"/>
              <w:ind w:right="196"/>
              <w:jc w:val="right"/>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25.389,59</w:t>
            </w:r>
          </w:p>
        </w:tc>
        <w:tc>
          <w:tcPr>
            <w:tcW w:w="1028" w:type="pct"/>
            <w:shd w:val="clear" w:color="auto" w:fill="auto"/>
            <w:vAlign w:val="center"/>
          </w:tcPr>
          <w:p w14:paraId="4F3A08DA"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23.272,08</w:t>
            </w:r>
          </w:p>
        </w:tc>
        <w:tc>
          <w:tcPr>
            <w:tcW w:w="1040" w:type="pct"/>
            <w:shd w:val="clear" w:color="auto" w:fill="auto"/>
            <w:vAlign w:val="center"/>
          </w:tcPr>
          <w:p w14:paraId="00727C19"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22.278,64</w:t>
            </w:r>
          </w:p>
        </w:tc>
      </w:tr>
      <w:tr w:rsidR="00B97E41" w:rsidRPr="00294A2F" w14:paraId="1D2ACC32" w14:textId="77777777" w:rsidTr="00F668EA">
        <w:trPr>
          <w:trHeight w:val="713"/>
        </w:trPr>
        <w:tc>
          <w:tcPr>
            <w:tcW w:w="1905" w:type="pct"/>
            <w:shd w:val="clear" w:color="auto" w:fill="auto"/>
            <w:vAlign w:val="center"/>
          </w:tcPr>
          <w:p w14:paraId="462BF1F7"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2.4.Giá </w:t>
            </w:r>
            <w:proofErr w:type="spellStart"/>
            <w:r w:rsidRPr="00294A2F">
              <w:rPr>
                <w:rFonts w:ascii="Arial" w:eastAsia="Times New Roman" w:hAnsi="Arial" w:cs="Arial"/>
                <w:color w:val="000000" w:themeColor="text1"/>
                <w:sz w:val="20"/>
                <w:szCs w:val="20"/>
              </w:rPr>
              <w:t>trị</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tài</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sản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ròng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cao</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nhất</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của</w:t>
            </w:r>
            <w:proofErr w:type="spellEnd"/>
            <w:r w:rsidRPr="00294A2F">
              <w:rPr>
                <w:rFonts w:ascii="Arial" w:eastAsia="Times New Roman" w:hAnsi="Arial" w:cs="Arial"/>
                <w:color w:val="000000" w:themeColor="text1"/>
                <w:sz w:val="20"/>
                <w:szCs w:val="20"/>
              </w:rPr>
              <w:t xml:space="preserve"> 1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CCQ </w:t>
            </w:r>
            <w:proofErr w:type="spellStart"/>
            <w:r w:rsidRPr="00294A2F">
              <w:rPr>
                <w:rFonts w:ascii="Arial" w:eastAsia="Times New Roman" w:hAnsi="Arial" w:cs="Arial"/>
                <w:color w:val="000000" w:themeColor="text1"/>
                <w:sz w:val="20"/>
                <w:szCs w:val="20"/>
              </w:rPr>
              <w:t>trong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kỳ</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báo</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cáo</w:t>
            </w:r>
            <w:proofErr w:type="spellEnd"/>
          </w:p>
        </w:tc>
        <w:tc>
          <w:tcPr>
            <w:tcW w:w="1028" w:type="pct"/>
            <w:shd w:val="clear" w:color="auto" w:fill="auto"/>
            <w:vAlign w:val="center"/>
          </w:tcPr>
          <w:p w14:paraId="1EEE6900"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25.389,59</w:t>
            </w:r>
          </w:p>
        </w:tc>
        <w:tc>
          <w:tcPr>
            <w:tcW w:w="1028" w:type="pct"/>
            <w:shd w:val="clear" w:color="auto" w:fill="auto"/>
            <w:vAlign w:val="center"/>
          </w:tcPr>
          <w:p w14:paraId="3B3ED76D"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23.780,78</w:t>
            </w:r>
          </w:p>
        </w:tc>
        <w:tc>
          <w:tcPr>
            <w:tcW w:w="1040" w:type="pct"/>
            <w:shd w:val="clear" w:color="auto" w:fill="auto"/>
            <w:vAlign w:val="center"/>
          </w:tcPr>
          <w:p w14:paraId="74DB53CD"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22.278,64</w:t>
            </w:r>
          </w:p>
        </w:tc>
      </w:tr>
      <w:tr w:rsidR="00B97E41" w:rsidRPr="00294A2F" w14:paraId="4DAAF7DC" w14:textId="77777777" w:rsidTr="00F668EA">
        <w:trPr>
          <w:trHeight w:val="587"/>
        </w:trPr>
        <w:tc>
          <w:tcPr>
            <w:tcW w:w="1905" w:type="pct"/>
            <w:shd w:val="clear" w:color="auto" w:fill="auto"/>
            <w:vAlign w:val="center"/>
          </w:tcPr>
          <w:p w14:paraId="0DE86339"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2.5.Giá </w:t>
            </w:r>
            <w:proofErr w:type="spellStart"/>
            <w:r w:rsidRPr="00294A2F">
              <w:rPr>
                <w:rFonts w:ascii="Arial" w:eastAsia="Times New Roman" w:hAnsi="Arial" w:cs="Arial"/>
                <w:color w:val="000000" w:themeColor="text1"/>
                <w:sz w:val="20"/>
                <w:szCs w:val="20"/>
              </w:rPr>
              <w:t>trị</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tài</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sản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ròng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thấp</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nhất</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của</w:t>
            </w:r>
            <w:proofErr w:type="spellEnd"/>
            <w:r w:rsidRPr="00294A2F">
              <w:rPr>
                <w:rFonts w:ascii="Arial" w:eastAsia="Times New Roman" w:hAnsi="Arial" w:cs="Arial"/>
                <w:color w:val="000000" w:themeColor="text1"/>
                <w:sz w:val="20"/>
                <w:szCs w:val="20"/>
              </w:rPr>
              <w:t xml:space="preserve"> 1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CCQ </w:t>
            </w:r>
            <w:proofErr w:type="spellStart"/>
            <w:r w:rsidRPr="00294A2F">
              <w:rPr>
                <w:rFonts w:ascii="Arial" w:eastAsia="Times New Roman" w:hAnsi="Arial" w:cs="Arial"/>
                <w:color w:val="000000" w:themeColor="text1"/>
                <w:sz w:val="20"/>
                <w:szCs w:val="20"/>
              </w:rPr>
              <w:t>trong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kỳ</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báo</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cáo</w:t>
            </w:r>
            <w:proofErr w:type="spellEnd"/>
          </w:p>
        </w:tc>
        <w:tc>
          <w:tcPr>
            <w:tcW w:w="1028" w:type="pct"/>
            <w:shd w:val="clear" w:color="auto" w:fill="auto"/>
            <w:vAlign w:val="center"/>
          </w:tcPr>
          <w:p w14:paraId="27333902"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23.277,66</w:t>
            </w:r>
          </w:p>
        </w:tc>
        <w:tc>
          <w:tcPr>
            <w:tcW w:w="1028" w:type="pct"/>
            <w:shd w:val="clear" w:color="auto" w:fill="auto"/>
            <w:vAlign w:val="center"/>
          </w:tcPr>
          <w:p w14:paraId="731EB726"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22.306,59</w:t>
            </w:r>
          </w:p>
        </w:tc>
        <w:tc>
          <w:tcPr>
            <w:tcW w:w="1040" w:type="pct"/>
            <w:shd w:val="clear" w:color="auto" w:fill="auto"/>
            <w:vAlign w:val="center"/>
          </w:tcPr>
          <w:p w14:paraId="7C651A32"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20.779,52</w:t>
            </w:r>
          </w:p>
        </w:tc>
      </w:tr>
      <w:tr w:rsidR="00B97E41" w:rsidRPr="00294A2F" w14:paraId="59987E0A" w14:textId="77777777" w:rsidTr="008417AD">
        <w:trPr>
          <w:trHeight w:val="574"/>
        </w:trPr>
        <w:tc>
          <w:tcPr>
            <w:tcW w:w="1905" w:type="pct"/>
            <w:shd w:val="clear" w:color="auto" w:fill="auto"/>
            <w:vAlign w:val="center"/>
          </w:tcPr>
          <w:p w14:paraId="32F38AF7"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lastRenderedPageBreak/>
              <w:t xml:space="preserve">2.6.Giá </w:t>
            </w:r>
            <w:proofErr w:type="spellStart"/>
            <w:r w:rsidRPr="00294A2F">
              <w:rPr>
                <w:rFonts w:ascii="Arial" w:eastAsia="Times New Roman" w:hAnsi="Arial" w:cs="Arial"/>
                <w:color w:val="000000" w:themeColor="text1"/>
                <w:sz w:val="20"/>
                <w:szCs w:val="20"/>
              </w:rPr>
              <w:t>cuối</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ngày</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của</w:t>
            </w:r>
            <w:proofErr w:type="spellEnd"/>
            <w:r w:rsidRPr="00294A2F">
              <w:rPr>
                <w:rFonts w:ascii="Arial" w:eastAsia="Times New Roman" w:hAnsi="Arial" w:cs="Arial"/>
                <w:color w:val="000000" w:themeColor="text1"/>
                <w:sz w:val="20"/>
                <w:szCs w:val="20"/>
              </w:rPr>
              <w:t xml:space="preserve"> 1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CCQ </w:t>
            </w:r>
            <w:proofErr w:type="spellStart"/>
            <w:r w:rsidRPr="00294A2F">
              <w:rPr>
                <w:rFonts w:ascii="Arial" w:eastAsia="Times New Roman" w:hAnsi="Arial" w:cs="Arial"/>
                <w:color w:val="000000" w:themeColor="text1"/>
                <w:sz w:val="20"/>
                <w:szCs w:val="20"/>
              </w:rPr>
              <w:t>tại</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ngày</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báo</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cáo</w:t>
            </w:r>
            <w:proofErr w:type="spellEnd"/>
          </w:p>
        </w:tc>
        <w:tc>
          <w:tcPr>
            <w:tcW w:w="1028" w:type="pct"/>
            <w:shd w:val="clear" w:color="auto" w:fill="auto"/>
            <w:vAlign w:val="center"/>
          </w:tcPr>
          <w:p w14:paraId="4426E99E" w14:textId="77777777" w:rsidR="00B97E41" w:rsidRPr="00294A2F" w:rsidRDefault="00B97E41" w:rsidP="008417AD">
            <w:pPr>
              <w:tabs>
                <w:tab w:val="left" w:pos="540"/>
              </w:tabs>
              <w:spacing w:before="120" w:after="0" w:line="240" w:lineRule="auto"/>
              <w:jc w:val="center"/>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N/A</w:t>
            </w:r>
          </w:p>
        </w:tc>
        <w:tc>
          <w:tcPr>
            <w:tcW w:w="1028" w:type="pct"/>
            <w:shd w:val="clear" w:color="auto" w:fill="auto"/>
            <w:vAlign w:val="center"/>
          </w:tcPr>
          <w:p w14:paraId="23DD1B9B" w14:textId="77777777" w:rsidR="00B97E41" w:rsidRPr="00294A2F" w:rsidRDefault="00B97E41" w:rsidP="008417AD">
            <w:pPr>
              <w:tabs>
                <w:tab w:val="left" w:pos="540"/>
              </w:tabs>
              <w:spacing w:before="120" w:after="0" w:line="240" w:lineRule="auto"/>
              <w:jc w:val="center"/>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N/A</w:t>
            </w:r>
          </w:p>
        </w:tc>
        <w:tc>
          <w:tcPr>
            <w:tcW w:w="1040" w:type="pct"/>
            <w:shd w:val="clear" w:color="auto" w:fill="auto"/>
            <w:vAlign w:val="center"/>
          </w:tcPr>
          <w:p w14:paraId="7478CE8A" w14:textId="77777777" w:rsidR="00B97E41" w:rsidRPr="00294A2F" w:rsidRDefault="00B97E41" w:rsidP="008417AD">
            <w:pPr>
              <w:tabs>
                <w:tab w:val="left" w:pos="540"/>
              </w:tabs>
              <w:spacing w:before="120" w:after="0" w:line="240" w:lineRule="auto"/>
              <w:jc w:val="center"/>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N/A</w:t>
            </w:r>
          </w:p>
        </w:tc>
      </w:tr>
      <w:tr w:rsidR="00B97E41" w:rsidRPr="00294A2F" w14:paraId="5E4483D9" w14:textId="77777777" w:rsidTr="008417AD">
        <w:trPr>
          <w:trHeight w:val="587"/>
        </w:trPr>
        <w:tc>
          <w:tcPr>
            <w:tcW w:w="1905" w:type="pct"/>
            <w:shd w:val="clear" w:color="auto" w:fill="auto"/>
            <w:vAlign w:val="center"/>
          </w:tcPr>
          <w:p w14:paraId="4A2833DA"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2.7.Giá </w:t>
            </w:r>
            <w:proofErr w:type="spellStart"/>
            <w:r w:rsidRPr="00294A2F">
              <w:rPr>
                <w:rFonts w:ascii="Arial" w:eastAsia="Times New Roman" w:hAnsi="Arial" w:cs="Arial"/>
                <w:color w:val="000000" w:themeColor="text1"/>
                <w:sz w:val="20"/>
                <w:szCs w:val="20"/>
              </w:rPr>
              <w:t>cuối</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ngày</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cao</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nhất</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của</w:t>
            </w:r>
            <w:proofErr w:type="spellEnd"/>
            <w:r w:rsidRPr="00294A2F">
              <w:rPr>
                <w:rFonts w:ascii="Arial" w:eastAsia="Times New Roman" w:hAnsi="Arial" w:cs="Arial"/>
                <w:color w:val="000000" w:themeColor="text1"/>
                <w:sz w:val="20"/>
                <w:szCs w:val="20"/>
              </w:rPr>
              <w:t xml:space="preserve"> 1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CCQ </w:t>
            </w:r>
            <w:proofErr w:type="spellStart"/>
            <w:r w:rsidRPr="00294A2F">
              <w:rPr>
                <w:rFonts w:ascii="Arial" w:eastAsia="Times New Roman" w:hAnsi="Arial" w:cs="Arial"/>
                <w:color w:val="000000" w:themeColor="text1"/>
                <w:sz w:val="20"/>
                <w:szCs w:val="20"/>
              </w:rPr>
              <w:t>trong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kỳ</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báo</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cáo</w:t>
            </w:r>
            <w:proofErr w:type="spellEnd"/>
          </w:p>
        </w:tc>
        <w:tc>
          <w:tcPr>
            <w:tcW w:w="1028" w:type="pct"/>
            <w:shd w:val="clear" w:color="auto" w:fill="auto"/>
            <w:vAlign w:val="center"/>
          </w:tcPr>
          <w:p w14:paraId="035A1375" w14:textId="77777777" w:rsidR="00B97E41" w:rsidRPr="00294A2F" w:rsidRDefault="00B97E41" w:rsidP="008417AD">
            <w:pPr>
              <w:tabs>
                <w:tab w:val="left" w:pos="540"/>
              </w:tabs>
              <w:spacing w:before="120" w:after="0" w:line="240" w:lineRule="auto"/>
              <w:jc w:val="center"/>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N/A</w:t>
            </w:r>
          </w:p>
        </w:tc>
        <w:tc>
          <w:tcPr>
            <w:tcW w:w="1028" w:type="pct"/>
            <w:shd w:val="clear" w:color="auto" w:fill="auto"/>
            <w:vAlign w:val="center"/>
          </w:tcPr>
          <w:p w14:paraId="31A91A24" w14:textId="77777777" w:rsidR="00B97E41" w:rsidRPr="00294A2F" w:rsidRDefault="00B97E41" w:rsidP="008417AD">
            <w:pPr>
              <w:tabs>
                <w:tab w:val="left" w:pos="540"/>
              </w:tabs>
              <w:spacing w:before="120" w:after="0" w:line="240" w:lineRule="auto"/>
              <w:jc w:val="center"/>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N/A</w:t>
            </w:r>
          </w:p>
        </w:tc>
        <w:tc>
          <w:tcPr>
            <w:tcW w:w="1040" w:type="pct"/>
            <w:shd w:val="clear" w:color="auto" w:fill="auto"/>
            <w:vAlign w:val="center"/>
          </w:tcPr>
          <w:p w14:paraId="3F5C981E" w14:textId="77777777" w:rsidR="00B97E41" w:rsidRPr="00294A2F" w:rsidRDefault="00B97E41" w:rsidP="008417AD">
            <w:pPr>
              <w:tabs>
                <w:tab w:val="left" w:pos="540"/>
              </w:tabs>
              <w:spacing w:before="120" w:after="0" w:line="240" w:lineRule="auto"/>
              <w:jc w:val="center"/>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N/A</w:t>
            </w:r>
          </w:p>
        </w:tc>
      </w:tr>
      <w:tr w:rsidR="00B97E41" w:rsidRPr="00294A2F" w14:paraId="35E1CC12" w14:textId="77777777" w:rsidTr="008417AD">
        <w:trPr>
          <w:trHeight w:val="587"/>
        </w:trPr>
        <w:tc>
          <w:tcPr>
            <w:tcW w:w="1905" w:type="pct"/>
            <w:shd w:val="clear" w:color="auto" w:fill="auto"/>
            <w:vAlign w:val="center"/>
          </w:tcPr>
          <w:p w14:paraId="05830A94"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2.8.Giá </w:t>
            </w:r>
            <w:proofErr w:type="spellStart"/>
            <w:r w:rsidRPr="00294A2F">
              <w:rPr>
                <w:rFonts w:ascii="Arial" w:eastAsia="Times New Roman" w:hAnsi="Arial" w:cs="Arial"/>
                <w:color w:val="000000" w:themeColor="text1"/>
                <w:sz w:val="20"/>
                <w:szCs w:val="20"/>
              </w:rPr>
              <w:t>cuối</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ngày</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thấp</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nhất</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của</w:t>
            </w:r>
            <w:proofErr w:type="spellEnd"/>
            <w:r w:rsidRPr="00294A2F">
              <w:rPr>
                <w:rFonts w:ascii="Arial" w:eastAsia="Times New Roman" w:hAnsi="Arial" w:cs="Arial"/>
                <w:color w:val="000000" w:themeColor="text1"/>
                <w:sz w:val="20"/>
                <w:szCs w:val="20"/>
              </w:rPr>
              <w:t xml:space="preserve"> 1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CCQ </w:t>
            </w:r>
            <w:proofErr w:type="spellStart"/>
            <w:r w:rsidRPr="00294A2F">
              <w:rPr>
                <w:rFonts w:ascii="Arial" w:eastAsia="Times New Roman" w:hAnsi="Arial" w:cs="Arial"/>
                <w:color w:val="000000" w:themeColor="text1"/>
                <w:sz w:val="20"/>
                <w:szCs w:val="20"/>
              </w:rPr>
              <w:t>trong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kỳ</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báo</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cáo</w:t>
            </w:r>
            <w:proofErr w:type="spellEnd"/>
          </w:p>
        </w:tc>
        <w:tc>
          <w:tcPr>
            <w:tcW w:w="1028" w:type="pct"/>
            <w:shd w:val="clear" w:color="auto" w:fill="auto"/>
            <w:vAlign w:val="center"/>
          </w:tcPr>
          <w:p w14:paraId="0F399514" w14:textId="77777777" w:rsidR="00B97E41" w:rsidRPr="00294A2F" w:rsidRDefault="00B97E41" w:rsidP="008417AD">
            <w:pPr>
              <w:tabs>
                <w:tab w:val="left" w:pos="540"/>
              </w:tabs>
              <w:spacing w:before="120" w:after="0" w:line="240" w:lineRule="auto"/>
              <w:jc w:val="center"/>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N/A</w:t>
            </w:r>
          </w:p>
        </w:tc>
        <w:tc>
          <w:tcPr>
            <w:tcW w:w="1028" w:type="pct"/>
            <w:shd w:val="clear" w:color="auto" w:fill="auto"/>
            <w:vAlign w:val="center"/>
          </w:tcPr>
          <w:p w14:paraId="2F18D46B" w14:textId="77777777" w:rsidR="00B97E41" w:rsidRPr="00294A2F" w:rsidRDefault="00B97E41" w:rsidP="008417AD">
            <w:pPr>
              <w:tabs>
                <w:tab w:val="left" w:pos="540"/>
              </w:tabs>
              <w:spacing w:before="120" w:after="0" w:line="240" w:lineRule="auto"/>
              <w:jc w:val="center"/>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N/A</w:t>
            </w:r>
          </w:p>
        </w:tc>
        <w:tc>
          <w:tcPr>
            <w:tcW w:w="1040" w:type="pct"/>
            <w:shd w:val="clear" w:color="auto" w:fill="auto"/>
            <w:vAlign w:val="center"/>
          </w:tcPr>
          <w:p w14:paraId="6699D088" w14:textId="77777777" w:rsidR="00B97E41" w:rsidRPr="00294A2F" w:rsidRDefault="00B97E41" w:rsidP="008417AD">
            <w:pPr>
              <w:tabs>
                <w:tab w:val="left" w:pos="540"/>
              </w:tabs>
              <w:spacing w:before="120" w:after="0" w:line="240" w:lineRule="auto"/>
              <w:jc w:val="center"/>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N/A</w:t>
            </w:r>
          </w:p>
        </w:tc>
      </w:tr>
      <w:tr w:rsidR="00B97E41" w:rsidRPr="00294A2F" w14:paraId="50E1222B" w14:textId="77777777" w:rsidTr="00F668EA">
        <w:trPr>
          <w:trHeight w:val="587"/>
        </w:trPr>
        <w:tc>
          <w:tcPr>
            <w:tcW w:w="1905" w:type="pct"/>
            <w:shd w:val="clear" w:color="auto" w:fill="FFFFFF" w:themeFill="background1"/>
          </w:tcPr>
          <w:p w14:paraId="325EA023"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2.9.Tổng </w:t>
            </w:r>
            <w:proofErr w:type="spellStart"/>
            <w:r w:rsidRPr="00294A2F">
              <w:rPr>
                <w:rFonts w:ascii="Arial" w:eastAsia="Times New Roman" w:hAnsi="Arial" w:cs="Arial"/>
                <w:color w:val="000000" w:themeColor="text1"/>
                <w:sz w:val="20"/>
                <w:szCs w:val="20"/>
              </w:rPr>
              <w:t>tăng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trưởng</w:t>
            </w:r>
            <w:proofErr w:type="spellEnd"/>
            <w:r w:rsidRPr="00294A2F">
              <w:rPr>
                <w:rFonts w:ascii="Arial" w:eastAsia="Times New Roman" w:hAnsi="Arial" w:cs="Arial"/>
                <w:color w:val="000000" w:themeColor="text1"/>
                <w:sz w:val="20"/>
                <w:szCs w:val="20"/>
              </w:rPr>
              <w:t xml:space="preserve"> (%)/1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CCQ</w:t>
            </w:r>
          </w:p>
        </w:tc>
        <w:tc>
          <w:tcPr>
            <w:tcW w:w="1028" w:type="pct"/>
            <w:shd w:val="clear" w:color="auto" w:fill="auto"/>
            <w:vAlign w:val="center"/>
          </w:tcPr>
          <w:p w14:paraId="73323122"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9,10%</w:t>
            </w:r>
          </w:p>
        </w:tc>
        <w:tc>
          <w:tcPr>
            <w:tcW w:w="1028" w:type="pct"/>
            <w:shd w:val="clear" w:color="auto" w:fill="auto"/>
            <w:vAlign w:val="center"/>
          </w:tcPr>
          <w:p w14:paraId="6793DE0F"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4,46%</w:t>
            </w:r>
          </w:p>
        </w:tc>
        <w:tc>
          <w:tcPr>
            <w:tcW w:w="1040" w:type="pct"/>
            <w:shd w:val="clear" w:color="auto" w:fill="auto"/>
            <w:vAlign w:val="center"/>
          </w:tcPr>
          <w:p w14:paraId="2EBAD744"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7,34%</w:t>
            </w:r>
          </w:p>
        </w:tc>
      </w:tr>
      <w:tr w:rsidR="00B97E41" w:rsidRPr="00294A2F" w14:paraId="2ADE07E6" w14:textId="77777777" w:rsidTr="00F668EA">
        <w:trPr>
          <w:trHeight w:val="574"/>
        </w:trPr>
        <w:tc>
          <w:tcPr>
            <w:tcW w:w="1905" w:type="pct"/>
            <w:shd w:val="clear" w:color="auto" w:fill="auto"/>
          </w:tcPr>
          <w:p w14:paraId="67E8BCFC"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2.9.1.Tăng </w:t>
            </w:r>
            <w:proofErr w:type="spellStart"/>
            <w:r w:rsidRPr="00294A2F">
              <w:rPr>
                <w:rFonts w:ascii="Arial" w:eastAsia="Times New Roman" w:hAnsi="Arial" w:cs="Arial"/>
                <w:color w:val="000000" w:themeColor="text1"/>
                <w:sz w:val="20"/>
                <w:szCs w:val="20"/>
              </w:rPr>
              <w:t>trưởng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vốn</w:t>
            </w:r>
            <w:proofErr w:type="spellEnd"/>
            <w:r w:rsidRPr="00294A2F">
              <w:rPr>
                <w:rFonts w:ascii="Arial" w:eastAsia="Times New Roman" w:hAnsi="Arial" w:cs="Arial"/>
                <w:color w:val="000000" w:themeColor="text1"/>
                <w:sz w:val="20"/>
                <w:szCs w:val="20"/>
              </w:rPr>
              <w:t xml:space="preserve"> (%)/1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CCQ (Thay </w:t>
            </w:r>
            <w:proofErr w:type="spellStart"/>
            <w:r w:rsidRPr="00294A2F">
              <w:rPr>
                <w:rFonts w:ascii="Arial" w:eastAsia="Times New Roman" w:hAnsi="Arial" w:cs="Arial"/>
                <w:color w:val="000000" w:themeColor="text1"/>
                <w:sz w:val="20"/>
                <w:szCs w:val="20"/>
              </w:rPr>
              <w:t>đổi</w:t>
            </w:r>
            <w:proofErr w:type="spellEnd"/>
            <w:r w:rsidRPr="00294A2F">
              <w:rPr>
                <w:rFonts w:ascii="Arial" w:eastAsia="Times New Roman" w:hAnsi="Arial" w:cs="Arial"/>
                <w:color w:val="000000" w:themeColor="text1"/>
                <w:sz w:val="20"/>
                <w:szCs w:val="20"/>
              </w:rPr>
              <w:t xml:space="preserve"> do </w:t>
            </w:r>
            <w:proofErr w:type="spellStart"/>
            <w:r w:rsidRPr="00294A2F">
              <w:rPr>
                <w:rFonts w:ascii="Arial" w:eastAsia="Times New Roman" w:hAnsi="Arial" w:cs="Arial"/>
                <w:color w:val="000000" w:themeColor="text1"/>
                <w:sz w:val="20"/>
                <w:szCs w:val="20"/>
              </w:rPr>
              <w:t>biến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động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giá</w:t>
            </w:r>
            <w:proofErr w:type="spellEnd"/>
            <w:r w:rsidRPr="00294A2F">
              <w:rPr>
                <w:rFonts w:ascii="Arial" w:eastAsia="Times New Roman" w:hAnsi="Arial" w:cs="Arial"/>
                <w:color w:val="000000" w:themeColor="text1"/>
                <w:sz w:val="20"/>
                <w:szCs w:val="20"/>
              </w:rPr>
              <w:t>)</w:t>
            </w:r>
          </w:p>
        </w:tc>
        <w:tc>
          <w:tcPr>
            <w:tcW w:w="1028" w:type="pct"/>
            <w:shd w:val="clear" w:color="auto" w:fill="auto"/>
            <w:vAlign w:val="center"/>
          </w:tcPr>
          <w:p w14:paraId="66A708EE"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0,93%</w:t>
            </w:r>
          </w:p>
        </w:tc>
        <w:tc>
          <w:tcPr>
            <w:tcW w:w="1028" w:type="pct"/>
            <w:shd w:val="clear" w:color="auto" w:fill="auto"/>
            <w:vAlign w:val="center"/>
          </w:tcPr>
          <w:p w14:paraId="310E7631" w14:textId="0F3F0F09" w:rsidR="00B97E41" w:rsidRPr="00294A2F" w:rsidRDefault="005B2D7C" w:rsidP="00941E61">
            <w:pPr>
              <w:spacing w:after="0" w:line="240" w:lineRule="auto"/>
              <w:ind w:right="96"/>
              <w:jc w:val="right"/>
              <w:rPr>
                <w:rFonts w:ascii="Arial" w:hAnsi="Arial" w:cs="Arial"/>
                <w:color w:val="000000" w:themeColor="text1"/>
                <w:sz w:val="20"/>
                <w:szCs w:val="20"/>
              </w:rPr>
            </w:pPr>
            <w:r>
              <w:rPr>
                <w:rFonts w:ascii="Arial" w:hAnsi="Arial" w:cs="Arial"/>
                <w:color w:val="000000" w:themeColor="text1"/>
                <w:sz w:val="20"/>
                <w:szCs w:val="20"/>
              </w:rPr>
              <w:t>(</w:t>
            </w:r>
            <w:r w:rsidR="00B97E41" w:rsidRPr="00294A2F">
              <w:rPr>
                <w:rFonts w:ascii="Arial" w:hAnsi="Arial" w:cs="Arial"/>
                <w:color w:val="000000" w:themeColor="text1"/>
                <w:sz w:val="20"/>
                <w:szCs w:val="20"/>
              </w:rPr>
              <w:t>5,35%</w:t>
            </w:r>
            <w:r>
              <w:rPr>
                <w:rFonts w:ascii="Arial" w:hAnsi="Arial" w:cs="Arial"/>
                <w:color w:val="000000" w:themeColor="text1"/>
                <w:sz w:val="20"/>
                <w:szCs w:val="20"/>
              </w:rPr>
              <w:t>)</w:t>
            </w:r>
          </w:p>
        </w:tc>
        <w:tc>
          <w:tcPr>
            <w:tcW w:w="1040" w:type="pct"/>
            <w:shd w:val="clear" w:color="auto" w:fill="auto"/>
            <w:vAlign w:val="center"/>
          </w:tcPr>
          <w:p w14:paraId="12D90694" w14:textId="35281F24" w:rsidR="00B97E41" w:rsidRPr="00294A2F" w:rsidRDefault="005B2D7C" w:rsidP="00941E61">
            <w:pPr>
              <w:ind w:right="96"/>
              <w:jc w:val="right"/>
              <w:rPr>
                <w:rFonts w:ascii="Arial" w:hAnsi="Arial" w:cs="Arial"/>
                <w:color w:val="000000" w:themeColor="text1"/>
                <w:sz w:val="20"/>
                <w:szCs w:val="20"/>
              </w:rPr>
            </w:pPr>
            <w:r>
              <w:rPr>
                <w:rFonts w:ascii="Arial" w:hAnsi="Arial" w:cs="Arial"/>
                <w:color w:val="000000" w:themeColor="text1"/>
                <w:sz w:val="20"/>
                <w:szCs w:val="20"/>
              </w:rPr>
              <w:t>(</w:t>
            </w:r>
            <w:r w:rsidR="00B97E41" w:rsidRPr="00294A2F">
              <w:rPr>
                <w:rFonts w:ascii="Arial" w:hAnsi="Arial" w:cs="Arial"/>
                <w:color w:val="000000" w:themeColor="text1"/>
                <w:sz w:val="20"/>
                <w:szCs w:val="20"/>
              </w:rPr>
              <w:t>1,09%</w:t>
            </w:r>
            <w:r>
              <w:rPr>
                <w:rFonts w:ascii="Arial" w:hAnsi="Arial" w:cs="Arial"/>
                <w:color w:val="000000" w:themeColor="text1"/>
                <w:sz w:val="20"/>
                <w:szCs w:val="20"/>
              </w:rPr>
              <w:t>)</w:t>
            </w:r>
          </w:p>
        </w:tc>
      </w:tr>
      <w:tr w:rsidR="00B97E41" w:rsidRPr="00294A2F" w14:paraId="031FFC93" w14:textId="77777777" w:rsidTr="00F668EA">
        <w:trPr>
          <w:trHeight w:val="812"/>
        </w:trPr>
        <w:tc>
          <w:tcPr>
            <w:tcW w:w="1905" w:type="pct"/>
            <w:shd w:val="clear" w:color="auto" w:fill="auto"/>
          </w:tcPr>
          <w:p w14:paraId="22E1DBDF"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2.9.2.Tăng </w:t>
            </w:r>
            <w:proofErr w:type="spellStart"/>
            <w:r w:rsidRPr="00294A2F">
              <w:rPr>
                <w:rFonts w:ascii="Arial" w:eastAsia="Times New Roman" w:hAnsi="Arial" w:cs="Arial"/>
                <w:color w:val="000000" w:themeColor="text1"/>
                <w:sz w:val="20"/>
                <w:szCs w:val="20"/>
              </w:rPr>
              <w:t>trưởng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thu</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nhập</w:t>
            </w:r>
            <w:proofErr w:type="spellEnd"/>
            <w:r w:rsidRPr="00294A2F">
              <w:rPr>
                <w:rFonts w:ascii="Arial" w:eastAsia="Times New Roman" w:hAnsi="Arial" w:cs="Arial"/>
                <w:color w:val="000000" w:themeColor="text1"/>
                <w:sz w:val="20"/>
                <w:szCs w:val="20"/>
              </w:rPr>
              <w:t xml:space="preserve"> (%)/1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CCQ (</w:t>
            </w:r>
            <w:proofErr w:type="spellStart"/>
            <w:r w:rsidRPr="00294A2F">
              <w:rPr>
                <w:rFonts w:ascii="Arial" w:eastAsia="Times New Roman" w:hAnsi="Arial" w:cs="Arial"/>
                <w:color w:val="000000" w:themeColor="text1"/>
                <w:sz w:val="20"/>
                <w:szCs w:val="20"/>
              </w:rPr>
              <w:t>Tính</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trên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thu</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nhập</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đã</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thực</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hiện</w:t>
            </w:r>
            <w:proofErr w:type="spellEnd"/>
            <w:r w:rsidRPr="00294A2F">
              <w:rPr>
                <w:rFonts w:ascii="Arial" w:eastAsia="Times New Roman" w:hAnsi="Arial" w:cs="Arial"/>
                <w:color w:val="000000" w:themeColor="text1"/>
                <w:sz w:val="20"/>
                <w:szCs w:val="20"/>
              </w:rPr>
              <w:t>)</w:t>
            </w:r>
          </w:p>
        </w:tc>
        <w:tc>
          <w:tcPr>
            <w:tcW w:w="1028" w:type="pct"/>
            <w:shd w:val="clear" w:color="auto" w:fill="auto"/>
            <w:vAlign w:val="center"/>
          </w:tcPr>
          <w:p w14:paraId="4DBCC145"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8,17%</w:t>
            </w:r>
          </w:p>
        </w:tc>
        <w:tc>
          <w:tcPr>
            <w:tcW w:w="1028" w:type="pct"/>
            <w:shd w:val="clear" w:color="auto" w:fill="auto"/>
            <w:vAlign w:val="center"/>
          </w:tcPr>
          <w:p w14:paraId="5D4F43F0"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9,80%</w:t>
            </w:r>
          </w:p>
        </w:tc>
        <w:tc>
          <w:tcPr>
            <w:tcW w:w="1040" w:type="pct"/>
            <w:shd w:val="clear" w:color="auto" w:fill="auto"/>
            <w:vAlign w:val="center"/>
          </w:tcPr>
          <w:p w14:paraId="44EE4027" w14:textId="77777777" w:rsidR="00B97E41" w:rsidRPr="00294A2F" w:rsidRDefault="00B97E41" w:rsidP="00941E61">
            <w:pPr>
              <w:ind w:right="96"/>
              <w:jc w:val="right"/>
              <w:rPr>
                <w:rFonts w:ascii="Arial" w:hAnsi="Arial" w:cs="Arial"/>
                <w:color w:val="000000" w:themeColor="text1"/>
                <w:sz w:val="20"/>
                <w:szCs w:val="20"/>
              </w:rPr>
            </w:pPr>
            <w:r w:rsidRPr="00294A2F">
              <w:rPr>
                <w:rFonts w:ascii="Arial" w:hAnsi="Arial" w:cs="Arial"/>
                <w:color w:val="000000" w:themeColor="text1"/>
                <w:sz w:val="20"/>
                <w:szCs w:val="20"/>
              </w:rPr>
              <w:t>8,43%</w:t>
            </w:r>
          </w:p>
        </w:tc>
      </w:tr>
      <w:tr w:rsidR="00B97E41" w:rsidRPr="00294A2F" w14:paraId="440EB8FD" w14:textId="77777777" w:rsidTr="00F668EA">
        <w:trPr>
          <w:trHeight w:val="362"/>
        </w:trPr>
        <w:tc>
          <w:tcPr>
            <w:tcW w:w="1905" w:type="pct"/>
            <w:shd w:val="clear" w:color="auto" w:fill="auto"/>
            <w:vAlign w:val="center"/>
          </w:tcPr>
          <w:p w14:paraId="7D295629"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2.10.Phân </w:t>
            </w:r>
            <w:proofErr w:type="spellStart"/>
            <w:r w:rsidRPr="00294A2F">
              <w:rPr>
                <w:rFonts w:ascii="Arial" w:eastAsia="Times New Roman" w:hAnsi="Arial" w:cs="Arial"/>
                <w:color w:val="000000" w:themeColor="text1"/>
                <w:sz w:val="20"/>
                <w:szCs w:val="20"/>
              </w:rPr>
              <w:t>phối</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gộp</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trên</w:t>
            </w:r>
            <w:proofErr w:type="spellEnd"/>
            <w:r w:rsidRPr="00294A2F">
              <w:rPr>
                <w:rFonts w:ascii="Arial" w:eastAsia="Times New Roman" w:hAnsi="Arial" w:cs="Arial"/>
                <w:color w:val="000000" w:themeColor="text1"/>
                <w:sz w:val="20"/>
                <w:szCs w:val="20"/>
              </w:rPr>
              <w:t xml:space="preserve"> 1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CCQ</w:t>
            </w:r>
          </w:p>
        </w:tc>
        <w:tc>
          <w:tcPr>
            <w:tcW w:w="1028" w:type="pct"/>
            <w:shd w:val="clear" w:color="auto" w:fill="auto"/>
            <w:vAlign w:val="center"/>
          </w:tcPr>
          <w:p w14:paraId="35DB5D08" w14:textId="77777777" w:rsidR="00B97E41" w:rsidRPr="00294A2F" w:rsidRDefault="00B97E41" w:rsidP="00941E61">
            <w:pPr>
              <w:tabs>
                <w:tab w:val="left" w:pos="540"/>
              </w:tabs>
              <w:spacing w:before="120" w:after="0" w:line="240" w:lineRule="auto"/>
              <w:jc w:val="right"/>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Không có</w:t>
            </w:r>
          </w:p>
        </w:tc>
        <w:tc>
          <w:tcPr>
            <w:tcW w:w="1028" w:type="pct"/>
            <w:shd w:val="clear" w:color="auto" w:fill="auto"/>
            <w:vAlign w:val="center"/>
          </w:tcPr>
          <w:p w14:paraId="3B8CC94F" w14:textId="77777777" w:rsidR="00B97E41" w:rsidRPr="00294A2F" w:rsidRDefault="00B97E41" w:rsidP="00941E61">
            <w:pPr>
              <w:tabs>
                <w:tab w:val="left" w:pos="540"/>
              </w:tabs>
              <w:spacing w:before="120" w:after="0" w:line="240" w:lineRule="auto"/>
              <w:jc w:val="right"/>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Không có</w:t>
            </w:r>
          </w:p>
        </w:tc>
        <w:tc>
          <w:tcPr>
            <w:tcW w:w="1040" w:type="pct"/>
            <w:shd w:val="clear" w:color="auto" w:fill="auto"/>
            <w:vAlign w:val="center"/>
          </w:tcPr>
          <w:p w14:paraId="2313A787" w14:textId="77777777" w:rsidR="00B97E41" w:rsidRPr="00294A2F" w:rsidRDefault="00B97E41" w:rsidP="00941E61">
            <w:pPr>
              <w:tabs>
                <w:tab w:val="left" w:pos="540"/>
              </w:tabs>
              <w:spacing w:before="120" w:after="0" w:line="240" w:lineRule="auto"/>
              <w:jc w:val="right"/>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Không có</w:t>
            </w:r>
          </w:p>
        </w:tc>
      </w:tr>
      <w:tr w:rsidR="00B97E41" w:rsidRPr="00294A2F" w14:paraId="7CC985D6" w14:textId="77777777" w:rsidTr="00F668EA">
        <w:trPr>
          <w:trHeight w:val="574"/>
        </w:trPr>
        <w:tc>
          <w:tcPr>
            <w:tcW w:w="1905" w:type="pct"/>
            <w:shd w:val="clear" w:color="auto" w:fill="auto"/>
            <w:vAlign w:val="center"/>
          </w:tcPr>
          <w:p w14:paraId="03DB9EAD"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2.11.Phân </w:t>
            </w:r>
            <w:proofErr w:type="spellStart"/>
            <w:r w:rsidRPr="00294A2F">
              <w:rPr>
                <w:rFonts w:ascii="Arial" w:eastAsia="Times New Roman" w:hAnsi="Arial" w:cs="Arial"/>
                <w:color w:val="000000" w:themeColor="text1"/>
                <w:sz w:val="20"/>
                <w:szCs w:val="20"/>
              </w:rPr>
              <w:t>phối</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ròng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trên</w:t>
            </w:r>
            <w:proofErr w:type="spellEnd"/>
            <w:r w:rsidRPr="00294A2F">
              <w:rPr>
                <w:rFonts w:ascii="Arial" w:eastAsia="Times New Roman" w:hAnsi="Arial" w:cs="Arial"/>
                <w:color w:val="000000" w:themeColor="text1"/>
                <w:sz w:val="20"/>
                <w:szCs w:val="20"/>
              </w:rPr>
              <w:t xml:space="preserve"> 1 </w:t>
            </w:r>
            <w:proofErr w:type="spellStart"/>
            <w:r w:rsidRPr="00294A2F">
              <w:rPr>
                <w:rFonts w:ascii="Arial" w:eastAsia="Times New Roman" w:hAnsi="Arial" w:cs="Arial"/>
                <w:color w:val="000000" w:themeColor="text1"/>
                <w:sz w:val="20"/>
                <w:szCs w:val="20"/>
              </w:rPr>
              <w:t>đơn</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vị</w:t>
            </w:r>
            <w:proofErr w:type="spellEnd"/>
            <w:r w:rsidRPr="00294A2F">
              <w:rPr>
                <w:rFonts w:ascii="Arial" w:eastAsia="Times New Roman" w:hAnsi="Arial" w:cs="Arial"/>
                <w:color w:val="000000" w:themeColor="text1"/>
                <w:sz w:val="20"/>
                <w:szCs w:val="20"/>
              </w:rPr>
              <w:t xml:space="preserve"> CCQ</w:t>
            </w:r>
          </w:p>
        </w:tc>
        <w:tc>
          <w:tcPr>
            <w:tcW w:w="1028" w:type="pct"/>
            <w:shd w:val="clear" w:color="auto" w:fill="auto"/>
            <w:vAlign w:val="center"/>
          </w:tcPr>
          <w:p w14:paraId="1B630161" w14:textId="77777777" w:rsidR="00B97E41" w:rsidRPr="00294A2F" w:rsidRDefault="00B97E41" w:rsidP="00941E61">
            <w:pPr>
              <w:tabs>
                <w:tab w:val="left" w:pos="540"/>
              </w:tabs>
              <w:spacing w:before="120" w:after="0" w:line="240" w:lineRule="auto"/>
              <w:jc w:val="right"/>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Không có</w:t>
            </w:r>
          </w:p>
        </w:tc>
        <w:tc>
          <w:tcPr>
            <w:tcW w:w="1028" w:type="pct"/>
            <w:shd w:val="clear" w:color="auto" w:fill="auto"/>
            <w:vAlign w:val="center"/>
          </w:tcPr>
          <w:p w14:paraId="4038B85C" w14:textId="77777777" w:rsidR="00B97E41" w:rsidRPr="00294A2F" w:rsidRDefault="00B97E41" w:rsidP="00941E61">
            <w:pPr>
              <w:tabs>
                <w:tab w:val="left" w:pos="540"/>
              </w:tabs>
              <w:spacing w:before="120" w:after="0" w:line="240" w:lineRule="auto"/>
              <w:jc w:val="right"/>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Không có</w:t>
            </w:r>
          </w:p>
        </w:tc>
        <w:tc>
          <w:tcPr>
            <w:tcW w:w="1040" w:type="pct"/>
            <w:shd w:val="clear" w:color="auto" w:fill="auto"/>
            <w:vAlign w:val="center"/>
          </w:tcPr>
          <w:p w14:paraId="5B057E42" w14:textId="77777777" w:rsidR="00B97E41" w:rsidRPr="00294A2F" w:rsidRDefault="00B97E41" w:rsidP="00941E61">
            <w:pPr>
              <w:tabs>
                <w:tab w:val="left" w:pos="540"/>
              </w:tabs>
              <w:spacing w:before="120" w:after="0" w:line="240" w:lineRule="auto"/>
              <w:jc w:val="right"/>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Không có</w:t>
            </w:r>
          </w:p>
        </w:tc>
      </w:tr>
      <w:tr w:rsidR="00B97E41" w:rsidRPr="00294A2F" w14:paraId="2FDBD83F" w14:textId="77777777" w:rsidTr="00F668EA">
        <w:trPr>
          <w:trHeight w:val="587"/>
        </w:trPr>
        <w:tc>
          <w:tcPr>
            <w:tcW w:w="1905" w:type="pct"/>
            <w:shd w:val="clear" w:color="auto" w:fill="auto"/>
            <w:vAlign w:val="center"/>
          </w:tcPr>
          <w:p w14:paraId="5A20571B"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2.12.Ngày </w:t>
            </w:r>
            <w:proofErr w:type="spellStart"/>
            <w:r w:rsidRPr="00294A2F">
              <w:rPr>
                <w:rFonts w:ascii="Arial" w:eastAsia="Times New Roman" w:hAnsi="Arial" w:cs="Arial"/>
                <w:color w:val="000000" w:themeColor="text1"/>
                <w:sz w:val="20"/>
                <w:szCs w:val="20"/>
              </w:rPr>
              <w:t>chốt</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quyền</w:t>
            </w:r>
            <w:proofErr w:type="spellEnd"/>
            <w:r w:rsidRPr="00294A2F">
              <w:rPr>
                <w:rFonts w:ascii="Arial" w:eastAsia="Times New Roman" w:hAnsi="Arial" w:cs="Arial"/>
                <w:color w:val="000000" w:themeColor="text1"/>
                <w:sz w:val="20"/>
                <w:szCs w:val="20"/>
              </w:rPr>
              <w:t xml:space="preserve"> (Ex-date of distribution)</w:t>
            </w:r>
          </w:p>
        </w:tc>
        <w:tc>
          <w:tcPr>
            <w:tcW w:w="1028" w:type="pct"/>
            <w:shd w:val="clear" w:color="auto" w:fill="auto"/>
            <w:vAlign w:val="center"/>
          </w:tcPr>
          <w:p w14:paraId="25BA8419" w14:textId="77777777" w:rsidR="00B97E41" w:rsidRPr="00294A2F" w:rsidRDefault="00B97E41" w:rsidP="00941E61">
            <w:pPr>
              <w:tabs>
                <w:tab w:val="left" w:pos="540"/>
              </w:tabs>
              <w:spacing w:before="120" w:after="0" w:line="240" w:lineRule="auto"/>
              <w:jc w:val="right"/>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Không có</w:t>
            </w:r>
          </w:p>
        </w:tc>
        <w:tc>
          <w:tcPr>
            <w:tcW w:w="1028" w:type="pct"/>
            <w:shd w:val="clear" w:color="auto" w:fill="auto"/>
            <w:vAlign w:val="center"/>
          </w:tcPr>
          <w:p w14:paraId="7F6A6C06" w14:textId="77777777" w:rsidR="00B97E41" w:rsidRPr="00294A2F" w:rsidRDefault="00B97E41" w:rsidP="00941E61">
            <w:pPr>
              <w:tabs>
                <w:tab w:val="left" w:pos="540"/>
              </w:tabs>
              <w:spacing w:before="120" w:after="0" w:line="240" w:lineRule="auto"/>
              <w:jc w:val="right"/>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Không có</w:t>
            </w:r>
          </w:p>
        </w:tc>
        <w:tc>
          <w:tcPr>
            <w:tcW w:w="1040" w:type="pct"/>
            <w:shd w:val="clear" w:color="auto" w:fill="auto"/>
            <w:vAlign w:val="center"/>
          </w:tcPr>
          <w:p w14:paraId="30BF242E" w14:textId="77777777" w:rsidR="00B97E41" w:rsidRPr="00294A2F" w:rsidRDefault="00B97E41" w:rsidP="00941E61">
            <w:pPr>
              <w:tabs>
                <w:tab w:val="left" w:pos="540"/>
              </w:tabs>
              <w:spacing w:before="120" w:after="0" w:line="240" w:lineRule="auto"/>
              <w:jc w:val="right"/>
              <w:rPr>
                <w:rFonts w:ascii="Arial" w:eastAsia="Times New Roman" w:hAnsi="Arial" w:cs="Arial"/>
                <w:color w:val="000000" w:themeColor="text1"/>
                <w:sz w:val="20"/>
                <w:szCs w:val="20"/>
                <w:lang w:val="nl-NL"/>
              </w:rPr>
            </w:pPr>
            <w:r w:rsidRPr="00294A2F">
              <w:rPr>
                <w:rFonts w:ascii="Arial" w:eastAsia="Times New Roman" w:hAnsi="Arial" w:cs="Arial"/>
                <w:color w:val="000000" w:themeColor="text1"/>
                <w:sz w:val="20"/>
                <w:szCs w:val="20"/>
                <w:lang w:val="nl-NL"/>
              </w:rPr>
              <w:t>Không có</w:t>
            </w:r>
          </w:p>
        </w:tc>
      </w:tr>
      <w:tr w:rsidR="00BE0AFB" w:rsidRPr="00294A2F" w14:paraId="01AF4A6F" w14:textId="77777777" w:rsidTr="00F668EA">
        <w:trPr>
          <w:trHeight w:val="587"/>
        </w:trPr>
        <w:tc>
          <w:tcPr>
            <w:tcW w:w="1905" w:type="pct"/>
            <w:shd w:val="clear" w:color="auto" w:fill="auto"/>
            <w:vAlign w:val="center"/>
          </w:tcPr>
          <w:p w14:paraId="2003B311" w14:textId="77777777" w:rsidR="00BE0AFB" w:rsidRPr="00294A2F" w:rsidRDefault="00BE0AFB" w:rsidP="00BE0AFB">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2.13.Tỷ </w:t>
            </w:r>
            <w:proofErr w:type="spellStart"/>
            <w:r w:rsidRPr="00294A2F">
              <w:rPr>
                <w:rFonts w:ascii="Arial" w:eastAsia="Times New Roman" w:hAnsi="Arial" w:cs="Arial"/>
                <w:color w:val="000000" w:themeColor="text1"/>
                <w:sz w:val="20"/>
                <w:szCs w:val="20"/>
              </w:rPr>
              <w:t>lệ</w:t>
            </w:r>
            <w:proofErr w:type="spellEnd"/>
            <w:r w:rsidRPr="00294A2F">
              <w:rPr>
                <w:rFonts w:ascii="Arial" w:eastAsia="Times New Roman" w:hAnsi="Arial" w:cs="Arial"/>
                <w:color w:val="000000" w:themeColor="text1"/>
                <w:sz w:val="20"/>
                <w:szCs w:val="20"/>
              </w:rPr>
              <w:t xml:space="preserve"> chi </w:t>
            </w:r>
            <w:proofErr w:type="spellStart"/>
            <w:r w:rsidRPr="00294A2F">
              <w:rPr>
                <w:rFonts w:ascii="Arial" w:eastAsia="Times New Roman" w:hAnsi="Arial" w:cs="Arial"/>
                <w:color w:val="000000" w:themeColor="text1"/>
                <w:sz w:val="20"/>
                <w:szCs w:val="20"/>
              </w:rPr>
              <w:t>phí</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hoạt</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động</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của</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quỹ</w:t>
            </w:r>
            <w:proofErr w:type="spellEnd"/>
            <w:r w:rsidRPr="00294A2F">
              <w:rPr>
                <w:rFonts w:ascii="Arial" w:eastAsia="Times New Roman" w:hAnsi="Arial" w:cs="Arial"/>
                <w:color w:val="000000" w:themeColor="text1"/>
                <w:sz w:val="20"/>
                <w:szCs w:val="20"/>
              </w:rPr>
              <w:t xml:space="preserve"> (%)</w:t>
            </w:r>
          </w:p>
        </w:tc>
        <w:tc>
          <w:tcPr>
            <w:tcW w:w="1028" w:type="pct"/>
            <w:shd w:val="clear" w:color="auto" w:fill="auto"/>
            <w:vAlign w:val="center"/>
          </w:tcPr>
          <w:p w14:paraId="48F96645" w14:textId="393C5209" w:rsidR="00BE0AFB" w:rsidRPr="00294A2F" w:rsidRDefault="00BE0AFB" w:rsidP="00941E61">
            <w:pPr>
              <w:spacing w:after="0" w:line="240" w:lineRule="auto"/>
              <w:ind w:right="96"/>
              <w:jc w:val="right"/>
              <w:rPr>
                <w:rFonts w:ascii="Arial" w:hAnsi="Arial" w:cs="Arial"/>
                <w:color w:val="000000" w:themeColor="text1"/>
                <w:sz w:val="20"/>
                <w:szCs w:val="20"/>
              </w:rPr>
            </w:pPr>
            <w:r w:rsidRPr="00294A2F">
              <w:rPr>
                <w:rFonts w:ascii="Arial" w:hAnsi="Arial" w:cs="Arial"/>
                <w:sz w:val="20"/>
                <w:szCs w:val="20"/>
              </w:rPr>
              <w:t>1,48%</w:t>
            </w:r>
          </w:p>
        </w:tc>
        <w:tc>
          <w:tcPr>
            <w:tcW w:w="1028" w:type="pct"/>
            <w:shd w:val="clear" w:color="auto" w:fill="auto"/>
            <w:vAlign w:val="center"/>
          </w:tcPr>
          <w:p w14:paraId="22D54FC4" w14:textId="314791A1" w:rsidR="00BE0AFB" w:rsidRPr="00294A2F" w:rsidRDefault="00BE0AFB" w:rsidP="00941E61">
            <w:pPr>
              <w:spacing w:after="0" w:line="240" w:lineRule="auto"/>
              <w:ind w:right="96"/>
              <w:jc w:val="right"/>
              <w:rPr>
                <w:rFonts w:ascii="Arial" w:hAnsi="Arial" w:cs="Arial"/>
                <w:color w:val="000000" w:themeColor="text1"/>
                <w:sz w:val="20"/>
                <w:szCs w:val="20"/>
              </w:rPr>
            </w:pPr>
            <w:r w:rsidRPr="00294A2F">
              <w:rPr>
                <w:rFonts w:ascii="Arial" w:hAnsi="Arial" w:cs="Arial"/>
                <w:sz w:val="20"/>
                <w:szCs w:val="20"/>
              </w:rPr>
              <w:t>1,40%</w:t>
            </w:r>
          </w:p>
        </w:tc>
        <w:tc>
          <w:tcPr>
            <w:tcW w:w="1040" w:type="pct"/>
            <w:shd w:val="clear" w:color="auto" w:fill="auto"/>
            <w:vAlign w:val="center"/>
          </w:tcPr>
          <w:p w14:paraId="6C61DEDA" w14:textId="2AAB75A5" w:rsidR="00BE0AFB" w:rsidRPr="00294A2F" w:rsidRDefault="00BE0AFB" w:rsidP="00941E61">
            <w:pPr>
              <w:spacing w:after="0" w:line="240" w:lineRule="auto"/>
              <w:ind w:right="96"/>
              <w:jc w:val="right"/>
              <w:rPr>
                <w:rFonts w:ascii="Arial" w:hAnsi="Arial" w:cs="Arial"/>
                <w:color w:val="000000" w:themeColor="text1"/>
                <w:sz w:val="20"/>
                <w:szCs w:val="20"/>
              </w:rPr>
            </w:pPr>
            <w:r w:rsidRPr="00294A2F">
              <w:rPr>
                <w:rFonts w:ascii="Arial" w:hAnsi="Arial" w:cs="Arial"/>
                <w:sz w:val="20"/>
                <w:szCs w:val="20"/>
              </w:rPr>
              <w:t>1,31%</w:t>
            </w:r>
          </w:p>
        </w:tc>
      </w:tr>
      <w:tr w:rsidR="00B97E41" w:rsidRPr="00294A2F" w14:paraId="6451954E" w14:textId="77777777" w:rsidTr="00F668EA">
        <w:trPr>
          <w:trHeight w:val="560"/>
        </w:trPr>
        <w:tc>
          <w:tcPr>
            <w:tcW w:w="1905" w:type="pct"/>
            <w:shd w:val="clear" w:color="auto" w:fill="auto"/>
            <w:vAlign w:val="center"/>
          </w:tcPr>
          <w:p w14:paraId="3CC733E7" w14:textId="77777777" w:rsidR="00B97E41" w:rsidRPr="00294A2F" w:rsidRDefault="00B97E41" w:rsidP="00447738">
            <w:pPr>
              <w:tabs>
                <w:tab w:val="left" w:pos="540"/>
              </w:tabs>
              <w:spacing w:before="120" w:after="0" w:line="240" w:lineRule="auto"/>
              <w:rPr>
                <w:rFonts w:ascii="Arial" w:eastAsia="Times New Roman" w:hAnsi="Arial" w:cs="Arial"/>
                <w:color w:val="000000" w:themeColor="text1"/>
                <w:sz w:val="20"/>
                <w:szCs w:val="20"/>
              </w:rPr>
            </w:pPr>
            <w:r w:rsidRPr="00294A2F">
              <w:rPr>
                <w:rFonts w:ascii="Arial" w:eastAsia="Times New Roman" w:hAnsi="Arial" w:cs="Arial"/>
                <w:color w:val="000000" w:themeColor="text1"/>
                <w:sz w:val="20"/>
                <w:szCs w:val="20"/>
              </w:rPr>
              <w:t xml:space="preserve">2.14.Tốc </w:t>
            </w:r>
            <w:proofErr w:type="spellStart"/>
            <w:r w:rsidRPr="00294A2F">
              <w:rPr>
                <w:rFonts w:ascii="Arial" w:eastAsia="Times New Roman" w:hAnsi="Arial" w:cs="Arial"/>
                <w:color w:val="000000" w:themeColor="text1"/>
                <w:sz w:val="20"/>
                <w:szCs w:val="20"/>
              </w:rPr>
              <w:t>độ</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vòng</w:t>
            </w:r>
            <w:proofErr w:type="spellEnd"/>
            <w:r w:rsidRPr="00294A2F">
              <w:rPr>
                <w:rFonts w:ascii="Arial" w:eastAsia="Times New Roman" w:hAnsi="Arial" w:cs="Arial"/>
                <w:color w:val="000000" w:themeColor="text1"/>
                <w:sz w:val="20"/>
                <w:szCs w:val="20"/>
              </w:rPr>
              <w:t xml:space="preserve"> quay </w:t>
            </w:r>
            <w:proofErr w:type="spellStart"/>
            <w:r w:rsidRPr="00294A2F">
              <w:rPr>
                <w:rFonts w:ascii="Arial" w:eastAsia="Times New Roman" w:hAnsi="Arial" w:cs="Arial"/>
                <w:color w:val="000000" w:themeColor="text1"/>
                <w:sz w:val="20"/>
                <w:szCs w:val="20"/>
              </w:rPr>
              <w:t>danh</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mục</w:t>
            </w:r>
            <w:proofErr w:type="spellEnd"/>
            <w:r w:rsidRPr="00294A2F">
              <w:rPr>
                <w:rFonts w:ascii="Arial" w:eastAsia="Times New Roman" w:hAnsi="Arial" w:cs="Arial"/>
                <w:color w:val="000000" w:themeColor="text1"/>
                <w:sz w:val="20"/>
                <w:szCs w:val="20"/>
              </w:rPr>
              <w:t xml:space="preserve"> (</w:t>
            </w:r>
            <w:proofErr w:type="spellStart"/>
            <w:r w:rsidRPr="00294A2F">
              <w:rPr>
                <w:rFonts w:ascii="Arial" w:eastAsia="Times New Roman" w:hAnsi="Arial" w:cs="Arial"/>
                <w:color w:val="000000" w:themeColor="text1"/>
                <w:sz w:val="20"/>
                <w:szCs w:val="20"/>
              </w:rPr>
              <w:t>lần</w:t>
            </w:r>
            <w:proofErr w:type="spellEnd"/>
            <w:r w:rsidRPr="00294A2F">
              <w:rPr>
                <w:rFonts w:ascii="Arial" w:eastAsia="Times New Roman" w:hAnsi="Arial" w:cs="Arial"/>
                <w:color w:val="000000" w:themeColor="text1"/>
                <w:sz w:val="20"/>
                <w:szCs w:val="20"/>
              </w:rPr>
              <w:t>)</w:t>
            </w:r>
          </w:p>
        </w:tc>
        <w:tc>
          <w:tcPr>
            <w:tcW w:w="1028" w:type="pct"/>
            <w:shd w:val="clear" w:color="auto" w:fill="auto"/>
            <w:vAlign w:val="center"/>
          </w:tcPr>
          <w:p w14:paraId="411F0BDF" w14:textId="0F98A2A9" w:rsidR="00B97E41" w:rsidRPr="00294A2F" w:rsidRDefault="00F85ED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166,68%</w:t>
            </w:r>
          </w:p>
        </w:tc>
        <w:tc>
          <w:tcPr>
            <w:tcW w:w="1028" w:type="pct"/>
            <w:shd w:val="clear" w:color="auto" w:fill="auto"/>
            <w:vAlign w:val="center"/>
          </w:tcPr>
          <w:p w14:paraId="5F174A85"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127,79%</w:t>
            </w:r>
          </w:p>
        </w:tc>
        <w:tc>
          <w:tcPr>
            <w:tcW w:w="1040" w:type="pct"/>
            <w:shd w:val="clear" w:color="auto" w:fill="auto"/>
            <w:vAlign w:val="center"/>
          </w:tcPr>
          <w:p w14:paraId="1B92A85C" w14:textId="77777777" w:rsidR="00B97E41" w:rsidRPr="00294A2F" w:rsidRDefault="00B97E41" w:rsidP="00941E61">
            <w:pPr>
              <w:spacing w:after="0" w:line="240" w:lineRule="auto"/>
              <w:ind w:right="96"/>
              <w:jc w:val="right"/>
              <w:rPr>
                <w:rFonts w:ascii="Arial" w:hAnsi="Arial" w:cs="Arial"/>
                <w:color w:val="000000" w:themeColor="text1"/>
                <w:sz w:val="20"/>
                <w:szCs w:val="20"/>
              </w:rPr>
            </w:pPr>
            <w:r w:rsidRPr="00294A2F">
              <w:rPr>
                <w:rFonts w:ascii="Arial" w:hAnsi="Arial" w:cs="Arial"/>
                <w:color w:val="000000" w:themeColor="text1"/>
                <w:sz w:val="20"/>
                <w:szCs w:val="20"/>
              </w:rPr>
              <w:t>94,59%</w:t>
            </w:r>
          </w:p>
        </w:tc>
      </w:tr>
    </w:tbl>
    <w:p w14:paraId="3E563877" w14:textId="77777777" w:rsidR="00EA2BC0" w:rsidRDefault="00EA2BC0" w:rsidP="000A1EF1">
      <w:pPr>
        <w:spacing w:after="0" w:line="240" w:lineRule="auto"/>
        <w:jc w:val="both"/>
        <w:rPr>
          <w:rFonts w:ascii="Arial" w:hAnsi="Arial" w:cs="Arial"/>
          <w:sz w:val="20"/>
          <w:szCs w:val="20"/>
        </w:rPr>
      </w:pPr>
    </w:p>
    <w:p w14:paraId="649B149A" w14:textId="77777777" w:rsidR="004D5204" w:rsidRPr="00556831" w:rsidRDefault="00091432" w:rsidP="007D71BB">
      <w:pPr>
        <w:pStyle w:val="ListParagraph"/>
        <w:tabs>
          <w:tab w:val="left" w:pos="270"/>
          <w:tab w:val="left" w:pos="1134"/>
        </w:tabs>
        <w:spacing w:before="120" w:after="120"/>
        <w:ind w:left="0"/>
        <w:contextualSpacing w:val="0"/>
        <w:jc w:val="both"/>
        <w:rPr>
          <w:rFonts w:ascii="Arial" w:hAnsi="Arial" w:cs="Arial"/>
          <w:sz w:val="20"/>
          <w:szCs w:val="20"/>
        </w:rPr>
      </w:pPr>
      <w:proofErr w:type="spellStart"/>
      <w:r w:rsidRPr="00556831">
        <w:rPr>
          <w:rFonts w:ascii="Arial" w:hAnsi="Arial" w:cs="Arial"/>
          <w:color w:val="000000" w:themeColor="text1"/>
          <w:sz w:val="20"/>
          <w:szCs w:val="20"/>
        </w:rPr>
        <w:t>Tổng</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lợi</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nhuận</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của</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quỹ</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nêu</w:t>
      </w:r>
      <w:proofErr w:type="spellEnd"/>
      <w:r w:rsidRPr="00556831">
        <w:rPr>
          <w:rFonts w:ascii="Arial" w:hAnsi="Arial" w:cs="Arial"/>
          <w:color w:val="000000" w:themeColor="text1"/>
          <w:sz w:val="20"/>
          <w:szCs w:val="20"/>
        </w:rPr>
        <w:t xml:space="preserve"> chi </w:t>
      </w:r>
      <w:proofErr w:type="spellStart"/>
      <w:r w:rsidRPr="00556831">
        <w:rPr>
          <w:rFonts w:ascii="Arial" w:hAnsi="Arial" w:cs="Arial"/>
          <w:color w:val="000000" w:themeColor="text1"/>
          <w:sz w:val="20"/>
          <w:szCs w:val="20"/>
        </w:rPr>
        <w:t>tiết</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phần</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lợi</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nhuận</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thu</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được</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từ</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sự</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tăng</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trưởng</w:t>
      </w:r>
      <w:proofErr w:type="spellEnd"/>
      <w:r w:rsidRPr="00556831">
        <w:rPr>
          <w:rFonts w:ascii="Arial" w:hAnsi="Arial" w:cs="Arial"/>
          <w:color w:val="000000" w:themeColor="text1"/>
          <w:sz w:val="20"/>
          <w:szCs w:val="20"/>
        </w:rPr>
        <w:t xml:space="preserve"> </w:t>
      </w:r>
      <w:proofErr w:type="spellStart"/>
      <w:r w:rsidRPr="00556831">
        <w:rPr>
          <w:rFonts w:ascii="Arial" w:hAnsi="Arial" w:cs="Arial"/>
          <w:color w:val="000000" w:themeColor="text1"/>
          <w:sz w:val="20"/>
          <w:szCs w:val="20"/>
        </w:rPr>
        <w:t>giá</w:t>
      </w:r>
      <w:proofErr w:type="spellEnd"/>
      <w:r w:rsidRPr="00556831">
        <w:rPr>
          <w:rFonts w:ascii="Arial" w:hAnsi="Arial" w:cs="Arial"/>
          <w:color w:val="000000" w:themeColor="text1"/>
          <w:sz w:val="20"/>
          <w:szCs w:val="20"/>
        </w:rPr>
        <w:t xml:space="preserve"> </w:t>
      </w:r>
      <w:proofErr w:type="spellStart"/>
      <w:r w:rsidRPr="00556831">
        <w:rPr>
          <w:rFonts w:ascii="Arial" w:hAnsi="Arial" w:cs="Arial"/>
          <w:sz w:val="20"/>
          <w:szCs w:val="20"/>
        </w:rPr>
        <w:t>chứng</w:t>
      </w:r>
      <w:proofErr w:type="spellEnd"/>
      <w:r w:rsidRPr="00556831">
        <w:rPr>
          <w:rFonts w:ascii="Arial" w:hAnsi="Arial" w:cs="Arial"/>
          <w:sz w:val="20"/>
          <w:szCs w:val="20"/>
        </w:rPr>
        <w:t xml:space="preserve"> </w:t>
      </w:r>
      <w:proofErr w:type="spellStart"/>
      <w:r w:rsidRPr="00556831">
        <w:rPr>
          <w:rFonts w:ascii="Arial" w:hAnsi="Arial" w:cs="Arial"/>
          <w:sz w:val="20"/>
          <w:szCs w:val="20"/>
        </w:rPr>
        <w:t>khoán</w:t>
      </w:r>
      <w:proofErr w:type="spellEnd"/>
      <w:r w:rsidRPr="00556831">
        <w:rPr>
          <w:rFonts w:ascii="Arial" w:hAnsi="Arial" w:cs="Arial"/>
          <w:sz w:val="20"/>
          <w:szCs w:val="20"/>
        </w:rPr>
        <w:t xml:space="preserve"> (</w:t>
      </w:r>
      <w:proofErr w:type="spellStart"/>
      <w:r w:rsidRPr="00556831">
        <w:rPr>
          <w:rFonts w:ascii="Arial" w:hAnsi="Arial" w:cs="Arial"/>
          <w:sz w:val="20"/>
          <w:szCs w:val="20"/>
        </w:rPr>
        <w:t>giá</w:t>
      </w:r>
      <w:proofErr w:type="spellEnd"/>
      <w:r w:rsidRPr="00556831">
        <w:rPr>
          <w:rFonts w:ascii="Arial" w:hAnsi="Arial" w:cs="Arial"/>
          <w:sz w:val="20"/>
          <w:szCs w:val="20"/>
        </w:rPr>
        <w:t xml:space="preserve"> </w:t>
      </w:r>
      <w:proofErr w:type="spellStart"/>
      <w:r w:rsidRPr="00556831">
        <w:rPr>
          <w:rFonts w:ascii="Arial" w:hAnsi="Arial" w:cs="Arial"/>
          <w:sz w:val="20"/>
          <w:szCs w:val="20"/>
        </w:rPr>
        <w:t>trị</w:t>
      </w:r>
      <w:proofErr w:type="spellEnd"/>
      <w:r w:rsidRPr="00556831">
        <w:rPr>
          <w:rFonts w:ascii="Arial" w:hAnsi="Arial" w:cs="Arial"/>
          <w:sz w:val="20"/>
          <w:szCs w:val="20"/>
        </w:rPr>
        <w:t xml:space="preserve"> </w:t>
      </w:r>
      <w:proofErr w:type="spellStart"/>
      <w:r w:rsidRPr="00556831">
        <w:rPr>
          <w:rFonts w:ascii="Arial" w:hAnsi="Arial" w:cs="Arial"/>
          <w:sz w:val="20"/>
          <w:szCs w:val="20"/>
        </w:rPr>
        <w:t>lãi</w:t>
      </w:r>
      <w:proofErr w:type="spellEnd"/>
      <w:r w:rsidRPr="00556831">
        <w:rPr>
          <w:rFonts w:ascii="Arial" w:hAnsi="Arial" w:cs="Arial"/>
          <w:sz w:val="20"/>
          <w:szCs w:val="20"/>
        </w:rPr>
        <w:t xml:space="preserve"> </w:t>
      </w:r>
      <w:proofErr w:type="spellStart"/>
      <w:r w:rsidRPr="00556831">
        <w:rPr>
          <w:rFonts w:ascii="Arial" w:hAnsi="Arial" w:cs="Arial"/>
          <w:sz w:val="20"/>
          <w:szCs w:val="20"/>
        </w:rPr>
        <w:t>vốn</w:t>
      </w:r>
      <w:proofErr w:type="spellEnd"/>
      <w:r w:rsidRPr="00556831">
        <w:rPr>
          <w:rFonts w:ascii="Arial" w:hAnsi="Arial" w:cs="Arial"/>
          <w:sz w:val="20"/>
          <w:szCs w:val="20"/>
        </w:rPr>
        <w:t xml:space="preserve">) </w:t>
      </w:r>
      <w:proofErr w:type="spellStart"/>
      <w:r w:rsidRPr="00556831">
        <w:rPr>
          <w:rFonts w:ascii="Arial" w:hAnsi="Arial" w:cs="Arial"/>
          <w:sz w:val="20"/>
          <w:szCs w:val="20"/>
        </w:rPr>
        <w:t>và</w:t>
      </w:r>
      <w:proofErr w:type="spellEnd"/>
      <w:r w:rsidRPr="00556831">
        <w:rPr>
          <w:rFonts w:ascii="Arial" w:hAnsi="Arial" w:cs="Arial"/>
          <w:sz w:val="20"/>
          <w:szCs w:val="20"/>
        </w:rPr>
        <w:t xml:space="preserve"> </w:t>
      </w:r>
      <w:proofErr w:type="spellStart"/>
      <w:r w:rsidRPr="00556831">
        <w:rPr>
          <w:rFonts w:ascii="Arial" w:hAnsi="Arial" w:cs="Arial"/>
          <w:sz w:val="20"/>
          <w:szCs w:val="20"/>
        </w:rPr>
        <w:t>phần</w:t>
      </w:r>
      <w:proofErr w:type="spellEnd"/>
      <w:r w:rsidRPr="00556831">
        <w:rPr>
          <w:rFonts w:ascii="Arial" w:hAnsi="Arial" w:cs="Arial"/>
          <w:sz w:val="20"/>
          <w:szCs w:val="20"/>
        </w:rPr>
        <w:t xml:space="preserve"> </w:t>
      </w:r>
      <w:proofErr w:type="spellStart"/>
      <w:r w:rsidRPr="00556831">
        <w:rPr>
          <w:rFonts w:ascii="Arial" w:hAnsi="Arial" w:cs="Arial"/>
          <w:sz w:val="20"/>
          <w:szCs w:val="20"/>
        </w:rPr>
        <w:t>lợi</w:t>
      </w:r>
      <w:proofErr w:type="spellEnd"/>
      <w:r w:rsidRPr="00556831">
        <w:rPr>
          <w:rFonts w:ascii="Arial" w:hAnsi="Arial" w:cs="Arial"/>
          <w:sz w:val="20"/>
          <w:szCs w:val="20"/>
        </w:rPr>
        <w:t xml:space="preserve"> </w:t>
      </w:r>
      <w:proofErr w:type="spellStart"/>
      <w:r w:rsidRPr="00556831">
        <w:rPr>
          <w:rFonts w:ascii="Arial" w:hAnsi="Arial" w:cs="Arial"/>
          <w:sz w:val="20"/>
          <w:szCs w:val="20"/>
        </w:rPr>
        <w:t>nhuận</w:t>
      </w:r>
      <w:proofErr w:type="spellEnd"/>
      <w:r w:rsidRPr="00556831">
        <w:rPr>
          <w:rFonts w:ascii="Arial" w:hAnsi="Arial" w:cs="Arial"/>
          <w:sz w:val="20"/>
          <w:szCs w:val="20"/>
        </w:rPr>
        <w:t xml:space="preserve"> </w:t>
      </w:r>
      <w:proofErr w:type="spellStart"/>
      <w:r w:rsidRPr="00556831">
        <w:rPr>
          <w:rFonts w:ascii="Arial" w:hAnsi="Arial" w:cs="Arial"/>
          <w:sz w:val="20"/>
          <w:szCs w:val="20"/>
        </w:rPr>
        <w:t>thu</w:t>
      </w:r>
      <w:proofErr w:type="spellEnd"/>
      <w:r w:rsidRPr="00556831">
        <w:rPr>
          <w:rFonts w:ascii="Arial" w:hAnsi="Arial" w:cs="Arial"/>
          <w:sz w:val="20"/>
          <w:szCs w:val="20"/>
        </w:rPr>
        <w:t xml:space="preserve"> </w:t>
      </w:r>
      <w:proofErr w:type="spellStart"/>
      <w:r w:rsidRPr="00556831">
        <w:rPr>
          <w:rFonts w:ascii="Arial" w:hAnsi="Arial" w:cs="Arial"/>
          <w:sz w:val="20"/>
          <w:szCs w:val="20"/>
        </w:rPr>
        <w:t>được</w:t>
      </w:r>
      <w:proofErr w:type="spellEnd"/>
      <w:r w:rsidRPr="00556831">
        <w:rPr>
          <w:rFonts w:ascii="Arial" w:hAnsi="Arial" w:cs="Arial"/>
          <w:sz w:val="20"/>
          <w:szCs w:val="20"/>
        </w:rPr>
        <w:t xml:space="preserve"> </w:t>
      </w:r>
      <w:proofErr w:type="spellStart"/>
      <w:r w:rsidRPr="00556831">
        <w:rPr>
          <w:rFonts w:ascii="Arial" w:hAnsi="Arial" w:cs="Arial"/>
          <w:sz w:val="20"/>
          <w:szCs w:val="20"/>
        </w:rPr>
        <w:t>từ</w:t>
      </w:r>
      <w:proofErr w:type="spellEnd"/>
      <w:r w:rsidRPr="00556831">
        <w:rPr>
          <w:rFonts w:ascii="Arial" w:hAnsi="Arial" w:cs="Arial"/>
          <w:sz w:val="20"/>
          <w:szCs w:val="20"/>
        </w:rPr>
        <w:t xml:space="preserve"> </w:t>
      </w:r>
      <w:proofErr w:type="spellStart"/>
      <w:r w:rsidRPr="00556831">
        <w:rPr>
          <w:rFonts w:ascii="Arial" w:hAnsi="Arial" w:cs="Arial"/>
          <w:sz w:val="20"/>
          <w:szCs w:val="20"/>
        </w:rPr>
        <w:t>lợi</w:t>
      </w:r>
      <w:proofErr w:type="spellEnd"/>
      <w:r w:rsidRPr="00556831">
        <w:rPr>
          <w:rFonts w:ascii="Arial" w:hAnsi="Arial" w:cs="Arial"/>
          <w:sz w:val="20"/>
          <w:szCs w:val="20"/>
        </w:rPr>
        <w:t xml:space="preserve"> </w:t>
      </w:r>
      <w:proofErr w:type="spellStart"/>
      <w:r w:rsidRPr="00556831">
        <w:rPr>
          <w:rFonts w:ascii="Arial" w:hAnsi="Arial" w:cs="Arial"/>
          <w:sz w:val="20"/>
          <w:szCs w:val="20"/>
        </w:rPr>
        <w:t>tức</w:t>
      </w:r>
      <w:proofErr w:type="spellEnd"/>
      <w:r w:rsidRPr="00556831">
        <w:rPr>
          <w:rFonts w:ascii="Arial" w:hAnsi="Arial" w:cs="Arial"/>
          <w:sz w:val="20"/>
          <w:szCs w:val="20"/>
        </w:rPr>
        <w:t xml:space="preserve"> </w:t>
      </w:r>
      <w:proofErr w:type="spellStart"/>
      <w:r w:rsidRPr="00556831">
        <w:rPr>
          <w:rFonts w:ascii="Arial" w:hAnsi="Arial" w:cs="Arial"/>
          <w:sz w:val="20"/>
          <w:szCs w:val="20"/>
        </w:rPr>
        <w:t>chứng</w:t>
      </w:r>
      <w:proofErr w:type="spellEnd"/>
      <w:r w:rsidRPr="00556831">
        <w:rPr>
          <w:rFonts w:ascii="Arial" w:hAnsi="Arial" w:cs="Arial"/>
          <w:sz w:val="20"/>
          <w:szCs w:val="20"/>
        </w:rPr>
        <w:t xml:space="preserve"> </w:t>
      </w:r>
      <w:proofErr w:type="spellStart"/>
      <w:r w:rsidRPr="00556831">
        <w:rPr>
          <w:rFonts w:ascii="Arial" w:hAnsi="Arial" w:cs="Arial"/>
          <w:sz w:val="20"/>
          <w:szCs w:val="20"/>
        </w:rPr>
        <w:t>khoán</w:t>
      </w:r>
      <w:proofErr w:type="spellEnd"/>
      <w:r w:rsidRPr="00556831">
        <w:rPr>
          <w:rFonts w:ascii="Arial" w:hAnsi="Arial" w:cs="Arial"/>
          <w:sz w:val="20"/>
          <w:szCs w:val="20"/>
        </w:rPr>
        <w:t xml:space="preserve"> (</w:t>
      </w:r>
      <w:proofErr w:type="spellStart"/>
      <w:r w:rsidRPr="00556831">
        <w:rPr>
          <w:rFonts w:ascii="Arial" w:hAnsi="Arial" w:cs="Arial"/>
          <w:sz w:val="20"/>
          <w:szCs w:val="20"/>
        </w:rPr>
        <w:t>cổ</w:t>
      </w:r>
      <w:proofErr w:type="spellEnd"/>
      <w:r w:rsidRPr="00556831">
        <w:rPr>
          <w:rFonts w:ascii="Arial" w:hAnsi="Arial" w:cs="Arial"/>
          <w:sz w:val="20"/>
          <w:szCs w:val="20"/>
        </w:rPr>
        <w:t xml:space="preserve"> </w:t>
      </w:r>
      <w:proofErr w:type="spellStart"/>
      <w:r w:rsidRPr="00556831">
        <w:rPr>
          <w:rFonts w:ascii="Arial" w:hAnsi="Arial" w:cs="Arial"/>
          <w:sz w:val="20"/>
          <w:szCs w:val="20"/>
        </w:rPr>
        <w:t>tức</w:t>
      </w:r>
      <w:proofErr w:type="spellEnd"/>
      <w:r w:rsidRPr="00556831">
        <w:rPr>
          <w:rFonts w:ascii="Arial" w:hAnsi="Arial" w:cs="Arial"/>
          <w:sz w:val="20"/>
          <w:szCs w:val="20"/>
        </w:rPr>
        <w:t xml:space="preserve">, </w:t>
      </w:r>
      <w:proofErr w:type="spellStart"/>
      <w:r w:rsidRPr="00556831">
        <w:rPr>
          <w:rFonts w:ascii="Arial" w:hAnsi="Arial" w:cs="Arial"/>
          <w:sz w:val="20"/>
          <w:szCs w:val="20"/>
        </w:rPr>
        <w:t>trái</w:t>
      </w:r>
      <w:proofErr w:type="spellEnd"/>
      <w:r w:rsidRPr="00556831">
        <w:rPr>
          <w:rFonts w:ascii="Arial" w:hAnsi="Arial" w:cs="Arial"/>
          <w:sz w:val="20"/>
          <w:szCs w:val="20"/>
        </w:rPr>
        <w:t xml:space="preserve"> </w:t>
      </w:r>
      <w:proofErr w:type="spellStart"/>
      <w:r w:rsidRPr="00556831">
        <w:rPr>
          <w:rFonts w:ascii="Arial" w:hAnsi="Arial" w:cs="Arial"/>
          <w:sz w:val="20"/>
          <w:szCs w:val="20"/>
        </w:rPr>
        <w:t>tức</w:t>
      </w:r>
      <w:proofErr w:type="spellEnd"/>
      <w:r w:rsidRPr="00556831">
        <w:rPr>
          <w:rFonts w:ascii="Arial" w:hAnsi="Arial" w:cs="Arial"/>
          <w:sz w:val="20"/>
          <w:szCs w:val="20"/>
        </w:rPr>
        <w:t xml:space="preserve">, </w:t>
      </w:r>
      <w:proofErr w:type="spellStart"/>
      <w:r w:rsidRPr="00556831">
        <w:rPr>
          <w:rFonts w:ascii="Arial" w:hAnsi="Arial" w:cs="Arial"/>
          <w:sz w:val="20"/>
          <w:szCs w:val="20"/>
        </w:rPr>
        <w:t>lãi</w:t>
      </w:r>
      <w:proofErr w:type="spellEnd"/>
      <w:r w:rsidRPr="00556831">
        <w:rPr>
          <w:rFonts w:ascii="Arial" w:hAnsi="Arial" w:cs="Arial"/>
          <w:sz w:val="20"/>
          <w:szCs w:val="20"/>
        </w:rPr>
        <w:t xml:space="preserve"> </w:t>
      </w:r>
      <w:proofErr w:type="spellStart"/>
      <w:r w:rsidRPr="00556831">
        <w:rPr>
          <w:rFonts w:ascii="Arial" w:hAnsi="Arial" w:cs="Arial"/>
          <w:sz w:val="20"/>
          <w:szCs w:val="20"/>
        </w:rPr>
        <w:t>suất</w:t>
      </w:r>
      <w:proofErr w:type="spellEnd"/>
      <w:r w:rsidRPr="00556831">
        <w:rPr>
          <w:rFonts w:ascii="Arial" w:hAnsi="Arial" w:cs="Arial"/>
          <w:sz w:val="20"/>
          <w:szCs w:val="20"/>
        </w:rPr>
        <w:t xml:space="preserve"> </w:t>
      </w:r>
      <w:proofErr w:type="spellStart"/>
      <w:r w:rsidRPr="00556831">
        <w:rPr>
          <w:rFonts w:ascii="Arial" w:hAnsi="Arial" w:cs="Arial"/>
          <w:sz w:val="20"/>
          <w:szCs w:val="20"/>
        </w:rPr>
        <w:t>tiền</w:t>
      </w:r>
      <w:proofErr w:type="spellEnd"/>
      <w:r w:rsidRPr="00556831">
        <w:rPr>
          <w:rFonts w:ascii="Arial" w:hAnsi="Arial" w:cs="Arial"/>
          <w:sz w:val="20"/>
          <w:szCs w:val="20"/>
        </w:rPr>
        <w:t xml:space="preserve"> </w:t>
      </w:r>
      <w:proofErr w:type="spellStart"/>
      <w:r w:rsidRPr="00556831">
        <w:rPr>
          <w:rFonts w:ascii="Arial" w:hAnsi="Arial" w:cs="Arial"/>
          <w:sz w:val="20"/>
          <w:szCs w:val="20"/>
        </w:rPr>
        <w:t>gửi</w:t>
      </w:r>
      <w:proofErr w:type="spellEnd"/>
      <w:r w:rsidRPr="00556831">
        <w:rPr>
          <w:rFonts w:ascii="Arial" w:hAnsi="Arial" w:cs="Arial"/>
          <w:sz w:val="20"/>
          <w:szCs w:val="20"/>
        </w:rPr>
        <w:t>…) (</w:t>
      </w:r>
      <w:proofErr w:type="spellStart"/>
      <w:r w:rsidRPr="00556831">
        <w:rPr>
          <w:rFonts w:ascii="Arial" w:hAnsi="Arial" w:cs="Arial"/>
          <w:sz w:val="20"/>
          <w:szCs w:val="20"/>
        </w:rPr>
        <w:t>giá</w:t>
      </w:r>
      <w:proofErr w:type="spellEnd"/>
      <w:r w:rsidRPr="00556831">
        <w:rPr>
          <w:rFonts w:ascii="Arial" w:hAnsi="Arial" w:cs="Arial"/>
          <w:sz w:val="20"/>
          <w:szCs w:val="20"/>
        </w:rPr>
        <w:t xml:space="preserve"> </w:t>
      </w:r>
      <w:proofErr w:type="spellStart"/>
      <w:r w:rsidRPr="00556831">
        <w:rPr>
          <w:rFonts w:ascii="Arial" w:hAnsi="Arial" w:cs="Arial"/>
          <w:sz w:val="20"/>
          <w:szCs w:val="20"/>
        </w:rPr>
        <w:t>trị</w:t>
      </w:r>
      <w:proofErr w:type="spellEnd"/>
      <w:r w:rsidRPr="00556831">
        <w:rPr>
          <w:rFonts w:ascii="Arial" w:hAnsi="Arial" w:cs="Arial"/>
          <w:sz w:val="20"/>
          <w:szCs w:val="20"/>
        </w:rPr>
        <w:t xml:space="preserve"> </w:t>
      </w:r>
      <w:proofErr w:type="spellStart"/>
      <w:r w:rsidRPr="00556831">
        <w:rPr>
          <w:rFonts w:ascii="Arial" w:hAnsi="Arial" w:cs="Arial"/>
          <w:sz w:val="20"/>
          <w:szCs w:val="20"/>
        </w:rPr>
        <w:t>thu</w:t>
      </w:r>
      <w:proofErr w:type="spellEnd"/>
      <w:r w:rsidRPr="00556831">
        <w:rPr>
          <w:rFonts w:ascii="Arial" w:hAnsi="Arial" w:cs="Arial"/>
          <w:sz w:val="20"/>
          <w:szCs w:val="20"/>
        </w:rPr>
        <w:t xml:space="preserve"> </w:t>
      </w:r>
      <w:proofErr w:type="spellStart"/>
      <w:r w:rsidRPr="00556831">
        <w:rPr>
          <w:rFonts w:ascii="Arial" w:hAnsi="Arial" w:cs="Arial"/>
          <w:sz w:val="20"/>
          <w:szCs w:val="20"/>
        </w:rPr>
        <w:t>nhập</w:t>
      </w:r>
      <w:proofErr w:type="spellEnd"/>
      <w:r w:rsidRPr="00556831">
        <w:rPr>
          <w:rFonts w:ascii="Arial" w:hAnsi="Arial" w:cs="Arial"/>
          <w:sz w:val="20"/>
          <w:szCs w:val="20"/>
        </w:rPr>
        <w:t>);</w:t>
      </w:r>
    </w:p>
    <w:tbl>
      <w:tblPr>
        <w:tblStyle w:val="TableGrid"/>
        <w:tblW w:w="9630" w:type="dxa"/>
        <w:tblLook w:val="04A0" w:firstRow="1" w:lastRow="0" w:firstColumn="1" w:lastColumn="0" w:noHBand="0" w:noVBand="1"/>
      </w:tblPr>
      <w:tblGrid>
        <w:gridCol w:w="1024"/>
        <w:gridCol w:w="5841"/>
        <w:gridCol w:w="2765"/>
      </w:tblGrid>
      <w:tr w:rsidR="00DB4097" w:rsidRPr="00544B03" w14:paraId="1EFAD194" w14:textId="77777777" w:rsidTr="008D7F66">
        <w:trPr>
          <w:trHeight w:val="108"/>
        </w:trPr>
        <w:tc>
          <w:tcPr>
            <w:tcW w:w="1024" w:type="dxa"/>
            <w:shd w:val="clear" w:color="auto" w:fill="FFC000"/>
          </w:tcPr>
          <w:p w14:paraId="30922073" w14:textId="349DE6D8" w:rsidR="00DB4097" w:rsidRPr="00544B03" w:rsidRDefault="00DB4097" w:rsidP="007D71BB">
            <w:pPr>
              <w:pStyle w:val="ListParagraph"/>
              <w:tabs>
                <w:tab w:val="left" w:pos="270"/>
                <w:tab w:val="left" w:pos="1134"/>
              </w:tabs>
              <w:spacing w:before="120" w:after="120"/>
              <w:ind w:left="0"/>
              <w:contextualSpacing w:val="0"/>
              <w:jc w:val="both"/>
              <w:rPr>
                <w:rFonts w:ascii="Arial" w:hAnsi="Arial" w:cs="Arial"/>
                <w:b/>
                <w:bCs/>
                <w:sz w:val="20"/>
                <w:szCs w:val="20"/>
              </w:rPr>
            </w:pPr>
            <w:r w:rsidRPr="00544B03">
              <w:rPr>
                <w:rFonts w:ascii="Arial" w:hAnsi="Arial" w:cs="Arial"/>
                <w:b/>
                <w:bCs/>
                <w:sz w:val="20"/>
                <w:szCs w:val="20"/>
              </w:rPr>
              <w:t>STT</w:t>
            </w:r>
          </w:p>
        </w:tc>
        <w:tc>
          <w:tcPr>
            <w:tcW w:w="5841" w:type="dxa"/>
            <w:shd w:val="clear" w:color="auto" w:fill="FFC000"/>
          </w:tcPr>
          <w:p w14:paraId="1F98F3BE" w14:textId="65A2C5FB" w:rsidR="00DB4097" w:rsidRPr="00544B03" w:rsidRDefault="00DB4097" w:rsidP="00663D8D">
            <w:pPr>
              <w:pStyle w:val="ListParagraph"/>
              <w:tabs>
                <w:tab w:val="left" w:pos="270"/>
                <w:tab w:val="left" w:pos="1134"/>
              </w:tabs>
              <w:spacing w:before="120" w:after="120"/>
              <w:ind w:left="0"/>
              <w:contextualSpacing w:val="0"/>
              <w:jc w:val="center"/>
              <w:rPr>
                <w:rFonts w:ascii="Arial" w:hAnsi="Arial" w:cs="Arial"/>
                <w:b/>
                <w:bCs/>
                <w:sz w:val="20"/>
                <w:szCs w:val="20"/>
              </w:rPr>
            </w:pPr>
            <w:proofErr w:type="spellStart"/>
            <w:r w:rsidRPr="00544B03">
              <w:rPr>
                <w:rFonts w:ascii="Arial" w:hAnsi="Arial" w:cs="Arial"/>
                <w:b/>
                <w:bCs/>
                <w:sz w:val="20"/>
                <w:szCs w:val="20"/>
              </w:rPr>
              <w:t>Chỉ</w:t>
            </w:r>
            <w:proofErr w:type="spellEnd"/>
            <w:r w:rsidRPr="00544B03">
              <w:rPr>
                <w:rFonts w:ascii="Arial" w:hAnsi="Arial" w:cs="Arial"/>
                <w:b/>
                <w:bCs/>
                <w:sz w:val="20"/>
                <w:szCs w:val="20"/>
              </w:rPr>
              <w:t xml:space="preserve"> </w:t>
            </w:r>
            <w:proofErr w:type="spellStart"/>
            <w:r w:rsidRPr="00544B03">
              <w:rPr>
                <w:rFonts w:ascii="Arial" w:hAnsi="Arial" w:cs="Arial"/>
                <w:b/>
                <w:bCs/>
                <w:sz w:val="20"/>
                <w:szCs w:val="20"/>
              </w:rPr>
              <w:t>tiêu</w:t>
            </w:r>
            <w:proofErr w:type="spellEnd"/>
          </w:p>
        </w:tc>
        <w:tc>
          <w:tcPr>
            <w:tcW w:w="2765" w:type="dxa"/>
            <w:shd w:val="clear" w:color="auto" w:fill="FFC000"/>
          </w:tcPr>
          <w:p w14:paraId="49CB8003" w14:textId="708B4155" w:rsidR="00DB4097" w:rsidRPr="00544B03" w:rsidRDefault="00DB4097" w:rsidP="00663D8D">
            <w:pPr>
              <w:pStyle w:val="ListParagraph"/>
              <w:tabs>
                <w:tab w:val="left" w:pos="270"/>
                <w:tab w:val="left" w:pos="1134"/>
              </w:tabs>
              <w:spacing w:before="120" w:after="120"/>
              <w:ind w:left="0"/>
              <w:contextualSpacing w:val="0"/>
              <w:jc w:val="center"/>
              <w:rPr>
                <w:rFonts w:ascii="Arial" w:hAnsi="Arial" w:cs="Arial"/>
                <w:b/>
                <w:bCs/>
                <w:sz w:val="20"/>
                <w:szCs w:val="20"/>
              </w:rPr>
            </w:pPr>
            <w:proofErr w:type="spellStart"/>
            <w:r w:rsidRPr="00544B03">
              <w:rPr>
                <w:rFonts w:ascii="Arial" w:hAnsi="Arial" w:cs="Arial"/>
                <w:b/>
                <w:bCs/>
                <w:sz w:val="20"/>
                <w:szCs w:val="20"/>
              </w:rPr>
              <w:t>Số</w:t>
            </w:r>
            <w:proofErr w:type="spellEnd"/>
            <w:r w:rsidRPr="00544B03">
              <w:rPr>
                <w:rFonts w:ascii="Arial" w:hAnsi="Arial" w:cs="Arial"/>
                <w:b/>
                <w:bCs/>
                <w:sz w:val="20"/>
                <w:szCs w:val="20"/>
              </w:rPr>
              <w:t xml:space="preserve"> </w:t>
            </w:r>
            <w:proofErr w:type="spellStart"/>
            <w:r w:rsidRPr="00544B03">
              <w:rPr>
                <w:rFonts w:ascii="Arial" w:hAnsi="Arial" w:cs="Arial"/>
                <w:b/>
                <w:bCs/>
                <w:sz w:val="20"/>
                <w:szCs w:val="20"/>
              </w:rPr>
              <w:t>tiền</w:t>
            </w:r>
            <w:proofErr w:type="spellEnd"/>
          </w:p>
        </w:tc>
      </w:tr>
      <w:tr w:rsidR="0054103B" w:rsidRPr="00544B03" w14:paraId="3DD298D2" w14:textId="77777777" w:rsidTr="008D7F66">
        <w:trPr>
          <w:trHeight w:val="702"/>
        </w:trPr>
        <w:tc>
          <w:tcPr>
            <w:tcW w:w="1024" w:type="dxa"/>
          </w:tcPr>
          <w:p w14:paraId="776C35E4" w14:textId="28ADB6E0" w:rsidR="0054103B" w:rsidRPr="00544B03" w:rsidRDefault="0054103B" w:rsidP="00D60258">
            <w:pPr>
              <w:pStyle w:val="ListParagraph"/>
              <w:tabs>
                <w:tab w:val="left" w:pos="270"/>
                <w:tab w:val="left" w:pos="1134"/>
              </w:tabs>
              <w:spacing w:before="120" w:after="120"/>
              <w:ind w:left="0"/>
              <w:contextualSpacing w:val="0"/>
              <w:jc w:val="center"/>
              <w:rPr>
                <w:rFonts w:ascii="Arial" w:hAnsi="Arial" w:cs="Arial"/>
                <w:sz w:val="20"/>
                <w:szCs w:val="20"/>
              </w:rPr>
            </w:pPr>
            <w:r w:rsidRPr="00544B03">
              <w:rPr>
                <w:rFonts w:ascii="Arial" w:hAnsi="Arial" w:cs="Arial"/>
                <w:sz w:val="20"/>
                <w:szCs w:val="20"/>
              </w:rPr>
              <w:t>1</w:t>
            </w:r>
          </w:p>
        </w:tc>
        <w:tc>
          <w:tcPr>
            <w:tcW w:w="5841" w:type="dxa"/>
          </w:tcPr>
          <w:p w14:paraId="1746D01E" w14:textId="145C1836" w:rsidR="0054103B" w:rsidRPr="00544B03" w:rsidRDefault="0054103B" w:rsidP="002A6613">
            <w:pPr>
              <w:pStyle w:val="ListParagraph"/>
              <w:tabs>
                <w:tab w:val="left" w:pos="270"/>
                <w:tab w:val="left" w:pos="1134"/>
              </w:tabs>
              <w:spacing w:before="120" w:after="120"/>
              <w:ind w:left="0"/>
              <w:contextualSpacing w:val="0"/>
              <w:rPr>
                <w:rFonts w:ascii="Arial" w:hAnsi="Arial" w:cs="Arial"/>
                <w:sz w:val="20"/>
                <w:szCs w:val="20"/>
              </w:rPr>
            </w:pPr>
            <w:r w:rsidRPr="00544B03">
              <w:rPr>
                <w:rFonts w:ascii="Arial" w:hAnsi="Arial" w:cs="Arial"/>
                <w:sz w:val="20"/>
                <w:szCs w:val="20"/>
              </w:rPr>
              <w:t xml:space="preserve">Lợi </w:t>
            </w:r>
            <w:proofErr w:type="spellStart"/>
            <w:r w:rsidRPr="00544B03">
              <w:rPr>
                <w:rFonts w:ascii="Arial" w:hAnsi="Arial" w:cs="Arial"/>
                <w:sz w:val="20"/>
                <w:szCs w:val="20"/>
              </w:rPr>
              <w:t>nhuận</w:t>
            </w:r>
            <w:proofErr w:type="spellEnd"/>
            <w:r w:rsidRPr="00544B03">
              <w:rPr>
                <w:rFonts w:ascii="Arial" w:hAnsi="Arial" w:cs="Arial"/>
                <w:sz w:val="20"/>
                <w:szCs w:val="20"/>
              </w:rPr>
              <w:t xml:space="preserve"> </w:t>
            </w:r>
            <w:proofErr w:type="spellStart"/>
            <w:r w:rsidRPr="00544B03">
              <w:rPr>
                <w:rFonts w:ascii="Arial" w:hAnsi="Arial" w:cs="Arial"/>
                <w:sz w:val="20"/>
                <w:szCs w:val="20"/>
              </w:rPr>
              <w:t>thu</w:t>
            </w:r>
            <w:proofErr w:type="spellEnd"/>
            <w:r w:rsidRPr="00544B03">
              <w:rPr>
                <w:rFonts w:ascii="Arial" w:hAnsi="Arial" w:cs="Arial"/>
                <w:sz w:val="20"/>
                <w:szCs w:val="20"/>
              </w:rPr>
              <w:t xml:space="preserve"> </w:t>
            </w:r>
            <w:proofErr w:type="spellStart"/>
            <w:r w:rsidRPr="00544B03">
              <w:rPr>
                <w:rFonts w:ascii="Arial" w:hAnsi="Arial" w:cs="Arial"/>
                <w:sz w:val="20"/>
                <w:szCs w:val="20"/>
              </w:rPr>
              <w:t>được</w:t>
            </w:r>
            <w:proofErr w:type="spellEnd"/>
            <w:r w:rsidRPr="00544B03">
              <w:rPr>
                <w:rFonts w:ascii="Arial" w:hAnsi="Arial" w:cs="Arial"/>
                <w:sz w:val="20"/>
                <w:szCs w:val="20"/>
              </w:rPr>
              <w:t xml:space="preserve"> </w:t>
            </w:r>
            <w:proofErr w:type="spellStart"/>
            <w:r w:rsidRPr="00544B03">
              <w:rPr>
                <w:rFonts w:ascii="Arial" w:hAnsi="Arial" w:cs="Arial"/>
                <w:sz w:val="20"/>
                <w:szCs w:val="20"/>
              </w:rPr>
              <w:t>từ</w:t>
            </w:r>
            <w:proofErr w:type="spellEnd"/>
            <w:r w:rsidRPr="00544B03">
              <w:rPr>
                <w:rFonts w:ascii="Arial" w:hAnsi="Arial" w:cs="Arial"/>
                <w:sz w:val="20"/>
                <w:szCs w:val="20"/>
              </w:rPr>
              <w:t xml:space="preserve"> </w:t>
            </w:r>
            <w:proofErr w:type="spellStart"/>
            <w:r w:rsidRPr="00544B03">
              <w:rPr>
                <w:rFonts w:ascii="Arial" w:hAnsi="Arial" w:cs="Arial"/>
                <w:sz w:val="20"/>
                <w:szCs w:val="20"/>
              </w:rPr>
              <w:t>sự</w:t>
            </w:r>
            <w:proofErr w:type="spellEnd"/>
            <w:r w:rsidRPr="00544B03">
              <w:rPr>
                <w:rFonts w:ascii="Arial" w:hAnsi="Arial" w:cs="Arial"/>
                <w:sz w:val="20"/>
                <w:szCs w:val="20"/>
              </w:rPr>
              <w:t xml:space="preserve"> </w:t>
            </w:r>
            <w:proofErr w:type="spellStart"/>
            <w:r w:rsidRPr="00544B03">
              <w:rPr>
                <w:rFonts w:ascii="Arial" w:hAnsi="Arial" w:cs="Arial"/>
                <w:sz w:val="20"/>
                <w:szCs w:val="20"/>
              </w:rPr>
              <w:t>tăng</w:t>
            </w:r>
            <w:proofErr w:type="spellEnd"/>
            <w:r w:rsidRPr="00544B03">
              <w:rPr>
                <w:rFonts w:ascii="Arial" w:hAnsi="Arial" w:cs="Arial"/>
                <w:sz w:val="20"/>
                <w:szCs w:val="20"/>
              </w:rPr>
              <w:t xml:space="preserve"> </w:t>
            </w:r>
            <w:proofErr w:type="spellStart"/>
            <w:r w:rsidRPr="00544B03">
              <w:rPr>
                <w:rFonts w:ascii="Arial" w:hAnsi="Arial" w:cs="Arial"/>
                <w:sz w:val="20"/>
                <w:szCs w:val="20"/>
              </w:rPr>
              <w:t>trưởng</w:t>
            </w:r>
            <w:proofErr w:type="spellEnd"/>
            <w:r w:rsidRPr="00544B03">
              <w:rPr>
                <w:rFonts w:ascii="Arial" w:hAnsi="Arial" w:cs="Arial"/>
                <w:sz w:val="20"/>
                <w:szCs w:val="20"/>
              </w:rPr>
              <w:t xml:space="preserve"> </w:t>
            </w:r>
            <w:proofErr w:type="spellStart"/>
            <w:r w:rsidRPr="00544B03">
              <w:rPr>
                <w:rFonts w:ascii="Arial" w:hAnsi="Arial" w:cs="Arial"/>
                <w:sz w:val="20"/>
                <w:szCs w:val="20"/>
              </w:rPr>
              <w:t>giá</w:t>
            </w:r>
            <w:proofErr w:type="spellEnd"/>
            <w:r w:rsidRPr="00544B03">
              <w:rPr>
                <w:rFonts w:ascii="Arial" w:hAnsi="Arial" w:cs="Arial"/>
                <w:sz w:val="20"/>
                <w:szCs w:val="20"/>
              </w:rPr>
              <w:t xml:space="preserve"> </w:t>
            </w:r>
            <w:proofErr w:type="spellStart"/>
            <w:r w:rsidRPr="00544B03">
              <w:rPr>
                <w:rFonts w:ascii="Arial" w:hAnsi="Arial" w:cs="Arial"/>
                <w:sz w:val="20"/>
                <w:szCs w:val="20"/>
              </w:rPr>
              <w:t>chứng</w:t>
            </w:r>
            <w:proofErr w:type="spellEnd"/>
            <w:r w:rsidRPr="00544B03">
              <w:rPr>
                <w:rFonts w:ascii="Arial" w:hAnsi="Arial" w:cs="Arial"/>
                <w:sz w:val="20"/>
                <w:szCs w:val="20"/>
              </w:rPr>
              <w:t xml:space="preserve"> </w:t>
            </w:r>
            <w:proofErr w:type="spellStart"/>
            <w:r w:rsidRPr="00544B03">
              <w:rPr>
                <w:rFonts w:ascii="Arial" w:hAnsi="Arial" w:cs="Arial"/>
                <w:sz w:val="20"/>
                <w:szCs w:val="20"/>
              </w:rPr>
              <w:t>khoán</w:t>
            </w:r>
            <w:proofErr w:type="spellEnd"/>
            <w:r w:rsidRPr="00544B03">
              <w:rPr>
                <w:rFonts w:ascii="Arial" w:hAnsi="Arial" w:cs="Arial"/>
                <w:sz w:val="20"/>
                <w:szCs w:val="20"/>
              </w:rPr>
              <w:t xml:space="preserve"> (</w:t>
            </w:r>
            <w:proofErr w:type="spellStart"/>
            <w:r w:rsidRPr="00544B03">
              <w:rPr>
                <w:rFonts w:ascii="Arial" w:hAnsi="Arial" w:cs="Arial"/>
                <w:sz w:val="20"/>
                <w:szCs w:val="20"/>
              </w:rPr>
              <w:t>giá</w:t>
            </w:r>
            <w:proofErr w:type="spellEnd"/>
            <w:r w:rsidRPr="00544B03">
              <w:rPr>
                <w:rFonts w:ascii="Arial" w:hAnsi="Arial" w:cs="Arial"/>
                <w:sz w:val="20"/>
                <w:szCs w:val="20"/>
              </w:rPr>
              <w:t xml:space="preserve"> </w:t>
            </w:r>
            <w:proofErr w:type="spellStart"/>
            <w:r w:rsidRPr="00544B03">
              <w:rPr>
                <w:rFonts w:ascii="Arial" w:hAnsi="Arial" w:cs="Arial"/>
                <w:sz w:val="20"/>
                <w:szCs w:val="20"/>
              </w:rPr>
              <w:t>trị</w:t>
            </w:r>
            <w:proofErr w:type="spellEnd"/>
            <w:r w:rsidRPr="00544B03">
              <w:rPr>
                <w:rFonts w:ascii="Arial" w:hAnsi="Arial" w:cs="Arial"/>
                <w:sz w:val="20"/>
                <w:szCs w:val="20"/>
              </w:rPr>
              <w:t xml:space="preserve"> </w:t>
            </w:r>
            <w:proofErr w:type="spellStart"/>
            <w:r w:rsidRPr="00544B03">
              <w:rPr>
                <w:rFonts w:ascii="Arial" w:hAnsi="Arial" w:cs="Arial"/>
                <w:sz w:val="20"/>
                <w:szCs w:val="20"/>
              </w:rPr>
              <w:t>lãi</w:t>
            </w:r>
            <w:proofErr w:type="spellEnd"/>
            <w:r w:rsidRPr="00544B03">
              <w:rPr>
                <w:rFonts w:ascii="Arial" w:hAnsi="Arial" w:cs="Arial"/>
                <w:sz w:val="20"/>
                <w:szCs w:val="20"/>
              </w:rPr>
              <w:t xml:space="preserve"> </w:t>
            </w:r>
            <w:proofErr w:type="spellStart"/>
            <w:r w:rsidRPr="00544B03">
              <w:rPr>
                <w:rFonts w:ascii="Arial" w:hAnsi="Arial" w:cs="Arial"/>
                <w:sz w:val="20"/>
                <w:szCs w:val="20"/>
              </w:rPr>
              <w:t>vốn</w:t>
            </w:r>
            <w:proofErr w:type="spellEnd"/>
            <w:r w:rsidRPr="00544B03">
              <w:rPr>
                <w:rFonts w:ascii="Arial" w:hAnsi="Arial" w:cs="Arial"/>
                <w:sz w:val="20"/>
                <w:szCs w:val="20"/>
              </w:rPr>
              <w:t>)</w:t>
            </w:r>
          </w:p>
        </w:tc>
        <w:tc>
          <w:tcPr>
            <w:tcW w:w="2765" w:type="dxa"/>
          </w:tcPr>
          <w:p w14:paraId="12AACEF7" w14:textId="785427E9" w:rsidR="0054103B" w:rsidRPr="00544B03" w:rsidRDefault="0054103B" w:rsidP="002A6613">
            <w:pPr>
              <w:spacing w:after="0" w:line="240" w:lineRule="auto"/>
              <w:jc w:val="right"/>
              <w:rPr>
                <w:rFonts w:ascii="Arial" w:hAnsi="Arial" w:cs="Arial"/>
                <w:color w:val="000000"/>
                <w:sz w:val="20"/>
                <w:szCs w:val="20"/>
              </w:rPr>
            </w:pPr>
            <w:r w:rsidRPr="00544B03">
              <w:rPr>
                <w:rFonts w:ascii="Arial" w:hAnsi="Arial" w:cs="Arial"/>
                <w:sz w:val="20"/>
                <w:szCs w:val="20"/>
              </w:rPr>
              <w:t>1</w:t>
            </w:r>
            <w:r w:rsidR="008A35DE">
              <w:rPr>
                <w:rFonts w:ascii="Arial" w:hAnsi="Arial" w:cs="Arial"/>
                <w:sz w:val="20"/>
                <w:szCs w:val="20"/>
              </w:rPr>
              <w:t>.</w:t>
            </w:r>
            <w:r w:rsidRPr="00544B03">
              <w:rPr>
                <w:rFonts w:ascii="Arial" w:hAnsi="Arial" w:cs="Arial"/>
                <w:sz w:val="20"/>
                <w:szCs w:val="20"/>
              </w:rPr>
              <w:t>062</w:t>
            </w:r>
            <w:r w:rsidR="008A35DE">
              <w:rPr>
                <w:rFonts w:ascii="Arial" w:hAnsi="Arial" w:cs="Arial"/>
                <w:sz w:val="20"/>
                <w:szCs w:val="20"/>
              </w:rPr>
              <w:t>.</w:t>
            </w:r>
            <w:r w:rsidRPr="00544B03">
              <w:rPr>
                <w:rFonts w:ascii="Arial" w:hAnsi="Arial" w:cs="Arial"/>
                <w:sz w:val="20"/>
                <w:szCs w:val="20"/>
              </w:rPr>
              <w:t>707</w:t>
            </w:r>
            <w:r w:rsidR="008A35DE">
              <w:rPr>
                <w:rFonts w:ascii="Arial" w:hAnsi="Arial" w:cs="Arial"/>
                <w:sz w:val="20"/>
                <w:szCs w:val="20"/>
              </w:rPr>
              <w:t>.</w:t>
            </w:r>
            <w:r w:rsidRPr="00544B03">
              <w:rPr>
                <w:rFonts w:ascii="Arial" w:hAnsi="Arial" w:cs="Arial"/>
                <w:sz w:val="20"/>
                <w:szCs w:val="20"/>
              </w:rPr>
              <w:t>963</w:t>
            </w:r>
          </w:p>
        </w:tc>
      </w:tr>
      <w:tr w:rsidR="0054103B" w:rsidRPr="00544B03" w14:paraId="677EF510" w14:textId="77777777" w:rsidTr="008D7F66">
        <w:trPr>
          <w:trHeight w:val="168"/>
        </w:trPr>
        <w:tc>
          <w:tcPr>
            <w:tcW w:w="1024" w:type="dxa"/>
          </w:tcPr>
          <w:p w14:paraId="43777321" w14:textId="28870D45" w:rsidR="0054103B" w:rsidRPr="00544B03" w:rsidRDefault="0054103B" w:rsidP="00D60258">
            <w:pPr>
              <w:pStyle w:val="ListParagraph"/>
              <w:tabs>
                <w:tab w:val="left" w:pos="270"/>
                <w:tab w:val="left" w:pos="1134"/>
              </w:tabs>
              <w:spacing w:before="120" w:after="120"/>
              <w:ind w:left="0"/>
              <w:contextualSpacing w:val="0"/>
              <w:jc w:val="center"/>
              <w:rPr>
                <w:rFonts w:ascii="Arial" w:hAnsi="Arial" w:cs="Arial"/>
                <w:sz w:val="20"/>
                <w:szCs w:val="20"/>
              </w:rPr>
            </w:pPr>
            <w:r w:rsidRPr="00544B03">
              <w:rPr>
                <w:rFonts w:ascii="Arial" w:hAnsi="Arial" w:cs="Arial"/>
                <w:sz w:val="20"/>
                <w:szCs w:val="20"/>
              </w:rPr>
              <w:t>2</w:t>
            </w:r>
          </w:p>
        </w:tc>
        <w:tc>
          <w:tcPr>
            <w:tcW w:w="5841" w:type="dxa"/>
          </w:tcPr>
          <w:p w14:paraId="533D87E1" w14:textId="1AFB2FB3" w:rsidR="0054103B" w:rsidRPr="00544B03" w:rsidRDefault="0054103B" w:rsidP="002A6613">
            <w:pPr>
              <w:pStyle w:val="ListParagraph"/>
              <w:tabs>
                <w:tab w:val="left" w:pos="270"/>
                <w:tab w:val="left" w:pos="1134"/>
              </w:tabs>
              <w:spacing w:before="120" w:after="120"/>
              <w:ind w:left="0"/>
              <w:contextualSpacing w:val="0"/>
              <w:rPr>
                <w:rFonts w:ascii="Arial" w:hAnsi="Arial" w:cs="Arial"/>
                <w:sz w:val="20"/>
                <w:szCs w:val="20"/>
              </w:rPr>
            </w:pPr>
            <w:r w:rsidRPr="00544B03">
              <w:rPr>
                <w:rFonts w:ascii="Arial" w:hAnsi="Arial" w:cs="Arial"/>
                <w:sz w:val="20"/>
                <w:szCs w:val="20"/>
              </w:rPr>
              <w:t xml:space="preserve">Lợi </w:t>
            </w:r>
            <w:proofErr w:type="spellStart"/>
            <w:r w:rsidRPr="00544B03">
              <w:rPr>
                <w:rFonts w:ascii="Arial" w:hAnsi="Arial" w:cs="Arial"/>
                <w:sz w:val="20"/>
                <w:szCs w:val="20"/>
              </w:rPr>
              <w:t>nhuận</w:t>
            </w:r>
            <w:proofErr w:type="spellEnd"/>
            <w:r w:rsidRPr="00544B03">
              <w:rPr>
                <w:rFonts w:ascii="Arial" w:hAnsi="Arial" w:cs="Arial"/>
                <w:sz w:val="20"/>
                <w:szCs w:val="20"/>
              </w:rPr>
              <w:t xml:space="preserve"> </w:t>
            </w:r>
            <w:proofErr w:type="spellStart"/>
            <w:r w:rsidRPr="00544B03">
              <w:rPr>
                <w:rFonts w:ascii="Arial" w:hAnsi="Arial" w:cs="Arial"/>
                <w:sz w:val="20"/>
                <w:szCs w:val="20"/>
              </w:rPr>
              <w:t>thu</w:t>
            </w:r>
            <w:proofErr w:type="spellEnd"/>
            <w:r w:rsidRPr="00544B03">
              <w:rPr>
                <w:rFonts w:ascii="Arial" w:hAnsi="Arial" w:cs="Arial"/>
                <w:sz w:val="20"/>
                <w:szCs w:val="20"/>
              </w:rPr>
              <w:t xml:space="preserve"> </w:t>
            </w:r>
            <w:proofErr w:type="spellStart"/>
            <w:r w:rsidRPr="00544B03">
              <w:rPr>
                <w:rFonts w:ascii="Arial" w:hAnsi="Arial" w:cs="Arial"/>
                <w:sz w:val="20"/>
                <w:szCs w:val="20"/>
              </w:rPr>
              <w:t>được</w:t>
            </w:r>
            <w:proofErr w:type="spellEnd"/>
            <w:r w:rsidRPr="00544B03">
              <w:rPr>
                <w:rFonts w:ascii="Arial" w:hAnsi="Arial" w:cs="Arial"/>
                <w:sz w:val="20"/>
                <w:szCs w:val="20"/>
              </w:rPr>
              <w:t xml:space="preserve"> </w:t>
            </w:r>
            <w:proofErr w:type="spellStart"/>
            <w:r w:rsidRPr="00544B03">
              <w:rPr>
                <w:rFonts w:ascii="Arial" w:hAnsi="Arial" w:cs="Arial"/>
                <w:sz w:val="20"/>
                <w:szCs w:val="20"/>
              </w:rPr>
              <w:t>từ</w:t>
            </w:r>
            <w:proofErr w:type="spellEnd"/>
            <w:r w:rsidRPr="00544B03">
              <w:rPr>
                <w:rFonts w:ascii="Arial" w:hAnsi="Arial" w:cs="Arial"/>
                <w:sz w:val="20"/>
                <w:szCs w:val="20"/>
              </w:rPr>
              <w:t xml:space="preserve"> </w:t>
            </w:r>
            <w:proofErr w:type="spellStart"/>
            <w:r w:rsidRPr="00544B03">
              <w:rPr>
                <w:rFonts w:ascii="Arial" w:hAnsi="Arial" w:cs="Arial"/>
                <w:sz w:val="20"/>
                <w:szCs w:val="20"/>
              </w:rPr>
              <w:t>lợi</w:t>
            </w:r>
            <w:proofErr w:type="spellEnd"/>
            <w:r w:rsidRPr="00544B03">
              <w:rPr>
                <w:rFonts w:ascii="Arial" w:hAnsi="Arial" w:cs="Arial"/>
                <w:sz w:val="20"/>
                <w:szCs w:val="20"/>
              </w:rPr>
              <w:t xml:space="preserve"> </w:t>
            </w:r>
            <w:proofErr w:type="spellStart"/>
            <w:r w:rsidRPr="00544B03">
              <w:rPr>
                <w:rFonts w:ascii="Arial" w:hAnsi="Arial" w:cs="Arial"/>
                <w:sz w:val="20"/>
                <w:szCs w:val="20"/>
              </w:rPr>
              <w:t>tức</w:t>
            </w:r>
            <w:proofErr w:type="spellEnd"/>
            <w:r w:rsidRPr="00544B03">
              <w:rPr>
                <w:rFonts w:ascii="Arial" w:hAnsi="Arial" w:cs="Arial"/>
                <w:sz w:val="20"/>
                <w:szCs w:val="20"/>
              </w:rPr>
              <w:t xml:space="preserve"> </w:t>
            </w:r>
            <w:proofErr w:type="spellStart"/>
            <w:r w:rsidRPr="00544B03">
              <w:rPr>
                <w:rFonts w:ascii="Arial" w:hAnsi="Arial" w:cs="Arial"/>
                <w:sz w:val="20"/>
                <w:szCs w:val="20"/>
              </w:rPr>
              <w:t>chứng</w:t>
            </w:r>
            <w:proofErr w:type="spellEnd"/>
            <w:r w:rsidRPr="00544B03">
              <w:rPr>
                <w:rFonts w:ascii="Arial" w:hAnsi="Arial" w:cs="Arial"/>
                <w:sz w:val="20"/>
                <w:szCs w:val="20"/>
              </w:rPr>
              <w:t xml:space="preserve"> </w:t>
            </w:r>
            <w:proofErr w:type="spellStart"/>
            <w:r w:rsidRPr="00544B03">
              <w:rPr>
                <w:rFonts w:ascii="Arial" w:hAnsi="Arial" w:cs="Arial"/>
                <w:sz w:val="20"/>
                <w:szCs w:val="20"/>
              </w:rPr>
              <w:t>khoán</w:t>
            </w:r>
            <w:proofErr w:type="spellEnd"/>
            <w:r w:rsidRPr="00544B03">
              <w:rPr>
                <w:rFonts w:ascii="Arial" w:hAnsi="Arial" w:cs="Arial"/>
                <w:sz w:val="20"/>
                <w:szCs w:val="20"/>
              </w:rPr>
              <w:t xml:space="preserve"> (</w:t>
            </w:r>
            <w:proofErr w:type="spellStart"/>
            <w:r w:rsidRPr="00544B03">
              <w:rPr>
                <w:rFonts w:ascii="Arial" w:hAnsi="Arial" w:cs="Arial"/>
                <w:sz w:val="20"/>
                <w:szCs w:val="20"/>
              </w:rPr>
              <w:t>cổ</w:t>
            </w:r>
            <w:proofErr w:type="spellEnd"/>
            <w:r w:rsidRPr="00544B03">
              <w:rPr>
                <w:rFonts w:ascii="Arial" w:hAnsi="Arial" w:cs="Arial"/>
                <w:sz w:val="20"/>
                <w:szCs w:val="20"/>
              </w:rPr>
              <w:t xml:space="preserve"> </w:t>
            </w:r>
            <w:proofErr w:type="spellStart"/>
            <w:r w:rsidRPr="00544B03">
              <w:rPr>
                <w:rFonts w:ascii="Arial" w:hAnsi="Arial" w:cs="Arial"/>
                <w:sz w:val="20"/>
                <w:szCs w:val="20"/>
              </w:rPr>
              <w:t>tức</w:t>
            </w:r>
            <w:proofErr w:type="spellEnd"/>
            <w:r w:rsidRPr="00544B03">
              <w:rPr>
                <w:rFonts w:ascii="Arial" w:hAnsi="Arial" w:cs="Arial"/>
                <w:sz w:val="20"/>
                <w:szCs w:val="20"/>
              </w:rPr>
              <w:t xml:space="preserve">, </w:t>
            </w:r>
            <w:proofErr w:type="spellStart"/>
            <w:r w:rsidRPr="00544B03">
              <w:rPr>
                <w:rFonts w:ascii="Arial" w:hAnsi="Arial" w:cs="Arial"/>
                <w:sz w:val="20"/>
                <w:szCs w:val="20"/>
              </w:rPr>
              <w:t>chứng</w:t>
            </w:r>
            <w:proofErr w:type="spellEnd"/>
            <w:r w:rsidRPr="00544B03">
              <w:rPr>
                <w:rFonts w:ascii="Arial" w:hAnsi="Arial" w:cs="Arial"/>
                <w:sz w:val="20"/>
                <w:szCs w:val="20"/>
              </w:rPr>
              <w:t xml:space="preserve"> </w:t>
            </w:r>
            <w:proofErr w:type="spellStart"/>
            <w:r w:rsidRPr="00544B03">
              <w:rPr>
                <w:rFonts w:ascii="Arial" w:hAnsi="Arial" w:cs="Arial"/>
                <w:sz w:val="20"/>
                <w:szCs w:val="20"/>
              </w:rPr>
              <w:t>chỉ</w:t>
            </w:r>
            <w:proofErr w:type="spellEnd"/>
            <w:r w:rsidRPr="00544B03">
              <w:rPr>
                <w:rFonts w:ascii="Arial" w:hAnsi="Arial" w:cs="Arial"/>
                <w:sz w:val="20"/>
                <w:szCs w:val="20"/>
              </w:rPr>
              <w:t xml:space="preserve"> </w:t>
            </w:r>
            <w:proofErr w:type="spellStart"/>
            <w:r w:rsidRPr="00544B03">
              <w:rPr>
                <w:rFonts w:ascii="Arial" w:hAnsi="Arial" w:cs="Arial"/>
                <w:sz w:val="20"/>
                <w:szCs w:val="20"/>
              </w:rPr>
              <w:t>tiền</w:t>
            </w:r>
            <w:proofErr w:type="spellEnd"/>
            <w:r w:rsidRPr="00544B03">
              <w:rPr>
                <w:rFonts w:ascii="Arial" w:hAnsi="Arial" w:cs="Arial"/>
                <w:sz w:val="20"/>
                <w:szCs w:val="20"/>
              </w:rPr>
              <w:t xml:space="preserve"> </w:t>
            </w:r>
            <w:proofErr w:type="spellStart"/>
            <w:r w:rsidRPr="00544B03">
              <w:rPr>
                <w:rFonts w:ascii="Arial" w:hAnsi="Arial" w:cs="Arial"/>
                <w:sz w:val="20"/>
                <w:szCs w:val="20"/>
              </w:rPr>
              <w:t>gửi</w:t>
            </w:r>
            <w:proofErr w:type="spellEnd"/>
            <w:r w:rsidRPr="00544B03">
              <w:rPr>
                <w:rFonts w:ascii="Arial" w:hAnsi="Arial" w:cs="Arial"/>
                <w:sz w:val="20"/>
                <w:szCs w:val="20"/>
              </w:rPr>
              <w:t xml:space="preserve">, </w:t>
            </w:r>
            <w:proofErr w:type="spellStart"/>
            <w:r w:rsidRPr="00544B03">
              <w:rPr>
                <w:rFonts w:ascii="Arial" w:hAnsi="Arial" w:cs="Arial"/>
                <w:sz w:val="20"/>
                <w:szCs w:val="20"/>
              </w:rPr>
              <w:t>lãi</w:t>
            </w:r>
            <w:proofErr w:type="spellEnd"/>
            <w:r w:rsidRPr="00544B03">
              <w:rPr>
                <w:rFonts w:ascii="Arial" w:hAnsi="Arial" w:cs="Arial"/>
                <w:sz w:val="20"/>
                <w:szCs w:val="20"/>
              </w:rPr>
              <w:t xml:space="preserve"> </w:t>
            </w:r>
            <w:proofErr w:type="spellStart"/>
            <w:r w:rsidRPr="00544B03">
              <w:rPr>
                <w:rFonts w:ascii="Arial" w:hAnsi="Arial" w:cs="Arial"/>
                <w:sz w:val="20"/>
                <w:szCs w:val="20"/>
              </w:rPr>
              <w:t>suất</w:t>
            </w:r>
            <w:proofErr w:type="spellEnd"/>
            <w:r w:rsidRPr="00544B03">
              <w:rPr>
                <w:rFonts w:ascii="Arial" w:hAnsi="Arial" w:cs="Arial"/>
                <w:sz w:val="20"/>
                <w:szCs w:val="20"/>
              </w:rPr>
              <w:t xml:space="preserve"> </w:t>
            </w:r>
            <w:proofErr w:type="spellStart"/>
            <w:r w:rsidRPr="00544B03">
              <w:rPr>
                <w:rFonts w:ascii="Arial" w:hAnsi="Arial" w:cs="Arial"/>
                <w:sz w:val="20"/>
                <w:szCs w:val="20"/>
              </w:rPr>
              <w:t>tiền</w:t>
            </w:r>
            <w:proofErr w:type="spellEnd"/>
            <w:r w:rsidRPr="00544B03">
              <w:rPr>
                <w:rFonts w:ascii="Arial" w:hAnsi="Arial" w:cs="Arial"/>
                <w:sz w:val="20"/>
                <w:szCs w:val="20"/>
              </w:rPr>
              <w:t xml:space="preserve"> </w:t>
            </w:r>
            <w:proofErr w:type="spellStart"/>
            <w:r w:rsidRPr="00544B03">
              <w:rPr>
                <w:rFonts w:ascii="Arial" w:hAnsi="Arial" w:cs="Arial"/>
                <w:sz w:val="20"/>
                <w:szCs w:val="20"/>
              </w:rPr>
              <w:t>gửi</w:t>
            </w:r>
            <w:proofErr w:type="spellEnd"/>
            <w:r w:rsidRPr="00544B03">
              <w:rPr>
                <w:rFonts w:ascii="Arial" w:hAnsi="Arial" w:cs="Arial"/>
                <w:sz w:val="20"/>
                <w:szCs w:val="20"/>
              </w:rPr>
              <w:t>)</w:t>
            </w:r>
          </w:p>
        </w:tc>
        <w:tc>
          <w:tcPr>
            <w:tcW w:w="2765" w:type="dxa"/>
          </w:tcPr>
          <w:p w14:paraId="7A92A989" w14:textId="4694F175" w:rsidR="0054103B" w:rsidRPr="00544B03" w:rsidRDefault="0054103B" w:rsidP="002A6613">
            <w:pPr>
              <w:spacing w:after="0" w:line="240" w:lineRule="auto"/>
              <w:jc w:val="right"/>
              <w:rPr>
                <w:rFonts w:ascii="Arial" w:hAnsi="Arial" w:cs="Arial"/>
                <w:color w:val="000000"/>
                <w:sz w:val="20"/>
                <w:szCs w:val="20"/>
              </w:rPr>
            </w:pPr>
            <w:r w:rsidRPr="00544B03">
              <w:rPr>
                <w:rFonts w:ascii="Arial" w:hAnsi="Arial" w:cs="Arial"/>
                <w:sz w:val="20"/>
                <w:szCs w:val="20"/>
              </w:rPr>
              <w:t>37</w:t>
            </w:r>
            <w:r w:rsidR="008A35DE">
              <w:rPr>
                <w:rFonts w:ascii="Arial" w:hAnsi="Arial" w:cs="Arial"/>
                <w:sz w:val="20"/>
                <w:szCs w:val="20"/>
              </w:rPr>
              <w:t>.</w:t>
            </w:r>
            <w:r w:rsidRPr="00544B03">
              <w:rPr>
                <w:rFonts w:ascii="Arial" w:hAnsi="Arial" w:cs="Arial"/>
                <w:sz w:val="20"/>
                <w:szCs w:val="20"/>
              </w:rPr>
              <w:t>966</w:t>
            </w:r>
            <w:r w:rsidR="008A35DE">
              <w:rPr>
                <w:rFonts w:ascii="Arial" w:hAnsi="Arial" w:cs="Arial"/>
                <w:sz w:val="20"/>
                <w:szCs w:val="20"/>
              </w:rPr>
              <w:t>.</w:t>
            </w:r>
            <w:r w:rsidRPr="00544B03">
              <w:rPr>
                <w:rFonts w:ascii="Arial" w:hAnsi="Arial" w:cs="Arial"/>
                <w:sz w:val="20"/>
                <w:szCs w:val="20"/>
              </w:rPr>
              <w:t>620</w:t>
            </w:r>
            <w:r w:rsidR="008A35DE">
              <w:rPr>
                <w:rFonts w:ascii="Arial" w:hAnsi="Arial" w:cs="Arial"/>
                <w:sz w:val="20"/>
                <w:szCs w:val="20"/>
              </w:rPr>
              <w:t>.</w:t>
            </w:r>
            <w:r w:rsidRPr="00544B03">
              <w:rPr>
                <w:rFonts w:ascii="Arial" w:hAnsi="Arial" w:cs="Arial"/>
                <w:sz w:val="20"/>
                <w:szCs w:val="20"/>
              </w:rPr>
              <w:t>921</w:t>
            </w:r>
          </w:p>
        </w:tc>
      </w:tr>
      <w:tr w:rsidR="0054103B" w:rsidRPr="00544B03" w14:paraId="547DA440" w14:textId="77777777" w:rsidTr="008D7F66">
        <w:trPr>
          <w:trHeight w:val="168"/>
        </w:trPr>
        <w:tc>
          <w:tcPr>
            <w:tcW w:w="1024" w:type="dxa"/>
          </w:tcPr>
          <w:p w14:paraId="7F2EA17A" w14:textId="6014E290" w:rsidR="0054103B" w:rsidRPr="00544B03" w:rsidRDefault="0054103B" w:rsidP="00D60258">
            <w:pPr>
              <w:pStyle w:val="ListParagraph"/>
              <w:tabs>
                <w:tab w:val="left" w:pos="270"/>
                <w:tab w:val="left" w:pos="1134"/>
              </w:tabs>
              <w:spacing w:before="120" w:after="120"/>
              <w:ind w:left="0"/>
              <w:contextualSpacing w:val="0"/>
              <w:jc w:val="center"/>
              <w:rPr>
                <w:rFonts w:ascii="Arial" w:hAnsi="Arial" w:cs="Arial"/>
                <w:sz w:val="20"/>
                <w:szCs w:val="20"/>
              </w:rPr>
            </w:pPr>
            <w:r w:rsidRPr="00544B03">
              <w:rPr>
                <w:rFonts w:ascii="Arial" w:hAnsi="Arial" w:cs="Arial"/>
                <w:sz w:val="20"/>
                <w:szCs w:val="20"/>
              </w:rPr>
              <w:t>3</w:t>
            </w:r>
          </w:p>
        </w:tc>
        <w:tc>
          <w:tcPr>
            <w:tcW w:w="5841" w:type="dxa"/>
          </w:tcPr>
          <w:p w14:paraId="0C8C503D" w14:textId="65ED3E58" w:rsidR="0054103B" w:rsidRPr="00544B03" w:rsidRDefault="0054103B" w:rsidP="002A6613">
            <w:pPr>
              <w:pStyle w:val="ListParagraph"/>
              <w:tabs>
                <w:tab w:val="left" w:pos="270"/>
                <w:tab w:val="left" w:pos="1134"/>
              </w:tabs>
              <w:spacing w:before="120" w:after="120"/>
              <w:ind w:left="0"/>
              <w:contextualSpacing w:val="0"/>
              <w:rPr>
                <w:rFonts w:ascii="Arial" w:hAnsi="Arial" w:cs="Arial"/>
                <w:sz w:val="20"/>
                <w:szCs w:val="20"/>
              </w:rPr>
            </w:pPr>
            <w:r w:rsidRPr="00544B03">
              <w:rPr>
                <w:rFonts w:ascii="Arial" w:hAnsi="Arial" w:cs="Arial"/>
                <w:sz w:val="20"/>
                <w:szCs w:val="20"/>
              </w:rPr>
              <w:t xml:space="preserve">Lợi </w:t>
            </w:r>
            <w:proofErr w:type="spellStart"/>
            <w:r w:rsidRPr="00544B03">
              <w:rPr>
                <w:rFonts w:ascii="Arial" w:hAnsi="Arial" w:cs="Arial"/>
                <w:sz w:val="20"/>
                <w:szCs w:val="20"/>
              </w:rPr>
              <w:t>nhuận</w:t>
            </w:r>
            <w:proofErr w:type="spellEnd"/>
            <w:r w:rsidRPr="00544B03">
              <w:rPr>
                <w:rFonts w:ascii="Arial" w:hAnsi="Arial" w:cs="Arial"/>
                <w:sz w:val="20"/>
                <w:szCs w:val="20"/>
              </w:rPr>
              <w:t xml:space="preserve"> </w:t>
            </w:r>
            <w:proofErr w:type="spellStart"/>
            <w:r w:rsidRPr="00544B03">
              <w:rPr>
                <w:rFonts w:ascii="Arial" w:hAnsi="Arial" w:cs="Arial"/>
                <w:sz w:val="20"/>
                <w:szCs w:val="20"/>
              </w:rPr>
              <w:t>thu</w:t>
            </w:r>
            <w:proofErr w:type="spellEnd"/>
            <w:r w:rsidRPr="00544B03">
              <w:rPr>
                <w:rFonts w:ascii="Arial" w:hAnsi="Arial" w:cs="Arial"/>
                <w:sz w:val="20"/>
                <w:szCs w:val="20"/>
              </w:rPr>
              <w:t xml:space="preserve"> </w:t>
            </w:r>
            <w:proofErr w:type="spellStart"/>
            <w:r w:rsidRPr="00544B03">
              <w:rPr>
                <w:rFonts w:ascii="Arial" w:hAnsi="Arial" w:cs="Arial"/>
                <w:sz w:val="20"/>
                <w:szCs w:val="20"/>
              </w:rPr>
              <w:t>được</w:t>
            </w:r>
            <w:proofErr w:type="spellEnd"/>
            <w:r w:rsidRPr="00544B03">
              <w:rPr>
                <w:rFonts w:ascii="Arial" w:hAnsi="Arial" w:cs="Arial"/>
                <w:sz w:val="20"/>
                <w:szCs w:val="20"/>
              </w:rPr>
              <w:t xml:space="preserve"> </w:t>
            </w:r>
            <w:proofErr w:type="spellStart"/>
            <w:r w:rsidRPr="00544B03">
              <w:rPr>
                <w:rFonts w:ascii="Arial" w:hAnsi="Arial" w:cs="Arial"/>
                <w:sz w:val="20"/>
                <w:szCs w:val="20"/>
              </w:rPr>
              <w:t>từ</w:t>
            </w:r>
            <w:proofErr w:type="spellEnd"/>
            <w:r w:rsidRPr="00544B03">
              <w:rPr>
                <w:rFonts w:ascii="Arial" w:hAnsi="Arial" w:cs="Arial"/>
                <w:sz w:val="20"/>
                <w:szCs w:val="20"/>
              </w:rPr>
              <w:t xml:space="preserve"> </w:t>
            </w:r>
            <w:proofErr w:type="spellStart"/>
            <w:r w:rsidRPr="00544B03">
              <w:rPr>
                <w:rFonts w:ascii="Arial" w:hAnsi="Arial" w:cs="Arial"/>
                <w:sz w:val="20"/>
                <w:szCs w:val="20"/>
              </w:rPr>
              <w:t>bán</w:t>
            </w:r>
            <w:proofErr w:type="spellEnd"/>
            <w:r w:rsidRPr="00544B03">
              <w:rPr>
                <w:rFonts w:ascii="Arial" w:hAnsi="Arial" w:cs="Arial"/>
                <w:sz w:val="20"/>
                <w:szCs w:val="20"/>
              </w:rPr>
              <w:t xml:space="preserve"> </w:t>
            </w:r>
            <w:proofErr w:type="spellStart"/>
            <w:r w:rsidRPr="00544B03">
              <w:rPr>
                <w:rFonts w:ascii="Arial" w:hAnsi="Arial" w:cs="Arial"/>
                <w:sz w:val="20"/>
                <w:szCs w:val="20"/>
              </w:rPr>
              <w:t>cổ</w:t>
            </w:r>
            <w:proofErr w:type="spellEnd"/>
            <w:r w:rsidRPr="00544B03">
              <w:rPr>
                <w:rFonts w:ascii="Arial" w:hAnsi="Arial" w:cs="Arial"/>
                <w:sz w:val="20"/>
                <w:szCs w:val="20"/>
              </w:rPr>
              <w:t xml:space="preserve"> </w:t>
            </w:r>
            <w:proofErr w:type="spellStart"/>
            <w:r w:rsidRPr="00544B03">
              <w:rPr>
                <w:rFonts w:ascii="Arial" w:hAnsi="Arial" w:cs="Arial"/>
                <w:sz w:val="20"/>
                <w:szCs w:val="20"/>
              </w:rPr>
              <w:t>phiếu</w:t>
            </w:r>
            <w:proofErr w:type="spellEnd"/>
          </w:p>
        </w:tc>
        <w:tc>
          <w:tcPr>
            <w:tcW w:w="2765" w:type="dxa"/>
          </w:tcPr>
          <w:p w14:paraId="7DEEFD70" w14:textId="4F66CC00" w:rsidR="0054103B" w:rsidRPr="00544B03" w:rsidRDefault="0054103B" w:rsidP="002A6613">
            <w:pPr>
              <w:spacing w:after="0" w:line="240" w:lineRule="auto"/>
              <w:jc w:val="right"/>
              <w:rPr>
                <w:rFonts w:ascii="Arial" w:hAnsi="Arial" w:cs="Arial"/>
                <w:color w:val="000000"/>
                <w:sz w:val="20"/>
                <w:szCs w:val="20"/>
              </w:rPr>
            </w:pPr>
            <w:r w:rsidRPr="00544B03">
              <w:rPr>
                <w:rFonts w:ascii="Arial" w:hAnsi="Arial" w:cs="Arial"/>
                <w:sz w:val="20"/>
                <w:szCs w:val="20"/>
              </w:rPr>
              <w:t>2</w:t>
            </w:r>
            <w:r w:rsidR="008A35DE">
              <w:rPr>
                <w:rFonts w:ascii="Arial" w:hAnsi="Arial" w:cs="Arial"/>
                <w:sz w:val="20"/>
                <w:szCs w:val="20"/>
              </w:rPr>
              <w:t>.</w:t>
            </w:r>
            <w:r w:rsidRPr="00544B03">
              <w:rPr>
                <w:rFonts w:ascii="Arial" w:hAnsi="Arial" w:cs="Arial"/>
                <w:sz w:val="20"/>
                <w:szCs w:val="20"/>
              </w:rPr>
              <w:t>062</w:t>
            </w:r>
            <w:r w:rsidR="008A35DE">
              <w:rPr>
                <w:rFonts w:ascii="Arial" w:hAnsi="Arial" w:cs="Arial"/>
                <w:sz w:val="20"/>
                <w:szCs w:val="20"/>
              </w:rPr>
              <w:t>.</w:t>
            </w:r>
            <w:r w:rsidRPr="00544B03">
              <w:rPr>
                <w:rFonts w:ascii="Arial" w:hAnsi="Arial" w:cs="Arial"/>
                <w:sz w:val="20"/>
                <w:szCs w:val="20"/>
              </w:rPr>
              <w:t>879</w:t>
            </w:r>
            <w:r w:rsidR="008A35DE">
              <w:rPr>
                <w:rFonts w:ascii="Arial" w:hAnsi="Arial" w:cs="Arial"/>
                <w:sz w:val="20"/>
                <w:szCs w:val="20"/>
              </w:rPr>
              <w:t>.</w:t>
            </w:r>
            <w:r w:rsidRPr="00544B03">
              <w:rPr>
                <w:rFonts w:ascii="Arial" w:hAnsi="Arial" w:cs="Arial"/>
                <w:sz w:val="20"/>
                <w:szCs w:val="20"/>
              </w:rPr>
              <w:t>766</w:t>
            </w:r>
          </w:p>
        </w:tc>
      </w:tr>
      <w:tr w:rsidR="0054103B" w:rsidRPr="00544B03" w14:paraId="7ED7B1C8" w14:textId="77777777" w:rsidTr="008D7F66">
        <w:trPr>
          <w:trHeight w:val="168"/>
        </w:trPr>
        <w:tc>
          <w:tcPr>
            <w:tcW w:w="1024" w:type="dxa"/>
          </w:tcPr>
          <w:p w14:paraId="6CF3F63F" w14:textId="33CC4E40" w:rsidR="0054103B" w:rsidRPr="00544B03" w:rsidRDefault="0054103B" w:rsidP="00D60258">
            <w:pPr>
              <w:pStyle w:val="ListParagraph"/>
              <w:tabs>
                <w:tab w:val="left" w:pos="270"/>
                <w:tab w:val="left" w:pos="1134"/>
              </w:tabs>
              <w:spacing w:before="120" w:after="120"/>
              <w:ind w:left="0"/>
              <w:contextualSpacing w:val="0"/>
              <w:jc w:val="center"/>
              <w:rPr>
                <w:rFonts w:ascii="Arial" w:hAnsi="Arial" w:cs="Arial"/>
                <w:sz w:val="20"/>
                <w:szCs w:val="20"/>
              </w:rPr>
            </w:pPr>
            <w:r w:rsidRPr="00544B03">
              <w:rPr>
                <w:rFonts w:ascii="Arial" w:hAnsi="Arial" w:cs="Arial"/>
                <w:sz w:val="20"/>
                <w:szCs w:val="20"/>
              </w:rPr>
              <w:t>4</w:t>
            </w:r>
          </w:p>
        </w:tc>
        <w:tc>
          <w:tcPr>
            <w:tcW w:w="5841" w:type="dxa"/>
          </w:tcPr>
          <w:p w14:paraId="663AAD85" w14:textId="36882E76" w:rsidR="0054103B" w:rsidRPr="00544B03" w:rsidRDefault="0054103B" w:rsidP="002A6613">
            <w:pPr>
              <w:pStyle w:val="ListParagraph"/>
              <w:tabs>
                <w:tab w:val="left" w:pos="270"/>
                <w:tab w:val="left" w:pos="1134"/>
              </w:tabs>
              <w:spacing w:before="120" w:after="120"/>
              <w:ind w:left="0"/>
              <w:contextualSpacing w:val="0"/>
              <w:rPr>
                <w:rFonts w:ascii="Arial" w:hAnsi="Arial" w:cs="Arial"/>
                <w:sz w:val="20"/>
                <w:szCs w:val="20"/>
              </w:rPr>
            </w:pPr>
            <w:proofErr w:type="spellStart"/>
            <w:r w:rsidRPr="00544B03">
              <w:rPr>
                <w:rFonts w:ascii="Arial" w:hAnsi="Arial" w:cs="Arial"/>
                <w:sz w:val="20"/>
                <w:szCs w:val="20"/>
              </w:rPr>
              <w:t>Tổng</w:t>
            </w:r>
            <w:proofErr w:type="spellEnd"/>
            <w:r w:rsidRPr="00544B03">
              <w:rPr>
                <w:rFonts w:ascii="Arial" w:hAnsi="Arial" w:cs="Arial"/>
                <w:sz w:val="20"/>
                <w:szCs w:val="20"/>
              </w:rPr>
              <w:t xml:space="preserve"> chi </w:t>
            </w:r>
            <w:proofErr w:type="spellStart"/>
            <w:r w:rsidRPr="00544B03">
              <w:rPr>
                <w:rFonts w:ascii="Arial" w:hAnsi="Arial" w:cs="Arial"/>
                <w:sz w:val="20"/>
                <w:szCs w:val="20"/>
              </w:rPr>
              <w:t>phí</w:t>
            </w:r>
            <w:proofErr w:type="spellEnd"/>
          </w:p>
        </w:tc>
        <w:tc>
          <w:tcPr>
            <w:tcW w:w="2765" w:type="dxa"/>
          </w:tcPr>
          <w:p w14:paraId="741FB10A" w14:textId="6EE4B691" w:rsidR="0054103B" w:rsidRPr="00544B03" w:rsidRDefault="0054103B" w:rsidP="002A6613">
            <w:pPr>
              <w:spacing w:after="0" w:line="240" w:lineRule="auto"/>
              <w:jc w:val="right"/>
              <w:rPr>
                <w:rFonts w:ascii="Arial" w:hAnsi="Arial" w:cs="Arial"/>
                <w:color w:val="000000"/>
                <w:sz w:val="20"/>
                <w:szCs w:val="20"/>
              </w:rPr>
            </w:pPr>
            <w:r w:rsidRPr="00544B03">
              <w:rPr>
                <w:rFonts w:ascii="Arial" w:hAnsi="Arial" w:cs="Arial"/>
                <w:sz w:val="20"/>
                <w:szCs w:val="20"/>
              </w:rPr>
              <w:t>-6</w:t>
            </w:r>
            <w:r w:rsidR="008A35DE">
              <w:rPr>
                <w:rFonts w:ascii="Arial" w:hAnsi="Arial" w:cs="Arial"/>
                <w:sz w:val="20"/>
                <w:szCs w:val="20"/>
              </w:rPr>
              <w:t>.</w:t>
            </w:r>
            <w:r w:rsidRPr="00544B03">
              <w:rPr>
                <w:rFonts w:ascii="Arial" w:hAnsi="Arial" w:cs="Arial"/>
                <w:sz w:val="20"/>
                <w:szCs w:val="20"/>
              </w:rPr>
              <w:t>201</w:t>
            </w:r>
            <w:r w:rsidR="008A35DE">
              <w:rPr>
                <w:rFonts w:ascii="Arial" w:hAnsi="Arial" w:cs="Arial"/>
                <w:sz w:val="20"/>
                <w:szCs w:val="20"/>
              </w:rPr>
              <w:t>.</w:t>
            </w:r>
            <w:r w:rsidRPr="00544B03">
              <w:rPr>
                <w:rFonts w:ascii="Arial" w:hAnsi="Arial" w:cs="Arial"/>
                <w:sz w:val="20"/>
                <w:szCs w:val="20"/>
              </w:rPr>
              <w:t>720</w:t>
            </w:r>
            <w:r w:rsidR="008A35DE">
              <w:rPr>
                <w:rFonts w:ascii="Arial" w:hAnsi="Arial" w:cs="Arial"/>
                <w:sz w:val="20"/>
                <w:szCs w:val="20"/>
              </w:rPr>
              <w:t>.</w:t>
            </w:r>
            <w:r w:rsidRPr="00544B03">
              <w:rPr>
                <w:rFonts w:ascii="Arial" w:hAnsi="Arial" w:cs="Arial"/>
                <w:sz w:val="20"/>
                <w:szCs w:val="20"/>
              </w:rPr>
              <w:t>189</w:t>
            </w:r>
          </w:p>
        </w:tc>
      </w:tr>
      <w:tr w:rsidR="0054103B" w:rsidRPr="00544B03" w14:paraId="148D3A0B" w14:textId="77777777" w:rsidTr="008D7F66">
        <w:trPr>
          <w:trHeight w:val="168"/>
        </w:trPr>
        <w:tc>
          <w:tcPr>
            <w:tcW w:w="1024" w:type="dxa"/>
          </w:tcPr>
          <w:p w14:paraId="008F6492" w14:textId="391954F1" w:rsidR="0054103B" w:rsidRPr="00544B03" w:rsidRDefault="0054103B" w:rsidP="00D60258">
            <w:pPr>
              <w:pStyle w:val="ListParagraph"/>
              <w:tabs>
                <w:tab w:val="left" w:pos="270"/>
                <w:tab w:val="left" w:pos="1134"/>
              </w:tabs>
              <w:spacing w:before="120" w:after="120"/>
              <w:ind w:left="0"/>
              <w:contextualSpacing w:val="0"/>
              <w:jc w:val="center"/>
              <w:rPr>
                <w:rFonts w:ascii="Arial" w:hAnsi="Arial" w:cs="Arial"/>
                <w:sz w:val="20"/>
                <w:szCs w:val="20"/>
              </w:rPr>
            </w:pPr>
            <w:r w:rsidRPr="00544B03">
              <w:rPr>
                <w:rFonts w:ascii="Arial" w:hAnsi="Arial" w:cs="Arial"/>
                <w:sz w:val="20"/>
                <w:szCs w:val="20"/>
              </w:rPr>
              <w:t>5</w:t>
            </w:r>
          </w:p>
        </w:tc>
        <w:tc>
          <w:tcPr>
            <w:tcW w:w="5841" w:type="dxa"/>
          </w:tcPr>
          <w:p w14:paraId="7313211C" w14:textId="7E2E1EB3" w:rsidR="0054103B" w:rsidRPr="00544B03" w:rsidRDefault="0054103B" w:rsidP="002A6613">
            <w:pPr>
              <w:pStyle w:val="ListParagraph"/>
              <w:tabs>
                <w:tab w:val="left" w:pos="270"/>
                <w:tab w:val="left" w:pos="1134"/>
              </w:tabs>
              <w:spacing w:before="120" w:after="120"/>
              <w:ind w:left="0"/>
              <w:contextualSpacing w:val="0"/>
              <w:rPr>
                <w:rFonts w:ascii="Arial" w:hAnsi="Arial" w:cs="Arial"/>
                <w:sz w:val="20"/>
                <w:szCs w:val="20"/>
              </w:rPr>
            </w:pPr>
            <w:r w:rsidRPr="00544B03">
              <w:rPr>
                <w:rFonts w:ascii="Arial" w:hAnsi="Arial" w:cs="Arial"/>
                <w:sz w:val="20"/>
                <w:szCs w:val="20"/>
              </w:rPr>
              <w:t xml:space="preserve">Thu </w:t>
            </w:r>
            <w:proofErr w:type="spellStart"/>
            <w:r w:rsidRPr="00544B03">
              <w:rPr>
                <w:rFonts w:ascii="Arial" w:hAnsi="Arial" w:cs="Arial"/>
                <w:sz w:val="20"/>
                <w:szCs w:val="20"/>
              </w:rPr>
              <w:t>nhập</w:t>
            </w:r>
            <w:proofErr w:type="spellEnd"/>
            <w:r w:rsidRPr="00544B03">
              <w:rPr>
                <w:rFonts w:ascii="Arial" w:hAnsi="Arial" w:cs="Arial"/>
                <w:sz w:val="20"/>
                <w:szCs w:val="20"/>
              </w:rPr>
              <w:t xml:space="preserve"> </w:t>
            </w:r>
            <w:proofErr w:type="spellStart"/>
            <w:r w:rsidRPr="00544B03">
              <w:rPr>
                <w:rFonts w:ascii="Arial" w:hAnsi="Arial" w:cs="Arial"/>
                <w:sz w:val="20"/>
                <w:szCs w:val="20"/>
              </w:rPr>
              <w:t>khác</w:t>
            </w:r>
            <w:proofErr w:type="spellEnd"/>
          </w:p>
        </w:tc>
        <w:tc>
          <w:tcPr>
            <w:tcW w:w="2765" w:type="dxa"/>
          </w:tcPr>
          <w:p w14:paraId="3FEA24A9" w14:textId="135F688D" w:rsidR="0054103B" w:rsidRPr="00544B03" w:rsidRDefault="0045457C" w:rsidP="002A6613">
            <w:pPr>
              <w:jc w:val="right"/>
              <w:rPr>
                <w:rFonts w:ascii="Arial" w:hAnsi="Arial" w:cs="Arial"/>
                <w:sz w:val="20"/>
                <w:szCs w:val="20"/>
              </w:rPr>
            </w:pPr>
            <w:r w:rsidRPr="00544B03">
              <w:rPr>
                <w:rFonts w:ascii="Arial" w:hAnsi="Arial" w:cs="Arial"/>
                <w:sz w:val="20"/>
                <w:szCs w:val="20"/>
              </w:rPr>
              <w:t>-</w:t>
            </w:r>
          </w:p>
        </w:tc>
      </w:tr>
      <w:tr w:rsidR="0054103B" w:rsidRPr="00544B03" w14:paraId="5BFA7655" w14:textId="77777777" w:rsidTr="008D7F66">
        <w:trPr>
          <w:trHeight w:val="168"/>
        </w:trPr>
        <w:tc>
          <w:tcPr>
            <w:tcW w:w="1024" w:type="dxa"/>
          </w:tcPr>
          <w:p w14:paraId="5778A127" w14:textId="28956D50" w:rsidR="0054103B" w:rsidRPr="00544B03" w:rsidRDefault="002A6613" w:rsidP="00D60258">
            <w:pPr>
              <w:pStyle w:val="ListParagraph"/>
              <w:tabs>
                <w:tab w:val="left" w:pos="270"/>
                <w:tab w:val="left" w:pos="1134"/>
              </w:tabs>
              <w:spacing w:before="120" w:after="120"/>
              <w:ind w:left="0"/>
              <w:contextualSpacing w:val="0"/>
              <w:jc w:val="center"/>
              <w:rPr>
                <w:rFonts w:ascii="Arial" w:hAnsi="Arial" w:cs="Arial"/>
                <w:sz w:val="20"/>
                <w:szCs w:val="20"/>
              </w:rPr>
            </w:pPr>
            <w:r w:rsidRPr="00544B03">
              <w:rPr>
                <w:rFonts w:ascii="Arial" w:hAnsi="Arial" w:cs="Arial"/>
                <w:sz w:val="20"/>
                <w:szCs w:val="20"/>
              </w:rPr>
              <w:t>6</w:t>
            </w:r>
          </w:p>
        </w:tc>
        <w:tc>
          <w:tcPr>
            <w:tcW w:w="5841" w:type="dxa"/>
          </w:tcPr>
          <w:p w14:paraId="49CB4B2E" w14:textId="6040F4F1" w:rsidR="0054103B" w:rsidRPr="00544B03" w:rsidRDefault="0054103B" w:rsidP="002A6613">
            <w:pPr>
              <w:pStyle w:val="ListParagraph"/>
              <w:tabs>
                <w:tab w:val="left" w:pos="270"/>
                <w:tab w:val="left" w:pos="1134"/>
              </w:tabs>
              <w:spacing w:before="120" w:after="120"/>
              <w:ind w:left="0"/>
              <w:contextualSpacing w:val="0"/>
              <w:rPr>
                <w:rFonts w:ascii="Arial" w:hAnsi="Arial" w:cs="Arial"/>
                <w:sz w:val="20"/>
                <w:szCs w:val="20"/>
              </w:rPr>
            </w:pPr>
            <w:r w:rsidRPr="00544B03">
              <w:rPr>
                <w:rFonts w:ascii="Arial" w:hAnsi="Arial" w:cs="Arial"/>
                <w:sz w:val="20"/>
                <w:szCs w:val="20"/>
              </w:rPr>
              <w:t>Chi phí khác</w:t>
            </w:r>
          </w:p>
        </w:tc>
        <w:tc>
          <w:tcPr>
            <w:tcW w:w="2765" w:type="dxa"/>
          </w:tcPr>
          <w:p w14:paraId="171000C6" w14:textId="37019E50" w:rsidR="0054103B" w:rsidRPr="00544B03" w:rsidRDefault="0054103B" w:rsidP="002A6613">
            <w:pPr>
              <w:jc w:val="right"/>
              <w:rPr>
                <w:rFonts w:ascii="Arial" w:hAnsi="Arial" w:cs="Arial"/>
                <w:sz w:val="20"/>
                <w:szCs w:val="20"/>
              </w:rPr>
            </w:pPr>
            <w:r w:rsidRPr="00544B03">
              <w:rPr>
                <w:rFonts w:ascii="Arial" w:hAnsi="Arial" w:cs="Arial"/>
                <w:sz w:val="20"/>
                <w:szCs w:val="20"/>
              </w:rPr>
              <w:t xml:space="preserve">                                  -   </w:t>
            </w:r>
          </w:p>
        </w:tc>
      </w:tr>
      <w:tr w:rsidR="00DB4097" w:rsidRPr="00544B03" w14:paraId="6FBC4E4E" w14:textId="77777777" w:rsidTr="008D7F66">
        <w:trPr>
          <w:trHeight w:val="108"/>
        </w:trPr>
        <w:tc>
          <w:tcPr>
            <w:tcW w:w="1024" w:type="dxa"/>
          </w:tcPr>
          <w:p w14:paraId="7EFD99AC" w14:textId="078F621E" w:rsidR="00DB4097" w:rsidRPr="00544B03" w:rsidRDefault="00DB4097" w:rsidP="002A6613">
            <w:pPr>
              <w:pStyle w:val="ListParagraph"/>
              <w:tabs>
                <w:tab w:val="left" w:pos="270"/>
                <w:tab w:val="left" w:pos="1134"/>
              </w:tabs>
              <w:spacing w:before="120" w:after="120"/>
              <w:ind w:left="0"/>
              <w:contextualSpacing w:val="0"/>
              <w:jc w:val="right"/>
              <w:rPr>
                <w:rFonts w:ascii="Arial" w:hAnsi="Arial" w:cs="Arial"/>
                <w:sz w:val="20"/>
                <w:szCs w:val="20"/>
              </w:rPr>
            </w:pPr>
          </w:p>
        </w:tc>
        <w:tc>
          <w:tcPr>
            <w:tcW w:w="5841" w:type="dxa"/>
          </w:tcPr>
          <w:p w14:paraId="08F878E3" w14:textId="44D4888B" w:rsidR="00DB4097" w:rsidRPr="00544B03" w:rsidRDefault="00663D8D" w:rsidP="002A6613">
            <w:pPr>
              <w:pStyle w:val="ListParagraph"/>
              <w:tabs>
                <w:tab w:val="left" w:pos="270"/>
                <w:tab w:val="left" w:pos="1134"/>
              </w:tabs>
              <w:spacing w:before="120" w:after="120"/>
              <w:ind w:left="0"/>
              <w:contextualSpacing w:val="0"/>
              <w:rPr>
                <w:rFonts w:ascii="Arial" w:hAnsi="Arial" w:cs="Arial"/>
                <w:b/>
                <w:bCs/>
                <w:sz w:val="20"/>
                <w:szCs w:val="20"/>
              </w:rPr>
            </w:pPr>
            <w:proofErr w:type="spellStart"/>
            <w:r w:rsidRPr="00544B03">
              <w:rPr>
                <w:rFonts w:ascii="Arial" w:hAnsi="Arial" w:cs="Arial"/>
                <w:b/>
                <w:bCs/>
                <w:sz w:val="20"/>
                <w:szCs w:val="20"/>
              </w:rPr>
              <w:t>Tổng</w:t>
            </w:r>
            <w:proofErr w:type="spellEnd"/>
            <w:r w:rsidRPr="00544B03">
              <w:rPr>
                <w:rFonts w:ascii="Arial" w:hAnsi="Arial" w:cs="Arial"/>
                <w:b/>
                <w:bCs/>
                <w:sz w:val="20"/>
                <w:szCs w:val="20"/>
              </w:rPr>
              <w:t xml:space="preserve"> </w:t>
            </w:r>
            <w:proofErr w:type="spellStart"/>
            <w:r w:rsidRPr="00544B03">
              <w:rPr>
                <w:rFonts w:ascii="Arial" w:hAnsi="Arial" w:cs="Arial"/>
                <w:b/>
                <w:bCs/>
                <w:sz w:val="20"/>
                <w:szCs w:val="20"/>
              </w:rPr>
              <w:t>lợi</w:t>
            </w:r>
            <w:proofErr w:type="spellEnd"/>
            <w:r w:rsidRPr="00544B03">
              <w:rPr>
                <w:rFonts w:ascii="Arial" w:hAnsi="Arial" w:cs="Arial"/>
                <w:b/>
                <w:bCs/>
                <w:sz w:val="20"/>
                <w:szCs w:val="20"/>
              </w:rPr>
              <w:t xml:space="preserve"> </w:t>
            </w:r>
            <w:proofErr w:type="spellStart"/>
            <w:r w:rsidRPr="00544B03">
              <w:rPr>
                <w:rFonts w:ascii="Arial" w:hAnsi="Arial" w:cs="Arial"/>
                <w:b/>
                <w:bCs/>
                <w:sz w:val="20"/>
                <w:szCs w:val="20"/>
              </w:rPr>
              <w:t>nhuận</w:t>
            </w:r>
            <w:proofErr w:type="spellEnd"/>
          </w:p>
        </w:tc>
        <w:tc>
          <w:tcPr>
            <w:tcW w:w="2765" w:type="dxa"/>
          </w:tcPr>
          <w:p w14:paraId="3F425B7B" w14:textId="096A4B55" w:rsidR="00DB4097" w:rsidRPr="00544B03" w:rsidRDefault="000A3F73" w:rsidP="002A6613">
            <w:pPr>
              <w:spacing w:after="0" w:line="240" w:lineRule="auto"/>
              <w:jc w:val="right"/>
              <w:rPr>
                <w:rFonts w:ascii="Arial" w:hAnsi="Arial" w:cs="Arial"/>
                <w:b/>
                <w:bCs/>
                <w:sz w:val="20"/>
                <w:szCs w:val="20"/>
              </w:rPr>
            </w:pPr>
            <w:r w:rsidRPr="00544B03">
              <w:rPr>
                <w:rFonts w:ascii="Arial" w:hAnsi="Arial" w:cs="Arial"/>
                <w:b/>
                <w:bCs/>
                <w:sz w:val="20"/>
                <w:szCs w:val="20"/>
              </w:rPr>
              <w:t>34</w:t>
            </w:r>
            <w:r w:rsidR="008A35DE">
              <w:rPr>
                <w:rFonts w:ascii="Arial" w:hAnsi="Arial" w:cs="Arial"/>
                <w:b/>
                <w:bCs/>
                <w:sz w:val="20"/>
                <w:szCs w:val="20"/>
              </w:rPr>
              <w:t>.</w:t>
            </w:r>
            <w:r w:rsidRPr="00544B03">
              <w:rPr>
                <w:rFonts w:ascii="Arial" w:hAnsi="Arial" w:cs="Arial"/>
                <w:b/>
                <w:bCs/>
                <w:sz w:val="20"/>
                <w:szCs w:val="20"/>
              </w:rPr>
              <w:t>890</w:t>
            </w:r>
            <w:r w:rsidR="008A35DE">
              <w:rPr>
                <w:rFonts w:ascii="Arial" w:hAnsi="Arial" w:cs="Arial"/>
                <w:b/>
                <w:bCs/>
                <w:sz w:val="20"/>
                <w:szCs w:val="20"/>
              </w:rPr>
              <w:t>.</w:t>
            </w:r>
            <w:r w:rsidRPr="00544B03">
              <w:rPr>
                <w:rFonts w:ascii="Arial" w:hAnsi="Arial" w:cs="Arial"/>
                <w:b/>
                <w:bCs/>
                <w:sz w:val="20"/>
                <w:szCs w:val="20"/>
              </w:rPr>
              <w:t>488</w:t>
            </w:r>
            <w:r w:rsidR="008A35DE">
              <w:rPr>
                <w:rFonts w:ascii="Arial" w:hAnsi="Arial" w:cs="Arial"/>
                <w:b/>
                <w:bCs/>
                <w:sz w:val="20"/>
                <w:szCs w:val="20"/>
              </w:rPr>
              <w:t>.</w:t>
            </w:r>
            <w:r w:rsidRPr="00544B03">
              <w:rPr>
                <w:rFonts w:ascii="Arial" w:hAnsi="Arial" w:cs="Arial"/>
                <w:b/>
                <w:bCs/>
                <w:sz w:val="20"/>
                <w:szCs w:val="20"/>
              </w:rPr>
              <w:t>461</w:t>
            </w:r>
          </w:p>
        </w:tc>
      </w:tr>
    </w:tbl>
    <w:p w14:paraId="35D85E95" w14:textId="77777777" w:rsidR="00DB2BA1" w:rsidRPr="00556831" w:rsidRDefault="00E81C04" w:rsidP="007D71BB">
      <w:pPr>
        <w:pStyle w:val="ListParagraph"/>
        <w:tabs>
          <w:tab w:val="left" w:pos="270"/>
          <w:tab w:val="left" w:pos="1134"/>
        </w:tabs>
        <w:spacing w:before="120" w:after="120" w:line="240" w:lineRule="auto"/>
        <w:ind w:left="0"/>
        <w:contextualSpacing w:val="0"/>
        <w:jc w:val="both"/>
        <w:rPr>
          <w:rFonts w:ascii="Arial" w:hAnsi="Arial" w:cs="Arial"/>
          <w:b/>
          <w:sz w:val="20"/>
          <w:szCs w:val="20"/>
        </w:rPr>
      </w:pPr>
      <w:r w:rsidRPr="00556831">
        <w:rPr>
          <w:rFonts w:ascii="Arial" w:hAnsi="Arial" w:cs="Arial"/>
          <w:sz w:val="20"/>
          <w:szCs w:val="20"/>
        </w:rPr>
        <w:t xml:space="preserve">- </w:t>
      </w:r>
      <w:r w:rsidR="00DB2BA1" w:rsidRPr="00556831">
        <w:rPr>
          <w:rFonts w:ascii="Arial" w:hAnsi="Arial" w:cs="Arial"/>
          <w:sz w:val="20"/>
          <w:szCs w:val="20"/>
        </w:rPr>
        <w:t xml:space="preserve">Lợi </w:t>
      </w:r>
      <w:proofErr w:type="spellStart"/>
      <w:r w:rsidR="00DB2BA1" w:rsidRPr="00556831">
        <w:rPr>
          <w:rFonts w:ascii="Arial" w:hAnsi="Arial" w:cs="Arial"/>
          <w:sz w:val="20"/>
          <w:szCs w:val="20"/>
        </w:rPr>
        <w:t>nhuận</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đã</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phân</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phối</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trên</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một</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đơn</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vị</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quỹ</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giá</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trị</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thuần</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và</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giá</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trị</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gộp</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trong</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kỳ</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báo</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cáo</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kể</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cả</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trong</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trường</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hợp</w:t>
      </w:r>
      <w:proofErr w:type="spellEnd"/>
      <w:r w:rsidR="00DB2BA1" w:rsidRPr="00556831">
        <w:rPr>
          <w:rFonts w:ascii="Arial" w:hAnsi="Arial" w:cs="Arial"/>
          <w:sz w:val="20"/>
          <w:szCs w:val="20"/>
        </w:rPr>
        <w:t xml:space="preserve"> chi </w:t>
      </w:r>
      <w:proofErr w:type="spellStart"/>
      <w:r w:rsidR="00DB2BA1" w:rsidRPr="00556831">
        <w:rPr>
          <w:rFonts w:ascii="Arial" w:hAnsi="Arial" w:cs="Arial"/>
          <w:sz w:val="20"/>
          <w:szCs w:val="20"/>
        </w:rPr>
        <w:t>trả</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bằng</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tiền</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mặt</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hoặc</w:t>
      </w:r>
      <w:proofErr w:type="spellEnd"/>
      <w:r w:rsidR="00DB2BA1" w:rsidRPr="00556831">
        <w:rPr>
          <w:rFonts w:ascii="Arial" w:hAnsi="Arial" w:cs="Arial"/>
          <w:sz w:val="20"/>
          <w:szCs w:val="20"/>
        </w:rPr>
        <w:t xml:space="preserve"> chi </w:t>
      </w:r>
      <w:proofErr w:type="spellStart"/>
      <w:r w:rsidR="00DB2BA1" w:rsidRPr="00556831">
        <w:rPr>
          <w:rFonts w:ascii="Arial" w:hAnsi="Arial" w:cs="Arial"/>
          <w:sz w:val="20"/>
          <w:szCs w:val="20"/>
        </w:rPr>
        <w:t>trả</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bằng</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đơn</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vị</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quỹ</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không</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có</w:t>
      </w:r>
      <w:proofErr w:type="spellEnd"/>
    </w:p>
    <w:p w14:paraId="48B13C4A" w14:textId="77777777" w:rsidR="00DB2BA1" w:rsidRPr="00556831" w:rsidRDefault="00E81C04" w:rsidP="007D71BB">
      <w:pPr>
        <w:pStyle w:val="ListParagraph"/>
        <w:tabs>
          <w:tab w:val="left" w:pos="270"/>
          <w:tab w:val="left" w:pos="1134"/>
        </w:tabs>
        <w:spacing w:before="120" w:after="120" w:line="240" w:lineRule="auto"/>
        <w:ind w:left="0"/>
        <w:contextualSpacing w:val="0"/>
        <w:jc w:val="both"/>
        <w:rPr>
          <w:rFonts w:ascii="Arial" w:hAnsi="Arial" w:cs="Arial"/>
          <w:b/>
          <w:sz w:val="20"/>
          <w:szCs w:val="20"/>
        </w:rPr>
      </w:pPr>
      <w:r w:rsidRPr="00556831">
        <w:rPr>
          <w:rFonts w:ascii="Arial" w:hAnsi="Arial" w:cs="Arial"/>
          <w:sz w:val="20"/>
          <w:szCs w:val="20"/>
        </w:rPr>
        <w:t xml:space="preserve">- </w:t>
      </w:r>
      <w:proofErr w:type="spellStart"/>
      <w:r w:rsidR="00DB2BA1" w:rsidRPr="00556831">
        <w:rPr>
          <w:rFonts w:ascii="Arial" w:hAnsi="Arial" w:cs="Arial"/>
          <w:sz w:val="20"/>
          <w:szCs w:val="20"/>
        </w:rPr>
        <w:t>Thời</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điểm</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phân</w:t>
      </w:r>
      <w:proofErr w:type="spellEnd"/>
      <w:r w:rsidR="00DB2BA1" w:rsidRPr="00556831">
        <w:rPr>
          <w:rFonts w:ascii="Arial" w:hAnsi="Arial" w:cs="Arial"/>
          <w:sz w:val="20"/>
          <w:szCs w:val="20"/>
        </w:rPr>
        <w:t xml:space="preserve"> chia </w:t>
      </w:r>
      <w:proofErr w:type="spellStart"/>
      <w:r w:rsidR="00DB2BA1" w:rsidRPr="00556831">
        <w:rPr>
          <w:rFonts w:ascii="Arial" w:hAnsi="Arial" w:cs="Arial"/>
          <w:sz w:val="20"/>
          <w:szCs w:val="20"/>
        </w:rPr>
        <w:t>lợi</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nhuận</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không</w:t>
      </w:r>
      <w:proofErr w:type="spellEnd"/>
      <w:r w:rsidR="00DB2BA1" w:rsidRPr="00556831">
        <w:rPr>
          <w:rFonts w:ascii="Arial" w:hAnsi="Arial" w:cs="Arial"/>
          <w:sz w:val="20"/>
          <w:szCs w:val="20"/>
        </w:rPr>
        <w:t xml:space="preserve"> </w:t>
      </w:r>
      <w:proofErr w:type="spellStart"/>
      <w:r w:rsidR="00DB2BA1" w:rsidRPr="00556831">
        <w:rPr>
          <w:rFonts w:ascii="Arial" w:hAnsi="Arial" w:cs="Arial"/>
          <w:sz w:val="20"/>
          <w:szCs w:val="20"/>
        </w:rPr>
        <w:t>có</w:t>
      </w:r>
      <w:proofErr w:type="spellEnd"/>
    </w:p>
    <w:p w14:paraId="5262CBA2" w14:textId="77777777" w:rsidR="00DB2BA1" w:rsidRPr="00556831" w:rsidRDefault="00DB2BA1" w:rsidP="007D71BB">
      <w:pPr>
        <w:pStyle w:val="ListParagraph"/>
        <w:tabs>
          <w:tab w:val="left" w:pos="270"/>
          <w:tab w:val="left" w:pos="1134"/>
        </w:tabs>
        <w:spacing w:before="120" w:after="120"/>
        <w:ind w:left="0"/>
        <w:contextualSpacing w:val="0"/>
        <w:jc w:val="both"/>
        <w:rPr>
          <w:rFonts w:ascii="Arial" w:hAnsi="Arial" w:cs="Arial"/>
          <w:b/>
          <w:sz w:val="20"/>
          <w:szCs w:val="20"/>
        </w:rPr>
      </w:pPr>
      <w:r w:rsidRPr="00556831">
        <w:rPr>
          <w:rFonts w:ascii="Arial" w:hAnsi="Arial" w:cs="Arial"/>
          <w:sz w:val="20"/>
          <w:szCs w:val="20"/>
        </w:rPr>
        <w:t xml:space="preserve">- </w:t>
      </w:r>
      <w:r w:rsidR="00E81C04" w:rsidRPr="00556831">
        <w:rPr>
          <w:rFonts w:ascii="Arial" w:hAnsi="Arial" w:cs="Arial"/>
          <w:sz w:val="20"/>
          <w:szCs w:val="20"/>
        </w:rPr>
        <w:t xml:space="preserve"> </w:t>
      </w:r>
      <w:proofErr w:type="spellStart"/>
      <w:r w:rsidRPr="00556831">
        <w:rPr>
          <w:rFonts w:ascii="Arial" w:hAnsi="Arial" w:cs="Arial"/>
          <w:sz w:val="20"/>
          <w:szCs w:val="20"/>
        </w:rPr>
        <w:t>Giá</w:t>
      </w:r>
      <w:proofErr w:type="spellEnd"/>
      <w:r w:rsidRPr="00556831">
        <w:rPr>
          <w:rFonts w:ascii="Arial" w:hAnsi="Arial" w:cs="Arial"/>
          <w:sz w:val="20"/>
          <w:szCs w:val="20"/>
        </w:rPr>
        <w:t xml:space="preserve"> </w:t>
      </w:r>
      <w:proofErr w:type="spellStart"/>
      <w:r w:rsidRPr="00556831">
        <w:rPr>
          <w:rFonts w:ascii="Arial" w:hAnsi="Arial" w:cs="Arial"/>
          <w:sz w:val="20"/>
          <w:szCs w:val="20"/>
        </w:rPr>
        <w:t>trị</w:t>
      </w:r>
      <w:proofErr w:type="spellEnd"/>
      <w:r w:rsidRPr="00556831">
        <w:rPr>
          <w:rFonts w:ascii="Arial" w:hAnsi="Arial" w:cs="Arial"/>
          <w:sz w:val="20"/>
          <w:szCs w:val="20"/>
        </w:rPr>
        <w:t xml:space="preserve"> </w:t>
      </w:r>
      <w:proofErr w:type="spellStart"/>
      <w:r w:rsidRPr="00556831">
        <w:rPr>
          <w:rFonts w:ascii="Arial" w:hAnsi="Arial" w:cs="Arial"/>
          <w:sz w:val="20"/>
          <w:szCs w:val="20"/>
        </w:rPr>
        <w:t>tài</w:t>
      </w:r>
      <w:proofErr w:type="spellEnd"/>
      <w:r w:rsidRPr="00556831">
        <w:rPr>
          <w:rFonts w:ascii="Arial" w:hAnsi="Arial" w:cs="Arial"/>
          <w:sz w:val="20"/>
          <w:szCs w:val="20"/>
        </w:rPr>
        <w:t xml:space="preserve"> </w:t>
      </w:r>
      <w:proofErr w:type="spellStart"/>
      <w:r w:rsidRPr="00556831">
        <w:rPr>
          <w:rFonts w:ascii="Arial" w:hAnsi="Arial" w:cs="Arial"/>
          <w:sz w:val="20"/>
          <w:szCs w:val="20"/>
        </w:rPr>
        <w:t>sản</w:t>
      </w:r>
      <w:proofErr w:type="spellEnd"/>
      <w:r w:rsidRPr="00556831">
        <w:rPr>
          <w:rFonts w:ascii="Arial" w:hAnsi="Arial" w:cs="Arial"/>
          <w:sz w:val="20"/>
          <w:szCs w:val="20"/>
        </w:rPr>
        <w:t xml:space="preserve"> </w:t>
      </w:r>
      <w:proofErr w:type="spellStart"/>
      <w:r w:rsidRPr="00556831">
        <w:rPr>
          <w:rFonts w:ascii="Arial" w:hAnsi="Arial" w:cs="Arial"/>
          <w:sz w:val="20"/>
          <w:szCs w:val="20"/>
        </w:rPr>
        <w:t>ròng</w:t>
      </w:r>
      <w:proofErr w:type="spellEnd"/>
      <w:r w:rsidRPr="00556831">
        <w:rPr>
          <w:rFonts w:ascii="Arial" w:hAnsi="Arial" w:cs="Arial"/>
          <w:sz w:val="20"/>
          <w:szCs w:val="20"/>
        </w:rPr>
        <w:t xml:space="preserve"> </w:t>
      </w:r>
      <w:proofErr w:type="spellStart"/>
      <w:r w:rsidRPr="00556831">
        <w:rPr>
          <w:rFonts w:ascii="Arial" w:hAnsi="Arial" w:cs="Arial"/>
          <w:sz w:val="20"/>
          <w:szCs w:val="20"/>
        </w:rPr>
        <w:t>trên</w:t>
      </w:r>
      <w:proofErr w:type="spellEnd"/>
      <w:r w:rsidRPr="00556831">
        <w:rPr>
          <w:rFonts w:ascii="Arial" w:hAnsi="Arial" w:cs="Arial"/>
          <w:sz w:val="20"/>
          <w:szCs w:val="20"/>
        </w:rPr>
        <w:t xml:space="preserve"> </w:t>
      </w:r>
      <w:proofErr w:type="spellStart"/>
      <w:r w:rsidRPr="00556831">
        <w:rPr>
          <w:rFonts w:ascii="Arial" w:hAnsi="Arial" w:cs="Arial"/>
          <w:sz w:val="20"/>
          <w:szCs w:val="20"/>
        </w:rPr>
        <w:t>một</w:t>
      </w:r>
      <w:proofErr w:type="spellEnd"/>
      <w:r w:rsidRPr="00556831">
        <w:rPr>
          <w:rFonts w:ascii="Arial" w:hAnsi="Arial" w:cs="Arial"/>
          <w:sz w:val="20"/>
          <w:szCs w:val="20"/>
        </w:rPr>
        <w:t xml:space="preserve"> </w:t>
      </w:r>
      <w:proofErr w:type="spellStart"/>
      <w:r w:rsidRPr="00556831">
        <w:rPr>
          <w:rFonts w:ascii="Arial" w:hAnsi="Arial" w:cs="Arial"/>
          <w:sz w:val="20"/>
          <w:szCs w:val="20"/>
        </w:rPr>
        <w:t>đơn</w:t>
      </w:r>
      <w:proofErr w:type="spellEnd"/>
      <w:r w:rsidRPr="00556831">
        <w:rPr>
          <w:rFonts w:ascii="Arial" w:hAnsi="Arial" w:cs="Arial"/>
          <w:sz w:val="20"/>
          <w:szCs w:val="20"/>
        </w:rPr>
        <w:t xml:space="preserve"> </w:t>
      </w:r>
      <w:proofErr w:type="spellStart"/>
      <w:r w:rsidRPr="00556831">
        <w:rPr>
          <w:rFonts w:ascii="Arial" w:hAnsi="Arial" w:cs="Arial"/>
          <w:sz w:val="20"/>
          <w:szCs w:val="20"/>
        </w:rPr>
        <w:t>vị</w:t>
      </w:r>
      <w:proofErr w:type="spellEnd"/>
      <w:r w:rsidRPr="00556831">
        <w:rPr>
          <w:rFonts w:ascii="Arial" w:hAnsi="Arial" w:cs="Arial"/>
          <w:sz w:val="20"/>
          <w:szCs w:val="20"/>
        </w:rPr>
        <w:t xml:space="preserve"> </w:t>
      </w:r>
      <w:proofErr w:type="spellStart"/>
      <w:r w:rsidRPr="00556831">
        <w:rPr>
          <w:rFonts w:ascii="Arial" w:hAnsi="Arial" w:cs="Arial"/>
          <w:sz w:val="20"/>
          <w:szCs w:val="20"/>
        </w:rPr>
        <w:t>quỹ</w:t>
      </w:r>
      <w:proofErr w:type="spellEnd"/>
      <w:r w:rsidRPr="00556831">
        <w:rPr>
          <w:rFonts w:ascii="Arial" w:hAnsi="Arial" w:cs="Arial"/>
          <w:sz w:val="20"/>
          <w:szCs w:val="20"/>
        </w:rPr>
        <w:t xml:space="preserve"> </w:t>
      </w:r>
      <w:proofErr w:type="spellStart"/>
      <w:r w:rsidRPr="00556831">
        <w:rPr>
          <w:rFonts w:ascii="Arial" w:hAnsi="Arial" w:cs="Arial"/>
          <w:sz w:val="20"/>
          <w:szCs w:val="20"/>
        </w:rPr>
        <w:t>trước</w:t>
      </w:r>
      <w:proofErr w:type="spellEnd"/>
      <w:r w:rsidRPr="00556831">
        <w:rPr>
          <w:rFonts w:ascii="Arial" w:hAnsi="Arial" w:cs="Arial"/>
          <w:sz w:val="20"/>
          <w:szCs w:val="20"/>
        </w:rPr>
        <w:t xml:space="preserve"> </w:t>
      </w:r>
      <w:proofErr w:type="spellStart"/>
      <w:r w:rsidRPr="00556831">
        <w:rPr>
          <w:rFonts w:ascii="Arial" w:hAnsi="Arial" w:cs="Arial"/>
          <w:sz w:val="20"/>
          <w:szCs w:val="20"/>
        </w:rPr>
        <w:t>và</w:t>
      </w:r>
      <w:proofErr w:type="spellEnd"/>
      <w:r w:rsidRPr="00556831">
        <w:rPr>
          <w:rFonts w:ascii="Arial" w:hAnsi="Arial" w:cs="Arial"/>
          <w:sz w:val="20"/>
          <w:szCs w:val="20"/>
        </w:rPr>
        <w:t xml:space="preserve"> </w:t>
      </w:r>
      <w:proofErr w:type="spellStart"/>
      <w:r w:rsidRPr="00556831">
        <w:rPr>
          <w:rFonts w:ascii="Arial" w:hAnsi="Arial" w:cs="Arial"/>
          <w:sz w:val="20"/>
          <w:szCs w:val="20"/>
        </w:rPr>
        <w:t>sau</w:t>
      </w:r>
      <w:proofErr w:type="spellEnd"/>
      <w:r w:rsidRPr="00556831">
        <w:rPr>
          <w:rFonts w:ascii="Arial" w:hAnsi="Arial" w:cs="Arial"/>
          <w:sz w:val="20"/>
          <w:szCs w:val="20"/>
        </w:rPr>
        <w:t xml:space="preserve"> </w:t>
      </w:r>
      <w:proofErr w:type="spellStart"/>
      <w:r w:rsidRPr="00556831">
        <w:rPr>
          <w:rFonts w:ascii="Arial" w:hAnsi="Arial" w:cs="Arial"/>
          <w:sz w:val="20"/>
          <w:szCs w:val="20"/>
        </w:rPr>
        <w:t>thời</w:t>
      </w:r>
      <w:proofErr w:type="spellEnd"/>
      <w:r w:rsidRPr="00556831">
        <w:rPr>
          <w:rFonts w:ascii="Arial" w:hAnsi="Arial" w:cs="Arial"/>
          <w:sz w:val="20"/>
          <w:szCs w:val="20"/>
        </w:rPr>
        <w:t xml:space="preserve"> </w:t>
      </w:r>
      <w:proofErr w:type="spellStart"/>
      <w:r w:rsidRPr="00556831">
        <w:rPr>
          <w:rFonts w:ascii="Arial" w:hAnsi="Arial" w:cs="Arial"/>
          <w:sz w:val="20"/>
          <w:szCs w:val="20"/>
        </w:rPr>
        <w:t>điểm</w:t>
      </w:r>
      <w:proofErr w:type="spellEnd"/>
      <w:r w:rsidRPr="00556831">
        <w:rPr>
          <w:rFonts w:ascii="Arial" w:hAnsi="Arial" w:cs="Arial"/>
          <w:sz w:val="20"/>
          <w:szCs w:val="20"/>
        </w:rPr>
        <w:t xml:space="preserve"> </w:t>
      </w:r>
      <w:proofErr w:type="spellStart"/>
      <w:r w:rsidRPr="00556831">
        <w:rPr>
          <w:rFonts w:ascii="Arial" w:hAnsi="Arial" w:cs="Arial"/>
          <w:sz w:val="20"/>
          <w:szCs w:val="20"/>
        </w:rPr>
        <w:t>phân</w:t>
      </w:r>
      <w:proofErr w:type="spellEnd"/>
      <w:r w:rsidRPr="00556831">
        <w:rPr>
          <w:rFonts w:ascii="Arial" w:hAnsi="Arial" w:cs="Arial"/>
          <w:sz w:val="20"/>
          <w:szCs w:val="20"/>
        </w:rPr>
        <w:t xml:space="preserve"> chia </w:t>
      </w:r>
      <w:proofErr w:type="spellStart"/>
      <w:r w:rsidRPr="00556831">
        <w:rPr>
          <w:rFonts w:ascii="Arial" w:hAnsi="Arial" w:cs="Arial"/>
          <w:sz w:val="20"/>
          <w:szCs w:val="20"/>
        </w:rPr>
        <w:t>lợi</w:t>
      </w:r>
      <w:proofErr w:type="spellEnd"/>
      <w:r w:rsidRPr="00556831">
        <w:rPr>
          <w:rFonts w:ascii="Arial" w:hAnsi="Arial" w:cs="Arial"/>
          <w:sz w:val="20"/>
          <w:szCs w:val="20"/>
        </w:rPr>
        <w:t xml:space="preserve"> </w:t>
      </w:r>
      <w:proofErr w:type="spellStart"/>
      <w:r w:rsidRPr="00556831">
        <w:rPr>
          <w:rFonts w:ascii="Arial" w:hAnsi="Arial" w:cs="Arial"/>
          <w:sz w:val="20"/>
          <w:szCs w:val="20"/>
        </w:rPr>
        <w:t>nhuận</w:t>
      </w:r>
      <w:proofErr w:type="spellEnd"/>
      <w:r w:rsidRPr="00556831">
        <w:rPr>
          <w:rFonts w:ascii="Arial" w:hAnsi="Arial" w:cs="Arial"/>
          <w:sz w:val="20"/>
          <w:szCs w:val="20"/>
        </w:rPr>
        <w:t xml:space="preserve">: </w:t>
      </w:r>
      <w:proofErr w:type="spellStart"/>
      <w:r w:rsidRPr="00556831">
        <w:rPr>
          <w:rFonts w:ascii="Arial" w:hAnsi="Arial" w:cs="Arial"/>
          <w:sz w:val="20"/>
          <w:szCs w:val="20"/>
        </w:rPr>
        <w:t>không</w:t>
      </w:r>
      <w:proofErr w:type="spellEnd"/>
      <w:r w:rsidRPr="00556831">
        <w:rPr>
          <w:rFonts w:ascii="Arial" w:hAnsi="Arial" w:cs="Arial"/>
          <w:sz w:val="20"/>
          <w:szCs w:val="20"/>
        </w:rPr>
        <w:t xml:space="preserve"> </w:t>
      </w:r>
      <w:proofErr w:type="spellStart"/>
      <w:r w:rsidRPr="00556831">
        <w:rPr>
          <w:rFonts w:ascii="Arial" w:hAnsi="Arial" w:cs="Arial"/>
          <w:sz w:val="20"/>
          <w:szCs w:val="20"/>
        </w:rPr>
        <w:t>có</w:t>
      </w:r>
      <w:proofErr w:type="spellEnd"/>
    </w:p>
    <w:p w14:paraId="6AF62B47" w14:textId="4522D436" w:rsidR="00D84438" w:rsidRPr="0078484C" w:rsidRDefault="00EE202C" w:rsidP="00EB49DC">
      <w:pPr>
        <w:rPr>
          <w:rFonts w:ascii="Arial" w:hAnsi="Arial" w:cs="Arial"/>
          <w:b/>
          <w:color w:val="000000" w:themeColor="text1"/>
          <w:sz w:val="20"/>
          <w:szCs w:val="20"/>
        </w:rPr>
      </w:pPr>
      <w:r w:rsidRPr="0078484C">
        <w:rPr>
          <w:rFonts w:ascii="Arial" w:hAnsi="Arial" w:cs="Arial"/>
          <w:sz w:val="20"/>
          <w:szCs w:val="20"/>
        </w:rPr>
        <w:t xml:space="preserve">b) </w:t>
      </w:r>
      <w:proofErr w:type="spellStart"/>
      <w:r w:rsidR="00D84438" w:rsidRPr="0078484C">
        <w:rPr>
          <w:rFonts w:ascii="Arial" w:hAnsi="Arial" w:cs="Arial"/>
          <w:color w:val="000000" w:themeColor="text1"/>
          <w:sz w:val="20"/>
          <w:szCs w:val="20"/>
        </w:rPr>
        <w:t>Chỉ</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tiêu</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về</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lợi</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nhuận</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của</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quỹ</w:t>
      </w:r>
      <w:proofErr w:type="spellEnd"/>
      <w:r w:rsidR="00D84438" w:rsidRPr="0078484C">
        <w:rPr>
          <w:rFonts w:ascii="Arial" w:hAnsi="Arial" w:cs="Arial"/>
          <w:color w:val="000000" w:themeColor="text1"/>
          <w:sz w:val="20"/>
          <w:szCs w:val="20"/>
        </w:rPr>
        <w:t xml:space="preserve">: </w:t>
      </w:r>
    </w:p>
    <w:p w14:paraId="6F1DC14B" w14:textId="607ED7B0" w:rsidR="00E61BF5" w:rsidRPr="0078484C" w:rsidRDefault="0043196C" w:rsidP="007D71BB">
      <w:pPr>
        <w:tabs>
          <w:tab w:val="left" w:pos="270"/>
          <w:tab w:val="left" w:pos="1134"/>
        </w:tabs>
        <w:spacing w:before="120" w:after="120"/>
        <w:jc w:val="both"/>
        <w:rPr>
          <w:rFonts w:ascii="Arial" w:hAnsi="Arial" w:cs="Arial"/>
          <w:color w:val="000000" w:themeColor="text1"/>
          <w:sz w:val="20"/>
          <w:szCs w:val="20"/>
        </w:rPr>
      </w:pPr>
      <w:r w:rsidRPr="0078484C">
        <w:rPr>
          <w:rFonts w:ascii="Arial" w:hAnsi="Arial" w:cs="Arial"/>
          <w:color w:val="000000" w:themeColor="text1"/>
          <w:sz w:val="20"/>
          <w:szCs w:val="20"/>
        </w:rPr>
        <w:t>L</w:t>
      </w:r>
      <w:r w:rsidR="00D84438" w:rsidRPr="0078484C">
        <w:rPr>
          <w:rFonts w:ascii="Arial" w:hAnsi="Arial" w:cs="Arial"/>
          <w:color w:val="000000" w:themeColor="text1"/>
          <w:sz w:val="20"/>
          <w:szCs w:val="20"/>
        </w:rPr>
        <w:t xml:space="preserve">ợi </w:t>
      </w:r>
      <w:proofErr w:type="spellStart"/>
      <w:r w:rsidR="00D84438" w:rsidRPr="0078484C">
        <w:rPr>
          <w:rFonts w:ascii="Arial" w:hAnsi="Arial" w:cs="Arial"/>
          <w:color w:val="000000" w:themeColor="text1"/>
          <w:sz w:val="20"/>
          <w:szCs w:val="20"/>
        </w:rPr>
        <w:t>nhuận</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của</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quỹ</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phát</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sinh</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trong</w:t>
      </w:r>
      <w:proofErr w:type="spellEnd"/>
      <w:r w:rsidR="00D84438" w:rsidRPr="0078484C">
        <w:rPr>
          <w:rFonts w:ascii="Arial" w:hAnsi="Arial" w:cs="Arial"/>
          <w:color w:val="000000" w:themeColor="text1"/>
          <w:sz w:val="20"/>
          <w:szCs w:val="20"/>
        </w:rPr>
        <w:t xml:space="preserve"> </w:t>
      </w:r>
      <w:proofErr w:type="spellStart"/>
      <w:r w:rsidR="006176EC" w:rsidRPr="0078484C">
        <w:rPr>
          <w:rFonts w:ascii="Arial" w:hAnsi="Arial" w:cs="Arial"/>
          <w:color w:val="000000" w:themeColor="text1"/>
          <w:sz w:val="20"/>
          <w:szCs w:val="20"/>
        </w:rPr>
        <w:t>thời</w:t>
      </w:r>
      <w:proofErr w:type="spellEnd"/>
      <w:r w:rsidR="006176EC" w:rsidRPr="0078484C">
        <w:rPr>
          <w:rFonts w:ascii="Arial" w:hAnsi="Arial" w:cs="Arial"/>
          <w:color w:val="000000" w:themeColor="text1"/>
          <w:sz w:val="20"/>
          <w:szCs w:val="20"/>
        </w:rPr>
        <w:t xml:space="preserve"> </w:t>
      </w:r>
      <w:proofErr w:type="spellStart"/>
      <w:r w:rsidR="006176EC" w:rsidRPr="0078484C">
        <w:rPr>
          <w:rFonts w:ascii="Arial" w:hAnsi="Arial" w:cs="Arial"/>
          <w:color w:val="000000" w:themeColor="text1"/>
          <w:sz w:val="20"/>
          <w:szCs w:val="20"/>
        </w:rPr>
        <w:t>hạn</w:t>
      </w:r>
      <w:proofErr w:type="spellEnd"/>
      <w:r w:rsidR="00C74623" w:rsidRPr="0078484C">
        <w:rPr>
          <w:rFonts w:ascii="Arial" w:hAnsi="Arial" w:cs="Arial"/>
          <w:color w:val="000000" w:themeColor="text1"/>
          <w:sz w:val="20"/>
          <w:szCs w:val="20"/>
        </w:rPr>
        <w:t xml:space="preserve"> 12 </w:t>
      </w:r>
      <w:proofErr w:type="spellStart"/>
      <w:r w:rsidR="00C74623" w:rsidRPr="0078484C">
        <w:rPr>
          <w:rFonts w:ascii="Arial" w:hAnsi="Arial" w:cs="Arial"/>
          <w:color w:val="000000" w:themeColor="text1"/>
          <w:sz w:val="20"/>
          <w:szCs w:val="20"/>
        </w:rPr>
        <w:t>tháng</w:t>
      </w:r>
      <w:proofErr w:type="spellEnd"/>
      <w:r w:rsidR="00C74623" w:rsidRPr="0078484C">
        <w:rPr>
          <w:rFonts w:ascii="Arial" w:hAnsi="Arial" w:cs="Arial"/>
          <w:color w:val="000000" w:themeColor="text1"/>
          <w:sz w:val="20"/>
          <w:szCs w:val="20"/>
        </w:rPr>
        <w:t>,</w:t>
      </w:r>
      <w:r w:rsidR="006176EC" w:rsidRPr="0078484C">
        <w:rPr>
          <w:rFonts w:ascii="Arial" w:hAnsi="Arial" w:cs="Arial"/>
          <w:color w:val="000000" w:themeColor="text1"/>
          <w:sz w:val="20"/>
          <w:szCs w:val="20"/>
        </w:rPr>
        <w:t xml:space="preserve"> 36 </w:t>
      </w:r>
      <w:proofErr w:type="spellStart"/>
      <w:r w:rsidR="006176EC" w:rsidRPr="0078484C">
        <w:rPr>
          <w:rFonts w:ascii="Arial" w:hAnsi="Arial" w:cs="Arial"/>
          <w:color w:val="000000" w:themeColor="text1"/>
          <w:sz w:val="20"/>
          <w:szCs w:val="20"/>
        </w:rPr>
        <w:t>tháng</w:t>
      </w:r>
      <w:proofErr w:type="spellEnd"/>
      <w:r w:rsidR="00C74623" w:rsidRPr="0078484C">
        <w:rPr>
          <w:rFonts w:ascii="Arial" w:hAnsi="Arial" w:cs="Arial"/>
          <w:color w:val="000000" w:themeColor="text1"/>
          <w:sz w:val="20"/>
          <w:szCs w:val="20"/>
        </w:rPr>
        <w:t xml:space="preserve">, 60 </w:t>
      </w:r>
      <w:proofErr w:type="spellStart"/>
      <w:r w:rsidR="00C74623" w:rsidRPr="0078484C">
        <w:rPr>
          <w:rFonts w:ascii="Arial" w:hAnsi="Arial" w:cs="Arial"/>
          <w:color w:val="000000" w:themeColor="text1"/>
          <w:sz w:val="20"/>
          <w:szCs w:val="20"/>
        </w:rPr>
        <w:t>tháng</w:t>
      </w:r>
      <w:proofErr w:type="spellEnd"/>
      <w:r w:rsidR="003327E5"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gần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nhất</w:t>
      </w:r>
      <w:proofErr w:type="spellEnd"/>
      <w:r w:rsidR="00D84438" w:rsidRPr="0078484C">
        <w:rPr>
          <w:rFonts w:ascii="Arial" w:hAnsi="Arial" w:cs="Arial"/>
          <w:color w:val="000000" w:themeColor="text1"/>
          <w:sz w:val="20"/>
          <w:szCs w:val="20"/>
        </w:rPr>
        <w:t xml:space="preserve">: </w:t>
      </w:r>
    </w:p>
    <w:tbl>
      <w:tblPr>
        <w:tblW w:w="8820" w:type="dxa"/>
        <w:tblLook w:val="04A0" w:firstRow="1" w:lastRow="0" w:firstColumn="1" w:lastColumn="0" w:noHBand="0" w:noVBand="1"/>
      </w:tblPr>
      <w:tblGrid>
        <w:gridCol w:w="6319"/>
        <w:gridCol w:w="2501"/>
      </w:tblGrid>
      <w:tr w:rsidR="00030925" w:rsidRPr="0078484C" w14:paraId="32EDC177" w14:textId="77777777" w:rsidTr="00030925">
        <w:trPr>
          <w:trHeight w:val="310"/>
        </w:trPr>
        <w:tc>
          <w:tcPr>
            <w:tcW w:w="8820"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34EAE8B2" w14:textId="77777777" w:rsidR="00030925" w:rsidRPr="0078484C" w:rsidRDefault="00030925" w:rsidP="00030925">
            <w:pPr>
              <w:spacing w:after="0" w:line="240" w:lineRule="auto"/>
              <w:rPr>
                <w:rFonts w:ascii="Arial" w:eastAsia="Times New Roman" w:hAnsi="Arial" w:cs="Arial"/>
                <w:b/>
                <w:bCs/>
                <w:color w:val="000000"/>
                <w:sz w:val="20"/>
                <w:szCs w:val="20"/>
              </w:rPr>
            </w:pPr>
            <w:proofErr w:type="spellStart"/>
            <w:r w:rsidRPr="0078484C">
              <w:rPr>
                <w:rFonts w:ascii="Arial" w:eastAsia="Times New Roman" w:hAnsi="Arial" w:cs="Arial"/>
                <w:b/>
                <w:bCs/>
                <w:color w:val="000000"/>
                <w:sz w:val="20"/>
                <w:szCs w:val="20"/>
              </w:rPr>
              <w:t>Tổng</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lợi</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nhuận</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bình</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quân</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năm</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của</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quỹ</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phát</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sinh</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trong</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kỳ</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báo</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cáo</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xác</w:t>
            </w:r>
            <w:proofErr w:type="spellEnd"/>
            <w:r w:rsidRPr="0078484C">
              <w:rPr>
                <w:rFonts w:ascii="Arial" w:eastAsia="Times New Roman" w:hAnsi="Arial" w:cs="Arial"/>
                <w:b/>
                <w:bCs/>
                <w:color w:val="000000"/>
                <w:sz w:val="20"/>
                <w:szCs w:val="20"/>
              </w:rPr>
              <w:t xml:space="preserve"> </w:t>
            </w:r>
            <w:proofErr w:type="spellStart"/>
            <w:r w:rsidRPr="0078484C">
              <w:rPr>
                <w:rFonts w:ascii="Arial" w:eastAsia="Times New Roman" w:hAnsi="Arial" w:cs="Arial"/>
                <w:b/>
                <w:bCs/>
                <w:color w:val="000000"/>
                <w:sz w:val="20"/>
                <w:szCs w:val="20"/>
              </w:rPr>
              <w:t>định</w:t>
            </w:r>
            <w:proofErr w:type="spellEnd"/>
            <w:r w:rsidRPr="0078484C">
              <w:rPr>
                <w:rFonts w:ascii="Arial" w:eastAsia="Times New Roman" w:hAnsi="Arial" w:cs="Arial"/>
                <w:b/>
                <w:bCs/>
                <w:color w:val="000000"/>
                <w:sz w:val="20"/>
                <w:szCs w:val="20"/>
              </w:rPr>
              <w:t xml:space="preserve">: </w:t>
            </w:r>
          </w:p>
        </w:tc>
      </w:tr>
      <w:tr w:rsidR="00030925" w:rsidRPr="0078484C" w14:paraId="209B88D7" w14:textId="77777777" w:rsidTr="00030925">
        <w:trPr>
          <w:trHeight w:val="320"/>
        </w:trPr>
        <w:tc>
          <w:tcPr>
            <w:tcW w:w="6319" w:type="dxa"/>
            <w:tcBorders>
              <w:top w:val="nil"/>
              <w:left w:val="single" w:sz="8" w:space="0" w:color="auto"/>
              <w:bottom w:val="single" w:sz="8" w:space="0" w:color="auto"/>
              <w:right w:val="single" w:sz="8" w:space="0" w:color="auto"/>
            </w:tcBorders>
            <w:shd w:val="clear" w:color="auto" w:fill="auto"/>
            <w:noWrap/>
            <w:vAlign w:val="center"/>
            <w:hideMark/>
          </w:tcPr>
          <w:p w14:paraId="6623D309" w14:textId="77777777" w:rsidR="00030925" w:rsidRPr="0078484C" w:rsidRDefault="00030925" w:rsidP="00030925">
            <w:pPr>
              <w:spacing w:after="0" w:line="240" w:lineRule="auto"/>
              <w:rPr>
                <w:rFonts w:ascii="Arial" w:eastAsia="Times New Roman" w:hAnsi="Arial" w:cs="Arial"/>
                <w:color w:val="000000"/>
                <w:sz w:val="20"/>
                <w:szCs w:val="20"/>
              </w:rPr>
            </w:pPr>
            <w:r w:rsidRPr="0078484C">
              <w:rPr>
                <w:rFonts w:ascii="Arial" w:eastAsia="Times New Roman" w:hAnsi="Arial" w:cs="Arial"/>
                <w:color w:val="000000"/>
                <w:sz w:val="20"/>
                <w:szCs w:val="20"/>
              </w:rPr>
              <w:t>(</w:t>
            </w:r>
            <w:proofErr w:type="spellStart"/>
            <w:r w:rsidRPr="0078484C">
              <w:rPr>
                <w:rFonts w:ascii="Arial" w:eastAsia="Times New Roman" w:hAnsi="Arial" w:cs="Arial"/>
                <w:color w:val="000000"/>
                <w:sz w:val="20"/>
                <w:szCs w:val="20"/>
              </w:rPr>
              <w:t>i</w:t>
            </w:r>
            <w:proofErr w:type="spellEnd"/>
            <w:r w:rsidRPr="0078484C">
              <w:rPr>
                <w:rFonts w:ascii="Arial" w:eastAsia="Times New Roman" w:hAnsi="Arial" w:cs="Arial"/>
                <w:color w:val="000000"/>
                <w:sz w:val="20"/>
                <w:szCs w:val="20"/>
              </w:rPr>
              <w:t>)</w:t>
            </w:r>
            <w:proofErr w:type="spellStart"/>
            <w:r w:rsidRPr="0078484C">
              <w:rPr>
                <w:rFonts w:ascii="Arial" w:eastAsia="Times New Roman" w:hAnsi="Arial" w:cs="Arial"/>
                <w:color w:val="000000"/>
                <w:sz w:val="20"/>
                <w:szCs w:val="20"/>
              </w:rPr>
              <w:t>trong</w:t>
            </w:r>
            <w:proofErr w:type="spellEnd"/>
            <w:r w:rsidRPr="0078484C">
              <w:rPr>
                <w:rFonts w:ascii="Arial" w:eastAsia="Times New Roman" w:hAnsi="Arial" w:cs="Arial"/>
                <w:color w:val="000000"/>
                <w:sz w:val="20"/>
                <w:szCs w:val="20"/>
              </w:rPr>
              <w:t xml:space="preserve"> </w:t>
            </w:r>
            <w:proofErr w:type="spellStart"/>
            <w:r w:rsidRPr="0078484C">
              <w:rPr>
                <w:rFonts w:ascii="Arial" w:eastAsia="Times New Roman" w:hAnsi="Arial" w:cs="Arial"/>
                <w:color w:val="000000"/>
                <w:sz w:val="20"/>
                <w:szCs w:val="20"/>
              </w:rPr>
              <w:t>thời</w:t>
            </w:r>
            <w:proofErr w:type="spellEnd"/>
            <w:r w:rsidRPr="0078484C">
              <w:rPr>
                <w:rFonts w:ascii="Arial" w:eastAsia="Times New Roman" w:hAnsi="Arial" w:cs="Arial"/>
                <w:color w:val="000000"/>
                <w:sz w:val="20"/>
                <w:szCs w:val="20"/>
              </w:rPr>
              <w:t xml:space="preserve"> </w:t>
            </w:r>
            <w:proofErr w:type="spellStart"/>
            <w:r w:rsidRPr="0078484C">
              <w:rPr>
                <w:rFonts w:ascii="Arial" w:eastAsia="Times New Roman" w:hAnsi="Arial" w:cs="Arial"/>
                <w:color w:val="000000"/>
                <w:sz w:val="20"/>
                <w:szCs w:val="20"/>
              </w:rPr>
              <w:t>hạn</w:t>
            </w:r>
            <w:proofErr w:type="spellEnd"/>
            <w:r w:rsidRPr="0078484C">
              <w:rPr>
                <w:rFonts w:ascii="Arial" w:eastAsia="Times New Roman" w:hAnsi="Arial" w:cs="Arial"/>
                <w:color w:val="000000"/>
                <w:sz w:val="20"/>
                <w:szCs w:val="20"/>
              </w:rPr>
              <w:t xml:space="preserve"> 12 </w:t>
            </w:r>
            <w:proofErr w:type="spellStart"/>
            <w:r w:rsidRPr="0078484C">
              <w:rPr>
                <w:rFonts w:ascii="Arial" w:eastAsia="Times New Roman" w:hAnsi="Arial" w:cs="Arial"/>
                <w:color w:val="000000"/>
                <w:sz w:val="20"/>
                <w:szCs w:val="20"/>
              </w:rPr>
              <w:t>tháng</w:t>
            </w:r>
            <w:proofErr w:type="spellEnd"/>
            <w:r w:rsidRPr="0078484C">
              <w:rPr>
                <w:rFonts w:ascii="Arial" w:eastAsia="Times New Roman" w:hAnsi="Arial" w:cs="Arial"/>
                <w:color w:val="000000"/>
                <w:sz w:val="20"/>
                <w:szCs w:val="20"/>
              </w:rPr>
              <w:t xml:space="preserve"> (1 </w:t>
            </w:r>
            <w:proofErr w:type="spellStart"/>
            <w:r w:rsidRPr="0078484C">
              <w:rPr>
                <w:rFonts w:ascii="Arial" w:eastAsia="Times New Roman" w:hAnsi="Arial" w:cs="Arial"/>
                <w:color w:val="000000"/>
                <w:sz w:val="20"/>
                <w:szCs w:val="20"/>
              </w:rPr>
              <w:t>năm</w:t>
            </w:r>
            <w:proofErr w:type="spellEnd"/>
            <w:r w:rsidRPr="0078484C">
              <w:rPr>
                <w:rFonts w:ascii="Arial" w:eastAsia="Times New Roman" w:hAnsi="Arial" w:cs="Arial"/>
                <w:color w:val="000000"/>
                <w:sz w:val="20"/>
                <w:szCs w:val="20"/>
              </w:rPr>
              <w:t>)</w:t>
            </w:r>
          </w:p>
        </w:tc>
        <w:tc>
          <w:tcPr>
            <w:tcW w:w="2501" w:type="dxa"/>
            <w:tcBorders>
              <w:top w:val="nil"/>
              <w:left w:val="nil"/>
              <w:bottom w:val="single" w:sz="8" w:space="0" w:color="auto"/>
              <w:right w:val="single" w:sz="8" w:space="0" w:color="auto"/>
            </w:tcBorders>
            <w:shd w:val="clear" w:color="auto" w:fill="auto"/>
            <w:noWrap/>
            <w:vAlign w:val="center"/>
            <w:hideMark/>
          </w:tcPr>
          <w:p w14:paraId="0763F430" w14:textId="1E619906" w:rsidR="00030925" w:rsidRPr="0078484C" w:rsidRDefault="00030925" w:rsidP="00030925">
            <w:pPr>
              <w:spacing w:after="0" w:line="240" w:lineRule="auto"/>
              <w:jc w:val="right"/>
              <w:rPr>
                <w:rFonts w:ascii="Arial" w:eastAsia="Times New Roman" w:hAnsi="Arial" w:cs="Arial"/>
                <w:color w:val="000000"/>
                <w:sz w:val="20"/>
                <w:szCs w:val="20"/>
              </w:rPr>
            </w:pPr>
            <w:r w:rsidRPr="0078484C">
              <w:rPr>
                <w:rFonts w:ascii="Arial" w:eastAsia="Times New Roman" w:hAnsi="Arial" w:cs="Arial"/>
                <w:color w:val="000000"/>
                <w:sz w:val="20"/>
                <w:szCs w:val="20"/>
              </w:rPr>
              <w:t>34</w:t>
            </w:r>
            <w:r w:rsidR="008D6534">
              <w:rPr>
                <w:rFonts w:ascii="Arial" w:eastAsia="Times New Roman" w:hAnsi="Arial" w:cs="Arial"/>
                <w:color w:val="000000"/>
                <w:sz w:val="20"/>
                <w:szCs w:val="20"/>
              </w:rPr>
              <w:t>.</w:t>
            </w:r>
            <w:r w:rsidRPr="0078484C">
              <w:rPr>
                <w:rFonts w:ascii="Arial" w:eastAsia="Times New Roman" w:hAnsi="Arial" w:cs="Arial"/>
                <w:color w:val="000000"/>
                <w:sz w:val="20"/>
                <w:szCs w:val="20"/>
              </w:rPr>
              <w:t>890</w:t>
            </w:r>
            <w:r w:rsidR="008D6534">
              <w:rPr>
                <w:rFonts w:ascii="Arial" w:eastAsia="Times New Roman" w:hAnsi="Arial" w:cs="Arial"/>
                <w:color w:val="000000"/>
                <w:sz w:val="20"/>
                <w:szCs w:val="20"/>
              </w:rPr>
              <w:t>.</w:t>
            </w:r>
            <w:r w:rsidRPr="0078484C">
              <w:rPr>
                <w:rFonts w:ascii="Arial" w:eastAsia="Times New Roman" w:hAnsi="Arial" w:cs="Arial"/>
                <w:color w:val="000000"/>
                <w:sz w:val="20"/>
                <w:szCs w:val="20"/>
              </w:rPr>
              <w:t>488</w:t>
            </w:r>
            <w:r w:rsidR="008D6534">
              <w:rPr>
                <w:rFonts w:ascii="Arial" w:eastAsia="Times New Roman" w:hAnsi="Arial" w:cs="Arial"/>
                <w:color w:val="000000"/>
                <w:sz w:val="20"/>
                <w:szCs w:val="20"/>
              </w:rPr>
              <w:t>.</w:t>
            </w:r>
            <w:r w:rsidRPr="0078484C">
              <w:rPr>
                <w:rFonts w:ascii="Arial" w:eastAsia="Times New Roman" w:hAnsi="Arial" w:cs="Arial"/>
                <w:color w:val="000000"/>
                <w:sz w:val="20"/>
                <w:szCs w:val="20"/>
              </w:rPr>
              <w:t>462</w:t>
            </w:r>
          </w:p>
        </w:tc>
      </w:tr>
      <w:tr w:rsidR="00030925" w:rsidRPr="0078484C" w14:paraId="49BF67F8" w14:textId="77777777" w:rsidTr="00030925">
        <w:trPr>
          <w:trHeight w:val="320"/>
        </w:trPr>
        <w:tc>
          <w:tcPr>
            <w:tcW w:w="6319" w:type="dxa"/>
            <w:tcBorders>
              <w:top w:val="nil"/>
              <w:left w:val="single" w:sz="8" w:space="0" w:color="auto"/>
              <w:bottom w:val="single" w:sz="8" w:space="0" w:color="auto"/>
              <w:right w:val="single" w:sz="8" w:space="0" w:color="auto"/>
            </w:tcBorders>
            <w:shd w:val="clear" w:color="auto" w:fill="auto"/>
            <w:noWrap/>
            <w:vAlign w:val="center"/>
            <w:hideMark/>
          </w:tcPr>
          <w:p w14:paraId="09DD6AD0" w14:textId="77777777" w:rsidR="00030925" w:rsidRPr="0078484C" w:rsidRDefault="00030925" w:rsidP="00030925">
            <w:pPr>
              <w:spacing w:after="0" w:line="240" w:lineRule="auto"/>
              <w:rPr>
                <w:rFonts w:ascii="Arial" w:eastAsia="Times New Roman" w:hAnsi="Arial" w:cs="Arial"/>
                <w:color w:val="000000"/>
                <w:sz w:val="20"/>
                <w:szCs w:val="20"/>
              </w:rPr>
            </w:pPr>
            <w:r w:rsidRPr="0078484C">
              <w:rPr>
                <w:rFonts w:ascii="Arial" w:eastAsia="Times New Roman" w:hAnsi="Arial" w:cs="Arial"/>
                <w:color w:val="000000"/>
                <w:sz w:val="20"/>
                <w:szCs w:val="20"/>
              </w:rPr>
              <w:t>(ii)</w:t>
            </w:r>
            <w:proofErr w:type="spellStart"/>
            <w:r w:rsidRPr="0078484C">
              <w:rPr>
                <w:rFonts w:ascii="Arial" w:eastAsia="Times New Roman" w:hAnsi="Arial" w:cs="Arial"/>
                <w:color w:val="000000"/>
                <w:sz w:val="20"/>
                <w:szCs w:val="20"/>
              </w:rPr>
              <w:t>trong</w:t>
            </w:r>
            <w:proofErr w:type="spellEnd"/>
            <w:r w:rsidRPr="0078484C">
              <w:rPr>
                <w:rFonts w:ascii="Arial" w:eastAsia="Times New Roman" w:hAnsi="Arial" w:cs="Arial"/>
                <w:color w:val="000000"/>
                <w:sz w:val="20"/>
                <w:szCs w:val="20"/>
              </w:rPr>
              <w:t xml:space="preserve"> </w:t>
            </w:r>
            <w:proofErr w:type="spellStart"/>
            <w:r w:rsidRPr="0078484C">
              <w:rPr>
                <w:rFonts w:ascii="Arial" w:eastAsia="Times New Roman" w:hAnsi="Arial" w:cs="Arial"/>
                <w:color w:val="000000"/>
                <w:sz w:val="20"/>
                <w:szCs w:val="20"/>
              </w:rPr>
              <w:t>thời</w:t>
            </w:r>
            <w:proofErr w:type="spellEnd"/>
            <w:r w:rsidRPr="0078484C">
              <w:rPr>
                <w:rFonts w:ascii="Arial" w:eastAsia="Times New Roman" w:hAnsi="Arial" w:cs="Arial"/>
                <w:color w:val="000000"/>
                <w:sz w:val="20"/>
                <w:szCs w:val="20"/>
              </w:rPr>
              <w:t xml:space="preserve"> </w:t>
            </w:r>
            <w:proofErr w:type="spellStart"/>
            <w:r w:rsidRPr="0078484C">
              <w:rPr>
                <w:rFonts w:ascii="Arial" w:eastAsia="Times New Roman" w:hAnsi="Arial" w:cs="Arial"/>
                <w:color w:val="000000"/>
                <w:sz w:val="20"/>
                <w:szCs w:val="20"/>
              </w:rPr>
              <w:t>hạn</w:t>
            </w:r>
            <w:proofErr w:type="spellEnd"/>
            <w:r w:rsidRPr="0078484C">
              <w:rPr>
                <w:rFonts w:ascii="Arial" w:eastAsia="Times New Roman" w:hAnsi="Arial" w:cs="Arial"/>
                <w:color w:val="000000"/>
                <w:sz w:val="20"/>
                <w:szCs w:val="20"/>
              </w:rPr>
              <w:t xml:space="preserve"> 36 </w:t>
            </w:r>
            <w:proofErr w:type="spellStart"/>
            <w:r w:rsidRPr="0078484C">
              <w:rPr>
                <w:rFonts w:ascii="Arial" w:eastAsia="Times New Roman" w:hAnsi="Arial" w:cs="Arial"/>
                <w:color w:val="000000"/>
                <w:sz w:val="20"/>
                <w:szCs w:val="20"/>
              </w:rPr>
              <w:t>tháng</w:t>
            </w:r>
            <w:proofErr w:type="spellEnd"/>
            <w:r w:rsidRPr="0078484C">
              <w:rPr>
                <w:rFonts w:ascii="Arial" w:eastAsia="Times New Roman" w:hAnsi="Arial" w:cs="Arial"/>
                <w:color w:val="000000"/>
                <w:sz w:val="20"/>
                <w:szCs w:val="20"/>
              </w:rPr>
              <w:t xml:space="preserve"> (3 </w:t>
            </w:r>
            <w:proofErr w:type="spellStart"/>
            <w:r w:rsidRPr="0078484C">
              <w:rPr>
                <w:rFonts w:ascii="Arial" w:eastAsia="Times New Roman" w:hAnsi="Arial" w:cs="Arial"/>
                <w:color w:val="000000"/>
                <w:sz w:val="20"/>
                <w:szCs w:val="20"/>
              </w:rPr>
              <w:t>năm</w:t>
            </w:r>
            <w:proofErr w:type="spellEnd"/>
            <w:r w:rsidRPr="0078484C">
              <w:rPr>
                <w:rFonts w:ascii="Arial" w:eastAsia="Times New Roman" w:hAnsi="Arial" w:cs="Arial"/>
                <w:color w:val="000000"/>
                <w:sz w:val="20"/>
                <w:szCs w:val="20"/>
              </w:rPr>
              <w:t>) (*)</w:t>
            </w:r>
          </w:p>
        </w:tc>
        <w:tc>
          <w:tcPr>
            <w:tcW w:w="2501" w:type="dxa"/>
            <w:tcBorders>
              <w:top w:val="nil"/>
              <w:left w:val="nil"/>
              <w:bottom w:val="single" w:sz="8" w:space="0" w:color="auto"/>
              <w:right w:val="single" w:sz="8" w:space="0" w:color="auto"/>
            </w:tcBorders>
            <w:shd w:val="clear" w:color="auto" w:fill="auto"/>
            <w:noWrap/>
            <w:vAlign w:val="center"/>
            <w:hideMark/>
          </w:tcPr>
          <w:p w14:paraId="0E5764B7" w14:textId="76C41447" w:rsidR="00030925" w:rsidRPr="0078484C" w:rsidRDefault="00030925" w:rsidP="00030925">
            <w:pPr>
              <w:spacing w:after="0" w:line="240" w:lineRule="auto"/>
              <w:jc w:val="right"/>
              <w:rPr>
                <w:rFonts w:ascii="Arial" w:eastAsia="Times New Roman" w:hAnsi="Arial" w:cs="Arial"/>
                <w:color w:val="000000"/>
                <w:sz w:val="20"/>
                <w:szCs w:val="20"/>
              </w:rPr>
            </w:pPr>
            <w:r w:rsidRPr="0078484C">
              <w:rPr>
                <w:rFonts w:ascii="Arial" w:eastAsia="Times New Roman" w:hAnsi="Arial" w:cs="Arial"/>
                <w:color w:val="000000"/>
                <w:sz w:val="20"/>
                <w:szCs w:val="20"/>
              </w:rPr>
              <w:t>46</w:t>
            </w:r>
            <w:r w:rsidR="008D6534">
              <w:rPr>
                <w:rFonts w:ascii="Arial" w:eastAsia="Times New Roman" w:hAnsi="Arial" w:cs="Arial"/>
                <w:color w:val="000000"/>
                <w:sz w:val="20"/>
                <w:szCs w:val="20"/>
              </w:rPr>
              <w:t>.</w:t>
            </w:r>
            <w:r w:rsidRPr="0078484C">
              <w:rPr>
                <w:rFonts w:ascii="Arial" w:eastAsia="Times New Roman" w:hAnsi="Arial" w:cs="Arial"/>
                <w:color w:val="000000"/>
                <w:sz w:val="20"/>
                <w:szCs w:val="20"/>
              </w:rPr>
              <w:t>539</w:t>
            </w:r>
            <w:r w:rsidR="008D6534">
              <w:rPr>
                <w:rFonts w:ascii="Arial" w:eastAsia="Times New Roman" w:hAnsi="Arial" w:cs="Arial"/>
                <w:color w:val="000000"/>
                <w:sz w:val="20"/>
                <w:szCs w:val="20"/>
              </w:rPr>
              <w:t>.</w:t>
            </w:r>
            <w:r w:rsidRPr="0078484C">
              <w:rPr>
                <w:rFonts w:ascii="Arial" w:eastAsia="Times New Roman" w:hAnsi="Arial" w:cs="Arial"/>
                <w:color w:val="000000"/>
                <w:sz w:val="20"/>
                <w:szCs w:val="20"/>
              </w:rPr>
              <w:t>407</w:t>
            </w:r>
            <w:r w:rsidR="008D6534">
              <w:rPr>
                <w:rFonts w:ascii="Arial" w:eastAsia="Times New Roman" w:hAnsi="Arial" w:cs="Arial"/>
                <w:color w:val="000000"/>
                <w:sz w:val="20"/>
                <w:szCs w:val="20"/>
              </w:rPr>
              <w:t>.</w:t>
            </w:r>
            <w:r w:rsidRPr="0078484C">
              <w:rPr>
                <w:rFonts w:ascii="Arial" w:eastAsia="Times New Roman" w:hAnsi="Arial" w:cs="Arial"/>
                <w:color w:val="000000"/>
                <w:sz w:val="20"/>
                <w:szCs w:val="20"/>
              </w:rPr>
              <w:t>046</w:t>
            </w:r>
          </w:p>
        </w:tc>
      </w:tr>
      <w:tr w:rsidR="00030925" w:rsidRPr="0078484C" w14:paraId="58BEC6F1" w14:textId="77777777" w:rsidTr="00030925">
        <w:trPr>
          <w:trHeight w:val="320"/>
        </w:trPr>
        <w:tc>
          <w:tcPr>
            <w:tcW w:w="6319" w:type="dxa"/>
            <w:tcBorders>
              <w:top w:val="nil"/>
              <w:left w:val="single" w:sz="8" w:space="0" w:color="auto"/>
              <w:bottom w:val="single" w:sz="8" w:space="0" w:color="auto"/>
              <w:right w:val="single" w:sz="8" w:space="0" w:color="auto"/>
            </w:tcBorders>
            <w:shd w:val="clear" w:color="auto" w:fill="auto"/>
            <w:noWrap/>
            <w:vAlign w:val="center"/>
            <w:hideMark/>
          </w:tcPr>
          <w:p w14:paraId="4F04645E" w14:textId="77777777" w:rsidR="00030925" w:rsidRPr="0078484C" w:rsidRDefault="00030925" w:rsidP="00030925">
            <w:pPr>
              <w:spacing w:after="0" w:line="240" w:lineRule="auto"/>
              <w:rPr>
                <w:rFonts w:ascii="Arial" w:eastAsia="Times New Roman" w:hAnsi="Arial" w:cs="Arial"/>
                <w:color w:val="000000"/>
                <w:sz w:val="20"/>
                <w:szCs w:val="20"/>
              </w:rPr>
            </w:pPr>
            <w:r w:rsidRPr="0078484C">
              <w:rPr>
                <w:rFonts w:ascii="Arial" w:eastAsia="Times New Roman" w:hAnsi="Arial" w:cs="Arial"/>
                <w:color w:val="000000"/>
                <w:sz w:val="20"/>
                <w:szCs w:val="20"/>
              </w:rPr>
              <w:t xml:space="preserve">(iii) </w:t>
            </w:r>
            <w:proofErr w:type="spellStart"/>
            <w:r w:rsidRPr="0078484C">
              <w:rPr>
                <w:rFonts w:ascii="Arial" w:eastAsia="Times New Roman" w:hAnsi="Arial" w:cs="Arial"/>
                <w:color w:val="000000"/>
                <w:sz w:val="20"/>
                <w:szCs w:val="20"/>
              </w:rPr>
              <w:t>trong</w:t>
            </w:r>
            <w:proofErr w:type="spellEnd"/>
            <w:r w:rsidRPr="0078484C">
              <w:rPr>
                <w:rFonts w:ascii="Arial" w:eastAsia="Times New Roman" w:hAnsi="Arial" w:cs="Arial"/>
                <w:color w:val="000000"/>
                <w:sz w:val="20"/>
                <w:szCs w:val="20"/>
              </w:rPr>
              <w:t xml:space="preserve"> </w:t>
            </w:r>
            <w:proofErr w:type="spellStart"/>
            <w:r w:rsidRPr="0078484C">
              <w:rPr>
                <w:rFonts w:ascii="Arial" w:eastAsia="Times New Roman" w:hAnsi="Arial" w:cs="Arial"/>
                <w:color w:val="000000"/>
                <w:sz w:val="20"/>
                <w:szCs w:val="20"/>
              </w:rPr>
              <w:t>thời</w:t>
            </w:r>
            <w:proofErr w:type="spellEnd"/>
            <w:r w:rsidRPr="0078484C">
              <w:rPr>
                <w:rFonts w:ascii="Arial" w:eastAsia="Times New Roman" w:hAnsi="Arial" w:cs="Arial"/>
                <w:color w:val="000000"/>
                <w:sz w:val="20"/>
                <w:szCs w:val="20"/>
              </w:rPr>
              <w:t xml:space="preserve"> </w:t>
            </w:r>
            <w:proofErr w:type="spellStart"/>
            <w:r w:rsidRPr="0078484C">
              <w:rPr>
                <w:rFonts w:ascii="Arial" w:eastAsia="Times New Roman" w:hAnsi="Arial" w:cs="Arial"/>
                <w:color w:val="000000"/>
                <w:sz w:val="20"/>
                <w:szCs w:val="20"/>
              </w:rPr>
              <w:t>hạn</w:t>
            </w:r>
            <w:proofErr w:type="spellEnd"/>
            <w:r w:rsidRPr="0078484C">
              <w:rPr>
                <w:rFonts w:ascii="Arial" w:eastAsia="Times New Roman" w:hAnsi="Arial" w:cs="Arial"/>
                <w:color w:val="000000"/>
                <w:sz w:val="20"/>
                <w:szCs w:val="20"/>
              </w:rPr>
              <w:t xml:space="preserve"> 60 </w:t>
            </w:r>
            <w:proofErr w:type="spellStart"/>
            <w:r w:rsidRPr="0078484C">
              <w:rPr>
                <w:rFonts w:ascii="Arial" w:eastAsia="Times New Roman" w:hAnsi="Arial" w:cs="Arial"/>
                <w:color w:val="000000"/>
                <w:sz w:val="20"/>
                <w:szCs w:val="20"/>
              </w:rPr>
              <w:t>tháng</w:t>
            </w:r>
            <w:proofErr w:type="spellEnd"/>
            <w:r w:rsidRPr="0078484C">
              <w:rPr>
                <w:rFonts w:ascii="Arial" w:eastAsia="Times New Roman" w:hAnsi="Arial" w:cs="Arial"/>
                <w:color w:val="000000"/>
                <w:sz w:val="20"/>
                <w:szCs w:val="20"/>
              </w:rPr>
              <w:t xml:space="preserve"> (5 </w:t>
            </w:r>
            <w:proofErr w:type="spellStart"/>
            <w:r w:rsidRPr="0078484C">
              <w:rPr>
                <w:rFonts w:ascii="Arial" w:eastAsia="Times New Roman" w:hAnsi="Arial" w:cs="Arial"/>
                <w:color w:val="000000"/>
                <w:sz w:val="20"/>
                <w:szCs w:val="20"/>
              </w:rPr>
              <w:t>năm</w:t>
            </w:r>
            <w:proofErr w:type="spellEnd"/>
            <w:r w:rsidRPr="0078484C">
              <w:rPr>
                <w:rFonts w:ascii="Arial" w:eastAsia="Times New Roman" w:hAnsi="Arial" w:cs="Arial"/>
                <w:color w:val="000000"/>
                <w:sz w:val="20"/>
                <w:szCs w:val="20"/>
              </w:rPr>
              <w:t>) (*)</w:t>
            </w:r>
          </w:p>
        </w:tc>
        <w:tc>
          <w:tcPr>
            <w:tcW w:w="2501" w:type="dxa"/>
            <w:tcBorders>
              <w:top w:val="nil"/>
              <w:left w:val="nil"/>
              <w:bottom w:val="single" w:sz="8" w:space="0" w:color="auto"/>
              <w:right w:val="single" w:sz="8" w:space="0" w:color="auto"/>
            </w:tcBorders>
            <w:shd w:val="clear" w:color="auto" w:fill="auto"/>
            <w:noWrap/>
            <w:vAlign w:val="center"/>
            <w:hideMark/>
          </w:tcPr>
          <w:p w14:paraId="768B4ABA" w14:textId="6356F785" w:rsidR="00030925" w:rsidRPr="0078484C" w:rsidRDefault="00030925" w:rsidP="00030925">
            <w:pPr>
              <w:spacing w:after="0" w:line="240" w:lineRule="auto"/>
              <w:jc w:val="right"/>
              <w:rPr>
                <w:rFonts w:ascii="Arial" w:eastAsia="Times New Roman" w:hAnsi="Arial" w:cs="Arial"/>
                <w:color w:val="000000"/>
                <w:sz w:val="20"/>
                <w:szCs w:val="20"/>
              </w:rPr>
            </w:pPr>
            <w:r w:rsidRPr="0078484C">
              <w:rPr>
                <w:rFonts w:ascii="Arial" w:eastAsia="Times New Roman" w:hAnsi="Arial" w:cs="Arial"/>
                <w:color w:val="000000"/>
                <w:sz w:val="20"/>
                <w:szCs w:val="20"/>
              </w:rPr>
              <w:t>46</w:t>
            </w:r>
            <w:r w:rsidR="008D6534">
              <w:rPr>
                <w:rFonts w:ascii="Arial" w:eastAsia="Times New Roman" w:hAnsi="Arial" w:cs="Arial"/>
                <w:color w:val="000000"/>
                <w:sz w:val="20"/>
                <w:szCs w:val="20"/>
              </w:rPr>
              <w:t>.</w:t>
            </w:r>
            <w:r w:rsidRPr="0078484C">
              <w:rPr>
                <w:rFonts w:ascii="Arial" w:eastAsia="Times New Roman" w:hAnsi="Arial" w:cs="Arial"/>
                <w:color w:val="000000"/>
                <w:sz w:val="20"/>
                <w:szCs w:val="20"/>
              </w:rPr>
              <w:t>695</w:t>
            </w:r>
            <w:r w:rsidR="008D6534">
              <w:rPr>
                <w:rFonts w:ascii="Arial" w:eastAsia="Times New Roman" w:hAnsi="Arial" w:cs="Arial"/>
                <w:color w:val="000000"/>
                <w:sz w:val="20"/>
                <w:szCs w:val="20"/>
              </w:rPr>
              <w:t>.</w:t>
            </w:r>
            <w:r w:rsidRPr="0078484C">
              <w:rPr>
                <w:rFonts w:ascii="Arial" w:eastAsia="Times New Roman" w:hAnsi="Arial" w:cs="Arial"/>
                <w:color w:val="000000"/>
                <w:sz w:val="20"/>
                <w:szCs w:val="20"/>
              </w:rPr>
              <w:t>736</w:t>
            </w:r>
            <w:r w:rsidR="008D6534">
              <w:rPr>
                <w:rFonts w:ascii="Arial" w:eastAsia="Times New Roman" w:hAnsi="Arial" w:cs="Arial"/>
                <w:color w:val="000000"/>
                <w:sz w:val="20"/>
                <w:szCs w:val="20"/>
              </w:rPr>
              <w:t>.</w:t>
            </w:r>
            <w:r w:rsidRPr="0078484C">
              <w:rPr>
                <w:rFonts w:ascii="Arial" w:eastAsia="Times New Roman" w:hAnsi="Arial" w:cs="Arial"/>
                <w:color w:val="000000"/>
                <w:sz w:val="20"/>
                <w:szCs w:val="20"/>
              </w:rPr>
              <w:t>302</w:t>
            </w:r>
          </w:p>
        </w:tc>
      </w:tr>
    </w:tbl>
    <w:p w14:paraId="6320737F" w14:textId="20721FC2" w:rsidR="00D84438" w:rsidRPr="0078484C" w:rsidRDefault="00EE202C" w:rsidP="000B1C2C">
      <w:pPr>
        <w:tabs>
          <w:tab w:val="left" w:pos="270"/>
          <w:tab w:val="left" w:pos="1134"/>
        </w:tabs>
        <w:spacing w:before="120" w:after="120"/>
        <w:jc w:val="both"/>
        <w:rPr>
          <w:rFonts w:ascii="Arial" w:hAnsi="Arial" w:cs="Arial"/>
          <w:b/>
          <w:color w:val="000000" w:themeColor="text1"/>
          <w:sz w:val="20"/>
          <w:szCs w:val="20"/>
        </w:rPr>
      </w:pPr>
      <w:r w:rsidRPr="0078484C">
        <w:rPr>
          <w:rFonts w:ascii="Arial" w:hAnsi="Arial" w:cs="Arial"/>
          <w:color w:val="000000" w:themeColor="text1"/>
          <w:sz w:val="20"/>
          <w:szCs w:val="20"/>
        </w:rPr>
        <w:t xml:space="preserve">c) </w:t>
      </w:r>
      <w:r w:rsidR="00240993" w:rsidRPr="0078484C">
        <w:rPr>
          <w:rFonts w:ascii="Arial" w:hAnsi="Arial" w:cs="Arial"/>
          <w:color w:val="000000" w:themeColor="text1"/>
          <w:sz w:val="20"/>
          <w:szCs w:val="20"/>
        </w:rPr>
        <w:t xml:space="preserve"> </w:t>
      </w:r>
      <w:r w:rsidR="00D84438" w:rsidRPr="0078484C">
        <w:rPr>
          <w:rFonts w:ascii="Arial" w:hAnsi="Arial" w:cs="Arial"/>
          <w:color w:val="000000" w:themeColor="text1"/>
          <w:sz w:val="20"/>
          <w:szCs w:val="20"/>
        </w:rPr>
        <w:t xml:space="preserve">Các </w:t>
      </w:r>
      <w:proofErr w:type="spellStart"/>
      <w:r w:rsidR="00D84438" w:rsidRPr="0078484C">
        <w:rPr>
          <w:rFonts w:ascii="Arial" w:hAnsi="Arial" w:cs="Arial"/>
          <w:color w:val="000000" w:themeColor="text1"/>
          <w:sz w:val="20"/>
          <w:szCs w:val="20"/>
        </w:rPr>
        <w:t>chỉ</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tiêu</w:t>
      </w:r>
      <w:proofErr w:type="spellEnd"/>
      <w:r w:rsidR="00D84438" w:rsidRPr="0078484C">
        <w:rPr>
          <w:rFonts w:ascii="Arial" w:hAnsi="Arial" w:cs="Arial"/>
          <w:color w:val="000000" w:themeColor="text1"/>
          <w:sz w:val="20"/>
          <w:szCs w:val="20"/>
        </w:rPr>
        <w:t xml:space="preserve"> so </w:t>
      </w:r>
      <w:proofErr w:type="spellStart"/>
      <w:r w:rsidR="00D84438" w:rsidRPr="0078484C">
        <w:rPr>
          <w:rFonts w:ascii="Arial" w:hAnsi="Arial" w:cs="Arial"/>
          <w:color w:val="000000" w:themeColor="text1"/>
          <w:sz w:val="20"/>
          <w:szCs w:val="20"/>
        </w:rPr>
        <w:t>sánh</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khác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bảo</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đảm</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tuân</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thủ</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nguyên</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tắc</w:t>
      </w:r>
      <w:proofErr w:type="spellEnd"/>
      <w:r w:rsidR="00D84438" w:rsidRPr="0078484C">
        <w:rPr>
          <w:rFonts w:ascii="Arial" w:hAnsi="Arial" w:cs="Arial"/>
          <w:color w:val="000000" w:themeColor="text1"/>
          <w:sz w:val="20"/>
          <w:szCs w:val="20"/>
        </w:rPr>
        <w:t>:</w:t>
      </w:r>
    </w:p>
    <w:p w14:paraId="6EFBCAEA" w14:textId="5745397C" w:rsidR="00D84438" w:rsidRPr="0078484C" w:rsidRDefault="00E81C04" w:rsidP="000B1C2C">
      <w:pPr>
        <w:pStyle w:val="ListParagraph"/>
        <w:tabs>
          <w:tab w:val="left" w:pos="270"/>
          <w:tab w:val="left" w:pos="1134"/>
        </w:tabs>
        <w:spacing w:before="120" w:after="120" w:line="240" w:lineRule="auto"/>
        <w:ind w:left="0"/>
        <w:contextualSpacing w:val="0"/>
        <w:jc w:val="both"/>
        <w:rPr>
          <w:rFonts w:ascii="Arial" w:hAnsi="Arial" w:cs="Arial"/>
          <w:b/>
          <w:color w:val="000000" w:themeColor="text1"/>
          <w:sz w:val="20"/>
          <w:szCs w:val="20"/>
        </w:rPr>
      </w:pPr>
      <w:r w:rsidRPr="0078484C">
        <w:rPr>
          <w:rFonts w:ascii="Arial" w:hAnsi="Arial" w:cs="Arial"/>
          <w:color w:val="000000" w:themeColor="text1"/>
          <w:sz w:val="20"/>
          <w:szCs w:val="20"/>
        </w:rPr>
        <w:t xml:space="preserve">- </w:t>
      </w:r>
      <w:r w:rsidR="00D84438" w:rsidRPr="0078484C">
        <w:rPr>
          <w:rFonts w:ascii="Arial" w:hAnsi="Arial" w:cs="Arial"/>
          <w:color w:val="000000" w:themeColor="text1"/>
          <w:sz w:val="20"/>
          <w:szCs w:val="20"/>
        </w:rPr>
        <w:t xml:space="preserve">Phương </w:t>
      </w:r>
      <w:proofErr w:type="spellStart"/>
      <w:r w:rsidR="00D84438" w:rsidRPr="0078484C">
        <w:rPr>
          <w:rFonts w:ascii="Arial" w:hAnsi="Arial" w:cs="Arial"/>
          <w:color w:val="000000" w:themeColor="text1"/>
          <w:sz w:val="20"/>
          <w:szCs w:val="20"/>
        </w:rPr>
        <w:t>thức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nguyên</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tắc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xác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định</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giá</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trị</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tài</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sản</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giá</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trị</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lợi</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nhuận</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là</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thống</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nhất</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đã</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được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công</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bố</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và</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được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thẩm</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định</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bởi</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một</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tổ</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chức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độc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lập</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khác</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nguyên</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tắc</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xác</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định</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giá</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trị</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tài</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sản</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của</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Quỹ</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được</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quy</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định</w:t>
      </w:r>
      <w:proofErr w:type="spellEnd"/>
      <w:r w:rsidR="00F90E2F" w:rsidRPr="0078484C">
        <w:rPr>
          <w:rFonts w:ascii="Arial" w:hAnsi="Arial" w:cs="Arial"/>
          <w:color w:val="000000" w:themeColor="text1"/>
          <w:sz w:val="20"/>
          <w:szCs w:val="20"/>
        </w:rPr>
        <w:t xml:space="preserve"> chi </w:t>
      </w:r>
      <w:proofErr w:type="spellStart"/>
      <w:r w:rsidR="00F90E2F" w:rsidRPr="0078484C">
        <w:rPr>
          <w:rFonts w:ascii="Arial" w:hAnsi="Arial" w:cs="Arial"/>
          <w:color w:val="000000" w:themeColor="text1"/>
          <w:sz w:val="20"/>
          <w:szCs w:val="20"/>
        </w:rPr>
        <w:t>tiết</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trong</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Điều</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lệ</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Quỹ</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và</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sổ</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tay</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định</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giá</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của</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Quỹ</w:t>
      </w:r>
      <w:proofErr w:type="spellEnd"/>
      <w:r w:rsidR="00D84438" w:rsidRPr="0078484C">
        <w:rPr>
          <w:rFonts w:ascii="Arial" w:hAnsi="Arial" w:cs="Arial"/>
          <w:color w:val="000000" w:themeColor="text1"/>
          <w:sz w:val="20"/>
          <w:szCs w:val="20"/>
        </w:rPr>
        <w:t>;</w:t>
      </w:r>
    </w:p>
    <w:p w14:paraId="4CA475E8" w14:textId="77777777" w:rsidR="00D84438" w:rsidRPr="0078484C" w:rsidRDefault="00E81C04" w:rsidP="000B1C2C">
      <w:pPr>
        <w:pStyle w:val="ListParagraph"/>
        <w:tabs>
          <w:tab w:val="left" w:pos="270"/>
          <w:tab w:val="left" w:pos="1134"/>
        </w:tabs>
        <w:spacing w:before="120" w:after="120" w:line="240" w:lineRule="auto"/>
        <w:ind w:left="0"/>
        <w:contextualSpacing w:val="0"/>
        <w:jc w:val="both"/>
        <w:rPr>
          <w:rFonts w:ascii="Arial" w:hAnsi="Arial" w:cs="Arial"/>
          <w:color w:val="000000" w:themeColor="text1"/>
          <w:sz w:val="20"/>
          <w:szCs w:val="20"/>
        </w:rPr>
      </w:pPr>
      <w:r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Dữ</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liệu</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được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cung</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cấp</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bởi</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một</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tổ</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chức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độc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lập</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Bảng</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báo</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giá</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chứng</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khoán</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được</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cung</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cấp</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bởi</w:t>
      </w:r>
      <w:proofErr w:type="spellEnd"/>
      <w:r w:rsidR="00F90E2F" w:rsidRPr="0078484C">
        <w:rPr>
          <w:rFonts w:ascii="Arial" w:hAnsi="Arial" w:cs="Arial"/>
          <w:color w:val="000000" w:themeColor="text1"/>
          <w:sz w:val="20"/>
          <w:szCs w:val="20"/>
        </w:rPr>
        <w:t xml:space="preserve"> 3 </w:t>
      </w:r>
      <w:proofErr w:type="spellStart"/>
      <w:r w:rsidR="00F90E2F" w:rsidRPr="0078484C">
        <w:rPr>
          <w:rFonts w:ascii="Arial" w:hAnsi="Arial" w:cs="Arial"/>
          <w:color w:val="000000" w:themeColor="text1"/>
          <w:sz w:val="20"/>
          <w:szCs w:val="20"/>
        </w:rPr>
        <w:t>Cty</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Chứng</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khoán</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độc</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lập</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của</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Quỹ</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và</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được</w:t>
      </w:r>
      <w:proofErr w:type="spellEnd"/>
      <w:r w:rsidR="00F90E2F" w:rsidRPr="0078484C">
        <w:rPr>
          <w:rFonts w:ascii="Arial" w:hAnsi="Arial" w:cs="Arial"/>
          <w:color w:val="000000" w:themeColor="text1"/>
          <w:sz w:val="20"/>
          <w:szCs w:val="20"/>
        </w:rPr>
        <w:t xml:space="preserve"> Ban </w:t>
      </w:r>
      <w:proofErr w:type="spellStart"/>
      <w:r w:rsidR="00F90E2F" w:rsidRPr="0078484C">
        <w:rPr>
          <w:rFonts w:ascii="Arial" w:hAnsi="Arial" w:cs="Arial"/>
          <w:color w:val="000000" w:themeColor="text1"/>
          <w:sz w:val="20"/>
          <w:szCs w:val="20"/>
        </w:rPr>
        <w:t>Đại</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diện</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phê</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duyệt</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hàng</w:t>
      </w:r>
      <w:proofErr w:type="spellEnd"/>
      <w:r w:rsidR="00F90E2F" w:rsidRPr="0078484C">
        <w:rPr>
          <w:rFonts w:ascii="Arial" w:hAnsi="Arial" w:cs="Arial"/>
          <w:color w:val="000000" w:themeColor="text1"/>
          <w:sz w:val="20"/>
          <w:szCs w:val="20"/>
        </w:rPr>
        <w:t xml:space="preserve"> </w:t>
      </w:r>
      <w:proofErr w:type="spellStart"/>
      <w:r w:rsidR="00F90E2F" w:rsidRPr="0078484C">
        <w:rPr>
          <w:rFonts w:ascii="Arial" w:hAnsi="Arial" w:cs="Arial"/>
          <w:color w:val="000000" w:themeColor="text1"/>
          <w:sz w:val="20"/>
          <w:szCs w:val="20"/>
        </w:rPr>
        <w:t>năm</w:t>
      </w:r>
      <w:proofErr w:type="spellEnd"/>
    </w:p>
    <w:p w14:paraId="168E7F77" w14:textId="7A892453" w:rsidR="00961C1D" w:rsidRPr="0078484C" w:rsidRDefault="00EE202C" w:rsidP="000B1C2C">
      <w:pPr>
        <w:tabs>
          <w:tab w:val="left" w:pos="180"/>
          <w:tab w:val="left" w:pos="270"/>
          <w:tab w:val="left" w:pos="1134"/>
        </w:tabs>
        <w:spacing w:before="120" w:after="120" w:line="240" w:lineRule="auto"/>
        <w:jc w:val="both"/>
        <w:rPr>
          <w:rFonts w:ascii="Arial" w:hAnsi="Arial" w:cs="Arial"/>
          <w:b/>
          <w:color w:val="000000" w:themeColor="text1"/>
          <w:sz w:val="20"/>
          <w:szCs w:val="20"/>
        </w:rPr>
      </w:pPr>
      <w:r w:rsidRPr="0078484C">
        <w:rPr>
          <w:rFonts w:ascii="Arial" w:hAnsi="Arial" w:cs="Arial"/>
          <w:color w:val="000000" w:themeColor="text1"/>
          <w:sz w:val="20"/>
          <w:szCs w:val="20"/>
        </w:rPr>
        <w:t xml:space="preserve">d) </w:t>
      </w:r>
      <w:r w:rsidR="00D84438" w:rsidRPr="0078484C">
        <w:rPr>
          <w:rFonts w:ascii="Arial" w:hAnsi="Arial" w:cs="Arial"/>
          <w:color w:val="000000" w:themeColor="text1"/>
          <w:sz w:val="20"/>
          <w:szCs w:val="20"/>
        </w:rPr>
        <w:t xml:space="preserve">Báo </w:t>
      </w:r>
      <w:proofErr w:type="spellStart"/>
      <w:r w:rsidR="00D84438" w:rsidRPr="0078484C">
        <w:rPr>
          <w:rFonts w:ascii="Arial" w:hAnsi="Arial" w:cs="Arial"/>
          <w:color w:val="000000" w:themeColor="text1"/>
          <w:sz w:val="20"/>
          <w:szCs w:val="20"/>
        </w:rPr>
        <w:t>cáo</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phải</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nêu</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rõ</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khuyến</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cáo</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rằng</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các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thông</w:t>
      </w:r>
      <w:proofErr w:type="spellEnd"/>
      <w:r w:rsidR="00D84438" w:rsidRPr="0078484C">
        <w:rPr>
          <w:rFonts w:ascii="Arial" w:hAnsi="Arial" w:cs="Arial"/>
          <w:color w:val="000000" w:themeColor="text1"/>
          <w:sz w:val="20"/>
          <w:szCs w:val="20"/>
        </w:rPr>
        <w:t xml:space="preserve"> tin </w:t>
      </w:r>
      <w:proofErr w:type="spellStart"/>
      <w:r w:rsidR="00D84438" w:rsidRPr="0078484C">
        <w:rPr>
          <w:rFonts w:ascii="Arial" w:hAnsi="Arial" w:cs="Arial"/>
          <w:color w:val="000000" w:themeColor="text1"/>
          <w:sz w:val="20"/>
          <w:szCs w:val="20"/>
        </w:rPr>
        <w:t>về</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kết</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quả</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hoạt</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động</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của</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quỹ</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trước</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đây</w:t>
      </w:r>
      <w:proofErr w:type="spellEnd"/>
      <w:r w:rsidR="00D84438" w:rsidRPr="0078484C">
        <w:rPr>
          <w:rFonts w:ascii="Arial" w:hAnsi="Arial" w:cs="Arial"/>
          <w:color w:val="000000" w:themeColor="text1"/>
          <w:sz w:val="20"/>
          <w:szCs w:val="20"/>
        </w:rPr>
        <w:t xml:space="preserve"> </w:t>
      </w:r>
      <w:proofErr w:type="spellStart"/>
      <w:r w:rsidR="00D84438" w:rsidRPr="0078484C">
        <w:rPr>
          <w:rFonts w:ascii="Arial" w:hAnsi="Arial" w:cs="Arial"/>
          <w:color w:val="000000" w:themeColor="text1"/>
          <w:sz w:val="20"/>
          <w:szCs w:val="20"/>
        </w:rPr>
        <w:t>chỉ</w:t>
      </w:r>
      <w:proofErr w:type="spellEnd"/>
      <w:r w:rsidR="00D84438" w:rsidRPr="0078484C">
        <w:rPr>
          <w:rFonts w:ascii="Arial" w:hAnsi="Arial" w:cs="Arial"/>
          <w:color w:val="000000" w:themeColor="text1"/>
          <w:sz w:val="20"/>
          <w:szCs w:val="20"/>
        </w:rPr>
        <w:t xml:space="preserve"> </w:t>
      </w:r>
      <w:r w:rsidR="00D84438" w:rsidRPr="0078484C">
        <w:rPr>
          <w:rFonts w:ascii="Arial" w:hAnsi="Arial" w:cs="Arial"/>
          <w:color w:val="000000" w:themeColor="text1"/>
          <w:sz w:val="20"/>
          <w:szCs w:val="20"/>
          <w:lang w:val="pt-BR"/>
        </w:rPr>
        <w:t>mang tính tham khảo và không có nghĩa là việc đầu tư sẽ bảo đảm khả năng sinh lời cho nhà đầu tư.</w:t>
      </w:r>
    </w:p>
    <w:p w14:paraId="7135A434" w14:textId="77777777" w:rsidR="00D84438" w:rsidRPr="0078484C" w:rsidRDefault="005B6393" w:rsidP="000B1C2C">
      <w:pPr>
        <w:pStyle w:val="ListParagraph"/>
        <w:numPr>
          <w:ilvl w:val="0"/>
          <w:numId w:val="25"/>
        </w:numPr>
        <w:tabs>
          <w:tab w:val="left" w:pos="270"/>
          <w:tab w:val="left" w:pos="1134"/>
        </w:tabs>
        <w:spacing w:before="120" w:after="120" w:line="240" w:lineRule="auto"/>
        <w:ind w:left="0" w:firstLine="0"/>
        <w:contextualSpacing w:val="0"/>
        <w:jc w:val="both"/>
        <w:rPr>
          <w:rFonts w:ascii="Arial" w:hAnsi="Arial" w:cs="Arial"/>
          <w:b/>
          <w:color w:val="000000" w:themeColor="text1"/>
          <w:sz w:val="20"/>
          <w:szCs w:val="20"/>
        </w:rPr>
      </w:pPr>
      <w:r w:rsidRPr="0078484C">
        <w:rPr>
          <w:rFonts w:ascii="Arial" w:hAnsi="Arial" w:cs="Arial"/>
          <w:b/>
          <w:color w:val="000000" w:themeColor="text1"/>
          <w:sz w:val="20"/>
          <w:szCs w:val="20"/>
        </w:rPr>
        <w:t xml:space="preserve">Báo </w:t>
      </w:r>
      <w:proofErr w:type="spellStart"/>
      <w:r w:rsidRPr="0078484C">
        <w:rPr>
          <w:rFonts w:ascii="Arial" w:hAnsi="Arial" w:cs="Arial"/>
          <w:b/>
          <w:color w:val="000000" w:themeColor="text1"/>
          <w:sz w:val="20"/>
          <w:szCs w:val="20"/>
        </w:rPr>
        <w:t>cáo</w:t>
      </w:r>
      <w:proofErr w:type="spellEnd"/>
      <w:r w:rsidRPr="0078484C">
        <w:rPr>
          <w:rFonts w:ascii="Arial" w:hAnsi="Arial" w:cs="Arial"/>
          <w:b/>
          <w:color w:val="000000" w:themeColor="text1"/>
          <w:sz w:val="20"/>
          <w:szCs w:val="20"/>
        </w:rPr>
        <w:t xml:space="preserve"> </w:t>
      </w:r>
      <w:proofErr w:type="spellStart"/>
      <w:r w:rsidRPr="0078484C">
        <w:rPr>
          <w:rFonts w:ascii="Arial" w:hAnsi="Arial" w:cs="Arial"/>
          <w:b/>
          <w:color w:val="000000" w:themeColor="text1"/>
          <w:sz w:val="20"/>
          <w:szCs w:val="20"/>
        </w:rPr>
        <w:t>về</w:t>
      </w:r>
      <w:proofErr w:type="spellEnd"/>
      <w:r w:rsidRPr="0078484C">
        <w:rPr>
          <w:rFonts w:ascii="Arial" w:hAnsi="Arial" w:cs="Arial"/>
          <w:b/>
          <w:color w:val="000000" w:themeColor="text1"/>
          <w:sz w:val="20"/>
          <w:szCs w:val="20"/>
        </w:rPr>
        <w:t xml:space="preserve"> </w:t>
      </w:r>
      <w:proofErr w:type="spellStart"/>
      <w:r w:rsidRPr="0078484C">
        <w:rPr>
          <w:rFonts w:ascii="Arial" w:hAnsi="Arial" w:cs="Arial"/>
          <w:b/>
          <w:color w:val="000000" w:themeColor="text1"/>
          <w:sz w:val="20"/>
          <w:szCs w:val="20"/>
        </w:rPr>
        <w:t>hoạt</w:t>
      </w:r>
      <w:proofErr w:type="spellEnd"/>
      <w:r w:rsidRPr="0078484C">
        <w:rPr>
          <w:rFonts w:ascii="Arial" w:hAnsi="Arial" w:cs="Arial"/>
          <w:b/>
          <w:color w:val="000000" w:themeColor="text1"/>
          <w:sz w:val="20"/>
          <w:szCs w:val="20"/>
        </w:rPr>
        <w:t xml:space="preserve"> </w:t>
      </w:r>
      <w:proofErr w:type="spellStart"/>
      <w:r w:rsidRPr="0078484C">
        <w:rPr>
          <w:rFonts w:ascii="Arial" w:hAnsi="Arial" w:cs="Arial"/>
          <w:b/>
          <w:color w:val="000000" w:themeColor="text1"/>
          <w:sz w:val="20"/>
          <w:szCs w:val="20"/>
        </w:rPr>
        <w:t>động</w:t>
      </w:r>
      <w:proofErr w:type="spellEnd"/>
      <w:r w:rsidRPr="0078484C">
        <w:rPr>
          <w:rFonts w:ascii="Arial" w:hAnsi="Arial" w:cs="Arial"/>
          <w:b/>
          <w:color w:val="000000" w:themeColor="text1"/>
          <w:sz w:val="20"/>
          <w:szCs w:val="20"/>
        </w:rPr>
        <w:t xml:space="preserve"> </w:t>
      </w:r>
      <w:proofErr w:type="spellStart"/>
      <w:r w:rsidRPr="0078484C">
        <w:rPr>
          <w:rFonts w:ascii="Arial" w:hAnsi="Arial" w:cs="Arial"/>
          <w:b/>
          <w:color w:val="000000" w:themeColor="text1"/>
          <w:sz w:val="20"/>
          <w:szCs w:val="20"/>
        </w:rPr>
        <w:t>quản</w:t>
      </w:r>
      <w:proofErr w:type="spellEnd"/>
      <w:r w:rsidRPr="0078484C">
        <w:rPr>
          <w:rFonts w:ascii="Arial" w:hAnsi="Arial" w:cs="Arial"/>
          <w:b/>
          <w:color w:val="000000" w:themeColor="text1"/>
          <w:sz w:val="20"/>
          <w:szCs w:val="20"/>
        </w:rPr>
        <w:t xml:space="preserve"> </w:t>
      </w:r>
      <w:proofErr w:type="spellStart"/>
      <w:r w:rsidRPr="0078484C">
        <w:rPr>
          <w:rFonts w:ascii="Arial" w:hAnsi="Arial" w:cs="Arial"/>
          <w:b/>
          <w:color w:val="000000" w:themeColor="text1"/>
          <w:sz w:val="20"/>
          <w:szCs w:val="20"/>
        </w:rPr>
        <w:t>lý</w:t>
      </w:r>
      <w:proofErr w:type="spellEnd"/>
      <w:r w:rsidRPr="0078484C">
        <w:rPr>
          <w:rFonts w:ascii="Arial" w:hAnsi="Arial" w:cs="Arial"/>
          <w:b/>
          <w:color w:val="000000" w:themeColor="text1"/>
          <w:sz w:val="20"/>
          <w:szCs w:val="20"/>
        </w:rPr>
        <w:t xml:space="preserve"> </w:t>
      </w:r>
      <w:proofErr w:type="spellStart"/>
      <w:r w:rsidRPr="0078484C">
        <w:rPr>
          <w:rFonts w:ascii="Arial" w:hAnsi="Arial" w:cs="Arial"/>
          <w:b/>
          <w:color w:val="000000" w:themeColor="text1"/>
          <w:sz w:val="20"/>
          <w:szCs w:val="20"/>
        </w:rPr>
        <w:t>tài</w:t>
      </w:r>
      <w:proofErr w:type="spellEnd"/>
      <w:r w:rsidRPr="0078484C">
        <w:rPr>
          <w:rFonts w:ascii="Arial" w:hAnsi="Arial" w:cs="Arial"/>
          <w:b/>
          <w:color w:val="000000" w:themeColor="text1"/>
          <w:sz w:val="20"/>
          <w:szCs w:val="20"/>
        </w:rPr>
        <w:t xml:space="preserve"> </w:t>
      </w:r>
      <w:proofErr w:type="spellStart"/>
      <w:r w:rsidRPr="0078484C">
        <w:rPr>
          <w:rFonts w:ascii="Arial" w:hAnsi="Arial" w:cs="Arial"/>
          <w:b/>
          <w:color w:val="000000" w:themeColor="text1"/>
          <w:sz w:val="20"/>
          <w:szCs w:val="20"/>
        </w:rPr>
        <w:t>sản</w:t>
      </w:r>
      <w:proofErr w:type="spellEnd"/>
      <w:r w:rsidRPr="0078484C">
        <w:rPr>
          <w:rFonts w:ascii="Arial" w:hAnsi="Arial" w:cs="Arial"/>
          <w:b/>
          <w:color w:val="000000" w:themeColor="text1"/>
          <w:sz w:val="20"/>
          <w:szCs w:val="20"/>
        </w:rPr>
        <w:t xml:space="preserve"> </w:t>
      </w:r>
      <w:proofErr w:type="spellStart"/>
      <w:r w:rsidRPr="0078484C">
        <w:rPr>
          <w:rFonts w:ascii="Arial" w:hAnsi="Arial" w:cs="Arial"/>
          <w:b/>
          <w:color w:val="000000" w:themeColor="text1"/>
          <w:sz w:val="20"/>
          <w:szCs w:val="20"/>
        </w:rPr>
        <w:t>của</w:t>
      </w:r>
      <w:proofErr w:type="spellEnd"/>
      <w:r w:rsidRPr="0078484C">
        <w:rPr>
          <w:rFonts w:ascii="Arial" w:hAnsi="Arial" w:cs="Arial"/>
          <w:b/>
          <w:color w:val="000000" w:themeColor="text1"/>
          <w:sz w:val="20"/>
          <w:szCs w:val="20"/>
        </w:rPr>
        <w:t xml:space="preserve"> Công ty </w:t>
      </w:r>
      <w:proofErr w:type="spellStart"/>
      <w:r w:rsidRPr="0078484C">
        <w:rPr>
          <w:rFonts w:ascii="Arial" w:hAnsi="Arial" w:cs="Arial"/>
          <w:b/>
          <w:color w:val="000000" w:themeColor="text1"/>
          <w:sz w:val="20"/>
          <w:szCs w:val="20"/>
        </w:rPr>
        <w:t>quản</w:t>
      </w:r>
      <w:proofErr w:type="spellEnd"/>
      <w:r w:rsidRPr="0078484C">
        <w:rPr>
          <w:rFonts w:ascii="Arial" w:hAnsi="Arial" w:cs="Arial"/>
          <w:b/>
          <w:color w:val="000000" w:themeColor="text1"/>
          <w:sz w:val="20"/>
          <w:szCs w:val="20"/>
        </w:rPr>
        <w:t xml:space="preserve"> </w:t>
      </w:r>
      <w:proofErr w:type="spellStart"/>
      <w:r w:rsidRPr="0078484C">
        <w:rPr>
          <w:rFonts w:ascii="Arial" w:hAnsi="Arial" w:cs="Arial"/>
          <w:b/>
          <w:color w:val="000000" w:themeColor="text1"/>
          <w:sz w:val="20"/>
          <w:szCs w:val="20"/>
        </w:rPr>
        <w:t>lý</w:t>
      </w:r>
      <w:proofErr w:type="spellEnd"/>
      <w:r w:rsidRPr="0078484C">
        <w:rPr>
          <w:rFonts w:ascii="Arial" w:hAnsi="Arial" w:cs="Arial"/>
          <w:b/>
          <w:color w:val="000000" w:themeColor="text1"/>
          <w:sz w:val="20"/>
          <w:szCs w:val="20"/>
        </w:rPr>
        <w:t xml:space="preserve"> </w:t>
      </w:r>
      <w:proofErr w:type="spellStart"/>
      <w:r w:rsidRPr="0078484C">
        <w:rPr>
          <w:rFonts w:ascii="Arial" w:hAnsi="Arial" w:cs="Arial"/>
          <w:b/>
          <w:color w:val="000000" w:themeColor="text1"/>
          <w:sz w:val="20"/>
          <w:szCs w:val="20"/>
        </w:rPr>
        <w:t>quỹ</w:t>
      </w:r>
      <w:proofErr w:type="spellEnd"/>
    </w:p>
    <w:p w14:paraId="31E95CD9" w14:textId="77777777" w:rsidR="00CF73DE" w:rsidRPr="0078484C" w:rsidRDefault="005B6393" w:rsidP="000B1C2C">
      <w:pPr>
        <w:pStyle w:val="ListParagraph"/>
        <w:tabs>
          <w:tab w:val="left" w:pos="1134"/>
        </w:tabs>
        <w:spacing w:before="120" w:after="120"/>
        <w:ind w:left="0"/>
        <w:contextualSpacing w:val="0"/>
        <w:jc w:val="both"/>
        <w:rPr>
          <w:rFonts w:ascii="Arial" w:hAnsi="Arial" w:cs="Arial"/>
          <w:b/>
          <w:color w:val="000000" w:themeColor="text1"/>
          <w:sz w:val="20"/>
          <w:szCs w:val="20"/>
        </w:rPr>
      </w:pPr>
      <w:r w:rsidRPr="0078484C">
        <w:rPr>
          <w:rFonts w:ascii="Arial" w:hAnsi="Arial" w:cs="Arial"/>
          <w:color w:val="000000" w:themeColor="text1"/>
          <w:sz w:val="20"/>
          <w:szCs w:val="20"/>
        </w:rPr>
        <w:t xml:space="preserve">Báo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về</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hoạt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động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quản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lý</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tài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sản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Công ty </w:t>
      </w:r>
      <w:proofErr w:type="spellStart"/>
      <w:r w:rsidRPr="0078484C">
        <w:rPr>
          <w:rFonts w:ascii="Arial" w:hAnsi="Arial" w:cs="Arial"/>
          <w:color w:val="000000" w:themeColor="text1"/>
          <w:sz w:val="20"/>
          <w:szCs w:val="20"/>
        </w:rPr>
        <w:t>quản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lý</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bao </w:t>
      </w:r>
      <w:proofErr w:type="spellStart"/>
      <w:r w:rsidRPr="0078484C">
        <w:rPr>
          <w:rFonts w:ascii="Arial" w:hAnsi="Arial" w:cs="Arial"/>
          <w:color w:val="000000" w:themeColor="text1"/>
          <w:sz w:val="20"/>
          <w:szCs w:val="20"/>
        </w:rPr>
        <w:t>gồm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nội</w:t>
      </w:r>
      <w:proofErr w:type="spellEnd"/>
      <w:r w:rsidRPr="0078484C">
        <w:rPr>
          <w:rFonts w:ascii="Arial" w:hAnsi="Arial" w:cs="Arial"/>
          <w:color w:val="000000" w:themeColor="text1"/>
          <w:sz w:val="20"/>
          <w:szCs w:val="20"/>
        </w:rPr>
        <w:t xml:space="preserve"> dung </w:t>
      </w:r>
      <w:proofErr w:type="spellStart"/>
      <w:r w:rsidRPr="0078484C">
        <w:rPr>
          <w:rFonts w:ascii="Arial" w:hAnsi="Arial" w:cs="Arial"/>
          <w:color w:val="000000" w:themeColor="text1"/>
          <w:sz w:val="20"/>
          <w:szCs w:val="20"/>
        </w:rPr>
        <w:t>sau</w:t>
      </w:r>
      <w:proofErr w:type="spellEnd"/>
      <w:r w:rsidRPr="0078484C">
        <w:rPr>
          <w:rFonts w:ascii="Arial" w:hAnsi="Arial" w:cs="Arial"/>
          <w:color w:val="000000" w:themeColor="text1"/>
          <w:sz w:val="20"/>
          <w:szCs w:val="20"/>
        </w:rPr>
        <w:t>:</w:t>
      </w:r>
    </w:p>
    <w:p w14:paraId="609BB158" w14:textId="77777777" w:rsidR="00CF73DE" w:rsidRPr="0078484C" w:rsidRDefault="005B6393" w:rsidP="000B1C2C">
      <w:pPr>
        <w:pStyle w:val="ListParagraph"/>
        <w:numPr>
          <w:ilvl w:val="0"/>
          <w:numId w:val="30"/>
        </w:numPr>
        <w:tabs>
          <w:tab w:val="left" w:pos="270"/>
          <w:tab w:val="left" w:pos="1134"/>
        </w:tabs>
        <w:spacing w:before="120" w:after="120" w:line="240" w:lineRule="auto"/>
        <w:ind w:left="0" w:firstLine="0"/>
        <w:contextualSpacing w:val="0"/>
        <w:jc w:val="both"/>
        <w:rPr>
          <w:rFonts w:ascii="Arial" w:hAnsi="Arial" w:cs="Arial"/>
          <w:color w:val="000000" w:themeColor="text1"/>
          <w:sz w:val="20"/>
          <w:szCs w:val="20"/>
        </w:rPr>
      </w:pPr>
      <w:proofErr w:type="spellStart"/>
      <w:r w:rsidRPr="0078484C">
        <w:rPr>
          <w:rFonts w:ascii="Arial" w:hAnsi="Arial" w:cs="Arial"/>
          <w:color w:val="000000" w:themeColor="text1"/>
          <w:sz w:val="20"/>
          <w:szCs w:val="20"/>
        </w:rPr>
        <w:t>Thuyết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minh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về</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việc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thay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đổi</w:t>
      </w:r>
      <w:proofErr w:type="spellEnd"/>
      <w:r w:rsidRPr="0078484C">
        <w:rPr>
          <w:rFonts w:ascii="Arial" w:hAnsi="Arial" w:cs="Arial"/>
          <w:color w:val="000000" w:themeColor="text1"/>
          <w:sz w:val="20"/>
          <w:szCs w:val="20"/>
        </w:rPr>
        <w:t xml:space="preserve"> Công ty </w:t>
      </w:r>
      <w:proofErr w:type="spellStart"/>
      <w:r w:rsidRPr="0078484C">
        <w:rPr>
          <w:rFonts w:ascii="Arial" w:hAnsi="Arial" w:cs="Arial"/>
          <w:color w:val="000000" w:themeColor="text1"/>
          <w:sz w:val="20"/>
          <w:szCs w:val="20"/>
        </w:rPr>
        <w:t>quản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lý</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i/>
          <w:color w:val="000000" w:themeColor="text1"/>
          <w:sz w:val="20"/>
          <w:szCs w:val="20"/>
        </w:rPr>
        <w:t>không</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có</w:t>
      </w:r>
      <w:proofErr w:type="spellEnd"/>
      <w:r w:rsidRPr="0078484C">
        <w:rPr>
          <w:rFonts w:ascii="Arial" w:hAnsi="Arial" w:cs="Arial"/>
          <w:color w:val="000000" w:themeColor="text1"/>
          <w:sz w:val="20"/>
          <w:szCs w:val="20"/>
        </w:rPr>
        <w:t xml:space="preserve"> </w:t>
      </w:r>
    </w:p>
    <w:p w14:paraId="4FEF65DE" w14:textId="39D71C41" w:rsidR="00CF73DE" w:rsidRPr="0078484C" w:rsidRDefault="005B6393" w:rsidP="000B1C2C">
      <w:pPr>
        <w:pStyle w:val="ListParagraph"/>
        <w:numPr>
          <w:ilvl w:val="0"/>
          <w:numId w:val="30"/>
        </w:numPr>
        <w:tabs>
          <w:tab w:val="left" w:pos="270"/>
          <w:tab w:val="left" w:pos="1134"/>
        </w:tabs>
        <w:spacing w:before="120" w:after="120" w:line="240" w:lineRule="auto"/>
        <w:ind w:left="0" w:firstLine="0"/>
        <w:contextualSpacing w:val="0"/>
        <w:jc w:val="both"/>
        <w:rPr>
          <w:rFonts w:ascii="Arial" w:hAnsi="Arial" w:cs="Arial"/>
          <w:color w:val="000000" w:themeColor="text1"/>
          <w:sz w:val="20"/>
          <w:szCs w:val="20"/>
        </w:rPr>
      </w:pPr>
      <w:proofErr w:type="spellStart"/>
      <w:r w:rsidRPr="0078484C">
        <w:rPr>
          <w:rFonts w:ascii="Arial" w:hAnsi="Arial" w:cs="Arial"/>
          <w:color w:val="000000" w:themeColor="text1"/>
          <w:sz w:val="20"/>
          <w:szCs w:val="20"/>
        </w:rPr>
        <w:t>Thuyết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minh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về</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việc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có</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đạt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được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mục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tiêu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đầu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tư</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thuyết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minh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này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chỉ</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cần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thiết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tại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hàng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năm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
    <w:p w14:paraId="3E1E9B3D" w14:textId="5D919AA5" w:rsidR="0043196C" w:rsidRPr="0078484C" w:rsidRDefault="0043196C" w:rsidP="000B1C2C">
      <w:pPr>
        <w:spacing w:after="240" w:line="240" w:lineRule="auto"/>
        <w:jc w:val="both"/>
        <w:rPr>
          <w:rFonts w:ascii="Arial" w:hAnsi="Arial" w:cs="Arial"/>
          <w:color w:val="000000" w:themeColor="text1"/>
          <w:sz w:val="20"/>
          <w:szCs w:val="20"/>
        </w:rPr>
      </w:pPr>
      <w:proofErr w:type="spellStart"/>
      <w:r w:rsidRPr="0078484C">
        <w:rPr>
          <w:rFonts w:ascii="Arial" w:hAnsi="Arial" w:cs="Arial"/>
          <w:sz w:val="20"/>
          <w:szCs w:val="20"/>
        </w:rPr>
        <w:t>Vào</w:t>
      </w:r>
      <w:proofErr w:type="spellEnd"/>
      <w:r w:rsidRPr="0078484C">
        <w:rPr>
          <w:rFonts w:ascii="Arial" w:hAnsi="Arial" w:cs="Arial"/>
          <w:sz w:val="20"/>
          <w:szCs w:val="20"/>
        </w:rPr>
        <w:t xml:space="preserve"> </w:t>
      </w:r>
      <w:proofErr w:type="spellStart"/>
      <w:r w:rsidRPr="0078484C">
        <w:rPr>
          <w:rFonts w:ascii="Arial" w:hAnsi="Arial" w:cs="Arial"/>
          <w:sz w:val="20"/>
          <w:szCs w:val="20"/>
        </w:rPr>
        <w:t>thời</w:t>
      </w:r>
      <w:proofErr w:type="spellEnd"/>
      <w:r w:rsidRPr="0078484C">
        <w:rPr>
          <w:rFonts w:ascii="Arial" w:hAnsi="Arial" w:cs="Arial"/>
          <w:sz w:val="20"/>
          <w:szCs w:val="20"/>
        </w:rPr>
        <w:t xml:space="preserve"> </w:t>
      </w:r>
      <w:proofErr w:type="spellStart"/>
      <w:r w:rsidRPr="0078484C">
        <w:rPr>
          <w:rFonts w:ascii="Arial" w:hAnsi="Arial" w:cs="Arial"/>
          <w:sz w:val="20"/>
          <w:szCs w:val="20"/>
        </w:rPr>
        <w:t>điểm</w:t>
      </w:r>
      <w:proofErr w:type="spellEnd"/>
      <w:r w:rsidRPr="0078484C">
        <w:rPr>
          <w:rFonts w:ascii="Arial" w:hAnsi="Arial" w:cs="Arial"/>
          <w:sz w:val="20"/>
          <w:szCs w:val="20"/>
        </w:rPr>
        <w:t xml:space="preserve"> 31 </w:t>
      </w:r>
      <w:proofErr w:type="spellStart"/>
      <w:r w:rsidRPr="0078484C">
        <w:rPr>
          <w:rFonts w:ascii="Arial" w:hAnsi="Arial" w:cs="Arial"/>
          <w:sz w:val="20"/>
          <w:szCs w:val="20"/>
        </w:rPr>
        <w:t>tháng</w:t>
      </w:r>
      <w:proofErr w:type="spellEnd"/>
      <w:r w:rsidRPr="0078484C">
        <w:rPr>
          <w:rFonts w:ascii="Arial" w:hAnsi="Arial" w:cs="Arial"/>
          <w:sz w:val="20"/>
          <w:szCs w:val="20"/>
        </w:rPr>
        <w:t xml:space="preserve"> 12 </w:t>
      </w:r>
      <w:proofErr w:type="spellStart"/>
      <w:r w:rsidRPr="0078484C">
        <w:rPr>
          <w:rFonts w:ascii="Arial" w:hAnsi="Arial" w:cs="Arial"/>
          <w:sz w:val="20"/>
          <w:szCs w:val="20"/>
        </w:rPr>
        <w:t>năm</w:t>
      </w:r>
      <w:proofErr w:type="spellEnd"/>
      <w:r w:rsidRPr="0078484C">
        <w:rPr>
          <w:rFonts w:ascii="Arial" w:hAnsi="Arial" w:cs="Arial"/>
          <w:sz w:val="20"/>
          <w:szCs w:val="20"/>
        </w:rPr>
        <w:t xml:space="preserve"> 202</w:t>
      </w:r>
      <w:r w:rsidR="008118BB" w:rsidRPr="0078484C">
        <w:rPr>
          <w:rFonts w:ascii="Arial" w:hAnsi="Arial" w:cs="Arial"/>
          <w:sz w:val="20"/>
          <w:szCs w:val="20"/>
        </w:rPr>
        <w:t>3</w:t>
      </w:r>
      <w:r w:rsidRPr="0078484C">
        <w:rPr>
          <w:rFonts w:ascii="Arial" w:hAnsi="Arial" w:cs="Arial"/>
          <w:sz w:val="20"/>
          <w:szCs w:val="20"/>
        </w:rPr>
        <w:t xml:space="preserve">, </w:t>
      </w:r>
      <w:proofErr w:type="spellStart"/>
      <w:r w:rsidRPr="0078484C">
        <w:rPr>
          <w:rFonts w:ascii="Arial" w:hAnsi="Arial" w:cs="Arial"/>
          <w:sz w:val="20"/>
          <w:szCs w:val="20"/>
        </w:rPr>
        <w:t>gia</w:t>
      </w:r>
      <w:proofErr w:type="spellEnd"/>
      <w:r w:rsidRPr="0078484C">
        <w:rPr>
          <w:rFonts w:ascii="Arial" w:hAnsi="Arial" w:cs="Arial"/>
          <w:sz w:val="20"/>
          <w:szCs w:val="20"/>
        </w:rPr>
        <w:t xml:space="preserve">́ trị </w:t>
      </w:r>
      <w:proofErr w:type="spellStart"/>
      <w:r w:rsidRPr="0078484C">
        <w:rPr>
          <w:rFonts w:ascii="Arial" w:hAnsi="Arial" w:cs="Arial"/>
          <w:sz w:val="20"/>
          <w:szCs w:val="20"/>
        </w:rPr>
        <w:t>tài</w:t>
      </w:r>
      <w:proofErr w:type="spellEnd"/>
      <w:r w:rsidRPr="0078484C">
        <w:rPr>
          <w:rFonts w:ascii="Arial" w:hAnsi="Arial" w:cs="Arial"/>
          <w:sz w:val="20"/>
          <w:szCs w:val="20"/>
        </w:rPr>
        <w:t xml:space="preserve"> </w:t>
      </w:r>
      <w:proofErr w:type="spellStart"/>
      <w:r w:rsidRPr="0078484C">
        <w:rPr>
          <w:rFonts w:ascii="Arial" w:hAnsi="Arial" w:cs="Arial"/>
          <w:sz w:val="20"/>
          <w:szCs w:val="20"/>
        </w:rPr>
        <w:t>sản</w:t>
      </w:r>
      <w:proofErr w:type="spellEnd"/>
      <w:r w:rsidRPr="0078484C">
        <w:rPr>
          <w:rFonts w:ascii="Arial" w:hAnsi="Arial" w:cs="Arial"/>
          <w:sz w:val="20"/>
          <w:szCs w:val="20"/>
        </w:rPr>
        <w:t xml:space="preserve"> </w:t>
      </w:r>
      <w:proofErr w:type="spellStart"/>
      <w:r w:rsidRPr="0078484C">
        <w:rPr>
          <w:rFonts w:ascii="Arial" w:hAnsi="Arial" w:cs="Arial"/>
          <w:sz w:val="20"/>
          <w:szCs w:val="20"/>
        </w:rPr>
        <w:t>ròng</w:t>
      </w:r>
      <w:proofErr w:type="spellEnd"/>
      <w:r w:rsidRPr="0078484C">
        <w:rPr>
          <w:rFonts w:ascii="Arial" w:hAnsi="Arial" w:cs="Arial"/>
          <w:sz w:val="20"/>
          <w:szCs w:val="20"/>
        </w:rPr>
        <w:t xml:space="preserve"> </w:t>
      </w:r>
      <w:proofErr w:type="spellStart"/>
      <w:r w:rsidRPr="0078484C">
        <w:rPr>
          <w:rFonts w:ascii="Arial" w:hAnsi="Arial" w:cs="Arial"/>
          <w:sz w:val="20"/>
          <w:szCs w:val="20"/>
        </w:rPr>
        <w:t>của</w:t>
      </w:r>
      <w:proofErr w:type="spellEnd"/>
      <w:r w:rsidRPr="0078484C">
        <w:rPr>
          <w:rFonts w:ascii="Arial" w:hAnsi="Arial" w:cs="Arial"/>
          <w:sz w:val="20"/>
          <w:szCs w:val="20"/>
        </w:rPr>
        <w:t xml:space="preserve"> </w:t>
      </w:r>
      <w:proofErr w:type="spellStart"/>
      <w:r w:rsidRPr="0078484C">
        <w:rPr>
          <w:rFonts w:ascii="Arial" w:hAnsi="Arial" w:cs="Arial"/>
          <w:sz w:val="20"/>
          <w:szCs w:val="20"/>
        </w:rPr>
        <w:t>quy</w:t>
      </w:r>
      <w:proofErr w:type="spellEnd"/>
      <w:r w:rsidRPr="0078484C">
        <w:rPr>
          <w:rFonts w:ascii="Arial" w:hAnsi="Arial" w:cs="Arial"/>
          <w:sz w:val="20"/>
          <w:szCs w:val="20"/>
        </w:rPr>
        <w:t>̃ DC</w:t>
      </w:r>
      <w:r w:rsidR="003D23A5" w:rsidRPr="0078484C">
        <w:rPr>
          <w:rFonts w:ascii="Arial" w:hAnsi="Arial" w:cs="Arial"/>
          <w:sz w:val="20"/>
          <w:szCs w:val="20"/>
        </w:rPr>
        <w:t>BF</w:t>
      </w:r>
      <w:r w:rsidRPr="0078484C">
        <w:rPr>
          <w:rFonts w:ascii="Arial" w:hAnsi="Arial" w:cs="Arial"/>
          <w:sz w:val="20"/>
          <w:szCs w:val="20"/>
        </w:rPr>
        <w:t xml:space="preserve"> là </w:t>
      </w:r>
      <w:r w:rsidR="005B6BD1" w:rsidRPr="0078484C">
        <w:rPr>
          <w:rFonts w:ascii="Arial" w:hAnsi="Arial" w:cs="Arial"/>
          <w:sz w:val="20"/>
          <w:szCs w:val="20"/>
        </w:rPr>
        <w:t>25.389,</w:t>
      </w:r>
      <w:r w:rsidR="008118BB" w:rsidRPr="0078484C">
        <w:rPr>
          <w:rFonts w:ascii="Arial" w:hAnsi="Arial" w:cs="Arial"/>
          <w:sz w:val="20"/>
          <w:szCs w:val="20"/>
        </w:rPr>
        <w:t>59</w:t>
      </w:r>
      <w:r w:rsidRPr="0078484C">
        <w:rPr>
          <w:rFonts w:ascii="Arial" w:hAnsi="Arial" w:cs="Arial"/>
          <w:sz w:val="20"/>
          <w:szCs w:val="20"/>
        </w:rPr>
        <w:t xml:space="preserve"> </w:t>
      </w:r>
      <w:proofErr w:type="spellStart"/>
      <w:r w:rsidRPr="0078484C">
        <w:rPr>
          <w:rFonts w:ascii="Arial" w:hAnsi="Arial" w:cs="Arial"/>
          <w:sz w:val="20"/>
          <w:szCs w:val="20"/>
        </w:rPr>
        <w:t>đồng</w:t>
      </w:r>
      <w:proofErr w:type="spellEnd"/>
      <w:r w:rsidRPr="0078484C">
        <w:rPr>
          <w:rFonts w:ascii="Arial" w:hAnsi="Arial" w:cs="Arial"/>
          <w:sz w:val="20"/>
          <w:szCs w:val="20"/>
        </w:rPr>
        <w:t xml:space="preserve">/ CCQ, </w:t>
      </w:r>
      <w:proofErr w:type="spellStart"/>
      <w:r w:rsidR="005B6BD1" w:rsidRPr="0078484C">
        <w:rPr>
          <w:rFonts w:ascii="Arial" w:hAnsi="Arial" w:cs="Arial"/>
          <w:sz w:val="20"/>
          <w:szCs w:val="20"/>
        </w:rPr>
        <w:t>tăng</w:t>
      </w:r>
      <w:proofErr w:type="spellEnd"/>
      <w:r w:rsidRPr="0078484C">
        <w:rPr>
          <w:rFonts w:ascii="Arial" w:hAnsi="Arial" w:cs="Arial"/>
          <w:sz w:val="20"/>
          <w:szCs w:val="20"/>
        </w:rPr>
        <w:t xml:space="preserve"> </w:t>
      </w:r>
      <w:r w:rsidR="005B6BD1" w:rsidRPr="0078484C">
        <w:rPr>
          <w:rFonts w:ascii="Arial" w:hAnsi="Arial" w:cs="Arial"/>
          <w:sz w:val="20"/>
          <w:szCs w:val="20"/>
        </w:rPr>
        <w:t>9</w:t>
      </w:r>
      <w:r w:rsidRPr="0078484C">
        <w:rPr>
          <w:rFonts w:ascii="Arial" w:hAnsi="Arial" w:cs="Arial"/>
          <w:sz w:val="20"/>
          <w:szCs w:val="20"/>
        </w:rPr>
        <w:t>,</w:t>
      </w:r>
      <w:r w:rsidR="005B6BD1" w:rsidRPr="0078484C">
        <w:rPr>
          <w:rFonts w:ascii="Arial" w:hAnsi="Arial" w:cs="Arial"/>
          <w:sz w:val="20"/>
          <w:szCs w:val="20"/>
        </w:rPr>
        <w:t>1</w:t>
      </w:r>
      <w:r w:rsidRPr="0078484C">
        <w:rPr>
          <w:rFonts w:ascii="Arial" w:hAnsi="Arial" w:cs="Arial"/>
          <w:sz w:val="20"/>
          <w:szCs w:val="20"/>
        </w:rPr>
        <w:t>%</w:t>
      </w:r>
      <w:r w:rsidR="003D23A5" w:rsidRPr="0078484C">
        <w:rPr>
          <w:rFonts w:ascii="Arial" w:hAnsi="Arial" w:cs="Arial"/>
          <w:sz w:val="20"/>
          <w:szCs w:val="20"/>
        </w:rPr>
        <w:t xml:space="preserve"> </w:t>
      </w:r>
      <w:r w:rsidRPr="0078484C">
        <w:rPr>
          <w:rFonts w:ascii="Arial" w:hAnsi="Arial" w:cs="Arial"/>
          <w:sz w:val="20"/>
          <w:szCs w:val="20"/>
        </w:rPr>
        <w:t xml:space="preserve">so </w:t>
      </w:r>
      <w:proofErr w:type="spellStart"/>
      <w:r w:rsidRPr="0078484C">
        <w:rPr>
          <w:rFonts w:ascii="Arial" w:hAnsi="Arial" w:cs="Arial"/>
          <w:sz w:val="20"/>
          <w:szCs w:val="20"/>
        </w:rPr>
        <w:t>với</w:t>
      </w:r>
      <w:proofErr w:type="spellEnd"/>
      <w:r w:rsidRPr="0078484C">
        <w:rPr>
          <w:rFonts w:ascii="Arial" w:hAnsi="Arial" w:cs="Arial"/>
          <w:sz w:val="20"/>
          <w:szCs w:val="20"/>
        </w:rPr>
        <w:t xml:space="preserve"> </w:t>
      </w:r>
      <w:proofErr w:type="spellStart"/>
      <w:r w:rsidRPr="0078484C">
        <w:rPr>
          <w:rFonts w:ascii="Arial" w:hAnsi="Arial" w:cs="Arial"/>
          <w:sz w:val="20"/>
          <w:szCs w:val="20"/>
        </w:rPr>
        <w:t>cuối</w:t>
      </w:r>
      <w:proofErr w:type="spellEnd"/>
      <w:r w:rsidRPr="0078484C">
        <w:rPr>
          <w:rFonts w:ascii="Arial" w:hAnsi="Arial" w:cs="Arial"/>
          <w:sz w:val="20"/>
          <w:szCs w:val="20"/>
        </w:rPr>
        <w:t xml:space="preserve"> </w:t>
      </w:r>
      <w:proofErr w:type="spellStart"/>
      <w:r w:rsidRPr="0078484C">
        <w:rPr>
          <w:rFonts w:ascii="Arial" w:hAnsi="Arial" w:cs="Arial"/>
          <w:sz w:val="20"/>
          <w:szCs w:val="20"/>
        </w:rPr>
        <w:t>tháng</w:t>
      </w:r>
      <w:proofErr w:type="spellEnd"/>
      <w:r w:rsidRPr="0078484C">
        <w:rPr>
          <w:rFonts w:ascii="Arial" w:hAnsi="Arial" w:cs="Arial"/>
          <w:sz w:val="20"/>
          <w:szCs w:val="20"/>
        </w:rPr>
        <w:t xml:space="preserve"> </w:t>
      </w:r>
      <w:proofErr w:type="spellStart"/>
      <w:r w:rsidRPr="0078484C">
        <w:rPr>
          <w:rFonts w:ascii="Arial" w:hAnsi="Arial" w:cs="Arial"/>
          <w:sz w:val="20"/>
          <w:szCs w:val="20"/>
        </w:rPr>
        <w:t>năm</w:t>
      </w:r>
      <w:proofErr w:type="spellEnd"/>
      <w:r w:rsidRPr="0078484C">
        <w:rPr>
          <w:rFonts w:ascii="Arial" w:hAnsi="Arial" w:cs="Arial"/>
          <w:sz w:val="20"/>
          <w:szCs w:val="20"/>
        </w:rPr>
        <w:t xml:space="preserve"> 2022. </w:t>
      </w:r>
      <w:proofErr w:type="spellStart"/>
      <w:r w:rsidR="00F56B81" w:rsidRPr="0078484C">
        <w:rPr>
          <w:rFonts w:ascii="Arial" w:hAnsi="Arial" w:cs="Arial"/>
          <w:sz w:val="20"/>
          <w:szCs w:val="20"/>
        </w:rPr>
        <w:t>Năm</w:t>
      </w:r>
      <w:proofErr w:type="spellEnd"/>
      <w:r w:rsidR="00F56B81" w:rsidRPr="0078484C">
        <w:rPr>
          <w:rFonts w:ascii="Arial" w:hAnsi="Arial" w:cs="Arial"/>
          <w:sz w:val="20"/>
          <w:szCs w:val="20"/>
        </w:rPr>
        <w:t xml:space="preserve"> 2023, </w:t>
      </w:r>
      <w:proofErr w:type="spellStart"/>
      <w:r w:rsidR="00F56B81" w:rsidRPr="0078484C">
        <w:rPr>
          <w:rFonts w:ascii="Arial" w:hAnsi="Arial" w:cs="Arial"/>
          <w:sz w:val="20"/>
          <w:szCs w:val="20"/>
        </w:rPr>
        <w:t>điều</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kiện</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mặt</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bằng</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lãi</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suất</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trên</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thì</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trường</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tiếp</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tục</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giảm</w:t>
      </w:r>
      <w:proofErr w:type="spellEnd"/>
      <w:r w:rsidR="00F56B81" w:rsidRPr="0078484C">
        <w:rPr>
          <w:rFonts w:ascii="Arial" w:hAnsi="Arial" w:cs="Arial"/>
          <w:sz w:val="20"/>
          <w:szCs w:val="20"/>
        </w:rPr>
        <w:t xml:space="preserve"> ở </w:t>
      </w:r>
      <w:proofErr w:type="spellStart"/>
      <w:r w:rsidR="00F56B81" w:rsidRPr="0078484C">
        <w:rPr>
          <w:rFonts w:ascii="Arial" w:hAnsi="Arial" w:cs="Arial"/>
          <w:sz w:val="20"/>
          <w:szCs w:val="20"/>
        </w:rPr>
        <w:t>mức</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rất</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thấp</w:t>
      </w:r>
      <w:proofErr w:type="spellEnd"/>
      <w:r w:rsidR="00F56B81" w:rsidRPr="0078484C">
        <w:rPr>
          <w:rFonts w:ascii="Arial" w:hAnsi="Arial" w:cs="Arial"/>
          <w:sz w:val="20"/>
          <w:szCs w:val="20"/>
        </w:rPr>
        <w:t xml:space="preserve">. Tuy </w:t>
      </w:r>
      <w:proofErr w:type="spellStart"/>
      <w:r w:rsidR="00F56B81" w:rsidRPr="0078484C">
        <w:rPr>
          <w:rFonts w:ascii="Arial" w:hAnsi="Arial" w:cs="Arial"/>
          <w:sz w:val="20"/>
          <w:szCs w:val="20"/>
        </w:rPr>
        <w:t>nhiên</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với</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mức</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phân</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bô</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lớn</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vào</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các</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trái</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phiếu</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doanh</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nghiệp</w:t>
      </w:r>
      <w:proofErr w:type="spellEnd"/>
      <w:r w:rsidR="00F56B81" w:rsidRPr="0078484C">
        <w:rPr>
          <w:rFonts w:ascii="Arial" w:hAnsi="Arial" w:cs="Arial"/>
          <w:sz w:val="20"/>
          <w:szCs w:val="20"/>
        </w:rPr>
        <w:t xml:space="preserve"> có </w:t>
      </w:r>
      <w:proofErr w:type="spellStart"/>
      <w:r w:rsidR="00F56B81" w:rsidRPr="0078484C">
        <w:rPr>
          <w:rFonts w:ascii="Arial" w:hAnsi="Arial" w:cs="Arial"/>
          <w:sz w:val="20"/>
          <w:szCs w:val="20"/>
        </w:rPr>
        <w:t>lợi</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suất</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tốt</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lợi</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nhuận</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của</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Quỹ</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vẫn</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được</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duy</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trì</w:t>
      </w:r>
      <w:proofErr w:type="spellEnd"/>
      <w:r w:rsidR="00F56B81" w:rsidRPr="0078484C">
        <w:rPr>
          <w:rFonts w:ascii="Arial" w:hAnsi="Arial" w:cs="Arial"/>
          <w:sz w:val="20"/>
          <w:szCs w:val="20"/>
        </w:rPr>
        <w:t xml:space="preserve"> ở </w:t>
      </w:r>
      <w:proofErr w:type="spellStart"/>
      <w:r w:rsidR="00F56B81" w:rsidRPr="0078484C">
        <w:rPr>
          <w:rFonts w:ascii="Arial" w:hAnsi="Arial" w:cs="Arial"/>
          <w:sz w:val="20"/>
          <w:szCs w:val="20"/>
        </w:rPr>
        <w:t>mức</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ổn</w:t>
      </w:r>
      <w:proofErr w:type="spellEnd"/>
      <w:r w:rsidR="00F56B81" w:rsidRPr="0078484C">
        <w:rPr>
          <w:rFonts w:ascii="Arial" w:hAnsi="Arial" w:cs="Arial"/>
          <w:sz w:val="20"/>
          <w:szCs w:val="20"/>
        </w:rPr>
        <w:t xml:space="preserve"> </w:t>
      </w:r>
      <w:proofErr w:type="spellStart"/>
      <w:r w:rsidR="00F56B81" w:rsidRPr="0078484C">
        <w:rPr>
          <w:rFonts w:ascii="Arial" w:hAnsi="Arial" w:cs="Arial"/>
          <w:sz w:val="20"/>
          <w:szCs w:val="20"/>
        </w:rPr>
        <w:t>định</w:t>
      </w:r>
      <w:proofErr w:type="spellEnd"/>
    </w:p>
    <w:p w14:paraId="2E23DAE1" w14:textId="77777777" w:rsidR="00CF73DE" w:rsidRPr="0078484C" w:rsidRDefault="005B6393" w:rsidP="000B1C2C">
      <w:pPr>
        <w:pStyle w:val="ListParagraph"/>
        <w:numPr>
          <w:ilvl w:val="0"/>
          <w:numId w:val="30"/>
        </w:numPr>
        <w:tabs>
          <w:tab w:val="left" w:pos="270"/>
          <w:tab w:val="left" w:pos="1134"/>
        </w:tabs>
        <w:spacing w:before="120" w:after="120" w:line="240" w:lineRule="auto"/>
        <w:ind w:left="0" w:firstLine="0"/>
        <w:contextualSpacing w:val="0"/>
        <w:jc w:val="both"/>
        <w:rPr>
          <w:rFonts w:ascii="Arial" w:hAnsi="Arial" w:cs="Arial"/>
          <w:i/>
          <w:color w:val="000000" w:themeColor="text1"/>
          <w:sz w:val="20"/>
          <w:szCs w:val="20"/>
        </w:rPr>
      </w:pPr>
      <w:r w:rsidRPr="0078484C">
        <w:rPr>
          <w:rFonts w:ascii="Arial" w:hAnsi="Arial" w:cs="Arial"/>
          <w:color w:val="000000" w:themeColor="text1"/>
          <w:sz w:val="20"/>
          <w:szCs w:val="20"/>
        </w:rPr>
        <w:t xml:space="preserve">So </w:t>
      </w:r>
      <w:proofErr w:type="spellStart"/>
      <w:r w:rsidRPr="0078484C">
        <w:rPr>
          <w:rFonts w:ascii="Arial" w:hAnsi="Arial" w:cs="Arial"/>
          <w:color w:val="000000" w:themeColor="text1"/>
          <w:sz w:val="20"/>
          <w:szCs w:val="20"/>
        </w:rPr>
        <w:t>sánh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kết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lợi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nhuận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với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kết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lợi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nhuận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danh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mục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tham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chiếu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chỉ</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số</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cơ</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sở</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công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bố</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tại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Bản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bạch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trong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cùng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kỳ</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bằng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đồ</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thị</w:t>
      </w:r>
      <w:proofErr w:type="spellEnd"/>
      <w:r w:rsidRPr="0078484C">
        <w:rPr>
          <w:rFonts w:ascii="Arial" w:hAnsi="Arial" w:cs="Arial"/>
          <w:color w:val="000000" w:themeColor="text1"/>
          <w:sz w:val="20"/>
          <w:szCs w:val="20"/>
        </w:rPr>
        <w:t xml:space="preserve">): </w:t>
      </w:r>
      <w:proofErr w:type="spellStart"/>
      <w:r w:rsidRPr="0078484C">
        <w:rPr>
          <w:rFonts w:ascii="Arial" w:hAnsi="Arial" w:cs="Arial"/>
          <w:i/>
          <w:color w:val="000000" w:themeColor="text1"/>
          <w:sz w:val="20"/>
          <w:szCs w:val="20"/>
        </w:rPr>
        <w:t>Quỹ</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không</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áp</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dụng</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danh</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mục</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tham</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chiếu</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chỉ</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số</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tham</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chiếu</w:t>
      </w:r>
      <w:proofErr w:type="spellEnd"/>
      <w:r w:rsidRPr="0078484C">
        <w:rPr>
          <w:rFonts w:ascii="Arial" w:hAnsi="Arial" w:cs="Arial"/>
          <w:i/>
          <w:color w:val="000000" w:themeColor="text1"/>
          <w:sz w:val="20"/>
          <w:szCs w:val="20"/>
        </w:rPr>
        <w:t>.</w:t>
      </w:r>
    </w:p>
    <w:p w14:paraId="3090AC6D" w14:textId="77777777" w:rsidR="00CF73DE" w:rsidRPr="0078484C" w:rsidRDefault="005B6393" w:rsidP="000B1C2C">
      <w:pPr>
        <w:pStyle w:val="ListParagraph"/>
        <w:numPr>
          <w:ilvl w:val="0"/>
          <w:numId w:val="30"/>
        </w:numPr>
        <w:tabs>
          <w:tab w:val="left" w:pos="270"/>
          <w:tab w:val="left" w:pos="1134"/>
        </w:tabs>
        <w:spacing w:before="120" w:after="120" w:line="240" w:lineRule="auto"/>
        <w:ind w:left="0" w:firstLine="0"/>
        <w:contextualSpacing w:val="0"/>
        <w:jc w:val="both"/>
        <w:rPr>
          <w:rFonts w:ascii="Arial" w:hAnsi="Arial" w:cs="Arial"/>
          <w:color w:val="000000" w:themeColor="text1"/>
          <w:sz w:val="20"/>
          <w:szCs w:val="20"/>
        </w:rPr>
      </w:pPr>
      <w:r w:rsidRPr="0078484C">
        <w:rPr>
          <w:rFonts w:ascii="Arial" w:hAnsi="Arial" w:cs="Arial"/>
          <w:color w:val="000000" w:themeColor="text1"/>
          <w:sz w:val="20"/>
          <w:szCs w:val="20"/>
        </w:rPr>
        <w:t xml:space="preserve">So </w:t>
      </w:r>
      <w:proofErr w:type="spellStart"/>
      <w:r w:rsidRPr="0078484C">
        <w:rPr>
          <w:rFonts w:ascii="Arial" w:hAnsi="Arial" w:cs="Arial"/>
          <w:color w:val="000000" w:themeColor="text1"/>
          <w:sz w:val="20"/>
          <w:szCs w:val="20"/>
        </w:rPr>
        <w:t>sánh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kết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lợi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nhuận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với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kết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lợi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nhuận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danh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mục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tham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chiếu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chỉ</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số</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cơ</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sở</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công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bố</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tại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Bản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bạch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trong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khoảng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thời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gian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năm</w:t>
      </w:r>
      <w:proofErr w:type="spellEnd"/>
      <w:r w:rsidRPr="0078484C">
        <w:rPr>
          <w:rFonts w:ascii="Arial" w:hAnsi="Arial" w:cs="Arial"/>
          <w:color w:val="000000" w:themeColor="text1"/>
          <w:sz w:val="20"/>
          <w:szCs w:val="20"/>
        </w:rPr>
        <w:t xml:space="preserve"> (05) </w:t>
      </w:r>
      <w:proofErr w:type="spellStart"/>
      <w:r w:rsidRPr="0078484C">
        <w:rPr>
          <w:rFonts w:ascii="Arial" w:hAnsi="Arial" w:cs="Arial"/>
          <w:color w:val="000000" w:themeColor="text1"/>
          <w:sz w:val="20"/>
          <w:szCs w:val="20"/>
        </w:rPr>
        <w:t>năm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gần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nhất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tính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tới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ngày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bằng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đồ</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thị</w:t>
      </w:r>
      <w:proofErr w:type="spellEnd"/>
      <w:r w:rsidRPr="0078484C">
        <w:rPr>
          <w:rFonts w:ascii="Arial" w:hAnsi="Arial" w:cs="Arial"/>
          <w:color w:val="000000" w:themeColor="text1"/>
          <w:sz w:val="20"/>
          <w:szCs w:val="20"/>
        </w:rPr>
        <w:t xml:space="preserve">): </w:t>
      </w:r>
      <w:proofErr w:type="spellStart"/>
      <w:r w:rsidRPr="0078484C">
        <w:rPr>
          <w:rFonts w:ascii="Arial" w:hAnsi="Arial" w:cs="Arial"/>
          <w:i/>
          <w:color w:val="000000" w:themeColor="text1"/>
          <w:sz w:val="20"/>
          <w:szCs w:val="20"/>
        </w:rPr>
        <w:t>Quỹ</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không</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áp</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dụng</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danh</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mục</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tham</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chiếu</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chỉ</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số</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tham</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chiếu</w:t>
      </w:r>
      <w:proofErr w:type="spellEnd"/>
      <w:r w:rsidRPr="0078484C">
        <w:rPr>
          <w:rFonts w:ascii="Arial" w:hAnsi="Arial" w:cs="Arial"/>
          <w:i/>
          <w:color w:val="000000" w:themeColor="text1"/>
          <w:sz w:val="20"/>
          <w:szCs w:val="20"/>
        </w:rPr>
        <w:t>.</w:t>
      </w:r>
    </w:p>
    <w:p w14:paraId="39339E66" w14:textId="67A7A955" w:rsidR="00CF73DE" w:rsidRPr="0078484C" w:rsidRDefault="005B6393" w:rsidP="000B1C2C">
      <w:pPr>
        <w:pStyle w:val="ListParagraph"/>
        <w:tabs>
          <w:tab w:val="left" w:pos="270"/>
          <w:tab w:val="left" w:pos="1134"/>
        </w:tabs>
        <w:spacing w:before="120" w:after="120" w:line="240" w:lineRule="auto"/>
        <w:ind w:left="0"/>
        <w:contextualSpacing w:val="0"/>
        <w:jc w:val="both"/>
        <w:rPr>
          <w:rFonts w:ascii="Arial" w:hAnsi="Arial" w:cs="Arial"/>
          <w:b/>
          <w:color w:val="000000" w:themeColor="text1"/>
          <w:sz w:val="20"/>
          <w:szCs w:val="20"/>
        </w:rPr>
      </w:pPr>
      <w:r w:rsidRPr="0078484C">
        <w:rPr>
          <w:rFonts w:ascii="Arial" w:hAnsi="Arial" w:cs="Arial"/>
          <w:color w:val="000000" w:themeColor="text1"/>
          <w:sz w:val="20"/>
          <w:szCs w:val="20"/>
        </w:rPr>
        <w:t xml:space="preserve">e) </w:t>
      </w:r>
      <w:proofErr w:type="spellStart"/>
      <w:r w:rsidRPr="0078484C">
        <w:rPr>
          <w:rFonts w:ascii="Arial" w:hAnsi="Arial" w:cs="Arial"/>
          <w:color w:val="000000" w:themeColor="text1"/>
          <w:sz w:val="20"/>
          <w:szCs w:val="20"/>
        </w:rPr>
        <w:t>Mô</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chiến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lược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chiến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thuật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đầu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tư</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mà</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sử</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dụng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trong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kỳ</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Trường </w:t>
      </w:r>
      <w:proofErr w:type="spellStart"/>
      <w:r w:rsidRPr="0078484C">
        <w:rPr>
          <w:rFonts w:ascii="Arial" w:hAnsi="Arial" w:cs="Arial"/>
          <w:color w:val="000000" w:themeColor="text1"/>
          <w:sz w:val="20"/>
          <w:szCs w:val="20"/>
        </w:rPr>
        <w:t>hợp</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có</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sự</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khác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biệt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giữa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chiến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lược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chiến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thuật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đầu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tư</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thực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hiện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trong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kỳ</w:t>
      </w:r>
      <w:proofErr w:type="spellEnd"/>
      <w:r w:rsidRPr="0078484C">
        <w:rPr>
          <w:rFonts w:ascii="Arial" w:hAnsi="Arial" w:cs="Arial"/>
          <w:color w:val="000000" w:themeColor="text1"/>
          <w:sz w:val="20"/>
          <w:szCs w:val="20"/>
        </w:rPr>
        <w:t xml:space="preserve"> so </w:t>
      </w:r>
      <w:proofErr w:type="spellStart"/>
      <w:r w:rsidRPr="0078484C">
        <w:rPr>
          <w:rFonts w:ascii="Arial" w:hAnsi="Arial" w:cs="Arial"/>
          <w:color w:val="000000" w:themeColor="text1"/>
          <w:sz w:val="20"/>
          <w:szCs w:val="20"/>
        </w:rPr>
        <w:t>với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chiến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lược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chiến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thuật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đầu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tư</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công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bố</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tại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Bản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bạch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thì</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phải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bổ</w:t>
      </w:r>
      <w:proofErr w:type="spellEnd"/>
      <w:r w:rsidRPr="0078484C">
        <w:rPr>
          <w:rFonts w:ascii="Arial" w:hAnsi="Arial" w:cs="Arial"/>
          <w:color w:val="000000" w:themeColor="text1"/>
          <w:sz w:val="20"/>
          <w:szCs w:val="20"/>
        </w:rPr>
        <w:t xml:space="preserve"> sung </w:t>
      </w:r>
      <w:proofErr w:type="spellStart"/>
      <w:r w:rsidRPr="0078484C">
        <w:rPr>
          <w:rFonts w:ascii="Arial" w:hAnsi="Arial" w:cs="Arial"/>
          <w:color w:val="000000" w:themeColor="text1"/>
          <w:sz w:val="20"/>
          <w:szCs w:val="20"/>
        </w:rPr>
        <w:t>thuyết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minh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và</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đánh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giá</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ưu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nhược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điểm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chiến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lược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chiến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thuật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đầu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tư</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thực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hiện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trong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kỳ</w:t>
      </w:r>
      <w:proofErr w:type="spellEnd"/>
      <w:r w:rsidRPr="0078484C">
        <w:rPr>
          <w:rFonts w:ascii="Arial" w:hAnsi="Arial" w:cs="Arial"/>
          <w:color w:val="000000" w:themeColor="text1"/>
          <w:sz w:val="20"/>
          <w:szCs w:val="20"/>
        </w:rPr>
        <w:t xml:space="preserve">: </w:t>
      </w:r>
      <w:r w:rsidRPr="0078484C">
        <w:rPr>
          <w:rFonts w:ascii="Arial" w:hAnsi="Arial" w:cs="Arial"/>
          <w:i/>
          <w:color w:val="000000" w:themeColor="text1"/>
          <w:sz w:val="20"/>
          <w:szCs w:val="20"/>
        </w:rPr>
        <w:t xml:space="preserve">Trong </w:t>
      </w:r>
      <w:proofErr w:type="spellStart"/>
      <w:r w:rsidRPr="0078484C">
        <w:rPr>
          <w:rFonts w:ascii="Arial" w:hAnsi="Arial" w:cs="Arial"/>
          <w:i/>
          <w:color w:val="000000" w:themeColor="text1"/>
          <w:sz w:val="20"/>
          <w:szCs w:val="20"/>
        </w:rPr>
        <w:t>kỳ</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quỹ</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áp</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dụng</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chính</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xác</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các</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chiến</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lược</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chiến</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thuật</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đầu</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tư</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như</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đã</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được</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công</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bố</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trong</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Bản</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cáo</w:t>
      </w:r>
      <w:proofErr w:type="spellEnd"/>
      <w:r w:rsidRPr="0078484C">
        <w:rPr>
          <w:rFonts w:ascii="Arial" w:hAnsi="Arial" w:cs="Arial"/>
          <w:i/>
          <w:color w:val="000000" w:themeColor="text1"/>
          <w:sz w:val="20"/>
          <w:szCs w:val="20"/>
        </w:rPr>
        <w:t xml:space="preserve"> </w:t>
      </w:r>
      <w:proofErr w:type="spellStart"/>
      <w:r w:rsidRPr="0078484C">
        <w:rPr>
          <w:rFonts w:ascii="Arial" w:hAnsi="Arial" w:cs="Arial"/>
          <w:i/>
          <w:color w:val="000000" w:themeColor="text1"/>
          <w:sz w:val="20"/>
          <w:szCs w:val="20"/>
        </w:rPr>
        <w:t>bạch</w:t>
      </w:r>
      <w:proofErr w:type="spellEnd"/>
      <w:r w:rsidR="00892618" w:rsidRPr="0078484C">
        <w:rPr>
          <w:rFonts w:ascii="Arial" w:hAnsi="Arial" w:cs="Arial"/>
          <w:i/>
          <w:color w:val="000000" w:themeColor="text1"/>
          <w:sz w:val="20"/>
          <w:szCs w:val="20"/>
        </w:rPr>
        <w:t xml:space="preserve"> </w:t>
      </w:r>
      <w:r w:rsidR="00413ABA" w:rsidRPr="0078484C">
        <w:rPr>
          <w:rFonts w:ascii="Arial" w:hAnsi="Arial" w:cs="Arial"/>
          <w:i/>
          <w:color w:val="000000" w:themeColor="text1"/>
          <w:sz w:val="20"/>
          <w:szCs w:val="20"/>
        </w:rPr>
        <w:t>(</w:t>
      </w:r>
      <w:proofErr w:type="spellStart"/>
      <w:r w:rsidR="000E384F" w:rsidRPr="0078484C">
        <w:rPr>
          <w:rFonts w:ascii="Arial" w:hAnsi="Arial" w:cs="Arial"/>
          <w:i/>
          <w:color w:val="000000" w:themeColor="text1"/>
          <w:sz w:val="20"/>
          <w:szCs w:val="20"/>
        </w:rPr>
        <w:t>không</w:t>
      </w:r>
      <w:proofErr w:type="spellEnd"/>
      <w:r w:rsidR="000E384F" w:rsidRPr="0078484C">
        <w:rPr>
          <w:rFonts w:ascii="Arial" w:hAnsi="Arial" w:cs="Arial"/>
          <w:i/>
          <w:color w:val="000000" w:themeColor="text1"/>
          <w:sz w:val="20"/>
          <w:szCs w:val="20"/>
        </w:rPr>
        <w:t xml:space="preserve"> </w:t>
      </w:r>
      <w:proofErr w:type="spellStart"/>
      <w:r w:rsidR="00413ABA" w:rsidRPr="0078484C">
        <w:rPr>
          <w:rFonts w:ascii="Arial" w:hAnsi="Arial" w:cs="Arial"/>
          <w:i/>
          <w:color w:val="000000" w:themeColor="text1"/>
          <w:sz w:val="20"/>
          <w:szCs w:val="20"/>
        </w:rPr>
        <w:t>bổ</w:t>
      </w:r>
      <w:proofErr w:type="spellEnd"/>
      <w:r w:rsidR="00413ABA" w:rsidRPr="0078484C">
        <w:rPr>
          <w:rFonts w:ascii="Arial" w:hAnsi="Arial" w:cs="Arial"/>
          <w:i/>
          <w:color w:val="000000" w:themeColor="text1"/>
          <w:sz w:val="20"/>
          <w:szCs w:val="20"/>
        </w:rPr>
        <w:t xml:space="preserve"> sung </w:t>
      </w:r>
      <w:proofErr w:type="spellStart"/>
      <w:r w:rsidR="00413ABA" w:rsidRPr="0078484C">
        <w:rPr>
          <w:rFonts w:ascii="Arial" w:hAnsi="Arial" w:cs="Arial"/>
          <w:i/>
          <w:color w:val="000000" w:themeColor="text1"/>
          <w:sz w:val="20"/>
          <w:szCs w:val="20"/>
        </w:rPr>
        <w:t>gì</w:t>
      </w:r>
      <w:proofErr w:type="spellEnd"/>
      <w:r w:rsidR="00413ABA" w:rsidRPr="0078484C">
        <w:rPr>
          <w:rFonts w:ascii="Arial" w:hAnsi="Arial" w:cs="Arial"/>
          <w:i/>
          <w:color w:val="000000" w:themeColor="text1"/>
          <w:sz w:val="20"/>
          <w:szCs w:val="20"/>
        </w:rPr>
        <w:t xml:space="preserve"> </w:t>
      </w:r>
      <w:proofErr w:type="spellStart"/>
      <w:r w:rsidR="00413ABA" w:rsidRPr="0078484C">
        <w:rPr>
          <w:rFonts w:ascii="Arial" w:hAnsi="Arial" w:cs="Arial"/>
          <w:i/>
          <w:color w:val="000000" w:themeColor="text1"/>
          <w:sz w:val="20"/>
          <w:szCs w:val="20"/>
        </w:rPr>
        <w:t>thêm</w:t>
      </w:r>
      <w:proofErr w:type="spellEnd"/>
      <w:r w:rsidR="00413ABA" w:rsidRPr="0078484C">
        <w:rPr>
          <w:rFonts w:ascii="Arial" w:hAnsi="Arial" w:cs="Arial"/>
          <w:i/>
          <w:color w:val="000000" w:themeColor="text1"/>
          <w:sz w:val="20"/>
          <w:szCs w:val="20"/>
        </w:rPr>
        <w:t>)</w:t>
      </w:r>
    </w:p>
    <w:p w14:paraId="0C508FDE" w14:textId="02A299BB" w:rsidR="00CF73DE" w:rsidRPr="0078484C" w:rsidRDefault="005B6393" w:rsidP="000B1C2C">
      <w:pPr>
        <w:pStyle w:val="ListParagraph"/>
        <w:tabs>
          <w:tab w:val="left" w:pos="270"/>
          <w:tab w:val="left" w:pos="1134"/>
        </w:tabs>
        <w:spacing w:before="120" w:after="120"/>
        <w:ind w:left="0"/>
        <w:contextualSpacing w:val="0"/>
        <w:jc w:val="both"/>
        <w:rPr>
          <w:rFonts w:ascii="Arial" w:hAnsi="Arial" w:cs="Arial"/>
          <w:i/>
          <w:color w:val="000000" w:themeColor="text1"/>
          <w:sz w:val="20"/>
          <w:szCs w:val="20"/>
        </w:rPr>
      </w:pPr>
      <w:r w:rsidRPr="0078484C">
        <w:rPr>
          <w:rFonts w:ascii="Arial" w:hAnsi="Arial" w:cs="Arial"/>
          <w:color w:val="000000" w:themeColor="text1"/>
          <w:sz w:val="20"/>
          <w:szCs w:val="20"/>
        </w:rPr>
        <w:t xml:space="preserve">f) </w:t>
      </w:r>
      <w:proofErr w:type="spellStart"/>
      <w:r w:rsidRPr="0078484C">
        <w:rPr>
          <w:rFonts w:ascii="Arial" w:hAnsi="Arial" w:cs="Arial"/>
          <w:color w:val="000000" w:themeColor="text1"/>
          <w:sz w:val="20"/>
          <w:szCs w:val="20"/>
        </w:rPr>
        <w:t>Mô</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sự</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khác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biệt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về</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cơ</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cấu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danh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mục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đầu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tư</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tại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thời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điểm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so </w:t>
      </w:r>
      <w:proofErr w:type="spellStart"/>
      <w:r w:rsidRPr="0078484C">
        <w:rPr>
          <w:rFonts w:ascii="Arial" w:hAnsi="Arial" w:cs="Arial"/>
          <w:color w:val="000000" w:themeColor="text1"/>
          <w:sz w:val="20"/>
          <w:szCs w:val="20"/>
        </w:rPr>
        <w:t>với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danh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mục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đầu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tư</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năm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liền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kề</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năm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i/>
          <w:color w:val="000000" w:themeColor="text1"/>
          <w:sz w:val="20"/>
          <w:szCs w:val="20"/>
        </w:rPr>
        <w:t>:</w:t>
      </w:r>
    </w:p>
    <w:p w14:paraId="0B729755" w14:textId="77777777" w:rsidR="008852D8" w:rsidRPr="0078484C" w:rsidRDefault="008852D8" w:rsidP="000B1C2C">
      <w:pPr>
        <w:jc w:val="both"/>
        <w:rPr>
          <w:rFonts w:ascii="Arial" w:eastAsia="Times New Roman" w:hAnsi="Arial" w:cs="Arial"/>
          <w:sz w:val="20"/>
          <w:szCs w:val="20"/>
        </w:rPr>
      </w:pPr>
      <w:r w:rsidRPr="0078484C">
        <w:rPr>
          <w:rFonts w:ascii="Arial" w:eastAsia="Times New Roman" w:hAnsi="Arial" w:cs="Arial"/>
          <w:sz w:val="20"/>
          <w:szCs w:val="20"/>
        </w:rPr>
        <w:t xml:space="preserve">Trong </w:t>
      </w:r>
      <w:proofErr w:type="spellStart"/>
      <w:r w:rsidRPr="0078484C">
        <w:rPr>
          <w:rFonts w:ascii="Arial" w:eastAsia="Times New Roman" w:hAnsi="Arial" w:cs="Arial"/>
          <w:sz w:val="20"/>
          <w:szCs w:val="20"/>
        </w:rPr>
        <w:t>năm</w:t>
      </w:r>
      <w:proofErr w:type="spellEnd"/>
      <w:r w:rsidRPr="0078484C">
        <w:rPr>
          <w:rFonts w:ascii="Arial" w:eastAsia="Times New Roman" w:hAnsi="Arial" w:cs="Arial"/>
          <w:sz w:val="20"/>
          <w:szCs w:val="20"/>
        </w:rPr>
        <w:t xml:space="preserve"> 2023, </w:t>
      </w:r>
      <w:proofErr w:type="spellStart"/>
      <w:r w:rsidRPr="0078484C">
        <w:rPr>
          <w:rFonts w:ascii="Arial" w:eastAsia="Times New Roman" w:hAnsi="Arial" w:cs="Arial"/>
          <w:sz w:val="20"/>
          <w:szCs w:val="20"/>
        </w:rPr>
        <w:t>quỹ</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thực</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hiện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một</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số</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giao</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dịch</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liên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quan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đến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trái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phiếu</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doanh</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nghiệp</w:t>
      </w:r>
      <w:proofErr w:type="spellEnd"/>
      <w:r w:rsidRPr="0078484C">
        <w:rPr>
          <w:rFonts w:ascii="Arial" w:eastAsia="Times New Roman" w:hAnsi="Arial" w:cs="Arial"/>
          <w:sz w:val="20"/>
          <w:szCs w:val="20"/>
        </w:rPr>
        <w:t xml:space="preserve"> (TPDN) </w:t>
      </w:r>
      <w:proofErr w:type="spellStart"/>
      <w:r w:rsidRPr="0078484C">
        <w:rPr>
          <w:rFonts w:ascii="Arial" w:eastAsia="Times New Roman" w:hAnsi="Arial" w:cs="Arial"/>
          <w:sz w:val="20"/>
          <w:szCs w:val="20"/>
        </w:rPr>
        <w:t>và</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trái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phiếu</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Chính</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phủ</w:t>
      </w:r>
      <w:proofErr w:type="spellEnd"/>
      <w:r w:rsidRPr="0078484C">
        <w:rPr>
          <w:rFonts w:ascii="Arial" w:eastAsia="Times New Roman" w:hAnsi="Arial" w:cs="Arial"/>
          <w:sz w:val="20"/>
          <w:szCs w:val="20"/>
        </w:rPr>
        <w:t xml:space="preserve"> (TPCP), </w:t>
      </w:r>
      <w:proofErr w:type="spellStart"/>
      <w:r w:rsidRPr="0078484C">
        <w:rPr>
          <w:rFonts w:ascii="Arial" w:eastAsia="Times New Roman" w:hAnsi="Arial" w:cs="Arial"/>
          <w:sz w:val="20"/>
          <w:szCs w:val="20"/>
        </w:rPr>
        <w:t>theo</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đó</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giảm</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tỷ</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trọng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đầu</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tư</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vào</w:t>
      </w:r>
      <w:proofErr w:type="spellEnd"/>
      <w:r w:rsidRPr="0078484C">
        <w:rPr>
          <w:rFonts w:ascii="Arial" w:eastAsia="Times New Roman" w:hAnsi="Arial" w:cs="Arial"/>
          <w:sz w:val="20"/>
          <w:szCs w:val="20"/>
        </w:rPr>
        <w:t xml:space="preserve"> TPDN </w:t>
      </w:r>
      <w:proofErr w:type="spellStart"/>
      <w:r w:rsidRPr="0078484C">
        <w:rPr>
          <w:rFonts w:ascii="Arial" w:eastAsia="Times New Roman" w:hAnsi="Arial" w:cs="Arial"/>
          <w:sz w:val="20"/>
          <w:szCs w:val="20"/>
        </w:rPr>
        <w:t>và</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tăng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tỷ</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trọng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khoản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đầu</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tư</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trái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phiếu</w:t>
      </w:r>
      <w:proofErr w:type="spellEnd"/>
      <w:r w:rsidRPr="0078484C">
        <w:rPr>
          <w:rFonts w:ascii="Arial" w:eastAsia="Times New Roman" w:hAnsi="Arial" w:cs="Arial"/>
          <w:sz w:val="20"/>
          <w:szCs w:val="20"/>
        </w:rPr>
        <w:t xml:space="preserve"> TPCP </w:t>
      </w:r>
      <w:proofErr w:type="spellStart"/>
      <w:r w:rsidRPr="0078484C">
        <w:rPr>
          <w:rFonts w:ascii="Arial" w:eastAsia="Times New Roman" w:hAnsi="Arial" w:cs="Arial"/>
          <w:sz w:val="20"/>
          <w:szCs w:val="20"/>
        </w:rPr>
        <w:t>và</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đồng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thời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tăng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tỷ</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trọng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khoản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tiền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mặt</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và</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tiền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gửi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Tại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thời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điểm</w:t>
      </w:r>
      <w:proofErr w:type="spellEnd"/>
      <w:r w:rsidRPr="0078484C">
        <w:rPr>
          <w:rFonts w:ascii="Arial" w:eastAsia="Times New Roman" w:hAnsi="Arial" w:cs="Arial"/>
          <w:sz w:val="20"/>
          <w:szCs w:val="20"/>
        </w:rPr>
        <w:t xml:space="preserve"> 31/12/2023, </w:t>
      </w:r>
      <w:proofErr w:type="spellStart"/>
      <w:r w:rsidRPr="0078484C">
        <w:rPr>
          <w:rFonts w:ascii="Arial" w:eastAsia="Times New Roman" w:hAnsi="Arial" w:cs="Arial"/>
          <w:sz w:val="20"/>
          <w:szCs w:val="20"/>
        </w:rPr>
        <w:t>khoản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đầu</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tư</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vào</w:t>
      </w:r>
      <w:proofErr w:type="spellEnd"/>
      <w:r w:rsidRPr="0078484C">
        <w:rPr>
          <w:rFonts w:ascii="Arial" w:eastAsia="Times New Roman" w:hAnsi="Arial" w:cs="Arial"/>
          <w:sz w:val="20"/>
          <w:szCs w:val="20"/>
        </w:rPr>
        <w:t xml:space="preserve"> TPDN, </w:t>
      </w:r>
      <w:proofErr w:type="spellStart"/>
      <w:r w:rsidRPr="0078484C">
        <w:rPr>
          <w:rFonts w:ascii="Arial" w:eastAsia="Times New Roman" w:hAnsi="Arial" w:cs="Arial"/>
          <w:sz w:val="20"/>
          <w:szCs w:val="20"/>
        </w:rPr>
        <w:t>chiếm</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tỷ</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trọng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lớn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nhất</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danh</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mục</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quỹ</w:t>
      </w:r>
      <w:proofErr w:type="spellEnd"/>
      <w:r w:rsidRPr="0078484C">
        <w:rPr>
          <w:rFonts w:ascii="Arial" w:eastAsia="Times New Roman" w:hAnsi="Arial" w:cs="Arial"/>
          <w:sz w:val="20"/>
          <w:szCs w:val="20"/>
        </w:rPr>
        <w:t xml:space="preserve"> ở </w:t>
      </w:r>
      <w:proofErr w:type="spellStart"/>
      <w:r w:rsidRPr="0078484C">
        <w:rPr>
          <w:rFonts w:ascii="Arial" w:eastAsia="Times New Roman" w:hAnsi="Arial" w:cs="Arial"/>
          <w:sz w:val="20"/>
          <w:szCs w:val="20"/>
        </w:rPr>
        <w:t>mức</w:t>
      </w:r>
      <w:proofErr w:type="spellEnd"/>
      <w:r w:rsidRPr="0078484C">
        <w:rPr>
          <w:rFonts w:ascii="Arial" w:eastAsia="Times New Roman" w:hAnsi="Arial" w:cs="Arial"/>
          <w:sz w:val="20"/>
          <w:szCs w:val="20"/>
        </w:rPr>
        <w:t xml:space="preserve"> 69,8% (</w:t>
      </w:r>
      <w:proofErr w:type="spellStart"/>
      <w:r w:rsidRPr="0078484C">
        <w:rPr>
          <w:rFonts w:ascii="Arial" w:eastAsia="Times New Roman" w:hAnsi="Arial" w:cs="Arial"/>
          <w:sz w:val="20"/>
          <w:szCs w:val="20"/>
        </w:rPr>
        <w:t>trong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đó</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khoảng</w:t>
      </w:r>
      <w:proofErr w:type="spellEnd"/>
      <w:r w:rsidRPr="0078484C">
        <w:rPr>
          <w:rFonts w:ascii="Arial" w:eastAsia="Times New Roman" w:hAnsi="Arial" w:cs="Arial"/>
          <w:sz w:val="20"/>
          <w:szCs w:val="20"/>
        </w:rPr>
        <w:t xml:space="preserve"> 30% </w:t>
      </w:r>
      <w:proofErr w:type="spellStart"/>
      <w:r w:rsidRPr="0078484C">
        <w:rPr>
          <w:rFonts w:ascii="Arial" w:eastAsia="Times New Roman" w:hAnsi="Arial" w:cs="Arial"/>
          <w:sz w:val="20"/>
          <w:szCs w:val="20"/>
        </w:rPr>
        <w:t>là</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trái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phiếu</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doanh</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nghiệp</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kỳ</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hạn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dưới</w:t>
      </w:r>
      <w:proofErr w:type="spellEnd"/>
      <w:r w:rsidRPr="0078484C">
        <w:rPr>
          <w:rFonts w:ascii="Arial" w:eastAsia="Times New Roman" w:hAnsi="Arial" w:cs="Arial"/>
          <w:sz w:val="20"/>
          <w:szCs w:val="20"/>
        </w:rPr>
        <w:t xml:space="preserve"> 1 </w:t>
      </w:r>
      <w:proofErr w:type="spellStart"/>
      <w:r w:rsidRPr="0078484C">
        <w:rPr>
          <w:rFonts w:ascii="Arial" w:eastAsia="Times New Roman" w:hAnsi="Arial" w:cs="Arial"/>
          <w:sz w:val="20"/>
          <w:szCs w:val="20"/>
        </w:rPr>
        <w:t>năm</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tiếp</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đến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là</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tiền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mặt</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và</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tiền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gửi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ngân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hàng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với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tổng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tỷ</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trọng</w:t>
      </w:r>
      <w:proofErr w:type="spellEnd"/>
      <w:r w:rsidRPr="0078484C">
        <w:rPr>
          <w:rFonts w:ascii="Arial" w:eastAsia="Times New Roman" w:hAnsi="Arial" w:cs="Arial"/>
          <w:sz w:val="20"/>
          <w:szCs w:val="20"/>
        </w:rPr>
        <w:t xml:space="preserve"> 14,0%, </w:t>
      </w:r>
      <w:proofErr w:type="spellStart"/>
      <w:r w:rsidRPr="0078484C">
        <w:rPr>
          <w:rFonts w:ascii="Arial" w:eastAsia="Times New Roman" w:hAnsi="Arial" w:cs="Arial"/>
          <w:sz w:val="20"/>
          <w:szCs w:val="20"/>
        </w:rPr>
        <w:t>khoản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đầu</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tư</w:t>
      </w:r>
      <w:proofErr w:type="spellEnd"/>
      <w:r w:rsidRPr="0078484C">
        <w:rPr>
          <w:rFonts w:ascii="Arial" w:eastAsia="Times New Roman" w:hAnsi="Arial" w:cs="Arial"/>
          <w:sz w:val="20"/>
          <w:szCs w:val="20"/>
        </w:rPr>
        <w:t xml:space="preserve"> TPCP </w:t>
      </w:r>
      <w:proofErr w:type="spellStart"/>
      <w:r w:rsidRPr="0078484C">
        <w:rPr>
          <w:rFonts w:ascii="Arial" w:eastAsia="Times New Roman" w:hAnsi="Arial" w:cs="Arial"/>
          <w:sz w:val="20"/>
          <w:szCs w:val="20"/>
        </w:rPr>
        <w:t>với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tỷ</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trọng</w:t>
      </w:r>
      <w:proofErr w:type="spellEnd"/>
      <w:r w:rsidRPr="0078484C">
        <w:rPr>
          <w:rFonts w:ascii="Arial" w:eastAsia="Times New Roman" w:hAnsi="Arial" w:cs="Arial"/>
          <w:sz w:val="20"/>
          <w:szCs w:val="20"/>
        </w:rPr>
        <w:t xml:space="preserve"> 8,9%, </w:t>
      </w:r>
      <w:proofErr w:type="spellStart"/>
      <w:r w:rsidRPr="0078484C">
        <w:rPr>
          <w:rFonts w:ascii="Arial" w:eastAsia="Times New Roman" w:hAnsi="Arial" w:cs="Arial"/>
          <w:sz w:val="20"/>
          <w:szCs w:val="20"/>
        </w:rPr>
        <w:t>và</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khoản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đầu</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tư</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chứng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chỉ</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tiền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gửi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chiếm</w:t>
      </w:r>
      <w:proofErr w:type="spellEnd"/>
      <w:r w:rsidRPr="0078484C">
        <w:rPr>
          <w:rFonts w:ascii="Arial" w:eastAsia="Times New Roman" w:hAnsi="Arial" w:cs="Arial"/>
          <w:sz w:val="20"/>
          <w:szCs w:val="20"/>
        </w:rPr>
        <w:t xml:space="preserve"> 7,4%. </w:t>
      </w:r>
      <w:proofErr w:type="spellStart"/>
      <w:r w:rsidRPr="0078484C">
        <w:rPr>
          <w:rFonts w:ascii="Arial" w:eastAsia="Times New Roman" w:hAnsi="Arial" w:cs="Arial"/>
          <w:sz w:val="20"/>
          <w:szCs w:val="20"/>
        </w:rPr>
        <w:t>Kỳ</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hạn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trung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bình</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còn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lại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của</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danh</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mục</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khoảng</w:t>
      </w:r>
      <w:proofErr w:type="spellEnd"/>
      <w:r w:rsidRPr="0078484C">
        <w:rPr>
          <w:rFonts w:ascii="Arial" w:eastAsia="Times New Roman" w:hAnsi="Arial" w:cs="Arial"/>
          <w:sz w:val="20"/>
          <w:szCs w:val="20"/>
        </w:rPr>
        <w:t xml:space="preserve"> 1,8 </w:t>
      </w:r>
      <w:proofErr w:type="spellStart"/>
      <w:r w:rsidRPr="0078484C">
        <w:rPr>
          <w:rFonts w:ascii="Arial" w:eastAsia="Times New Roman" w:hAnsi="Arial" w:cs="Arial"/>
          <w:sz w:val="20"/>
          <w:szCs w:val="20"/>
        </w:rPr>
        <w:t>năm</w:t>
      </w:r>
      <w:proofErr w:type="spellEnd"/>
      <w:r w:rsidRPr="0078484C">
        <w:rPr>
          <w:rFonts w:ascii="Arial" w:eastAsia="Times New Roman" w:hAnsi="Arial" w:cs="Arial"/>
          <w:sz w:val="20"/>
          <w:szCs w:val="20"/>
        </w:rPr>
        <w:t xml:space="preserve">. Danh </w:t>
      </w:r>
      <w:proofErr w:type="spellStart"/>
      <w:r w:rsidRPr="0078484C">
        <w:rPr>
          <w:rFonts w:ascii="Arial" w:eastAsia="Times New Roman" w:hAnsi="Arial" w:cs="Arial"/>
          <w:sz w:val="20"/>
          <w:szCs w:val="20"/>
        </w:rPr>
        <w:t>mục</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này</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hiện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đang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có</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mức</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lãi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suất</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tái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đầu</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tư</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tốt</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và</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được</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kỳ</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vọng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sẽ</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duy</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trì</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ổn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định</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trong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những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tháng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tiếp</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theo.</w:t>
      </w:r>
      <w:proofErr w:type="spellEnd"/>
      <w:r w:rsidRPr="0078484C">
        <w:rPr>
          <w:rFonts w:ascii="Arial" w:eastAsia="Times New Roman" w:hAnsi="Arial" w:cs="Arial"/>
          <w:sz w:val="20"/>
          <w:szCs w:val="20"/>
        </w:rPr>
        <w:t xml:space="preserve"> </w:t>
      </w:r>
    </w:p>
    <w:p w14:paraId="41F52A3E" w14:textId="5CDFA966" w:rsidR="00656740" w:rsidRPr="0078484C" w:rsidRDefault="00656740" w:rsidP="000B1C2C">
      <w:pPr>
        <w:jc w:val="both"/>
        <w:rPr>
          <w:rFonts w:ascii="Arial" w:hAnsi="Arial" w:cs="Arial"/>
          <w:sz w:val="20"/>
          <w:szCs w:val="20"/>
        </w:rPr>
      </w:pPr>
      <w:proofErr w:type="spellStart"/>
      <w:r w:rsidRPr="0078484C">
        <w:rPr>
          <w:rFonts w:ascii="Arial" w:eastAsia="Times New Roman" w:hAnsi="Arial" w:cs="Arial"/>
          <w:sz w:val="20"/>
          <w:szCs w:val="20"/>
        </w:rPr>
        <w:t>Ư</w:t>
      </w:r>
      <w:r w:rsidR="000E384F" w:rsidRPr="0078484C">
        <w:rPr>
          <w:rFonts w:ascii="Arial" w:eastAsia="Times New Roman" w:hAnsi="Arial" w:cs="Arial"/>
          <w:sz w:val="20"/>
          <w:szCs w:val="20"/>
        </w:rPr>
        <w:t>u</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tiên</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hàng</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đầu</w:t>
      </w:r>
      <w:proofErr w:type="spellEnd"/>
      <w:r w:rsidR="000E384F"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của</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quỹ</w:t>
      </w:r>
      <w:proofErr w:type="spellEnd"/>
      <w:r w:rsidRPr="0078484C">
        <w:rPr>
          <w:rFonts w:ascii="Arial" w:eastAsia="Times New Roman" w:hAnsi="Arial" w:cs="Arial"/>
          <w:sz w:val="20"/>
          <w:szCs w:val="20"/>
        </w:rPr>
        <w:t xml:space="preserve"> </w:t>
      </w:r>
      <w:r w:rsidR="000E384F" w:rsidRPr="0078484C">
        <w:rPr>
          <w:rFonts w:ascii="Arial" w:eastAsia="Times New Roman" w:hAnsi="Arial" w:cs="Arial"/>
          <w:sz w:val="20"/>
          <w:szCs w:val="20"/>
        </w:rPr>
        <w:t xml:space="preserve">là </w:t>
      </w:r>
      <w:proofErr w:type="spellStart"/>
      <w:r w:rsidR="000E384F" w:rsidRPr="0078484C">
        <w:rPr>
          <w:rFonts w:ascii="Arial" w:eastAsia="Times New Roman" w:hAnsi="Arial" w:cs="Arial"/>
          <w:sz w:val="20"/>
          <w:szCs w:val="20"/>
        </w:rPr>
        <w:t>đảm</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bảo</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tính</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thanh</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khoản</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cao</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của</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danh</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mục</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đầu</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tư</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đồng</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thời</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mang</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lại</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một</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mức</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lợi</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nhuận</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tốt</w:t>
      </w:r>
      <w:proofErr w:type="spellEnd"/>
      <w:r w:rsidRPr="0078484C">
        <w:rPr>
          <w:rFonts w:ascii="Arial" w:eastAsia="Times New Roman" w:hAnsi="Arial" w:cs="Arial"/>
          <w:sz w:val="20"/>
          <w:szCs w:val="20"/>
        </w:rPr>
        <w:t>.</w:t>
      </w:r>
      <w:r w:rsidR="000E384F"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Vì</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vậy</w:t>
      </w:r>
      <w:proofErr w:type="spellEnd"/>
      <w:r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quỹ</w:t>
      </w:r>
      <w:proofErr w:type="spellEnd"/>
      <w:r w:rsidR="000E384F"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luôn</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duy</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trì</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khoản</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tiền</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và</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tương</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đương</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tiền</w:t>
      </w:r>
      <w:proofErr w:type="spellEnd"/>
      <w:r w:rsidR="000E384F" w:rsidRPr="0078484C">
        <w:rPr>
          <w:rFonts w:ascii="Arial" w:eastAsia="Times New Roman" w:hAnsi="Arial" w:cs="Arial"/>
          <w:sz w:val="20"/>
          <w:szCs w:val="20"/>
        </w:rPr>
        <w:t xml:space="preserve"> ở </w:t>
      </w:r>
      <w:proofErr w:type="spellStart"/>
      <w:r w:rsidR="000E384F" w:rsidRPr="0078484C">
        <w:rPr>
          <w:rFonts w:ascii="Arial" w:eastAsia="Times New Roman" w:hAnsi="Arial" w:cs="Arial"/>
          <w:sz w:val="20"/>
          <w:szCs w:val="20"/>
        </w:rPr>
        <w:t>mức</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phù</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hợp</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đáp</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ứng</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thanh</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khoản</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cho</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nhà</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đầu</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tư</w:t>
      </w:r>
      <w:proofErr w:type="spellEnd"/>
      <w:r w:rsidR="000E384F" w:rsidRPr="0078484C">
        <w:rPr>
          <w:rFonts w:ascii="Arial" w:eastAsia="Times New Roman" w:hAnsi="Arial" w:cs="Arial"/>
          <w:sz w:val="20"/>
          <w:szCs w:val="20"/>
        </w:rPr>
        <w:t xml:space="preserve">, song </w:t>
      </w:r>
      <w:proofErr w:type="spellStart"/>
      <w:r w:rsidR="000E384F" w:rsidRPr="0078484C">
        <w:rPr>
          <w:rFonts w:ascii="Arial" w:eastAsia="Times New Roman" w:hAnsi="Arial" w:cs="Arial"/>
          <w:sz w:val="20"/>
          <w:szCs w:val="20"/>
        </w:rPr>
        <w:t>song</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với</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việc</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tiếp</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tục</w:t>
      </w:r>
      <w:proofErr w:type="spellEnd"/>
      <w:r w:rsidR="000E384F"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giữ</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mức</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phân</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bổ</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lớn</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vào</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các</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trái</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phiếu</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doanh</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nghiệp</w:t>
      </w:r>
      <w:proofErr w:type="spellEnd"/>
      <w:r w:rsidR="000E384F" w:rsidRPr="0078484C">
        <w:rPr>
          <w:rFonts w:ascii="Arial" w:eastAsia="Times New Roman" w:hAnsi="Arial" w:cs="Arial"/>
          <w:sz w:val="20"/>
          <w:szCs w:val="20"/>
        </w:rPr>
        <w:t xml:space="preserve"> </w:t>
      </w:r>
      <w:proofErr w:type="spellStart"/>
      <w:r w:rsidR="000E384F" w:rsidRPr="0078484C">
        <w:rPr>
          <w:rFonts w:ascii="Arial" w:eastAsia="Times New Roman" w:hAnsi="Arial" w:cs="Arial"/>
          <w:sz w:val="20"/>
          <w:szCs w:val="20"/>
        </w:rPr>
        <w:t>tốt</w:t>
      </w:r>
      <w:proofErr w:type="spellEnd"/>
      <w:r w:rsidR="000E384F" w:rsidRPr="0078484C">
        <w:rPr>
          <w:rFonts w:ascii="Arial" w:eastAsia="Times New Roman" w:hAnsi="Arial" w:cs="Arial"/>
          <w:sz w:val="20"/>
          <w:szCs w:val="20"/>
        </w:rPr>
        <w:t>.</w:t>
      </w:r>
    </w:p>
    <w:p w14:paraId="09ABDED7" w14:textId="70DC029D" w:rsidR="00494E10" w:rsidRPr="0078484C" w:rsidRDefault="005B6393" w:rsidP="000B1C2C">
      <w:pPr>
        <w:pStyle w:val="ListParagraph"/>
        <w:tabs>
          <w:tab w:val="left" w:pos="270"/>
          <w:tab w:val="left" w:pos="1134"/>
        </w:tabs>
        <w:spacing w:before="120" w:after="120"/>
        <w:ind w:left="0"/>
        <w:contextualSpacing w:val="0"/>
        <w:jc w:val="both"/>
        <w:rPr>
          <w:rFonts w:ascii="Arial" w:hAnsi="Arial" w:cs="Arial"/>
          <w:color w:val="000000" w:themeColor="text1"/>
          <w:sz w:val="20"/>
          <w:szCs w:val="20"/>
        </w:rPr>
      </w:pPr>
      <w:r w:rsidRPr="0078484C">
        <w:rPr>
          <w:rFonts w:ascii="Arial" w:hAnsi="Arial" w:cs="Arial"/>
          <w:color w:val="000000" w:themeColor="text1"/>
          <w:sz w:val="20"/>
          <w:szCs w:val="20"/>
        </w:rPr>
        <w:t xml:space="preserve">g) </w:t>
      </w:r>
      <w:proofErr w:type="spellStart"/>
      <w:r w:rsidRPr="0078484C">
        <w:rPr>
          <w:rFonts w:ascii="Arial" w:hAnsi="Arial" w:cs="Arial"/>
          <w:color w:val="000000" w:themeColor="text1"/>
          <w:sz w:val="20"/>
          <w:szCs w:val="20"/>
        </w:rPr>
        <w:t>Phân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tích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kết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hoạt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động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dựa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trên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việc</w:t>
      </w:r>
      <w:proofErr w:type="spellEnd"/>
      <w:r w:rsidRPr="0078484C">
        <w:rPr>
          <w:rFonts w:ascii="Arial" w:hAnsi="Arial" w:cs="Arial"/>
          <w:color w:val="000000" w:themeColor="text1"/>
          <w:sz w:val="20"/>
          <w:szCs w:val="20"/>
        </w:rPr>
        <w:t xml:space="preserve"> so </w:t>
      </w:r>
      <w:proofErr w:type="spellStart"/>
      <w:r w:rsidRPr="0078484C">
        <w:rPr>
          <w:rFonts w:ascii="Arial" w:hAnsi="Arial" w:cs="Arial"/>
          <w:color w:val="000000" w:themeColor="text1"/>
          <w:sz w:val="20"/>
          <w:szCs w:val="20"/>
        </w:rPr>
        <w:t>sánh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giá</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trị</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tài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sản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ròng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trên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một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đơn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vị</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sau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khi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điều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chỉnh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phần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lợi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nhuận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phân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phối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tại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kỳ</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này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tại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kỳ</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gần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nhất</w:t>
      </w:r>
      <w:proofErr w:type="spellEnd"/>
      <w:r w:rsidRPr="0078484C">
        <w:rPr>
          <w:rFonts w:ascii="Arial" w:hAnsi="Arial" w:cs="Arial"/>
          <w:color w:val="000000" w:themeColor="text1"/>
          <w:sz w:val="20"/>
          <w:szCs w:val="20"/>
        </w:rPr>
        <w:t>:</w:t>
      </w:r>
      <w:r w:rsidR="009834F4" w:rsidRPr="0078484C">
        <w:rPr>
          <w:rFonts w:ascii="Arial" w:hAnsi="Arial" w:cs="Arial"/>
          <w:color w:val="000000" w:themeColor="text1"/>
          <w:sz w:val="20"/>
          <w:szCs w:val="20"/>
        </w:rPr>
        <w:t xml:space="preserve"> </w:t>
      </w:r>
      <w:r w:rsidR="002A551E" w:rsidRPr="0078484C">
        <w:rPr>
          <w:rFonts w:ascii="Arial" w:hAnsi="Arial" w:cs="Arial"/>
          <w:color w:val="000000" w:themeColor="text1"/>
          <w:sz w:val="20"/>
          <w:szCs w:val="20"/>
        </w:rPr>
        <w:t xml:space="preserve"> </w:t>
      </w:r>
    </w:p>
    <w:p w14:paraId="6707CC54" w14:textId="738D2F45" w:rsidR="009416CD" w:rsidRPr="0078484C" w:rsidRDefault="00C34F4F" w:rsidP="000B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rPr>
      </w:pPr>
      <w:proofErr w:type="spellStart"/>
      <w:r w:rsidRPr="0078484C">
        <w:rPr>
          <w:rFonts w:ascii="Arial" w:eastAsia="Times New Roman" w:hAnsi="Arial" w:cs="Arial"/>
          <w:sz w:val="20"/>
          <w:szCs w:val="20"/>
        </w:rPr>
        <w:t>Tại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thời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điểm</w:t>
      </w:r>
      <w:proofErr w:type="spellEnd"/>
      <w:r w:rsidRPr="0078484C">
        <w:rPr>
          <w:rFonts w:ascii="Arial" w:eastAsia="Times New Roman" w:hAnsi="Arial" w:cs="Arial"/>
          <w:sz w:val="20"/>
          <w:szCs w:val="20"/>
        </w:rPr>
        <w:t xml:space="preserve"> 31 </w:t>
      </w:r>
      <w:proofErr w:type="spellStart"/>
      <w:r w:rsidRPr="0078484C">
        <w:rPr>
          <w:rFonts w:ascii="Arial" w:eastAsia="Times New Roman" w:hAnsi="Arial" w:cs="Arial"/>
          <w:sz w:val="20"/>
          <w:szCs w:val="20"/>
        </w:rPr>
        <w:t>tháng</w:t>
      </w:r>
      <w:proofErr w:type="spellEnd"/>
      <w:r w:rsidRPr="0078484C">
        <w:rPr>
          <w:rFonts w:ascii="Arial" w:eastAsia="Times New Roman" w:hAnsi="Arial" w:cs="Arial"/>
          <w:sz w:val="20"/>
          <w:szCs w:val="20"/>
        </w:rPr>
        <w:t xml:space="preserve"> 12 </w:t>
      </w:r>
      <w:proofErr w:type="spellStart"/>
      <w:r w:rsidRPr="0078484C">
        <w:rPr>
          <w:rFonts w:ascii="Arial" w:eastAsia="Times New Roman" w:hAnsi="Arial" w:cs="Arial"/>
          <w:sz w:val="20"/>
          <w:szCs w:val="20"/>
        </w:rPr>
        <w:t>năm</w:t>
      </w:r>
      <w:proofErr w:type="spellEnd"/>
      <w:r w:rsidRPr="0078484C">
        <w:rPr>
          <w:rFonts w:ascii="Arial" w:eastAsia="Times New Roman" w:hAnsi="Arial" w:cs="Arial"/>
          <w:sz w:val="20"/>
          <w:szCs w:val="20"/>
        </w:rPr>
        <w:t xml:space="preserve"> 2023, </w:t>
      </w:r>
      <w:proofErr w:type="spellStart"/>
      <w:r w:rsidRPr="0078484C">
        <w:rPr>
          <w:rFonts w:ascii="Arial" w:eastAsia="Times New Roman" w:hAnsi="Arial" w:cs="Arial"/>
          <w:sz w:val="20"/>
          <w:szCs w:val="20"/>
        </w:rPr>
        <w:t>giá</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trị</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tài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sản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ròng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của</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đơn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vị</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quỹ</w:t>
      </w:r>
      <w:proofErr w:type="spellEnd"/>
      <w:r w:rsidRPr="0078484C">
        <w:rPr>
          <w:rFonts w:ascii="Arial" w:eastAsia="Times New Roman" w:hAnsi="Arial" w:cs="Arial"/>
          <w:sz w:val="20"/>
          <w:szCs w:val="20"/>
        </w:rPr>
        <w:t xml:space="preserve"> DCBF (NAV/CCQ) ở </w:t>
      </w:r>
      <w:proofErr w:type="spellStart"/>
      <w:r w:rsidRPr="0078484C">
        <w:rPr>
          <w:rFonts w:ascii="Arial" w:eastAsia="Times New Roman" w:hAnsi="Arial" w:cs="Arial"/>
          <w:sz w:val="20"/>
          <w:szCs w:val="20"/>
        </w:rPr>
        <w:t>mức</w:t>
      </w:r>
      <w:proofErr w:type="spellEnd"/>
      <w:r w:rsidRPr="0078484C">
        <w:rPr>
          <w:rFonts w:ascii="Arial" w:eastAsia="Times New Roman" w:hAnsi="Arial" w:cs="Arial"/>
          <w:sz w:val="20"/>
          <w:szCs w:val="20"/>
        </w:rPr>
        <w:t xml:space="preserve"> 25.389,6 </w:t>
      </w:r>
      <w:proofErr w:type="spellStart"/>
      <w:r w:rsidRPr="0078484C">
        <w:rPr>
          <w:rFonts w:ascii="Arial" w:eastAsia="Times New Roman" w:hAnsi="Arial" w:cs="Arial"/>
          <w:sz w:val="20"/>
          <w:szCs w:val="20"/>
        </w:rPr>
        <w:t>đồng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với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mức</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tăng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trưởng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cả</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năm</w:t>
      </w:r>
      <w:proofErr w:type="spellEnd"/>
      <w:r w:rsidRPr="0078484C">
        <w:rPr>
          <w:rFonts w:ascii="Arial" w:eastAsia="Times New Roman" w:hAnsi="Arial" w:cs="Arial"/>
          <w:sz w:val="20"/>
          <w:szCs w:val="20"/>
        </w:rPr>
        <w:t xml:space="preserve"> 2023 </w:t>
      </w:r>
      <w:proofErr w:type="spellStart"/>
      <w:r w:rsidRPr="0078484C">
        <w:rPr>
          <w:rFonts w:ascii="Arial" w:eastAsia="Times New Roman" w:hAnsi="Arial" w:cs="Arial"/>
          <w:sz w:val="20"/>
          <w:szCs w:val="20"/>
        </w:rPr>
        <w:t>của</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quỹ</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là</w:t>
      </w:r>
      <w:proofErr w:type="spellEnd"/>
      <w:r w:rsidRPr="0078484C">
        <w:rPr>
          <w:rFonts w:ascii="Arial" w:eastAsia="Times New Roman" w:hAnsi="Arial" w:cs="Arial"/>
          <w:sz w:val="20"/>
          <w:szCs w:val="20"/>
        </w:rPr>
        <w:t xml:space="preserve"> 9.1%. </w:t>
      </w:r>
      <w:proofErr w:type="spellStart"/>
      <w:r w:rsidRPr="0078484C">
        <w:rPr>
          <w:rFonts w:ascii="Arial" w:eastAsia="Times New Roman" w:hAnsi="Arial" w:cs="Arial"/>
          <w:sz w:val="20"/>
          <w:szCs w:val="20"/>
        </w:rPr>
        <w:t>Mức</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tăng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trưởng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của</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quỹ</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tích</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lũy</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cả</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năm</w:t>
      </w:r>
      <w:proofErr w:type="spellEnd"/>
      <w:r w:rsidRPr="0078484C">
        <w:rPr>
          <w:rFonts w:ascii="Arial" w:eastAsia="Times New Roman" w:hAnsi="Arial" w:cs="Arial"/>
          <w:sz w:val="20"/>
          <w:szCs w:val="20"/>
        </w:rPr>
        <w:t xml:space="preserve"> 2023 </w:t>
      </w:r>
      <w:proofErr w:type="spellStart"/>
      <w:r w:rsidRPr="0078484C">
        <w:rPr>
          <w:rFonts w:ascii="Arial" w:eastAsia="Times New Roman" w:hAnsi="Arial" w:cs="Arial"/>
          <w:sz w:val="20"/>
          <w:szCs w:val="20"/>
        </w:rPr>
        <w:t>cao</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hơn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mức</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tăng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trưởng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của</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lãi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suất</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tiền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gửi</w:t>
      </w:r>
      <w:proofErr w:type="spellEnd"/>
      <w:r w:rsidRPr="0078484C">
        <w:rPr>
          <w:rFonts w:ascii="Arial" w:eastAsia="Times New Roman" w:hAnsi="Arial" w:cs="Arial"/>
          <w:sz w:val="20"/>
          <w:szCs w:val="20"/>
        </w:rPr>
        <w:t xml:space="preserve"> 12 </w:t>
      </w:r>
      <w:proofErr w:type="spellStart"/>
      <w:r w:rsidRPr="0078484C">
        <w:rPr>
          <w:rFonts w:ascii="Arial" w:eastAsia="Times New Roman" w:hAnsi="Arial" w:cs="Arial"/>
          <w:sz w:val="20"/>
          <w:szCs w:val="20"/>
        </w:rPr>
        <w:t>tháng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trung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bình</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của</w:t>
      </w:r>
      <w:proofErr w:type="spellEnd"/>
      <w:r w:rsidRPr="0078484C">
        <w:rPr>
          <w:rFonts w:ascii="Arial" w:eastAsia="Times New Roman" w:hAnsi="Arial" w:cs="Arial"/>
          <w:sz w:val="20"/>
          <w:szCs w:val="20"/>
        </w:rPr>
        <w:t xml:space="preserve"> 4 </w:t>
      </w:r>
      <w:proofErr w:type="spellStart"/>
      <w:r w:rsidRPr="0078484C">
        <w:rPr>
          <w:rFonts w:ascii="Arial" w:eastAsia="Times New Roman" w:hAnsi="Arial" w:cs="Arial"/>
          <w:sz w:val="20"/>
          <w:szCs w:val="20"/>
        </w:rPr>
        <w:t>ngân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hàng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lớn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nhất</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với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mức</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tăng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cùng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kỳ</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tương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ứng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là</w:t>
      </w:r>
      <w:proofErr w:type="spellEnd"/>
      <w:r w:rsidRPr="0078484C">
        <w:rPr>
          <w:rFonts w:ascii="Arial" w:eastAsia="Times New Roman" w:hAnsi="Arial" w:cs="Arial"/>
          <w:sz w:val="20"/>
          <w:szCs w:val="20"/>
        </w:rPr>
        <w:t xml:space="preserve"> 6,67%. </w:t>
      </w:r>
      <w:proofErr w:type="spellStart"/>
      <w:r w:rsidRPr="0078484C">
        <w:rPr>
          <w:rFonts w:ascii="Arial" w:eastAsia="Times New Roman" w:hAnsi="Arial" w:cs="Arial"/>
          <w:sz w:val="20"/>
          <w:szCs w:val="20"/>
        </w:rPr>
        <w:t>Tổng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giá</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trị</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tài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sản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ròng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và</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tổng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tài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sản</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của</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quỹ</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tại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thời</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điểm</w:t>
      </w:r>
      <w:proofErr w:type="spellEnd"/>
      <w:r w:rsidRPr="0078484C">
        <w:rPr>
          <w:rFonts w:ascii="Arial" w:eastAsia="Times New Roman" w:hAnsi="Arial" w:cs="Arial"/>
          <w:sz w:val="20"/>
          <w:szCs w:val="20"/>
        </w:rPr>
        <w:t xml:space="preserve"> 31/12/2023 </w:t>
      </w:r>
      <w:proofErr w:type="spellStart"/>
      <w:r w:rsidRPr="0078484C">
        <w:rPr>
          <w:rFonts w:ascii="Arial" w:eastAsia="Times New Roman" w:hAnsi="Arial" w:cs="Arial"/>
          <w:sz w:val="20"/>
          <w:szCs w:val="20"/>
        </w:rPr>
        <w:t>tương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ứng</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là</w:t>
      </w:r>
      <w:proofErr w:type="spellEnd"/>
      <w:r w:rsidRPr="0078484C">
        <w:rPr>
          <w:rFonts w:ascii="Arial" w:eastAsia="Times New Roman" w:hAnsi="Arial" w:cs="Arial"/>
          <w:sz w:val="20"/>
          <w:szCs w:val="20"/>
        </w:rPr>
        <w:t xml:space="preserve"> 451,6 </w:t>
      </w:r>
      <w:proofErr w:type="spellStart"/>
      <w:r w:rsidRPr="0078484C">
        <w:rPr>
          <w:rFonts w:ascii="Arial" w:eastAsia="Times New Roman" w:hAnsi="Arial" w:cs="Arial"/>
          <w:sz w:val="20"/>
          <w:szCs w:val="20"/>
        </w:rPr>
        <w:t>và</w:t>
      </w:r>
      <w:proofErr w:type="spellEnd"/>
      <w:r w:rsidRPr="0078484C">
        <w:rPr>
          <w:rFonts w:ascii="Arial" w:eastAsia="Times New Roman" w:hAnsi="Arial" w:cs="Arial"/>
          <w:sz w:val="20"/>
          <w:szCs w:val="20"/>
        </w:rPr>
        <w:t xml:space="preserve"> 497,1 </w:t>
      </w:r>
      <w:proofErr w:type="spellStart"/>
      <w:r w:rsidRPr="0078484C">
        <w:rPr>
          <w:rFonts w:ascii="Arial" w:eastAsia="Times New Roman" w:hAnsi="Arial" w:cs="Arial"/>
          <w:sz w:val="20"/>
          <w:szCs w:val="20"/>
        </w:rPr>
        <w:t>tỷ</w:t>
      </w:r>
      <w:proofErr w:type="spellEnd"/>
      <w:r w:rsidRPr="0078484C">
        <w:rPr>
          <w:rFonts w:ascii="Arial" w:eastAsia="Times New Roman" w:hAnsi="Arial" w:cs="Arial"/>
          <w:sz w:val="20"/>
          <w:szCs w:val="20"/>
        </w:rPr>
        <w:t xml:space="preserve"> </w:t>
      </w:r>
      <w:proofErr w:type="spellStart"/>
      <w:r w:rsidRPr="0078484C">
        <w:rPr>
          <w:rFonts w:ascii="Arial" w:eastAsia="Times New Roman" w:hAnsi="Arial" w:cs="Arial"/>
          <w:sz w:val="20"/>
          <w:szCs w:val="20"/>
        </w:rPr>
        <w:t>đồng</w:t>
      </w:r>
      <w:proofErr w:type="spellEnd"/>
      <w:r w:rsidRPr="0078484C">
        <w:rPr>
          <w:rFonts w:ascii="Arial" w:eastAsia="Times New Roman" w:hAnsi="Arial" w:cs="Arial"/>
          <w:sz w:val="20"/>
          <w:szCs w:val="20"/>
        </w:rPr>
        <w:t>.</w:t>
      </w:r>
      <w:r w:rsidR="00EE3F15" w:rsidRPr="0078484C">
        <w:rPr>
          <w:rFonts w:ascii="Arial" w:eastAsia="Times New Roman" w:hAnsi="Arial" w:cs="Arial"/>
          <w:sz w:val="20"/>
          <w:szCs w:val="20"/>
        </w:rPr>
        <w:t xml:space="preserve"> </w:t>
      </w:r>
    </w:p>
    <w:p w14:paraId="5BE6376D" w14:textId="77777777" w:rsidR="00C34F4F" w:rsidRPr="0078484C" w:rsidRDefault="00C34F4F" w:rsidP="000B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val="vi-VN"/>
        </w:rPr>
      </w:pPr>
    </w:p>
    <w:p w14:paraId="4CD2CA5E" w14:textId="2A0A0880" w:rsidR="000E384F" w:rsidRPr="0078484C" w:rsidRDefault="000E384F" w:rsidP="000B1C2C">
      <w:pPr>
        <w:pStyle w:val="ListParagraph"/>
        <w:spacing w:after="240" w:line="240" w:lineRule="auto"/>
        <w:ind w:left="0"/>
        <w:jc w:val="both"/>
        <w:rPr>
          <w:rFonts w:ascii="Arial" w:hAnsi="Arial" w:cs="Arial"/>
          <w:sz w:val="20"/>
          <w:szCs w:val="20"/>
          <w:lang w:val="vi-VN"/>
        </w:rPr>
      </w:pPr>
      <w:r w:rsidRPr="0078484C">
        <w:rPr>
          <w:rFonts w:ascii="Arial" w:hAnsi="Arial" w:cs="Arial"/>
          <w:sz w:val="20"/>
          <w:szCs w:val="20"/>
          <w:lang w:val="vi-VN"/>
        </w:rPr>
        <w:t>h) Đánh giá biến động của các thị trường trong kỳ báo cáo, kể cả thị trường nước ngoài, mà quỹ được phép đầu tư vào, thông tin về lợi nhuận đầu tư đối với từng loại tài sản:</w:t>
      </w:r>
    </w:p>
    <w:p w14:paraId="3CEC90B3" w14:textId="77777777" w:rsidR="0047078F" w:rsidRPr="0078484C" w:rsidRDefault="0047078F" w:rsidP="000B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78484C">
        <w:rPr>
          <w:rFonts w:ascii="Arial" w:hAnsi="Arial" w:cs="Arial"/>
          <w:sz w:val="20"/>
          <w:szCs w:val="20"/>
          <w:lang w:val="vi-VN"/>
        </w:rPr>
        <w:t>Tháng 12 khép lại năm 2023 với những kết quả khá khả quan. Lạm phát được kiểm soát tốt với mức tăng 3,3% so với cùng kỳ năm trước. Đây là năm thứ 7 liên tiếp lạm phát ở dưới mức 4%. Tổng sản phẩm quốc nội (GDP) tăng 5,05% so với cùng kỳ năm trước. Mặc dù con số này thấp hơn mục tiêu 6,5% cho cả năm, đây vẫn là mức cao hơn so với dự đoán 4,7% của Quỹ Tiền tệ Quốc tế (IMF). Thặng dư thương mại đạt 28 tỷ USD và là một trong những yếu tố hỗ trợ sự ổn định của tỷ giá dựa trên lượng dự trữ ngoại hối lớn. Bên cạnh đó, đồng VND chỉ giảm giá trị 2,7% so với đồng USD, cao hơn so với mức trượt giá của đồng Nhân Dân Tệ - CNY (giảm 0,8%) nhưng vẫn thấp hơn so với mức giảm của đồng Yên Nhật - JPY (giảm 4%).</w:t>
      </w:r>
    </w:p>
    <w:p w14:paraId="481E42F7" w14:textId="77777777" w:rsidR="0047078F" w:rsidRPr="0078484C" w:rsidRDefault="0047078F" w:rsidP="000B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78484C">
        <w:rPr>
          <w:rFonts w:ascii="Arial" w:hAnsi="Arial" w:cs="Arial"/>
          <w:sz w:val="20"/>
          <w:szCs w:val="20"/>
          <w:lang w:val="vi-VN"/>
        </w:rPr>
        <w:t>Trong nửa đầu năm 2023, thị trường đối mặt với nhiều bất ổn trên diện rộng. Lãi suất cho vay cao, trái phiếu bị vỡ nợ, thanh khoản thiếu hụt và thị trường bất động sản đóng băng. Lãi suất liên ngân hàng dao động trong biên độ lớn từ 4% đến 8,5% đối với kỳ hạn 3 tháng, trước khi hạ nhiệt và thể hiện rõ xu hướng giảm trong nửa sau 2023. Hàng loạt thay đổi chính sách liên quan đến thị trường trái phiếu, thị trường tiền tệ, đồng hành với chủ trương quyết liệt của Chính phủ trong việc giải quyết vấn đề đã giúp hệ thống tài chính và ngân hàng dần tháo gỡ những khó khăn tồn đọng từ năm trước. Trong nửa cuối của năm 2023, thanh khoản hệ thống ngân hàng đã được gia tăng, cải thiện và ở mức rất tốt. Kết năm 2023, lãi suất liên ngân hàng kỳ hạn qua đêm được ổn định trong biên độ thấp từ 0,2% đến 1,1% tại thời điểm cuối năm 2023, trái ngược hoàn toàn với bức tranh vào cuối năm 2022.</w:t>
      </w:r>
    </w:p>
    <w:p w14:paraId="1A8F0AED" w14:textId="77777777" w:rsidR="0047078F" w:rsidRPr="0078484C" w:rsidRDefault="0047078F" w:rsidP="000B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78484C">
        <w:rPr>
          <w:rFonts w:ascii="Arial" w:hAnsi="Arial" w:cs="Arial"/>
          <w:sz w:val="20"/>
          <w:szCs w:val="20"/>
          <w:lang w:val="vi-VN"/>
        </w:rPr>
        <w:t>Đối với Trái phiếu Chính phủ (TPCP), năm 2023 đã có 194 đợt đấu thầu TPCP với khối lượng phát hành đạt 298,5 nghìn tỷ đồng (12,3 tỷ USD), tăng 39% so với năm trước. Giá trị này tương đương 74,6% kế hoạch cả năm (400 nghìn tỷ đồng), cao hơn đáng kể so với tỷ lệ 54% trong 2022 và tương đương hơn 97,7% kế hoạch điều chỉnh của năm 2023 (305 nghìn tỷ đồng, vừa được công bố tại ngày làm việc cuối cùng của năm 2023 – 29/12/2023). Kỳ hạn bình quân của TPCP được phát hành trong năm 2023 đạt 12,6 năm với lãi suất phát hành bình quân 3,2%/năm. Kỳ hạn còn lại bình quân của TPCP hiện đang lưu hành đạt mức 9,1 năm.</w:t>
      </w:r>
    </w:p>
    <w:p w14:paraId="0F08C800" w14:textId="77777777" w:rsidR="0047078F" w:rsidRPr="0078484C" w:rsidRDefault="0047078F" w:rsidP="000B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78484C">
        <w:rPr>
          <w:rFonts w:ascii="Arial" w:hAnsi="Arial" w:cs="Arial"/>
          <w:sz w:val="20"/>
          <w:szCs w:val="20"/>
          <w:lang w:val="vi-VN"/>
        </w:rPr>
        <w:t xml:space="preserve">Đối với thị trường thứ cấp, năm 2023 là một năm tỉ suất sinh lời của thị trường TPCP ở mức rất tốt. So với cuối năm 2022, lợi suất giao dịch giảm 2,3-3,2% ở tất cả các kỳ hạn. Đường cong lợi suất trở nên dốc hơn do các kỳ hạn ngắn giảm mạnh so với các kỳ hạn dài. So với đầu năm, lãi suất của các kỳ hạn ngắn nhất (dưới 5 năm) giảm trên 3,1%, trong khi các kỳ hạn dài nhất (trên 20 năm) giảm trên 2,5%. Tại thời điểm cuối năm, lãi suất TPCP nằm trong biên độ hẹp 2-3,3% đối với các kỳ hạn từ 1 năm đến 30 năm. </w:t>
      </w:r>
    </w:p>
    <w:p w14:paraId="5284ECDF" w14:textId="77777777" w:rsidR="0047078F" w:rsidRPr="0078484C" w:rsidRDefault="0047078F" w:rsidP="000B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78484C">
        <w:rPr>
          <w:rFonts w:ascii="Arial" w:hAnsi="Arial" w:cs="Arial"/>
          <w:sz w:val="20"/>
          <w:szCs w:val="20"/>
          <w:lang w:val="vi-VN"/>
        </w:rPr>
        <w:t>Trong năm 2023, tổng khối lượng giao dịch thông tường (Outright) trên thị trường thứ cấp tăng 10% so với năm trước, đạt giá trị 1,149 nghìn tỷ đồng, tương ứng 4,56 nghìn tỷ đồng/ngày. Khối lượng giao dịch mua bán lại (REPO) đạt giá trị 407 nghìn tỷ đồng với giá trị giao dịch bình quân 1,6 nghìn tỷ đồng/ngày. Nhìn chung, khối lượng giao dịch theo tháng đã phục hồi từ tháng 6/2023 sau giai đoạn giao dịch nằm ở mức thấp từ tháng 7/2022 đến tháng 2/2023, thể hiện thanh khoản tốt trong hệ thống ngân hàng.</w:t>
      </w:r>
    </w:p>
    <w:p w14:paraId="508008F1" w14:textId="77777777" w:rsidR="0047078F" w:rsidRPr="0078484C" w:rsidRDefault="0047078F" w:rsidP="0047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5B9BD5" w:themeColor="accent1"/>
          <w:sz w:val="20"/>
          <w:szCs w:val="20"/>
          <w:lang w:val="vi-VN"/>
        </w:rPr>
      </w:pPr>
      <w:r w:rsidRPr="0078484C">
        <w:rPr>
          <w:rFonts w:ascii="Arial" w:hAnsi="Arial" w:cs="Arial"/>
          <w:noProof/>
          <w:color w:val="5B9BD5" w:themeColor="accent1"/>
          <w:sz w:val="20"/>
          <w:szCs w:val="20"/>
          <w:lang w:val="vi-VN"/>
        </w:rPr>
        <w:drawing>
          <wp:inline distT="0" distB="0" distL="0" distR="0" wp14:anchorId="765078FB" wp14:editId="083E2FB2">
            <wp:extent cx="5943600" cy="2257425"/>
            <wp:effectExtent l="0" t="0" r="0" b="9525"/>
            <wp:docPr id="1056326296" name="Picture 1" descr="A green and white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326296" name="Picture 1" descr="A green and white table with numbers and text&#10;&#10;Description automatically generated"/>
                    <pic:cNvPicPr/>
                  </pic:nvPicPr>
                  <pic:blipFill>
                    <a:blip r:embed="rId10"/>
                    <a:stretch>
                      <a:fillRect/>
                    </a:stretch>
                  </pic:blipFill>
                  <pic:spPr>
                    <a:xfrm>
                      <a:off x="0" y="0"/>
                      <a:ext cx="5943600" cy="2257425"/>
                    </a:xfrm>
                    <a:prstGeom prst="rect">
                      <a:avLst/>
                    </a:prstGeom>
                  </pic:spPr>
                </pic:pic>
              </a:graphicData>
            </a:graphic>
          </wp:inline>
        </w:drawing>
      </w:r>
    </w:p>
    <w:p w14:paraId="5AE3EEE6" w14:textId="77777777" w:rsidR="0047078F" w:rsidRPr="0078484C" w:rsidRDefault="0047078F" w:rsidP="000B1C2C">
      <w:pPr>
        <w:shd w:val="clear" w:color="auto" w:fill="FFFFFF"/>
        <w:tabs>
          <w:tab w:val="left" w:pos="540"/>
        </w:tabs>
        <w:spacing w:before="120"/>
        <w:jc w:val="both"/>
        <w:rPr>
          <w:rFonts w:ascii="Arial" w:hAnsi="Arial" w:cs="Arial"/>
          <w:bCs/>
          <w:sz w:val="20"/>
          <w:szCs w:val="20"/>
          <w:lang w:val="vi-VN"/>
        </w:rPr>
      </w:pPr>
      <w:r w:rsidRPr="0078484C">
        <w:rPr>
          <w:rFonts w:ascii="Arial" w:hAnsi="Arial" w:cs="Arial"/>
          <w:bCs/>
          <w:sz w:val="20"/>
          <w:szCs w:val="20"/>
          <w:lang w:val="vi-VN"/>
        </w:rPr>
        <w:t>Trong năm 2023, tổng giá trị phát hành mới của trái phiếu doanh nghiệp (TPDN) đạt 311 nghìn tỷ đồng (12,8 tỷ USD), tăng 12% so với năm trước. Giá trị này bao gồm 29 đợt phát hành thông qua chào bán ra công chúng với tổng giá trị 37 nghìn tỷ đồng, xấp xỉ 11,9% tổng giá trị phát hành; và 286 đợt phát hành riêng lẻ đạt giá trị 275 nghìn tỷ đồng, xấp xỉ 88,1% tổng giá trị phát hành. Ngân hàng là ngành chiếm vị trí dẫn đầu với giá trị phát hành đạt 176 nghìn tỷ đồng, đóng góp 56,5% tổng giá trị phát hành. Bất động sản là ngành đứng thứ 2 với giá trị phát hành 73 nghìn tỷ đồng, tương đương tỷ trọng 23,5%. Các ngành còn lại bao gồm sản xuất, tiêu dùng, quản lý chuỗi cung ứng, năng lượng, và các ngành khác đóng góp 20% tỷ trọng còn lại.</w:t>
      </w:r>
    </w:p>
    <w:p w14:paraId="393765C2" w14:textId="77777777" w:rsidR="0047078F" w:rsidRPr="0078484C" w:rsidRDefault="0047078F" w:rsidP="000B1C2C">
      <w:pPr>
        <w:shd w:val="clear" w:color="auto" w:fill="FFFFFF"/>
        <w:tabs>
          <w:tab w:val="left" w:pos="540"/>
        </w:tabs>
        <w:spacing w:before="120"/>
        <w:jc w:val="both"/>
        <w:rPr>
          <w:rFonts w:ascii="Arial" w:hAnsi="Arial" w:cs="Arial"/>
          <w:bCs/>
          <w:sz w:val="20"/>
          <w:szCs w:val="20"/>
          <w:lang w:val="vi-VN"/>
        </w:rPr>
      </w:pPr>
      <w:r w:rsidRPr="0078484C">
        <w:rPr>
          <w:rFonts w:ascii="Arial" w:hAnsi="Arial" w:cs="Arial"/>
          <w:bCs/>
          <w:sz w:val="20"/>
          <w:szCs w:val="20"/>
          <w:lang w:val="vi-VN"/>
        </w:rPr>
        <w:t>Đối với tình hình thanh toán gốc lãi TPDN, tổng giá trị trái phiếu đến hạn trong năm 2023 được ước tính ở mức 285 nghìn tỷ đồng; trong đó, 111 nghìn tỷ đồng đã được gia hạn thành công. Hoạt động mua lại trái phiếu trước hạn cũng diễn ra tích cực với tổng giá trị 262 nghìn tỷ đồng. Điều này đồng nghĩa tổng giá trị TPDN thực tế được mua lại trong 2023 cao hơn tổng giá trị TPDN đáo hạn. So với giai đoạn khó khăn trong Quý 1/2023, số lượng trái phiếu mất khả năng thanh toán đã giảm đáng kể. Sự thay đổi về chính sách, môi trường lãi suất thấp và đặc biệt là nhận thức của nhà đầu tư giúp bình ổn và tái cấu trúc thị trường TPDN. Phương án tái cấu trúc phổ biến nhất là gia hạn thời gian đến hạn thêm từ 1 đến 2 năm.</w:t>
      </w:r>
    </w:p>
    <w:p w14:paraId="5DCD10B8" w14:textId="77777777" w:rsidR="0047078F" w:rsidRPr="0078484C" w:rsidRDefault="0047078F" w:rsidP="000B1C2C">
      <w:pPr>
        <w:shd w:val="clear" w:color="auto" w:fill="FFFFFF"/>
        <w:tabs>
          <w:tab w:val="left" w:pos="540"/>
        </w:tabs>
        <w:spacing w:before="120"/>
        <w:jc w:val="both"/>
        <w:rPr>
          <w:rFonts w:ascii="Arial" w:hAnsi="Arial" w:cs="Arial"/>
          <w:bCs/>
          <w:color w:val="5B9BD5" w:themeColor="accent1"/>
          <w:sz w:val="20"/>
          <w:szCs w:val="20"/>
          <w:lang w:val="vi-VN"/>
        </w:rPr>
      </w:pPr>
      <w:r w:rsidRPr="0078484C">
        <w:rPr>
          <w:rFonts w:ascii="Arial" w:hAnsi="Arial" w:cs="Arial"/>
          <w:bCs/>
          <w:noProof/>
          <w:sz w:val="20"/>
          <w:szCs w:val="20"/>
          <w:lang w:val="nl-NL"/>
        </w:rPr>
        <w:drawing>
          <wp:anchor distT="0" distB="0" distL="114300" distR="114300" simplePos="0" relativeHeight="251659264" behindDoc="0" locked="0" layoutInCell="1" allowOverlap="1" wp14:anchorId="54B8728A" wp14:editId="430EFEC9">
            <wp:simplePos x="0" y="0"/>
            <wp:positionH relativeFrom="column">
              <wp:posOffset>-12700</wp:posOffset>
            </wp:positionH>
            <wp:positionV relativeFrom="paragraph">
              <wp:posOffset>666750</wp:posOffset>
            </wp:positionV>
            <wp:extent cx="5943600" cy="2092960"/>
            <wp:effectExtent l="0" t="0" r="0" b="2540"/>
            <wp:wrapTopAndBottom/>
            <wp:docPr id="2139031825" name="Picture 1" descr="A green and white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031825" name="Picture 1" descr="A green and white graph&#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2092960"/>
                    </a:xfrm>
                    <a:prstGeom prst="rect">
                      <a:avLst/>
                    </a:prstGeom>
                  </pic:spPr>
                </pic:pic>
              </a:graphicData>
            </a:graphic>
          </wp:anchor>
        </w:drawing>
      </w:r>
      <w:r w:rsidRPr="0078484C">
        <w:rPr>
          <w:rFonts w:ascii="Arial" w:hAnsi="Arial" w:cs="Arial"/>
          <w:bCs/>
          <w:sz w:val="20"/>
          <w:szCs w:val="20"/>
          <w:lang w:val="vi-VN"/>
        </w:rPr>
        <w:t>Trong 2024, ước tính sẽ có 277 nghìn tỷ đồng TPDN sẽ đến hạn. Với tình hình thị trường hiện tại, nhiều khả năng các tổ chức phát hành sẽ cỏ đủ khả năng thanh toán nợ trái phiếu đến hạn. Song song với đó, tổng khối lượng phát hành sẽ gia tăng nhưng với mức độ thận trọng lớn hơn trước.</w:t>
      </w:r>
      <w:r w:rsidRPr="0078484C">
        <w:rPr>
          <w:rFonts w:ascii="Arial" w:hAnsi="Arial" w:cs="Arial"/>
          <w:noProof/>
          <w:sz w:val="20"/>
          <w:szCs w:val="20"/>
          <w:lang w:val="vi-VN"/>
        </w:rPr>
        <w:t xml:space="preserve"> </w:t>
      </w:r>
    </w:p>
    <w:p w14:paraId="1F074E38" w14:textId="77777777" w:rsidR="0047078F" w:rsidRPr="0078484C" w:rsidRDefault="0047078F" w:rsidP="0047078F">
      <w:pPr>
        <w:shd w:val="clear" w:color="auto" w:fill="FFFFFF"/>
        <w:tabs>
          <w:tab w:val="left" w:pos="540"/>
        </w:tabs>
        <w:spacing w:before="120"/>
        <w:rPr>
          <w:rFonts w:ascii="Arial" w:hAnsi="Arial" w:cs="Arial"/>
          <w:bCs/>
          <w:color w:val="5B9BD5" w:themeColor="accent1"/>
          <w:sz w:val="20"/>
          <w:szCs w:val="20"/>
          <w:lang w:val="vi-VN"/>
        </w:rPr>
      </w:pPr>
    </w:p>
    <w:p w14:paraId="2ABA1958" w14:textId="77777777" w:rsidR="000E384F" w:rsidRPr="0078484C" w:rsidRDefault="000E384F" w:rsidP="0010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vi-VN"/>
        </w:rPr>
      </w:pPr>
    </w:p>
    <w:p w14:paraId="21909182" w14:textId="77777777" w:rsidR="00E7469C" w:rsidRPr="0078484C" w:rsidRDefault="00E7469C" w:rsidP="007D71BB">
      <w:pPr>
        <w:pStyle w:val="ListParagraph"/>
        <w:tabs>
          <w:tab w:val="left" w:pos="270"/>
          <w:tab w:val="left" w:pos="1134"/>
        </w:tabs>
        <w:spacing w:before="120" w:after="120"/>
        <w:ind w:left="0"/>
        <w:contextualSpacing w:val="0"/>
        <w:jc w:val="both"/>
        <w:rPr>
          <w:rFonts w:ascii="Arial" w:hAnsi="Arial" w:cs="Arial"/>
          <w:b/>
          <w:color w:val="000000" w:themeColor="text1"/>
          <w:sz w:val="20"/>
          <w:szCs w:val="20"/>
          <w:lang w:val="vi-VN"/>
        </w:rPr>
      </w:pPr>
      <w:r w:rsidRPr="0078484C">
        <w:rPr>
          <w:rFonts w:ascii="Arial" w:hAnsi="Arial" w:cs="Arial"/>
          <w:color w:val="000000" w:themeColor="text1"/>
          <w:sz w:val="20"/>
          <w:szCs w:val="20"/>
          <w:lang w:val="vi-VN"/>
        </w:rPr>
        <w:t xml:space="preserve">i) Thông tin về việc chia, tách đơn vị quỹ trong kỳ; ảnh hưởng của việc chia tách đơn vị quỹ và giá trị tài sản ròng trên từng đơn vị quỹ (trước và sau khi chia, tách): </w:t>
      </w:r>
      <w:r w:rsidRPr="0078484C">
        <w:rPr>
          <w:rFonts w:ascii="Arial" w:hAnsi="Arial" w:cs="Arial"/>
          <w:i/>
          <w:color w:val="000000" w:themeColor="text1"/>
          <w:sz w:val="20"/>
          <w:szCs w:val="20"/>
          <w:lang w:val="vi-VN"/>
        </w:rPr>
        <w:t>không có</w:t>
      </w:r>
    </w:p>
    <w:p w14:paraId="422AF2EE" w14:textId="77777777" w:rsidR="00E7469C" w:rsidRPr="0078484C" w:rsidRDefault="00E7469C" w:rsidP="007D71BB">
      <w:pPr>
        <w:pStyle w:val="ListParagraph"/>
        <w:tabs>
          <w:tab w:val="left" w:pos="270"/>
          <w:tab w:val="left" w:pos="1134"/>
        </w:tabs>
        <w:spacing w:before="120" w:after="120"/>
        <w:ind w:left="0"/>
        <w:contextualSpacing w:val="0"/>
        <w:jc w:val="both"/>
        <w:rPr>
          <w:rFonts w:ascii="Arial" w:hAnsi="Arial" w:cs="Arial"/>
          <w:b/>
          <w:i/>
          <w:color w:val="000000" w:themeColor="text1"/>
          <w:sz w:val="20"/>
          <w:szCs w:val="20"/>
          <w:lang w:val="vi-VN"/>
        </w:rPr>
      </w:pPr>
      <w:r w:rsidRPr="0078484C">
        <w:rPr>
          <w:rFonts w:ascii="Arial" w:hAnsi="Arial" w:cs="Arial"/>
          <w:color w:val="000000" w:themeColor="text1"/>
          <w:sz w:val="20"/>
          <w:szCs w:val="20"/>
          <w:lang w:val="vi-VN"/>
        </w:rPr>
        <w:t xml:space="preserve">k) Các trường hợp có ảnh hưởng tới quyền lợi của nhà đầu tư nắm giữ chứng chỉ quỹ: </w:t>
      </w:r>
      <w:r w:rsidRPr="0078484C">
        <w:rPr>
          <w:rFonts w:ascii="Arial" w:hAnsi="Arial" w:cs="Arial"/>
          <w:i/>
          <w:color w:val="000000" w:themeColor="text1"/>
          <w:sz w:val="20"/>
          <w:szCs w:val="20"/>
          <w:lang w:val="vi-VN"/>
        </w:rPr>
        <w:t>không có</w:t>
      </w:r>
    </w:p>
    <w:p w14:paraId="04B671FA" w14:textId="77777777" w:rsidR="00D84438" w:rsidRPr="0078484C" w:rsidRDefault="00E7469C" w:rsidP="007D71BB">
      <w:pPr>
        <w:pStyle w:val="ListParagraph"/>
        <w:tabs>
          <w:tab w:val="left" w:pos="270"/>
          <w:tab w:val="left" w:pos="1134"/>
        </w:tabs>
        <w:spacing w:before="120" w:after="120"/>
        <w:ind w:left="0"/>
        <w:contextualSpacing w:val="0"/>
        <w:jc w:val="both"/>
        <w:rPr>
          <w:rFonts w:ascii="Arial" w:hAnsi="Arial" w:cs="Arial"/>
          <w:b/>
          <w:color w:val="000000" w:themeColor="text1"/>
          <w:sz w:val="20"/>
          <w:szCs w:val="20"/>
          <w:lang w:val="vi-VN"/>
        </w:rPr>
      </w:pPr>
      <w:r w:rsidRPr="0078484C">
        <w:rPr>
          <w:rFonts w:ascii="Arial" w:hAnsi="Arial" w:cs="Arial"/>
          <w:color w:val="000000" w:themeColor="text1"/>
          <w:sz w:val="20"/>
          <w:szCs w:val="20"/>
          <w:lang w:val="vi-VN"/>
        </w:rPr>
        <w:t xml:space="preserve">l) Thông tin về các giao dịch với người có quyền lợi liên quan : </w:t>
      </w:r>
      <w:r w:rsidRPr="0078484C">
        <w:rPr>
          <w:rFonts w:ascii="Arial" w:hAnsi="Arial" w:cs="Arial"/>
          <w:i/>
          <w:color w:val="000000" w:themeColor="text1"/>
          <w:sz w:val="20"/>
          <w:szCs w:val="20"/>
          <w:lang w:val="vi-VN"/>
        </w:rPr>
        <w:t>không có</w:t>
      </w:r>
      <w:r w:rsidRPr="0078484C">
        <w:rPr>
          <w:rFonts w:ascii="Arial" w:hAnsi="Arial" w:cs="Arial"/>
          <w:color w:val="000000" w:themeColor="text1"/>
          <w:sz w:val="20"/>
          <w:szCs w:val="20"/>
          <w:lang w:val="vi-VN"/>
        </w:rPr>
        <w:t xml:space="preserve"> </w:t>
      </w:r>
      <w:r w:rsidR="009834F4" w:rsidRPr="0078484C">
        <w:rPr>
          <w:rFonts w:ascii="Arial" w:hAnsi="Arial" w:cs="Arial"/>
          <w:color w:val="000000" w:themeColor="text1"/>
          <w:sz w:val="20"/>
          <w:szCs w:val="20"/>
          <w:lang w:val="vi-VN"/>
        </w:rPr>
        <w:t xml:space="preserve"> </w:t>
      </w:r>
    </w:p>
    <w:p w14:paraId="4344D9C2" w14:textId="15BB3E0A" w:rsidR="00FC49CD" w:rsidRPr="0078484C" w:rsidRDefault="00FC49CD" w:rsidP="00FC49CD">
      <w:pPr>
        <w:pStyle w:val="ListParagraph"/>
        <w:tabs>
          <w:tab w:val="left" w:pos="270"/>
          <w:tab w:val="left" w:pos="1134"/>
        </w:tabs>
        <w:spacing w:beforeLines="120" w:before="288" w:afterLines="120" w:after="288"/>
        <w:ind w:left="0"/>
        <w:rPr>
          <w:rFonts w:ascii="Arial" w:hAnsi="Arial" w:cs="Arial"/>
          <w:color w:val="000000"/>
          <w:sz w:val="20"/>
          <w:szCs w:val="20"/>
          <w:lang w:val="vi-VN"/>
        </w:rPr>
      </w:pPr>
      <w:r w:rsidRPr="0078484C">
        <w:rPr>
          <w:rFonts w:ascii="Arial" w:hAnsi="Arial" w:cs="Arial"/>
          <w:color w:val="000000"/>
          <w:sz w:val="20"/>
          <w:szCs w:val="20"/>
          <w:lang w:val="vi-VN"/>
        </w:rPr>
        <w:t>hướng dẫn thành lập và quản lý quỹ mở về Chế độ báo cáo, lưu trữ hồ sơ, quản lý thông tin.</w:t>
      </w:r>
    </w:p>
    <w:p w14:paraId="49368BDA" w14:textId="77777777" w:rsidR="008B457C" w:rsidRPr="0078484C" w:rsidRDefault="008B457C" w:rsidP="008B457C">
      <w:pPr>
        <w:spacing w:line="360" w:lineRule="auto"/>
        <w:jc w:val="both"/>
        <w:rPr>
          <w:rFonts w:ascii="Arial" w:hAnsi="Arial" w:cs="Arial"/>
          <w:b/>
          <w:sz w:val="20"/>
          <w:szCs w:val="20"/>
          <w:lang w:val="vi-VN"/>
        </w:rPr>
      </w:pPr>
      <w:r w:rsidRPr="0078484C">
        <w:rPr>
          <w:rFonts w:ascii="Arial" w:hAnsi="Arial" w:cs="Arial"/>
          <w:b/>
          <w:sz w:val="20"/>
          <w:szCs w:val="20"/>
          <w:lang w:val="vi-VN"/>
        </w:rPr>
        <w:t>4. Báo cáo về hoạt động giám sát của ngân hàng giám sát</w:t>
      </w:r>
    </w:p>
    <w:p w14:paraId="56EC8A32" w14:textId="77777777" w:rsidR="00837DDB" w:rsidRPr="0078484C" w:rsidRDefault="00837DDB" w:rsidP="00837DDB">
      <w:pPr>
        <w:spacing w:before="120" w:after="120" w:line="360" w:lineRule="auto"/>
        <w:jc w:val="both"/>
        <w:rPr>
          <w:rFonts w:ascii="Arial" w:hAnsi="Arial" w:cs="Arial"/>
          <w:sz w:val="20"/>
          <w:szCs w:val="20"/>
          <w:lang w:val="vi-VN"/>
        </w:rPr>
      </w:pPr>
      <w:r w:rsidRPr="0078484C">
        <w:rPr>
          <w:rFonts w:ascii="Arial" w:hAnsi="Arial" w:cs="Arial"/>
          <w:sz w:val="20"/>
          <w:szCs w:val="20"/>
          <w:lang w:val="vi-VN"/>
        </w:rPr>
        <w:t xml:space="preserve">Ngân hàng giám sát phải đưa ra ý kiến về sự tuân thủ quy định pháp luật, quy định tại Điều lệ quỹ, Bản cáo bạch của </w:t>
      </w:r>
      <w:r w:rsidRPr="0078484C">
        <w:rPr>
          <w:rFonts w:ascii="Arial" w:eastAsiaTheme="minorHAnsi" w:hAnsi="Arial" w:cs="Arial"/>
          <w:sz w:val="20"/>
          <w:szCs w:val="20"/>
          <w:lang w:val="vi-VN"/>
        </w:rPr>
        <w:t xml:space="preserve">Công ty Cổ phần Quản lý Quỹ Đầu tư Dragon Capital Việt Nam </w:t>
      </w:r>
      <w:r w:rsidRPr="0078484C">
        <w:rPr>
          <w:rFonts w:ascii="Arial" w:hAnsi="Arial" w:cs="Arial"/>
          <w:sz w:val="20"/>
          <w:szCs w:val="20"/>
          <w:lang w:val="vi-VN"/>
        </w:rPr>
        <w:t xml:space="preserve">trong quá trình vận hành và quản lý </w:t>
      </w:r>
      <w:r w:rsidRPr="0078484C">
        <w:rPr>
          <w:rFonts w:ascii="Arial" w:eastAsiaTheme="minorHAnsi" w:hAnsi="Arial" w:cs="Arial"/>
          <w:sz w:val="20"/>
          <w:szCs w:val="20"/>
          <w:lang w:val="vi-VN"/>
        </w:rPr>
        <w:t xml:space="preserve">Quỹ Đầu tư Trái phiếu DC (“DCBF” hoặc “Quỹ”) </w:t>
      </w:r>
      <w:r w:rsidRPr="0078484C">
        <w:rPr>
          <w:rFonts w:ascii="Arial" w:hAnsi="Arial" w:cs="Arial"/>
          <w:sz w:val="20"/>
          <w:szCs w:val="20"/>
          <w:lang w:val="vi-VN"/>
        </w:rPr>
        <w:t>đối với các nội dung sau:</w:t>
      </w:r>
    </w:p>
    <w:p w14:paraId="4B7E8CA9" w14:textId="77777777" w:rsidR="00837DDB" w:rsidRPr="0078484C" w:rsidRDefault="00837DDB" w:rsidP="00837DDB">
      <w:pPr>
        <w:pStyle w:val="BodyText"/>
        <w:spacing w:before="120" w:after="120" w:line="360" w:lineRule="auto"/>
        <w:rPr>
          <w:rFonts w:ascii="Arial" w:eastAsiaTheme="minorHAnsi" w:hAnsi="Arial" w:cs="Arial"/>
          <w:lang w:val="vi-VN"/>
        </w:rPr>
      </w:pPr>
      <w:r w:rsidRPr="0078484C">
        <w:rPr>
          <w:rFonts w:ascii="Arial" w:hAnsi="Arial" w:cs="Arial"/>
          <w:lang w:val="vi-VN"/>
        </w:rPr>
        <w:t xml:space="preserve">a) Thuyết minh về việc thay đổi ngân hàng giám sát (nếu có): </w:t>
      </w:r>
      <w:r w:rsidRPr="0078484C">
        <w:rPr>
          <w:rFonts w:ascii="Arial" w:eastAsiaTheme="minorHAnsi" w:hAnsi="Arial" w:cs="Arial"/>
          <w:lang w:val="vi-VN"/>
        </w:rPr>
        <w:t>từ ngày 01 tháng 01 năm 2023 đến ngày 31 tháng 12 năm 2023, Quỹ không thay đổi Ngân hàng giám sát.</w:t>
      </w:r>
    </w:p>
    <w:p w14:paraId="50E709D5" w14:textId="77777777" w:rsidR="00837DDB" w:rsidRPr="0078484C" w:rsidRDefault="00837DDB" w:rsidP="00837DDB">
      <w:pPr>
        <w:pStyle w:val="BodyText"/>
        <w:spacing w:before="120" w:after="120" w:line="360" w:lineRule="auto"/>
        <w:rPr>
          <w:rFonts w:ascii="Arial" w:eastAsiaTheme="minorHAnsi" w:hAnsi="Arial" w:cs="Arial"/>
          <w:lang w:val="vi-VN"/>
        </w:rPr>
      </w:pPr>
      <w:r w:rsidRPr="0078484C">
        <w:rPr>
          <w:rFonts w:ascii="Arial" w:hAnsi="Arial" w:cs="Arial"/>
          <w:lang w:val="vi-VN"/>
        </w:rPr>
        <w:t xml:space="preserve">b) Việc lưu ký tài sản của quỹ: </w:t>
      </w:r>
      <w:r w:rsidRPr="0078484C">
        <w:rPr>
          <w:rFonts w:ascii="Arial" w:eastAsiaTheme="minorHAnsi" w:hAnsi="Arial" w:cs="Arial"/>
          <w:lang w:val="vi-VN"/>
        </w:rPr>
        <w:t>từ ngày 01 tháng 01 năm 2023 đến ngày 31 tháng 12 năm 2023, Quỹ đã thực hiện lưu ký tài sản theo các quy định pháp luật hiện hành.</w:t>
      </w:r>
    </w:p>
    <w:p w14:paraId="4A71136F" w14:textId="77777777" w:rsidR="00837DDB" w:rsidRPr="0078484C" w:rsidRDefault="00837DDB" w:rsidP="00837DDB">
      <w:pPr>
        <w:spacing w:before="120" w:after="120" w:line="360" w:lineRule="auto"/>
        <w:jc w:val="both"/>
        <w:rPr>
          <w:rFonts w:ascii="Arial" w:hAnsi="Arial" w:cs="Arial"/>
          <w:sz w:val="20"/>
          <w:szCs w:val="20"/>
          <w:lang w:val="vi-VN"/>
        </w:rPr>
      </w:pPr>
      <w:r w:rsidRPr="0078484C">
        <w:rPr>
          <w:rFonts w:ascii="Arial" w:hAnsi="Arial" w:cs="Arial"/>
          <w:sz w:val="20"/>
          <w:szCs w:val="20"/>
          <w:lang w:val="vi-VN"/>
        </w:rPr>
        <w:t>c) Việc đầu tư tuân thủ các hạn chế về đầu tư, hạn chế về vay theo quy định pháp luật, quy định tại Điều lệ quỹ, Bản cáo bạch;</w:t>
      </w:r>
    </w:p>
    <w:p w14:paraId="6F03681B" w14:textId="77777777" w:rsidR="00837DDB" w:rsidRPr="0078484C" w:rsidRDefault="00837DDB" w:rsidP="00837DDB">
      <w:pPr>
        <w:spacing w:before="120" w:after="120" w:line="360" w:lineRule="auto"/>
        <w:jc w:val="both"/>
        <w:rPr>
          <w:rFonts w:ascii="Arial" w:eastAsiaTheme="minorHAnsi" w:hAnsi="Arial" w:cs="Arial"/>
          <w:sz w:val="20"/>
          <w:szCs w:val="20"/>
          <w:lang w:val="vi-VN"/>
        </w:rPr>
      </w:pPr>
      <w:r w:rsidRPr="0078484C">
        <w:rPr>
          <w:rFonts w:ascii="Arial" w:eastAsiaTheme="minorHAnsi" w:hAnsi="Arial" w:cs="Arial"/>
          <w:sz w:val="20"/>
          <w:szCs w:val="20"/>
          <w:lang w:val="vi-VN"/>
        </w:rPr>
        <w:t xml:space="preserve">Trong quá trình giám sát hoạt động đầu tư và các giao dịch tài sản của Quỹ cho giai đoạn từ ngày 01 tháng 01 năm 2023 đến ngày 31 tháng 12 năm 2023, cơ cấu danh mục đầu tư của Quỹ đã phát sinh sai lệch so với các quy định tại các văn bản pháp luật chứng khoán hiện hành về quỹ mở, Điều lệ Quỹ, Bản cáo bạch của Quỹ và văn bản pháp luật liên quan, cụ thể như sau: </w:t>
      </w:r>
    </w:p>
    <w:p w14:paraId="70BDCB64" w14:textId="77777777" w:rsidR="00837DDB" w:rsidRPr="0078484C" w:rsidRDefault="00837DDB" w:rsidP="00837DDB">
      <w:pPr>
        <w:pStyle w:val="ListParagraph"/>
        <w:numPr>
          <w:ilvl w:val="0"/>
          <w:numId w:val="50"/>
        </w:numPr>
        <w:spacing w:before="120" w:after="120" w:line="360" w:lineRule="auto"/>
        <w:ind w:left="0" w:firstLine="0"/>
        <w:jc w:val="both"/>
        <w:rPr>
          <w:rFonts w:ascii="Arial" w:hAnsi="Arial" w:cs="Arial"/>
          <w:sz w:val="20"/>
          <w:szCs w:val="20"/>
          <w:lang w:val="vi-VN"/>
        </w:rPr>
      </w:pPr>
      <w:r w:rsidRPr="0078484C">
        <w:rPr>
          <w:rFonts w:ascii="Arial" w:hAnsi="Arial" w:cs="Arial"/>
          <w:sz w:val="20"/>
          <w:szCs w:val="20"/>
          <w:lang w:val="vi-VN"/>
        </w:rPr>
        <w:t>Theo Điểm c, Khoản 4, Điều 35, Thông tư 98/2020/TT-BTC ngày 16 tháng 11 năm 2020 hướng dẫn hoạt động và quản lý quỹ đầu tư chứng khoán (“Thông tư 98”) và Điều 11, Điều lệ Quỹ quy định cơ cấu danh mục đầu tư của quỹ mở phải đảm bảo: “Không được đầu tư quá 20% tổng giá trị tài sản của quỹ vào chứng khoán đang lưu hành; tiền gửi tại các ngân hàng thương mại theo quy định của pháp luật ngân hàng; và công cụ thị trường tiền tệ bao gồm giấy tờ có giá, công cụ chuyển nhượng theo quy định của pháp luật (nếu có) của một tổ chức phát hành, trừ công cụ nợ của Chính phủ.’’ Trường hợp phát sinh sai lệch, Công ty Quản lý Quỹ có nghĩa vụ điều chỉnh lại cơ cấu danh mục đầu tư của Quỹ cho phù hợp với quy định trong thời gian cho phép.</w:t>
      </w:r>
    </w:p>
    <w:p w14:paraId="3C30B7A2" w14:textId="77777777" w:rsidR="00837DDB" w:rsidRPr="0078484C" w:rsidRDefault="00837DDB" w:rsidP="00837DDB">
      <w:pPr>
        <w:spacing w:before="120" w:after="120" w:line="360" w:lineRule="auto"/>
        <w:jc w:val="both"/>
        <w:rPr>
          <w:rFonts w:ascii="Arial" w:hAnsi="Arial" w:cs="Arial"/>
          <w:sz w:val="20"/>
          <w:szCs w:val="20"/>
          <w:lang w:val="vi-VN"/>
        </w:rPr>
      </w:pPr>
      <w:r w:rsidRPr="0078484C">
        <w:rPr>
          <w:rFonts w:ascii="Arial" w:hAnsi="Arial" w:cs="Arial"/>
          <w:sz w:val="20"/>
          <w:szCs w:val="20"/>
          <w:lang w:val="vi-VN"/>
        </w:rPr>
        <w:t>Tại một số kỳ định giá trong giai đoạn từ ngày 01 tháng 01 năm 2023 đến ngày 31 tháng 12 năm 2023, tỷ lệ đầu tư của Quỹ vào một tổ chức phát hành đã phát sinh sai lệch so với hạn mức 20% tổng giá trị tài sản của Quỹ.</w:t>
      </w:r>
    </w:p>
    <w:p w14:paraId="3401A8E1" w14:textId="77777777" w:rsidR="00837DDB" w:rsidRPr="0078484C" w:rsidRDefault="00837DDB" w:rsidP="00837DDB">
      <w:pPr>
        <w:spacing w:before="120" w:after="120" w:line="360" w:lineRule="auto"/>
        <w:jc w:val="both"/>
        <w:rPr>
          <w:rFonts w:ascii="Arial" w:hAnsi="Arial" w:cs="Arial"/>
          <w:sz w:val="20"/>
          <w:szCs w:val="20"/>
          <w:lang w:val="vi-VN"/>
        </w:rPr>
      </w:pPr>
      <w:r w:rsidRPr="0078484C">
        <w:rPr>
          <w:rFonts w:ascii="Arial" w:hAnsi="Arial" w:cs="Arial"/>
          <w:sz w:val="20"/>
          <w:szCs w:val="20"/>
          <w:lang w:val="vi-VN"/>
        </w:rPr>
        <w:t>Công ty Quản lý Quỹ đã thực hiện điều chỉnh lại cơ cấu danh mục đầu tư của Quỹ để đáp ứng hạn mức đầu tư theo quy định trong thời gian cho phép.</w:t>
      </w:r>
    </w:p>
    <w:p w14:paraId="3EB89036" w14:textId="77777777" w:rsidR="00837DDB" w:rsidRPr="0078484C" w:rsidRDefault="00837DDB" w:rsidP="00837DDB">
      <w:pPr>
        <w:spacing w:before="120" w:after="120" w:line="360" w:lineRule="auto"/>
        <w:jc w:val="both"/>
        <w:rPr>
          <w:rFonts w:ascii="Arial" w:hAnsi="Arial" w:cs="Arial"/>
          <w:sz w:val="20"/>
          <w:szCs w:val="20"/>
          <w:lang w:val="vi-VN"/>
        </w:rPr>
      </w:pPr>
      <w:r w:rsidRPr="0078484C">
        <w:rPr>
          <w:rFonts w:ascii="Arial" w:hAnsi="Arial" w:cs="Arial"/>
          <w:sz w:val="20"/>
          <w:szCs w:val="20"/>
          <w:lang w:val="vi-VN"/>
        </w:rPr>
        <w:t>Tại ngày 31 tháng 12 năm 2023, cơ cấu danh mục đầu tư của Quỹ đã tuân thủ quy định tại Điểm c, Khoản 4, Điều 35, Thông tư 98 và Điều 11, Điều lệ Quỹ.</w:t>
      </w:r>
    </w:p>
    <w:p w14:paraId="4981449A" w14:textId="77777777" w:rsidR="00837DDB" w:rsidRPr="0078484C" w:rsidRDefault="00837DDB" w:rsidP="00837DDB">
      <w:pPr>
        <w:pStyle w:val="ListParagraph"/>
        <w:numPr>
          <w:ilvl w:val="0"/>
          <w:numId w:val="50"/>
        </w:numPr>
        <w:spacing w:before="120" w:after="120" w:line="360" w:lineRule="auto"/>
        <w:ind w:left="0" w:firstLine="0"/>
        <w:jc w:val="both"/>
        <w:rPr>
          <w:rFonts w:ascii="Arial" w:hAnsi="Arial" w:cs="Arial"/>
          <w:sz w:val="20"/>
          <w:szCs w:val="20"/>
          <w:lang w:val="vi-VN"/>
        </w:rPr>
      </w:pPr>
      <w:r w:rsidRPr="0078484C">
        <w:rPr>
          <w:rFonts w:ascii="Arial" w:hAnsi="Arial" w:cs="Arial"/>
          <w:sz w:val="20"/>
          <w:szCs w:val="20"/>
          <w:lang w:val="vi-VN"/>
        </w:rPr>
        <w:t xml:space="preserve">Theo Điểm đ, Khoản 4, Điều 35, Thông tư 98 và Điều 11, Điều lệ Quỹ quy định cơ cấu danh mục đầu tư của quỹ mở phải đảm bảo: “Không được đầu tư quá 10% tổng giá trị tài sản của quỹ vào cổ phiếu chào bán lần đầu ra công chúng, trái phiếu chào bán ra công chúng; trái phiếu doanh nghiệp phát hành riêng lẻ bởi tổ chức niêm yết có bảo lãnh thanh toán của tổ chức tín dụng hoặc cam kết mua lại của tổ chức phát hành tối thiểu 1 lần trong 12 tháng và mỗi lần cam kết mua lại tối thiểu 30% giá trị đợt phát hành.” Trường hợp phát sinh sai lệch, Công ty Quản lý Quỹ có nghĩa vụ điều chỉnh lại cơ cấu danh mục đầu tư của Quỹ cho phù hợp với quy định trong thời gian cho phép. </w:t>
      </w:r>
    </w:p>
    <w:p w14:paraId="7F31B1BE" w14:textId="77777777" w:rsidR="00837DDB" w:rsidRPr="0078484C" w:rsidRDefault="00837DDB" w:rsidP="00837DDB">
      <w:pPr>
        <w:pStyle w:val="ListParagraph"/>
        <w:spacing w:before="120" w:after="120" w:line="360" w:lineRule="auto"/>
        <w:ind w:left="0"/>
        <w:jc w:val="both"/>
        <w:rPr>
          <w:rFonts w:ascii="Arial" w:hAnsi="Arial" w:cs="Arial"/>
          <w:sz w:val="20"/>
          <w:szCs w:val="20"/>
          <w:lang w:val="vi-VN"/>
        </w:rPr>
      </w:pPr>
      <w:r w:rsidRPr="0078484C">
        <w:rPr>
          <w:rFonts w:ascii="Arial" w:hAnsi="Arial" w:cs="Arial"/>
          <w:sz w:val="20"/>
          <w:szCs w:val="20"/>
          <w:lang w:val="vi-VN"/>
        </w:rPr>
        <w:t>Tại một số kỳ định giá trong giai đoạn từ ngày 01 tháng 01 năm 2023 đến ngày 31 tháng 12 năm 2023, tỷ lệ đầu tư của Quỹ vào trái phiếu doanh nghiệp chưa niêm yết đã phát sinh sai lệch so với hạn mức 10% tổng giá trị tài sản của Quỹ.</w:t>
      </w:r>
    </w:p>
    <w:p w14:paraId="307CB225" w14:textId="77777777" w:rsidR="00837DDB" w:rsidRPr="0078484C" w:rsidRDefault="00837DDB" w:rsidP="00837DDB">
      <w:pPr>
        <w:spacing w:before="120" w:after="120" w:line="360" w:lineRule="auto"/>
        <w:jc w:val="both"/>
        <w:rPr>
          <w:rFonts w:ascii="Arial" w:hAnsi="Arial" w:cs="Arial"/>
          <w:sz w:val="20"/>
          <w:szCs w:val="20"/>
          <w:lang w:val="vi-VN"/>
        </w:rPr>
      </w:pPr>
      <w:r w:rsidRPr="0078484C">
        <w:rPr>
          <w:rFonts w:ascii="Arial" w:hAnsi="Arial" w:cs="Arial"/>
          <w:sz w:val="20"/>
          <w:szCs w:val="20"/>
          <w:lang w:val="vi-VN"/>
        </w:rPr>
        <w:t>Công ty Quản lý Quỹ đã thực hiện điều chỉnh lại cơ cấu danh mục đầu tư của Quỹ để đáp ứng hạn mức đầu tư theo quy định trong thời gian cho phép.</w:t>
      </w:r>
    </w:p>
    <w:p w14:paraId="3ACB137A" w14:textId="77777777" w:rsidR="00837DDB" w:rsidRPr="0078484C" w:rsidRDefault="00837DDB" w:rsidP="00837DDB">
      <w:pPr>
        <w:spacing w:before="120" w:after="120" w:line="360" w:lineRule="auto"/>
        <w:jc w:val="both"/>
        <w:rPr>
          <w:rFonts w:ascii="Arial" w:hAnsi="Arial" w:cs="Arial"/>
          <w:sz w:val="20"/>
          <w:szCs w:val="20"/>
          <w:lang w:val="vi-VN"/>
        </w:rPr>
      </w:pPr>
      <w:r w:rsidRPr="0078484C">
        <w:rPr>
          <w:rFonts w:ascii="Arial" w:hAnsi="Arial" w:cs="Arial"/>
          <w:sz w:val="20"/>
          <w:szCs w:val="20"/>
          <w:lang w:val="vi-VN"/>
        </w:rPr>
        <w:t>Tại ngày 31 tháng 12 năm 2023, cơ cấu danh mục đầu tư của Quỹ đã tuân thủ quy định tại Điểm đ, Khoản 4, Điều 35, Thông tư 98 và Điều 11, Điều lệ Quỹ.</w:t>
      </w:r>
    </w:p>
    <w:p w14:paraId="1BB70797" w14:textId="77777777" w:rsidR="00837DDB" w:rsidRPr="0078484C" w:rsidRDefault="00837DDB" w:rsidP="00837DDB">
      <w:pPr>
        <w:spacing w:before="120" w:after="120" w:line="360" w:lineRule="auto"/>
        <w:jc w:val="both"/>
        <w:rPr>
          <w:rFonts w:ascii="Arial" w:hAnsi="Arial" w:cs="Arial"/>
          <w:sz w:val="20"/>
          <w:szCs w:val="20"/>
          <w:lang w:val="vi-VN"/>
        </w:rPr>
      </w:pPr>
      <w:r w:rsidRPr="0078484C">
        <w:rPr>
          <w:rFonts w:ascii="Arial" w:eastAsiaTheme="minorHAnsi" w:hAnsi="Arial" w:cs="Arial"/>
          <w:sz w:val="20"/>
          <w:szCs w:val="20"/>
          <w:lang w:val="vi-VN"/>
        </w:rPr>
        <w:t>Từ ngày 01 tháng 01 năm 2023 đến ngày 31 tháng 12 năm 2023, Quỹ không có bất kỳ hợp đồng vay và cho vay.</w:t>
      </w:r>
    </w:p>
    <w:p w14:paraId="57AADE48" w14:textId="77777777" w:rsidR="00837DDB" w:rsidRPr="0078484C" w:rsidRDefault="00837DDB" w:rsidP="00837DDB">
      <w:pPr>
        <w:spacing w:before="120" w:after="120" w:line="360" w:lineRule="auto"/>
        <w:jc w:val="both"/>
        <w:rPr>
          <w:rFonts w:ascii="Arial" w:hAnsi="Arial" w:cs="Arial"/>
          <w:sz w:val="20"/>
          <w:szCs w:val="20"/>
          <w:lang w:val="vi-VN"/>
        </w:rPr>
      </w:pPr>
      <w:r w:rsidRPr="0078484C">
        <w:rPr>
          <w:rFonts w:ascii="Arial" w:hAnsi="Arial" w:cs="Arial"/>
          <w:sz w:val="20"/>
          <w:szCs w:val="20"/>
          <w:lang w:val="vi-VN"/>
        </w:rPr>
        <w:t>d) Việc xác định giá trị tài sản ròng theo quy định pháp luật, quy định tại Điều lệ quỹ, Bản cáo bạch, Sổ tay định giá: việc xác định giá trị tài sản ròng của Quỹ đã tuân thủ theo quy định pháp luật, quy định tại Điều lệ Quỹ, Bản cáo bạch, Sổ tay định giá đã được Ban Đại diện Quỹ phê duyệt và các văn bản pháp luật có liên quan.</w:t>
      </w:r>
    </w:p>
    <w:p w14:paraId="511E535C" w14:textId="77777777" w:rsidR="00837DDB" w:rsidRPr="0078484C" w:rsidRDefault="00837DDB" w:rsidP="00837DDB">
      <w:pPr>
        <w:keepNext/>
        <w:shd w:val="clear" w:color="auto" w:fill="FFFFFF"/>
        <w:spacing w:before="120" w:after="120" w:line="360" w:lineRule="auto"/>
        <w:jc w:val="both"/>
        <w:rPr>
          <w:rFonts w:ascii="Arial" w:eastAsia="Times New Roman" w:hAnsi="Arial" w:cs="Arial"/>
          <w:sz w:val="20"/>
          <w:szCs w:val="20"/>
          <w:lang w:val="vi-VN"/>
        </w:rPr>
      </w:pPr>
      <w:r w:rsidRPr="0078484C">
        <w:rPr>
          <w:rFonts w:ascii="Arial" w:hAnsi="Arial" w:cs="Arial"/>
          <w:sz w:val="20"/>
          <w:szCs w:val="20"/>
          <w:lang w:val="vi-VN"/>
        </w:rPr>
        <w:t>e) Việc phát hành bổ sung chứng chỉ quỹ, mua lại chứng chỉ quỹ theo quy định pháp luật, quy định tại Điều lệ quỹ, Bản cáo bạch: việc phát hành bổ sung chứng chỉ quỹ, mua lại chứng chỉ quỹ đã tuân thủ theo quy định pháp luật liên quan, quy định tại Điều lệ Quỹ, Bản cáo bạch, ngoại trừ việc thanh toán tiền mua lại chứng chỉ Quỹ cho kỳ giao dịch ngày 24/03/2023 chi tiết như sau:</w:t>
      </w:r>
    </w:p>
    <w:p w14:paraId="1370DD25" w14:textId="77777777" w:rsidR="00837DDB" w:rsidRPr="0078484C" w:rsidRDefault="00837DDB" w:rsidP="00837DDB">
      <w:pPr>
        <w:keepNext/>
        <w:shd w:val="clear" w:color="auto" w:fill="FFFFFF"/>
        <w:spacing w:before="120" w:after="120" w:line="360" w:lineRule="auto"/>
        <w:jc w:val="both"/>
        <w:rPr>
          <w:rFonts w:ascii="Arial" w:hAnsi="Arial" w:cs="Arial"/>
          <w:sz w:val="20"/>
          <w:szCs w:val="20"/>
          <w:lang w:val="vi-VN"/>
        </w:rPr>
      </w:pPr>
      <w:r w:rsidRPr="0078484C">
        <w:rPr>
          <w:rFonts w:ascii="Arial" w:hAnsi="Arial" w:cs="Arial"/>
          <w:sz w:val="20"/>
          <w:szCs w:val="20"/>
          <w:lang w:val="vi-VN"/>
        </w:rPr>
        <w:t>Theo Điểm c, Khoản 1, Điều 32, Thông tư 98 và Chương V, Bản cáo bạch của Quỹ quy định việc thanh toán lệnh bán chứng chỉ quỹ phải thực hiện trong thời hạn theo quy định tại Điều lệ quỹ và Bản cáo bạch nhưng không quá 05 ngày làm việc, kể từ ngày giao dịch chứng chỉ quỹ.</w:t>
      </w:r>
    </w:p>
    <w:p w14:paraId="6BE09D6B" w14:textId="77777777" w:rsidR="00837DDB" w:rsidRPr="0078484C" w:rsidRDefault="00837DDB" w:rsidP="00837DDB">
      <w:pPr>
        <w:keepNext/>
        <w:shd w:val="clear" w:color="auto" w:fill="FFFFFF"/>
        <w:spacing w:before="120" w:after="120" w:line="360" w:lineRule="auto"/>
        <w:jc w:val="both"/>
        <w:rPr>
          <w:rFonts w:ascii="Arial" w:hAnsi="Arial" w:cs="Arial"/>
          <w:sz w:val="20"/>
          <w:szCs w:val="20"/>
          <w:lang w:val="vi-VN"/>
        </w:rPr>
      </w:pPr>
      <w:r w:rsidRPr="0078484C">
        <w:rPr>
          <w:rFonts w:ascii="Arial" w:hAnsi="Arial" w:cs="Arial"/>
          <w:sz w:val="20"/>
          <w:szCs w:val="20"/>
          <w:lang w:val="vi-VN"/>
        </w:rPr>
        <w:t xml:space="preserve">Ngày 31/03/2023, Công ty Cổ phần Quản Lý Quỹ Đầu tư Dragon Capital Việt Nam đã gửi các chỉ thị thanh toán tiền bán chứng chỉ quỹ cho các Nhà đầu tư cho kỳ giao dịch ngày 24/03/2023 theo chi tiết trong báo cáo SR0046 – Danh sách Nhà đầu tư được thanh toán tiền chi tiết theo Đại lý phân phối của Trung tâm Lưu ký Chứng khoán Việt Nam với tư cách là Đại lý Chuyển nhượng của Quỹ. Tuy nhiên, ngày 31/03/2023, do lỗi hệ thống thanh toán của Ngân hàng thanh toán nên một lệnh thanh toán tiền bán chứng chỉ quỹ của một Nhà đầu tư trong danh sách nêu trên chưa được thực hiện thành công trong ngày. </w:t>
      </w:r>
    </w:p>
    <w:p w14:paraId="23040EEE" w14:textId="77777777" w:rsidR="00837DDB" w:rsidRPr="0078484C" w:rsidRDefault="00837DDB" w:rsidP="00837DDB">
      <w:pPr>
        <w:keepNext/>
        <w:shd w:val="clear" w:color="auto" w:fill="FFFFFF"/>
        <w:spacing w:before="120" w:after="120" w:line="360" w:lineRule="auto"/>
        <w:jc w:val="both"/>
        <w:rPr>
          <w:rFonts w:ascii="Arial" w:hAnsi="Arial" w:cs="Arial"/>
          <w:sz w:val="20"/>
          <w:szCs w:val="20"/>
          <w:lang w:val="vi-VN"/>
        </w:rPr>
      </w:pPr>
      <w:r w:rsidRPr="0078484C">
        <w:rPr>
          <w:rFonts w:ascii="Arial" w:hAnsi="Arial" w:cs="Arial"/>
          <w:sz w:val="20"/>
          <w:szCs w:val="20"/>
          <w:lang w:val="vi-VN"/>
        </w:rPr>
        <w:t>Tại ngày 03/04/2023, khoản thanh toán tiền bán chứng chỉ quỹ của Nhà đầu tư nêu trên đã được thực hiện thanh toán đầy đủ.</w:t>
      </w:r>
    </w:p>
    <w:p w14:paraId="19014542" w14:textId="77777777" w:rsidR="00837DDB" w:rsidRPr="0078484C" w:rsidRDefault="00837DDB" w:rsidP="00837DDB">
      <w:pPr>
        <w:spacing w:before="120" w:after="120" w:line="360" w:lineRule="auto"/>
        <w:jc w:val="both"/>
        <w:rPr>
          <w:rFonts w:ascii="Arial" w:hAnsi="Arial" w:cs="Arial"/>
          <w:sz w:val="20"/>
          <w:szCs w:val="20"/>
          <w:lang w:val="vi-VN"/>
        </w:rPr>
      </w:pPr>
      <w:r w:rsidRPr="0078484C">
        <w:rPr>
          <w:rFonts w:ascii="Arial" w:hAnsi="Arial" w:cs="Arial"/>
          <w:sz w:val="20"/>
          <w:szCs w:val="20"/>
          <w:lang w:val="vi-VN"/>
        </w:rPr>
        <w:t>f</w:t>
      </w:r>
      <w:r w:rsidRPr="0078484C">
        <w:rPr>
          <w:rFonts w:ascii="Arial" w:eastAsia="Times New Roman" w:hAnsi="Arial" w:cs="Arial"/>
          <w:sz w:val="20"/>
          <w:szCs w:val="20"/>
          <w:lang w:val="vi-VN"/>
        </w:rPr>
        <w:t>) Việc phân chia lợi nhuận của quỹ: từ ngày 01 tháng 01 năm 2023 đến ngày 31 tháng 12 năm 2023, Quỹ không thực hiện</w:t>
      </w:r>
      <w:r w:rsidRPr="0078484C">
        <w:rPr>
          <w:rFonts w:ascii="Arial" w:hAnsi="Arial" w:cs="Arial"/>
          <w:sz w:val="20"/>
          <w:szCs w:val="20"/>
          <w:lang w:val="vi-VN"/>
        </w:rPr>
        <w:t xml:space="preserve"> phân phối lợi nhuận cho nhà đầu tư.</w:t>
      </w:r>
    </w:p>
    <w:p w14:paraId="206D44FA" w14:textId="209BBE82" w:rsidR="0054640D" w:rsidRPr="0078484C" w:rsidRDefault="00240993" w:rsidP="00FC49CD">
      <w:pPr>
        <w:pStyle w:val="ListParagraph"/>
        <w:tabs>
          <w:tab w:val="left" w:pos="270"/>
          <w:tab w:val="left" w:pos="1134"/>
        </w:tabs>
        <w:spacing w:before="120" w:after="120" w:line="240" w:lineRule="auto"/>
        <w:ind w:left="0"/>
        <w:contextualSpacing w:val="0"/>
        <w:jc w:val="both"/>
        <w:rPr>
          <w:rFonts w:ascii="Arial" w:hAnsi="Arial" w:cs="Arial"/>
          <w:b/>
          <w:color w:val="000000" w:themeColor="text1"/>
          <w:sz w:val="20"/>
          <w:szCs w:val="20"/>
          <w:lang w:val="vi-VN"/>
        </w:rPr>
      </w:pPr>
      <w:r w:rsidRPr="0078484C">
        <w:rPr>
          <w:rFonts w:ascii="Arial" w:hAnsi="Arial" w:cs="Arial"/>
          <w:b/>
          <w:color w:val="000000" w:themeColor="text1"/>
          <w:sz w:val="20"/>
          <w:szCs w:val="20"/>
          <w:lang w:val="vi-VN"/>
        </w:rPr>
        <w:t>5</w:t>
      </w:r>
      <w:r w:rsidR="00FC49CD" w:rsidRPr="0078484C">
        <w:rPr>
          <w:rFonts w:ascii="Arial" w:hAnsi="Arial" w:cs="Arial"/>
          <w:b/>
          <w:color w:val="000000" w:themeColor="text1"/>
          <w:sz w:val="20"/>
          <w:szCs w:val="20"/>
          <w:lang w:val="vi-VN"/>
        </w:rPr>
        <w:t xml:space="preserve">. </w:t>
      </w:r>
      <w:r w:rsidR="00D84438" w:rsidRPr="0078484C">
        <w:rPr>
          <w:rFonts w:ascii="Arial" w:hAnsi="Arial" w:cs="Arial"/>
          <w:b/>
          <w:color w:val="000000" w:themeColor="text1"/>
          <w:sz w:val="20"/>
          <w:szCs w:val="20"/>
          <w:lang w:val="vi-VN"/>
        </w:rPr>
        <w:t>Báo cáo về hoạt động ủy quyền</w:t>
      </w:r>
    </w:p>
    <w:p w14:paraId="1AFBE50B" w14:textId="77777777" w:rsidR="00DC5E17" w:rsidRPr="0078484C" w:rsidRDefault="00F406B7" w:rsidP="007D71BB">
      <w:pPr>
        <w:jc w:val="both"/>
        <w:rPr>
          <w:rFonts w:ascii="Arial" w:hAnsi="Arial" w:cs="Arial"/>
          <w:color w:val="000000" w:themeColor="text1"/>
          <w:sz w:val="20"/>
          <w:szCs w:val="20"/>
          <w:lang w:val="vi-VN"/>
        </w:rPr>
      </w:pPr>
      <w:r w:rsidRPr="0078484C">
        <w:rPr>
          <w:rFonts w:ascii="Arial" w:hAnsi="Arial" w:cs="Arial"/>
          <w:color w:val="000000" w:themeColor="text1"/>
          <w:sz w:val="20"/>
          <w:szCs w:val="20"/>
          <w:lang w:val="vi-VN"/>
        </w:rPr>
        <w:t>B</w:t>
      </w:r>
      <w:r w:rsidR="00D84438" w:rsidRPr="0078484C">
        <w:rPr>
          <w:rFonts w:ascii="Arial" w:hAnsi="Arial" w:cs="Arial"/>
          <w:color w:val="000000" w:themeColor="text1"/>
          <w:sz w:val="20"/>
          <w:szCs w:val="20"/>
          <w:lang w:val="vi-VN"/>
        </w:rPr>
        <w:t>áo cáo đánh giá chất lượng dịch vụ cung cấp bởi các tổ chức khác (bên nhận ủy quyền), như dịch vụ đại lý chuyển nhượng, dịch vụ quản trị quỹ, dịch vụ xác định giá trị tài sản ròng...với các nội dung sau:</w:t>
      </w:r>
    </w:p>
    <w:p w14:paraId="4C8E8FA4" w14:textId="77777777" w:rsidR="00D84438" w:rsidRPr="0078484C" w:rsidRDefault="00D84438" w:rsidP="007D71BB">
      <w:pPr>
        <w:numPr>
          <w:ilvl w:val="0"/>
          <w:numId w:val="34"/>
        </w:numPr>
        <w:spacing w:before="120" w:after="120"/>
        <w:ind w:left="360"/>
        <w:jc w:val="both"/>
        <w:rPr>
          <w:rFonts w:ascii="Arial" w:hAnsi="Arial" w:cs="Arial"/>
          <w:color w:val="000000" w:themeColor="text1"/>
          <w:sz w:val="20"/>
          <w:szCs w:val="20"/>
          <w:lang w:val="vi-VN"/>
        </w:rPr>
      </w:pPr>
      <w:r w:rsidRPr="0078484C">
        <w:rPr>
          <w:rFonts w:ascii="Arial" w:hAnsi="Arial" w:cs="Arial"/>
          <w:color w:val="000000" w:themeColor="text1"/>
          <w:sz w:val="20"/>
          <w:szCs w:val="20"/>
          <w:lang w:val="vi-VN"/>
        </w:rPr>
        <w:t>Chi phí phải trả cho bên nhận ủy quyền so với lợi nhuận, thu nhập, tổng chi phí hoạt động của quỹ;</w:t>
      </w:r>
    </w:p>
    <w:tbl>
      <w:tblPr>
        <w:tblW w:w="9002" w:type="dxa"/>
        <w:tblInd w:w="93" w:type="dxa"/>
        <w:tblLook w:val="04A0" w:firstRow="1" w:lastRow="0" w:firstColumn="1" w:lastColumn="0" w:noHBand="0" w:noVBand="1"/>
      </w:tblPr>
      <w:tblGrid>
        <w:gridCol w:w="3975"/>
        <w:gridCol w:w="1620"/>
        <w:gridCol w:w="1890"/>
        <w:gridCol w:w="1517"/>
      </w:tblGrid>
      <w:tr w:rsidR="001319EE" w:rsidRPr="0078484C" w14:paraId="45D10B92" w14:textId="77777777" w:rsidTr="00BC2E58">
        <w:trPr>
          <w:trHeight w:val="322"/>
        </w:trPr>
        <w:tc>
          <w:tcPr>
            <w:tcW w:w="397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4296CB5" w14:textId="77777777" w:rsidR="00EE1D6B" w:rsidRPr="0078484C" w:rsidRDefault="00EE1D6B" w:rsidP="007D71BB">
            <w:pPr>
              <w:jc w:val="both"/>
              <w:rPr>
                <w:rFonts w:ascii="Arial" w:hAnsi="Arial" w:cs="Arial"/>
                <w:b/>
                <w:bCs/>
                <w:color w:val="000000" w:themeColor="text1"/>
                <w:sz w:val="20"/>
                <w:szCs w:val="20"/>
                <w:lang w:val="vi-VN" w:eastAsia="vi-VN"/>
              </w:rPr>
            </w:pPr>
            <w:r w:rsidRPr="0078484C">
              <w:rPr>
                <w:rFonts w:ascii="Arial" w:hAnsi="Arial" w:cs="Arial"/>
                <w:b/>
                <w:bCs/>
                <w:color w:val="000000" w:themeColor="text1"/>
                <w:sz w:val="20"/>
                <w:szCs w:val="20"/>
                <w:lang w:val="vi-VN" w:eastAsia="vi-VN"/>
              </w:rPr>
              <w:t>Chỉ tiêu</w:t>
            </w:r>
          </w:p>
        </w:tc>
        <w:tc>
          <w:tcPr>
            <w:tcW w:w="1620" w:type="dxa"/>
            <w:tcBorders>
              <w:top w:val="single" w:sz="4" w:space="0" w:color="auto"/>
              <w:left w:val="nil"/>
              <w:bottom w:val="single" w:sz="4" w:space="0" w:color="auto"/>
              <w:right w:val="single" w:sz="4" w:space="0" w:color="auto"/>
            </w:tcBorders>
            <w:shd w:val="clear" w:color="auto" w:fill="FFC000"/>
            <w:noWrap/>
            <w:vAlign w:val="bottom"/>
            <w:hideMark/>
          </w:tcPr>
          <w:p w14:paraId="143C2556" w14:textId="77777777" w:rsidR="00EE1D6B" w:rsidRPr="0078484C" w:rsidRDefault="00EE1D6B" w:rsidP="007D71BB">
            <w:pPr>
              <w:jc w:val="both"/>
              <w:rPr>
                <w:rFonts w:ascii="Arial" w:hAnsi="Arial" w:cs="Arial"/>
                <w:b/>
                <w:bCs/>
                <w:color w:val="000000" w:themeColor="text1"/>
                <w:sz w:val="20"/>
                <w:szCs w:val="20"/>
                <w:lang w:val="vi-VN" w:eastAsia="vi-VN"/>
              </w:rPr>
            </w:pPr>
            <w:r w:rsidRPr="0078484C">
              <w:rPr>
                <w:rFonts w:ascii="Arial" w:hAnsi="Arial" w:cs="Arial"/>
                <w:b/>
                <w:bCs/>
                <w:color w:val="000000" w:themeColor="text1"/>
                <w:sz w:val="20"/>
                <w:szCs w:val="20"/>
                <w:lang w:val="vi-VN" w:eastAsia="vi-VN"/>
              </w:rPr>
              <w:t>Tỷ lệ so với lợi nhuận</w:t>
            </w:r>
          </w:p>
        </w:tc>
        <w:tc>
          <w:tcPr>
            <w:tcW w:w="1890" w:type="dxa"/>
            <w:tcBorders>
              <w:top w:val="single" w:sz="4" w:space="0" w:color="auto"/>
              <w:left w:val="nil"/>
              <w:bottom w:val="single" w:sz="4" w:space="0" w:color="auto"/>
              <w:right w:val="single" w:sz="4" w:space="0" w:color="auto"/>
            </w:tcBorders>
            <w:shd w:val="clear" w:color="auto" w:fill="FFC000"/>
            <w:vAlign w:val="bottom"/>
          </w:tcPr>
          <w:p w14:paraId="627115F4" w14:textId="77777777" w:rsidR="00EE1D6B" w:rsidRPr="0078484C" w:rsidRDefault="00EE1D6B" w:rsidP="007D71BB">
            <w:pPr>
              <w:jc w:val="both"/>
              <w:rPr>
                <w:rFonts w:ascii="Arial" w:hAnsi="Arial" w:cs="Arial"/>
                <w:b/>
                <w:bCs/>
                <w:color w:val="000000" w:themeColor="text1"/>
                <w:sz w:val="20"/>
                <w:szCs w:val="20"/>
                <w:lang w:val="vi-VN" w:eastAsia="vi-VN"/>
              </w:rPr>
            </w:pPr>
            <w:r w:rsidRPr="0078484C">
              <w:rPr>
                <w:rFonts w:ascii="Arial" w:hAnsi="Arial" w:cs="Arial"/>
                <w:b/>
                <w:bCs/>
                <w:color w:val="000000" w:themeColor="text1"/>
                <w:sz w:val="20"/>
                <w:szCs w:val="20"/>
                <w:lang w:val="vi-VN" w:eastAsia="vi-VN"/>
              </w:rPr>
              <w:t>Tỷ lệ so với chi phí hoạt động</w:t>
            </w:r>
          </w:p>
        </w:tc>
        <w:tc>
          <w:tcPr>
            <w:tcW w:w="1517" w:type="dxa"/>
            <w:tcBorders>
              <w:top w:val="single" w:sz="4" w:space="0" w:color="auto"/>
              <w:left w:val="single" w:sz="4" w:space="0" w:color="auto"/>
              <w:bottom w:val="single" w:sz="4" w:space="0" w:color="auto"/>
              <w:right w:val="single" w:sz="4" w:space="0" w:color="auto"/>
            </w:tcBorders>
            <w:shd w:val="clear" w:color="auto" w:fill="FFC000"/>
          </w:tcPr>
          <w:p w14:paraId="276416F2" w14:textId="77777777" w:rsidR="00EE1D6B" w:rsidRPr="0078484C" w:rsidRDefault="00900146" w:rsidP="007D71BB">
            <w:pPr>
              <w:jc w:val="both"/>
              <w:rPr>
                <w:rFonts w:ascii="Arial" w:hAnsi="Arial" w:cs="Arial"/>
                <w:b/>
                <w:bCs/>
                <w:color w:val="000000" w:themeColor="text1"/>
                <w:sz w:val="20"/>
                <w:szCs w:val="20"/>
                <w:lang w:val="vi-VN" w:eastAsia="vi-VN"/>
              </w:rPr>
            </w:pPr>
            <w:r w:rsidRPr="0078484C">
              <w:rPr>
                <w:rFonts w:ascii="Arial" w:hAnsi="Arial" w:cs="Arial"/>
                <w:b/>
                <w:bCs/>
                <w:color w:val="000000" w:themeColor="text1"/>
                <w:sz w:val="20"/>
                <w:szCs w:val="20"/>
                <w:lang w:val="vi-VN" w:eastAsia="vi-VN"/>
              </w:rPr>
              <w:t>Tỷ lệ</w:t>
            </w:r>
            <w:r w:rsidRPr="0078484C">
              <w:rPr>
                <w:rFonts w:ascii="Arial" w:hAnsi="Arial" w:cs="Arial"/>
                <w:b/>
                <w:bCs/>
                <w:color w:val="000000" w:themeColor="text1"/>
                <w:sz w:val="20"/>
                <w:szCs w:val="20"/>
                <w:lang w:eastAsia="vi-VN"/>
              </w:rPr>
              <w:t xml:space="preserve"> so </w:t>
            </w:r>
            <w:proofErr w:type="spellStart"/>
            <w:r w:rsidRPr="0078484C">
              <w:rPr>
                <w:rFonts w:ascii="Arial" w:hAnsi="Arial" w:cs="Arial"/>
                <w:b/>
                <w:bCs/>
                <w:color w:val="000000" w:themeColor="text1"/>
                <w:sz w:val="20"/>
                <w:szCs w:val="20"/>
                <w:lang w:eastAsia="vi-VN"/>
              </w:rPr>
              <w:t>với</w:t>
            </w:r>
            <w:proofErr w:type="spellEnd"/>
            <w:r w:rsidRPr="0078484C">
              <w:rPr>
                <w:rFonts w:ascii="Arial" w:hAnsi="Arial" w:cs="Arial"/>
                <w:b/>
                <w:bCs/>
                <w:color w:val="000000" w:themeColor="text1"/>
                <w:sz w:val="20"/>
                <w:szCs w:val="20"/>
                <w:lang w:eastAsia="vi-VN"/>
              </w:rPr>
              <w:t xml:space="preserve"> </w:t>
            </w:r>
            <w:proofErr w:type="spellStart"/>
            <w:r w:rsidRPr="0078484C">
              <w:rPr>
                <w:rFonts w:ascii="Arial" w:hAnsi="Arial" w:cs="Arial"/>
                <w:b/>
                <w:bCs/>
                <w:color w:val="000000" w:themeColor="text1"/>
                <w:sz w:val="20"/>
                <w:szCs w:val="20"/>
                <w:lang w:eastAsia="vi-VN"/>
              </w:rPr>
              <w:t>thu</w:t>
            </w:r>
            <w:proofErr w:type="spellEnd"/>
            <w:r w:rsidRPr="0078484C">
              <w:rPr>
                <w:rFonts w:ascii="Arial" w:hAnsi="Arial" w:cs="Arial"/>
                <w:b/>
                <w:bCs/>
                <w:color w:val="000000" w:themeColor="text1"/>
                <w:sz w:val="20"/>
                <w:szCs w:val="20"/>
                <w:lang w:eastAsia="vi-VN"/>
              </w:rPr>
              <w:t xml:space="preserve"> </w:t>
            </w:r>
            <w:proofErr w:type="spellStart"/>
            <w:r w:rsidRPr="0078484C">
              <w:rPr>
                <w:rFonts w:ascii="Arial" w:hAnsi="Arial" w:cs="Arial"/>
                <w:b/>
                <w:bCs/>
                <w:color w:val="000000" w:themeColor="text1"/>
                <w:sz w:val="20"/>
                <w:szCs w:val="20"/>
                <w:lang w:eastAsia="vi-VN"/>
              </w:rPr>
              <w:t>nhập</w:t>
            </w:r>
            <w:proofErr w:type="spellEnd"/>
          </w:p>
        </w:tc>
      </w:tr>
      <w:tr w:rsidR="00514477" w:rsidRPr="0078484C" w14:paraId="468338A7" w14:textId="77777777" w:rsidTr="00C42688">
        <w:trPr>
          <w:trHeight w:val="355"/>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7FB5A8B7" w14:textId="77777777" w:rsidR="00514477" w:rsidRPr="0078484C" w:rsidRDefault="00514477" w:rsidP="00514477">
            <w:pPr>
              <w:jc w:val="both"/>
              <w:rPr>
                <w:rFonts w:ascii="Arial" w:hAnsi="Arial" w:cs="Arial"/>
                <w:color w:val="000000" w:themeColor="text1"/>
                <w:sz w:val="20"/>
                <w:szCs w:val="20"/>
                <w:lang w:val="vi-VN" w:eastAsia="vi-VN"/>
              </w:rPr>
            </w:pPr>
            <w:r w:rsidRPr="0078484C">
              <w:rPr>
                <w:rFonts w:ascii="Arial" w:hAnsi="Arial" w:cs="Arial"/>
                <w:color w:val="000000" w:themeColor="text1"/>
                <w:sz w:val="20"/>
                <w:szCs w:val="20"/>
                <w:lang w:val="vi-VN" w:eastAsia="vi-VN"/>
              </w:rPr>
              <w:t xml:space="preserve">Chi phí dịch vụ đại lý chuyển nhượng </w:t>
            </w:r>
          </w:p>
        </w:tc>
        <w:tc>
          <w:tcPr>
            <w:tcW w:w="1620" w:type="dxa"/>
            <w:tcBorders>
              <w:top w:val="nil"/>
              <w:left w:val="nil"/>
              <w:bottom w:val="single" w:sz="4" w:space="0" w:color="auto"/>
              <w:right w:val="single" w:sz="4" w:space="0" w:color="auto"/>
            </w:tcBorders>
            <w:shd w:val="clear" w:color="auto" w:fill="auto"/>
            <w:noWrap/>
            <w:hideMark/>
          </w:tcPr>
          <w:p w14:paraId="77167C06" w14:textId="53FFC730" w:rsidR="00514477" w:rsidRPr="0078484C" w:rsidRDefault="00514477" w:rsidP="00514477">
            <w:pPr>
              <w:jc w:val="center"/>
              <w:rPr>
                <w:rFonts w:ascii="Arial" w:hAnsi="Arial" w:cs="Arial"/>
                <w:color w:val="000000" w:themeColor="text1"/>
                <w:sz w:val="20"/>
                <w:szCs w:val="20"/>
                <w:lang w:eastAsia="vi-VN"/>
              </w:rPr>
            </w:pPr>
            <w:r w:rsidRPr="0078484C">
              <w:rPr>
                <w:rFonts w:ascii="Arial" w:hAnsi="Arial" w:cs="Arial"/>
                <w:sz w:val="20"/>
                <w:szCs w:val="20"/>
              </w:rPr>
              <w:t>0</w:t>
            </w:r>
            <w:r w:rsidR="003D13EB">
              <w:rPr>
                <w:rFonts w:ascii="Arial" w:hAnsi="Arial" w:cs="Arial"/>
                <w:sz w:val="20"/>
                <w:szCs w:val="20"/>
              </w:rPr>
              <w:t>,</w:t>
            </w:r>
            <w:r w:rsidRPr="0078484C">
              <w:rPr>
                <w:rFonts w:ascii="Arial" w:hAnsi="Arial" w:cs="Arial"/>
                <w:sz w:val="20"/>
                <w:szCs w:val="20"/>
              </w:rPr>
              <w:t>38%</w:t>
            </w:r>
          </w:p>
        </w:tc>
        <w:tc>
          <w:tcPr>
            <w:tcW w:w="1890" w:type="dxa"/>
            <w:tcBorders>
              <w:top w:val="nil"/>
              <w:left w:val="nil"/>
              <w:bottom w:val="single" w:sz="4" w:space="0" w:color="auto"/>
              <w:right w:val="single" w:sz="4" w:space="0" w:color="auto"/>
            </w:tcBorders>
          </w:tcPr>
          <w:p w14:paraId="34A0E2A6" w14:textId="48AB2F27" w:rsidR="00514477" w:rsidRPr="0078484C" w:rsidRDefault="00514477" w:rsidP="00514477">
            <w:pPr>
              <w:spacing w:after="0" w:line="240" w:lineRule="auto"/>
              <w:jc w:val="center"/>
              <w:rPr>
                <w:rFonts w:ascii="Arial" w:hAnsi="Arial" w:cs="Arial"/>
                <w:color w:val="000000"/>
                <w:sz w:val="20"/>
                <w:szCs w:val="20"/>
              </w:rPr>
            </w:pPr>
            <w:r w:rsidRPr="0078484C">
              <w:rPr>
                <w:rFonts w:ascii="Arial" w:hAnsi="Arial" w:cs="Arial"/>
                <w:sz w:val="20"/>
                <w:szCs w:val="20"/>
              </w:rPr>
              <w:t>2</w:t>
            </w:r>
            <w:r w:rsidR="003D13EB">
              <w:rPr>
                <w:rFonts w:ascii="Arial" w:hAnsi="Arial" w:cs="Arial"/>
                <w:sz w:val="20"/>
                <w:szCs w:val="20"/>
              </w:rPr>
              <w:t>,</w:t>
            </w:r>
            <w:r w:rsidRPr="0078484C">
              <w:rPr>
                <w:rFonts w:ascii="Arial" w:hAnsi="Arial" w:cs="Arial"/>
                <w:sz w:val="20"/>
                <w:szCs w:val="20"/>
              </w:rPr>
              <w:t>22%</w:t>
            </w:r>
          </w:p>
        </w:tc>
        <w:tc>
          <w:tcPr>
            <w:tcW w:w="1517" w:type="dxa"/>
            <w:tcBorders>
              <w:top w:val="single" w:sz="4" w:space="0" w:color="auto"/>
              <w:left w:val="single" w:sz="4" w:space="0" w:color="auto"/>
              <w:bottom w:val="single" w:sz="4" w:space="0" w:color="auto"/>
              <w:right w:val="single" w:sz="4" w:space="0" w:color="auto"/>
            </w:tcBorders>
          </w:tcPr>
          <w:p w14:paraId="1B23C682" w14:textId="2F00B19E" w:rsidR="00514477" w:rsidRPr="0078484C" w:rsidRDefault="00514477" w:rsidP="00514477">
            <w:pPr>
              <w:spacing w:after="0" w:line="240" w:lineRule="auto"/>
              <w:jc w:val="center"/>
              <w:rPr>
                <w:rFonts w:ascii="Arial" w:hAnsi="Arial" w:cs="Arial"/>
                <w:color w:val="000000"/>
                <w:sz w:val="20"/>
                <w:szCs w:val="20"/>
              </w:rPr>
            </w:pPr>
            <w:r w:rsidRPr="0078484C">
              <w:rPr>
                <w:rFonts w:ascii="Arial" w:hAnsi="Arial" w:cs="Arial"/>
                <w:sz w:val="20"/>
                <w:szCs w:val="20"/>
              </w:rPr>
              <w:t>0</w:t>
            </w:r>
            <w:r w:rsidR="003D13EB">
              <w:rPr>
                <w:rFonts w:ascii="Arial" w:hAnsi="Arial" w:cs="Arial"/>
                <w:sz w:val="20"/>
                <w:szCs w:val="20"/>
              </w:rPr>
              <w:t>,</w:t>
            </w:r>
            <w:r w:rsidRPr="0078484C">
              <w:rPr>
                <w:rFonts w:ascii="Arial" w:hAnsi="Arial" w:cs="Arial"/>
                <w:sz w:val="20"/>
                <w:szCs w:val="20"/>
              </w:rPr>
              <w:t>32%</w:t>
            </w:r>
          </w:p>
        </w:tc>
      </w:tr>
      <w:tr w:rsidR="00514477" w:rsidRPr="0078484C" w14:paraId="212933C0" w14:textId="77777777" w:rsidTr="00C42688">
        <w:trPr>
          <w:trHeight w:val="371"/>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14:paraId="332126D3" w14:textId="77777777" w:rsidR="00514477" w:rsidRPr="0078484C" w:rsidRDefault="00514477" w:rsidP="00514477">
            <w:pPr>
              <w:jc w:val="both"/>
              <w:rPr>
                <w:rFonts w:ascii="Arial" w:hAnsi="Arial" w:cs="Arial"/>
                <w:color w:val="000000" w:themeColor="text1"/>
                <w:sz w:val="20"/>
                <w:szCs w:val="20"/>
                <w:lang w:val="vi-VN" w:eastAsia="vi-VN"/>
              </w:rPr>
            </w:pPr>
            <w:r w:rsidRPr="0078484C">
              <w:rPr>
                <w:rFonts w:ascii="Arial" w:hAnsi="Arial" w:cs="Arial"/>
                <w:color w:val="000000" w:themeColor="text1"/>
                <w:sz w:val="20"/>
                <w:szCs w:val="20"/>
                <w:lang w:val="vi-VN" w:eastAsia="vi-VN"/>
              </w:rPr>
              <w:t xml:space="preserve">Chi phí dịch vụ Quản trị Quỹ </w:t>
            </w:r>
          </w:p>
        </w:tc>
        <w:tc>
          <w:tcPr>
            <w:tcW w:w="1620" w:type="dxa"/>
            <w:tcBorders>
              <w:top w:val="nil"/>
              <w:left w:val="nil"/>
              <w:bottom w:val="single" w:sz="4" w:space="0" w:color="auto"/>
              <w:right w:val="single" w:sz="4" w:space="0" w:color="auto"/>
            </w:tcBorders>
            <w:shd w:val="clear" w:color="auto" w:fill="auto"/>
            <w:noWrap/>
            <w:hideMark/>
          </w:tcPr>
          <w:p w14:paraId="19DB436C" w14:textId="2E6C2BB5" w:rsidR="00514477" w:rsidRPr="0078484C" w:rsidRDefault="00514477" w:rsidP="00514477">
            <w:pPr>
              <w:jc w:val="center"/>
              <w:rPr>
                <w:rFonts w:ascii="Arial" w:hAnsi="Arial" w:cs="Arial"/>
                <w:color w:val="000000" w:themeColor="text1"/>
                <w:sz w:val="20"/>
                <w:szCs w:val="20"/>
                <w:lang w:eastAsia="vi-VN"/>
              </w:rPr>
            </w:pPr>
            <w:r w:rsidRPr="0078484C">
              <w:rPr>
                <w:rFonts w:ascii="Arial" w:hAnsi="Arial" w:cs="Arial"/>
                <w:sz w:val="20"/>
                <w:szCs w:val="20"/>
              </w:rPr>
              <w:t>0</w:t>
            </w:r>
            <w:r w:rsidR="003D13EB">
              <w:rPr>
                <w:rFonts w:ascii="Arial" w:hAnsi="Arial" w:cs="Arial"/>
                <w:sz w:val="20"/>
                <w:szCs w:val="20"/>
              </w:rPr>
              <w:t>,</w:t>
            </w:r>
            <w:r w:rsidRPr="0078484C">
              <w:rPr>
                <w:rFonts w:ascii="Arial" w:hAnsi="Arial" w:cs="Arial"/>
                <w:sz w:val="20"/>
                <w:szCs w:val="20"/>
              </w:rPr>
              <w:t>39%</w:t>
            </w:r>
          </w:p>
        </w:tc>
        <w:tc>
          <w:tcPr>
            <w:tcW w:w="1890" w:type="dxa"/>
            <w:tcBorders>
              <w:top w:val="nil"/>
              <w:left w:val="nil"/>
              <w:bottom w:val="single" w:sz="4" w:space="0" w:color="auto"/>
              <w:right w:val="single" w:sz="4" w:space="0" w:color="auto"/>
            </w:tcBorders>
          </w:tcPr>
          <w:p w14:paraId="0BB646C0" w14:textId="3916A71F" w:rsidR="00514477" w:rsidRPr="0078484C" w:rsidRDefault="00514477" w:rsidP="00514477">
            <w:pPr>
              <w:spacing w:after="0" w:line="240" w:lineRule="auto"/>
              <w:jc w:val="center"/>
              <w:rPr>
                <w:rFonts w:ascii="Arial" w:hAnsi="Arial" w:cs="Arial"/>
                <w:color w:val="000000"/>
                <w:sz w:val="20"/>
                <w:szCs w:val="20"/>
              </w:rPr>
            </w:pPr>
            <w:r w:rsidRPr="0078484C">
              <w:rPr>
                <w:rFonts w:ascii="Arial" w:hAnsi="Arial" w:cs="Arial"/>
                <w:sz w:val="20"/>
                <w:szCs w:val="20"/>
              </w:rPr>
              <w:t>2</w:t>
            </w:r>
            <w:r w:rsidR="003D13EB">
              <w:rPr>
                <w:rFonts w:ascii="Arial" w:hAnsi="Arial" w:cs="Arial"/>
                <w:sz w:val="20"/>
                <w:szCs w:val="20"/>
              </w:rPr>
              <w:t>,</w:t>
            </w:r>
            <w:r w:rsidRPr="0078484C">
              <w:rPr>
                <w:rFonts w:ascii="Arial" w:hAnsi="Arial" w:cs="Arial"/>
                <w:sz w:val="20"/>
                <w:szCs w:val="20"/>
              </w:rPr>
              <w:t>26%</w:t>
            </w:r>
          </w:p>
        </w:tc>
        <w:tc>
          <w:tcPr>
            <w:tcW w:w="1517" w:type="dxa"/>
            <w:tcBorders>
              <w:top w:val="single" w:sz="4" w:space="0" w:color="auto"/>
              <w:left w:val="single" w:sz="4" w:space="0" w:color="auto"/>
              <w:bottom w:val="single" w:sz="4" w:space="0" w:color="auto"/>
              <w:right w:val="single" w:sz="4" w:space="0" w:color="auto"/>
            </w:tcBorders>
          </w:tcPr>
          <w:p w14:paraId="6AC4F649" w14:textId="5B3889DE" w:rsidR="00514477" w:rsidRPr="0078484C" w:rsidRDefault="00514477" w:rsidP="00514477">
            <w:pPr>
              <w:spacing w:after="0" w:line="240" w:lineRule="auto"/>
              <w:jc w:val="center"/>
              <w:rPr>
                <w:rFonts w:ascii="Arial" w:hAnsi="Arial" w:cs="Arial"/>
                <w:color w:val="000000"/>
                <w:sz w:val="20"/>
                <w:szCs w:val="20"/>
              </w:rPr>
            </w:pPr>
            <w:r w:rsidRPr="0078484C">
              <w:rPr>
                <w:rFonts w:ascii="Arial" w:hAnsi="Arial" w:cs="Arial"/>
                <w:sz w:val="20"/>
                <w:szCs w:val="20"/>
              </w:rPr>
              <w:t>0</w:t>
            </w:r>
            <w:r w:rsidR="003D13EB">
              <w:rPr>
                <w:rFonts w:ascii="Arial" w:hAnsi="Arial" w:cs="Arial"/>
                <w:sz w:val="20"/>
                <w:szCs w:val="20"/>
              </w:rPr>
              <w:t>,</w:t>
            </w:r>
            <w:r w:rsidRPr="0078484C">
              <w:rPr>
                <w:rFonts w:ascii="Arial" w:hAnsi="Arial" w:cs="Arial"/>
                <w:sz w:val="20"/>
                <w:szCs w:val="20"/>
              </w:rPr>
              <w:t>33%</w:t>
            </w:r>
          </w:p>
        </w:tc>
      </w:tr>
    </w:tbl>
    <w:p w14:paraId="44B30F83" w14:textId="04C54BC9" w:rsidR="00D84438" w:rsidRPr="0078484C" w:rsidRDefault="00D84438" w:rsidP="007D71BB">
      <w:pPr>
        <w:tabs>
          <w:tab w:val="left" w:pos="993"/>
        </w:tabs>
        <w:spacing w:before="120" w:after="120"/>
        <w:jc w:val="both"/>
        <w:rPr>
          <w:rFonts w:ascii="Arial" w:hAnsi="Arial" w:cs="Arial"/>
          <w:color w:val="000000" w:themeColor="text1"/>
          <w:sz w:val="20"/>
          <w:szCs w:val="20"/>
        </w:rPr>
      </w:pPr>
      <w:r w:rsidRPr="0078484C">
        <w:rPr>
          <w:rFonts w:ascii="Arial" w:hAnsi="Arial" w:cs="Arial"/>
          <w:color w:val="000000" w:themeColor="text1"/>
          <w:sz w:val="20"/>
          <w:szCs w:val="20"/>
        </w:rPr>
        <w:t xml:space="preserve">b)  Các </w:t>
      </w:r>
      <w:proofErr w:type="spellStart"/>
      <w:r w:rsidRPr="0078484C">
        <w:rPr>
          <w:rFonts w:ascii="Arial" w:hAnsi="Arial" w:cs="Arial"/>
          <w:color w:val="000000" w:themeColor="text1"/>
          <w:sz w:val="20"/>
          <w:szCs w:val="20"/>
        </w:rPr>
        <w:t>ảnh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hưở</w:t>
      </w:r>
      <w:r w:rsidR="0092288E" w:rsidRPr="0078484C">
        <w:rPr>
          <w:rFonts w:ascii="Arial" w:hAnsi="Arial" w:cs="Arial"/>
          <w:color w:val="000000" w:themeColor="text1"/>
          <w:sz w:val="20"/>
          <w:szCs w:val="20"/>
        </w:rPr>
        <w:t>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hoạt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động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ủy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quyền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tới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lợi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nhuận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mức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độ</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rủi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ro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Chỉ</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làm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tăng</w:t>
      </w:r>
      <w:proofErr w:type="spellEnd"/>
      <w:r w:rsidRPr="0078484C">
        <w:rPr>
          <w:rFonts w:ascii="Arial" w:hAnsi="Arial" w:cs="Arial"/>
          <w:color w:val="000000" w:themeColor="text1"/>
          <w:sz w:val="20"/>
          <w:szCs w:val="20"/>
        </w:rPr>
        <w:t xml:space="preserve"> chi </w:t>
      </w:r>
      <w:proofErr w:type="spellStart"/>
      <w:r w:rsidRPr="0078484C">
        <w:rPr>
          <w:rFonts w:ascii="Arial" w:hAnsi="Arial" w:cs="Arial"/>
          <w:color w:val="000000" w:themeColor="text1"/>
          <w:sz w:val="20"/>
          <w:szCs w:val="20"/>
        </w:rPr>
        <w:t>phí</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nhưng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không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đáng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kể</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hạn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chế</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tối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thiểu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mức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độ</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rủi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ro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ảnh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hưởng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đến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hoạt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động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 xml:space="preserve"> </w:t>
      </w:r>
    </w:p>
    <w:p w14:paraId="2466E85D" w14:textId="379F2CEA" w:rsidR="00240993" w:rsidRPr="0078484C" w:rsidRDefault="00D84438" w:rsidP="007D71BB">
      <w:pPr>
        <w:tabs>
          <w:tab w:val="left" w:pos="993"/>
        </w:tabs>
        <w:spacing w:before="120" w:after="120"/>
        <w:jc w:val="both"/>
        <w:rPr>
          <w:rFonts w:ascii="Arial" w:hAnsi="Arial" w:cs="Arial"/>
          <w:color w:val="000000" w:themeColor="text1"/>
          <w:sz w:val="20"/>
          <w:szCs w:val="20"/>
        </w:rPr>
      </w:pPr>
      <w:r w:rsidRPr="0078484C">
        <w:rPr>
          <w:rFonts w:ascii="Arial" w:hAnsi="Arial" w:cs="Arial"/>
          <w:color w:val="000000" w:themeColor="text1"/>
          <w:sz w:val="20"/>
          <w:szCs w:val="20"/>
        </w:rPr>
        <w:t xml:space="preserve">c)  </w:t>
      </w:r>
      <w:proofErr w:type="spellStart"/>
      <w:r w:rsidRPr="0078484C">
        <w:rPr>
          <w:rFonts w:ascii="Arial" w:hAnsi="Arial" w:cs="Arial"/>
          <w:color w:val="000000" w:themeColor="text1"/>
          <w:sz w:val="20"/>
          <w:szCs w:val="20"/>
        </w:rPr>
        <w:t>Tổng</w:t>
      </w:r>
      <w:proofErr w:type="spellEnd"/>
      <w:r w:rsidRPr="0078484C">
        <w:rPr>
          <w:rFonts w:ascii="Arial" w:hAnsi="Arial" w:cs="Arial"/>
          <w:color w:val="000000" w:themeColor="text1"/>
          <w:sz w:val="20"/>
          <w:szCs w:val="20"/>
        </w:rPr>
        <w:t xml:space="preserve"> chi </w:t>
      </w:r>
      <w:proofErr w:type="spellStart"/>
      <w:r w:rsidRPr="0078484C">
        <w:rPr>
          <w:rFonts w:ascii="Arial" w:hAnsi="Arial" w:cs="Arial"/>
          <w:color w:val="000000" w:themeColor="text1"/>
          <w:sz w:val="20"/>
          <w:szCs w:val="20"/>
        </w:rPr>
        <w:t>phí</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các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hoạt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động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ủy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quyền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phải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bên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nhận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ủy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quyền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trường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hợp</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bên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nhận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ủy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quyền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cung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cấp</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nhiều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dịch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vụ</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công</w:t>
      </w:r>
      <w:proofErr w:type="spellEnd"/>
      <w:r w:rsidRPr="0078484C">
        <w:rPr>
          <w:rFonts w:ascii="Arial" w:hAnsi="Arial" w:cs="Arial"/>
          <w:color w:val="000000" w:themeColor="text1"/>
          <w:sz w:val="20"/>
          <w:szCs w:val="20"/>
        </w:rPr>
        <w:t xml:space="preserve"> ty </w:t>
      </w:r>
      <w:proofErr w:type="spellStart"/>
      <w:r w:rsidRPr="0078484C">
        <w:rPr>
          <w:rFonts w:ascii="Arial" w:hAnsi="Arial" w:cs="Arial"/>
          <w:color w:val="000000" w:themeColor="text1"/>
          <w:sz w:val="20"/>
          <w:szCs w:val="20"/>
        </w:rPr>
        <w:t>quản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lý</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quỹ</w:t>
      </w:r>
      <w:proofErr w:type="spellEnd"/>
      <w:r w:rsidRPr="0078484C">
        <w:rPr>
          <w:rFonts w:ascii="Arial" w:hAnsi="Arial" w:cs="Arial"/>
          <w:color w:val="000000" w:themeColor="text1"/>
          <w:sz w:val="20"/>
          <w:szCs w:val="20"/>
        </w:rPr>
        <w:t>);</w:t>
      </w:r>
    </w:p>
    <w:tbl>
      <w:tblPr>
        <w:tblW w:w="9183" w:type="dxa"/>
        <w:tblInd w:w="93" w:type="dxa"/>
        <w:tblLook w:val="04A0" w:firstRow="1" w:lastRow="0" w:firstColumn="1" w:lastColumn="0" w:noHBand="0" w:noVBand="1"/>
      </w:tblPr>
      <w:tblGrid>
        <w:gridCol w:w="1093"/>
        <w:gridCol w:w="5515"/>
        <w:gridCol w:w="2575"/>
      </w:tblGrid>
      <w:tr w:rsidR="0063532B" w:rsidRPr="0078484C" w14:paraId="7CD292B1" w14:textId="77777777" w:rsidTr="00695C18">
        <w:trPr>
          <w:trHeight w:val="299"/>
        </w:trPr>
        <w:tc>
          <w:tcPr>
            <w:tcW w:w="1093"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AB5D0CB" w14:textId="7A04B590" w:rsidR="0063532B" w:rsidRPr="0078484C" w:rsidRDefault="0063532B" w:rsidP="00BF24F3">
            <w:pPr>
              <w:jc w:val="both"/>
              <w:rPr>
                <w:rFonts w:ascii="Arial" w:hAnsi="Arial" w:cs="Arial"/>
                <w:b/>
                <w:bCs/>
                <w:color w:val="000000" w:themeColor="text1"/>
                <w:sz w:val="20"/>
                <w:szCs w:val="20"/>
                <w:lang w:eastAsia="vi-VN"/>
              </w:rPr>
            </w:pPr>
            <w:r w:rsidRPr="0078484C">
              <w:rPr>
                <w:rFonts w:ascii="Arial" w:hAnsi="Arial" w:cs="Arial"/>
                <w:b/>
                <w:bCs/>
                <w:color w:val="000000" w:themeColor="text1"/>
                <w:sz w:val="20"/>
                <w:szCs w:val="20"/>
                <w:lang w:eastAsia="vi-VN"/>
              </w:rPr>
              <w:t>STT</w:t>
            </w:r>
          </w:p>
        </w:tc>
        <w:tc>
          <w:tcPr>
            <w:tcW w:w="5515" w:type="dxa"/>
            <w:tcBorders>
              <w:top w:val="single" w:sz="4" w:space="0" w:color="auto"/>
              <w:left w:val="nil"/>
              <w:bottom w:val="single" w:sz="4" w:space="0" w:color="auto"/>
              <w:right w:val="single" w:sz="4" w:space="0" w:color="auto"/>
            </w:tcBorders>
            <w:shd w:val="clear" w:color="auto" w:fill="FFC000"/>
            <w:noWrap/>
            <w:vAlign w:val="bottom"/>
            <w:hideMark/>
          </w:tcPr>
          <w:p w14:paraId="4C17B6B7" w14:textId="70E7711D" w:rsidR="0063532B" w:rsidRPr="0078484C" w:rsidRDefault="0063532B" w:rsidP="00BF24F3">
            <w:pPr>
              <w:jc w:val="both"/>
              <w:rPr>
                <w:rFonts w:ascii="Arial" w:hAnsi="Arial" w:cs="Arial"/>
                <w:b/>
                <w:bCs/>
                <w:color w:val="000000" w:themeColor="text1"/>
                <w:sz w:val="20"/>
                <w:szCs w:val="20"/>
                <w:lang w:eastAsia="vi-VN"/>
              </w:rPr>
            </w:pPr>
            <w:proofErr w:type="spellStart"/>
            <w:r w:rsidRPr="0078484C">
              <w:rPr>
                <w:rFonts w:ascii="Arial" w:hAnsi="Arial" w:cs="Arial"/>
                <w:b/>
                <w:bCs/>
                <w:color w:val="000000" w:themeColor="text1"/>
                <w:sz w:val="20"/>
                <w:szCs w:val="20"/>
                <w:lang w:eastAsia="vi-VN"/>
              </w:rPr>
              <w:t>Chỉ</w:t>
            </w:r>
            <w:proofErr w:type="spellEnd"/>
            <w:r w:rsidRPr="0078484C">
              <w:rPr>
                <w:rFonts w:ascii="Arial" w:hAnsi="Arial" w:cs="Arial"/>
                <w:b/>
                <w:bCs/>
                <w:color w:val="000000" w:themeColor="text1"/>
                <w:sz w:val="20"/>
                <w:szCs w:val="20"/>
                <w:lang w:eastAsia="vi-VN"/>
              </w:rPr>
              <w:t xml:space="preserve"> </w:t>
            </w:r>
            <w:proofErr w:type="spellStart"/>
            <w:r w:rsidRPr="0078484C">
              <w:rPr>
                <w:rFonts w:ascii="Arial" w:hAnsi="Arial" w:cs="Arial"/>
                <w:b/>
                <w:bCs/>
                <w:color w:val="000000" w:themeColor="text1"/>
                <w:sz w:val="20"/>
                <w:szCs w:val="20"/>
                <w:lang w:eastAsia="vi-VN"/>
              </w:rPr>
              <w:t>tiêu</w:t>
            </w:r>
            <w:proofErr w:type="spellEnd"/>
          </w:p>
        </w:tc>
        <w:tc>
          <w:tcPr>
            <w:tcW w:w="2575" w:type="dxa"/>
            <w:tcBorders>
              <w:top w:val="single" w:sz="4" w:space="0" w:color="auto"/>
              <w:left w:val="nil"/>
              <w:bottom w:val="single" w:sz="4" w:space="0" w:color="auto"/>
              <w:right w:val="single" w:sz="4" w:space="0" w:color="auto"/>
            </w:tcBorders>
            <w:shd w:val="clear" w:color="auto" w:fill="FFC000"/>
            <w:vAlign w:val="bottom"/>
          </w:tcPr>
          <w:p w14:paraId="44C96272" w14:textId="050BEAC1" w:rsidR="0063532B" w:rsidRPr="0078484C" w:rsidRDefault="0063532B" w:rsidP="001036C3">
            <w:pPr>
              <w:jc w:val="center"/>
              <w:rPr>
                <w:rFonts w:ascii="Arial" w:hAnsi="Arial" w:cs="Arial"/>
                <w:b/>
                <w:bCs/>
                <w:color w:val="000000" w:themeColor="text1"/>
                <w:sz w:val="20"/>
                <w:szCs w:val="20"/>
                <w:lang w:eastAsia="vi-VN"/>
              </w:rPr>
            </w:pPr>
            <w:proofErr w:type="spellStart"/>
            <w:r w:rsidRPr="0078484C">
              <w:rPr>
                <w:rFonts w:ascii="Arial" w:hAnsi="Arial" w:cs="Arial"/>
                <w:b/>
                <w:bCs/>
                <w:color w:val="000000" w:themeColor="text1"/>
                <w:sz w:val="20"/>
                <w:szCs w:val="20"/>
                <w:lang w:eastAsia="vi-VN"/>
              </w:rPr>
              <w:t>Số</w:t>
            </w:r>
            <w:proofErr w:type="spellEnd"/>
            <w:r w:rsidRPr="0078484C">
              <w:rPr>
                <w:rFonts w:ascii="Arial" w:hAnsi="Arial" w:cs="Arial"/>
                <w:b/>
                <w:bCs/>
                <w:color w:val="000000" w:themeColor="text1"/>
                <w:sz w:val="20"/>
                <w:szCs w:val="20"/>
                <w:lang w:eastAsia="vi-VN"/>
              </w:rPr>
              <w:t xml:space="preserve"> </w:t>
            </w:r>
            <w:proofErr w:type="spellStart"/>
            <w:r w:rsidRPr="0078484C">
              <w:rPr>
                <w:rFonts w:ascii="Arial" w:hAnsi="Arial" w:cs="Arial"/>
                <w:b/>
                <w:bCs/>
                <w:color w:val="000000" w:themeColor="text1"/>
                <w:sz w:val="20"/>
                <w:szCs w:val="20"/>
                <w:lang w:eastAsia="vi-VN"/>
              </w:rPr>
              <w:t>tiền</w:t>
            </w:r>
            <w:proofErr w:type="spellEnd"/>
          </w:p>
        </w:tc>
      </w:tr>
      <w:tr w:rsidR="001B6B8D" w:rsidRPr="0078484C" w14:paraId="1AE2D30F" w14:textId="77777777" w:rsidTr="001C5E41">
        <w:trPr>
          <w:trHeight w:val="329"/>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55283FE" w14:textId="3C98188E" w:rsidR="001B6B8D" w:rsidRPr="0078484C" w:rsidRDefault="001B6B8D" w:rsidP="001B6B8D">
            <w:pPr>
              <w:jc w:val="both"/>
              <w:rPr>
                <w:rFonts w:ascii="Arial" w:hAnsi="Arial" w:cs="Arial"/>
                <w:color w:val="000000" w:themeColor="text1"/>
                <w:sz w:val="20"/>
                <w:szCs w:val="20"/>
                <w:lang w:val="vi-VN" w:eastAsia="vi-VN"/>
              </w:rPr>
            </w:pPr>
            <w:r w:rsidRPr="0078484C">
              <w:rPr>
                <w:rFonts w:ascii="Arial" w:hAnsi="Arial" w:cs="Arial"/>
                <w:color w:val="000000" w:themeColor="text1"/>
                <w:sz w:val="20"/>
                <w:szCs w:val="20"/>
                <w:lang w:eastAsia="vi-VN"/>
              </w:rPr>
              <w:t>1</w:t>
            </w:r>
            <w:r w:rsidRPr="0078484C">
              <w:rPr>
                <w:rFonts w:ascii="Arial" w:hAnsi="Arial" w:cs="Arial"/>
                <w:color w:val="000000" w:themeColor="text1"/>
                <w:sz w:val="20"/>
                <w:szCs w:val="20"/>
                <w:lang w:val="vi-VN" w:eastAsia="vi-VN"/>
              </w:rPr>
              <w:t xml:space="preserve"> </w:t>
            </w:r>
          </w:p>
        </w:tc>
        <w:tc>
          <w:tcPr>
            <w:tcW w:w="5515" w:type="dxa"/>
            <w:tcBorders>
              <w:top w:val="nil"/>
              <w:left w:val="nil"/>
              <w:bottom w:val="single" w:sz="4" w:space="0" w:color="auto"/>
              <w:right w:val="single" w:sz="4" w:space="0" w:color="auto"/>
            </w:tcBorders>
            <w:shd w:val="clear" w:color="auto" w:fill="auto"/>
            <w:noWrap/>
            <w:vAlign w:val="bottom"/>
            <w:hideMark/>
          </w:tcPr>
          <w:p w14:paraId="0DA72B6C" w14:textId="5BA5E73D" w:rsidR="001B6B8D" w:rsidRPr="0078484C" w:rsidRDefault="001B6B8D" w:rsidP="001B6B8D">
            <w:pPr>
              <w:rPr>
                <w:rFonts w:ascii="Arial" w:hAnsi="Arial" w:cs="Arial"/>
                <w:color w:val="000000" w:themeColor="text1"/>
                <w:sz w:val="20"/>
                <w:szCs w:val="20"/>
                <w:lang w:val="vi-VN" w:eastAsia="vi-VN"/>
              </w:rPr>
            </w:pPr>
            <w:r w:rsidRPr="0078484C">
              <w:rPr>
                <w:rFonts w:ascii="Arial" w:hAnsi="Arial" w:cs="Arial"/>
                <w:color w:val="000000" w:themeColor="text1"/>
                <w:sz w:val="20"/>
                <w:szCs w:val="20"/>
                <w:lang w:val="vi-VN" w:eastAsia="vi-VN"/>
              </w:rPr>
              <w:t xml:space="preserve">Chi phí dịch vụ đại lý chuyển nhượng </w:t>
            </w:r>
          </w:p>
        </w:tc>
        <w:tc>
          <w:tcPr>
            <w:tcW w:w="2575" w:type="dxa"/>
            <w:tcBorders>
              <w:top w:val="nil"/>
              <w:left w:val="nil"/>
              <w:bottom w:val="single" w:sz="4" w:space="0" w:color="auto"/>
              <w:right w:val="single" w:sz="4" w:space="0" w:color="auto"/>
            </w:tcBorders>
            <w:vAlign w:val="center"/>
          </w:tcPr>
          <w:p w14:paraId="7693B064" w14:textId="74832217" w:rsidR="001B6B8D" w:rsidRPr="0078484C" w:rsidRDefault="001B6B8D" w:rsidP="001C5E41">
            <w:pPr>
              <w:spacing w:after="0" w:line="240" w:lineRule="auto"/>
              <w:jc w:val="right"/>
              <w:rPr>
                <w:rFonts w:ascii="Arial" w:hAnsi="Arial" w:cs="Arial"/>
                <w:color w:val="000000"/>
                <w:sz w:val="20"/>
                <w:szCs w:val="20"/>
              </w:rPr>
            </w:pPr>
            <w:r w:rsidRPr="0078484C">
              <w:rPr>
                <w:rFonts w:ascii="Arial" w:hAnsi="Arial" w:cs="Arial"/>
                <w:sz w:val="20"/>
                <w:szCs w:val="20"/>
              </w:rPr>
              <w:t>132</w:t>
            </w:r>
            <w:r w:rsidR="004C5296">
              <w:rPr>
                <w:rFonts w:ascii="Arial" w:hAnsi="Arial" w:cs="Arial"/>
                <w:sz w:val="20"/>
                <w:szCs w:val="20"/>
              </w:rPr>
              <w:t>.</w:t>
            </w:r>
            <w:r w:rsidRPr="0078484C">
              <w:rPr>
                <w:rFonts w:ascii="Arial" w:hAnsi="Arial" w:cs="Arial"/>
                <w:sz w:val="20"/>
                <w:szCs w:val="20"/>
              </w:rPr>
              <w:t>000</w:t>
            </w:r>
            <w:r w:rsidR="004C5296">
              <w:rPr>
                <w:rFonts w:ascii="Arial" w:hAnsi="Arial" w:cs="Arial"/>
                <w:sz w:val="20"/>
                <w:szCs w:val="20"/>
              </w:rPr>
              <w:t>.</w:t>
            </w:r>
            <w:r w:rsidRPr="0078484C">
              <w:rPr>
                <w:rFonts w:ascii="Arial" w:hAnsi="Arial" w:cs="Arial"/>
                <w:sz w:val="20"/>
                <w:szCs w:val="20"/>
              </w:rPr>
              <w:t>000</w:t>
            </w:r>
          </w:p>
        </w:tc>
      </w:tr>
      <w:tr w:rsidR="001B6B8D" w:rsidRPr="0078484C" w14:paraId="3FA9AFEB" w14:textId="77777777" w:rsidTr="001C5E41">
        <w:trPr>
          <w:trHeight w:val="344"/>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0AC79B21" w14:textId="2E1FAB6C" w:rsidR="001B6B8D" w:rsidRPr="0078484C" w:rsidRDefault="001B6B8D" w:rsidP="001B6B8D">
            <w:pPr>
              <w:jc w:val="both"/>
              <w:rPr>
                <w:rFonts w:ascii="Arial" w:hAnsi="Arial" w:cs="Arial"/>
                <w:color w:val="000000" w:themeColor="text1"/>
                <w:sz w:val="20"/>
                <w:szCs w:val="20"/>
                <w:lang w:val="vi-VN" w:eastAsia="vi-VN"/>
              </w:rPr>
            </w:pPr>
            <w:r w:rsidRPr="0078484C">
              <w:rPr>
                <w:rFonts w:ascii="Arial" w:hAnsi="Arial" w:cs="Arial"/>
                <w:color w:val="000000" w:themeColor="text1"/>
                <w:sz w:val="20"/>
                <w:szCs w:val="20"/>
                <w:lang w:eastAsia="vi-VN"/>
              </w:rPr>
              <w:t>2</w:t>
            </w:r>
            <w:r w:rsidRPr="0078484C">
              <w:rPr>
                <w:rFonts w:ascii="Arial" w:hAnsi="Arial" w:cs="Arial"/>
                <w:color w:val="000000" w:themeColor="text1"/>
                <w:sz w:val="20"/>
                <w:szCs w:val="20"/>
                <w:lang w:val="vi-VN" w:eastAsia="vi-VN"/>
              </w:rPr>
              <w:t xml:space="preserve"> </w:t>
            </w:r>
          </w:p>
        </w:tc>
        <w:tc>
          <w:tcPr>
            <w:tcW w:w="5515" w:type="dxa"/>
            <w:tcBorders>
              <w:top w:val="nil"/>
              <w:left w:val="nil"/>
              <w:bottom w:val="single" w:sz="4" w:space="0" w:color="auto"/>
              <w:right w:val="single" w:sz="4" w:space="0" w:color="auto"/>
            </w:tcBorders>
            <w:shd w:val="clear" w:color="auto" w:fill="auto"/>
            <w:noWrap/>
            <w:vAlign w:val="bottom"/>
            <w:hideMark/>
          </w:tcPr>
          <w:p w14:paraId="0669FF36" w14:textId="4C51BEF2" w:rsidR="001B6B8D" w:rsidRPr="0078484C" w:rsidRDefault="001B6B8D" w:rsidP="001B6B8D">
            <w:pPr>
              <w:rPr>
                <w:rFonts w:ascii="Arial" w:hAnsi="Arial" w:cs="Arial"/>
                <w:color w:val="000000" w:themeColor="text1"/>
                <w:sz w:val="20"/>
                <w:szCs w:val="20"/>
                <w:lang w:val="vi-VN" w:eastAsia="vi-VN"/>
              </w:rPr>
            </w:pPr>
            <w:r w:rsidRPr="0078484C">
              <w:rPr>
                <w:rFonts w:ascii="Arial" w:hAnsi="Arial" w:cs="Arial"/>
                <w:color w:val="000000" w:themeColor="text1"/>
                <w:sz w:val="20"/>
                <w:szCs w:val="20"/>
                <w:lang w:val="vi-VN" w:eastAsia="vi-VN"/>
              </w:rPr>
              <w:t xml:space="preserve">Chi phí dịch vụ Quản trị Quỹ </w:t>
            </w:r>
          </w:p>
        </w:tc>
        <w:tc>
          <w:tcPr>
            <w:tcW w:w="2575" w:type="dxa"/>
            <w:tcBorders>
              <w:top w:val="nil"/>
              <w:left w:val="nil"/>
              <w:bottom w:val="single" w:sz="4" w:space="0" w:color="auto"/>
              <w:right w:val="single" w:sz="4" w:space="0" w:color="auto"/>
            </w:tcBorders>
            <w:vAlign w:val="center"/>
          </w:tcPr>
          <w:p w14:paraId="1264CA18" w14:textId="38835610" w:rsidR="001B6B8D" w:rsidRPr="0078484C" w:rsidRDefault="001B6B8D" w:rsidP="001C5E41">
            <w:pPr>
              <w:spacing w:after="0" w:line="240" w:lineRule="auto"/>
              <w:jc w:val="right"/>
              <w:rPr>
                <w:rFonts w:ascii="Arial" w:hAnsi="Arial" w:cs="Arial"/>
                <w:color w:val="000000"/>
                <w:sz w:val="20"/>
                <w:szCs w:val="20"/>
              </w:rPr>
            </w:pPr>
            <w:r w:rsidRPr="0078484C">
              <w:rPr>
                <w:rFonts w:ascii="Arial" w:hAnsi="Arial" w:cs="Arial"/>
                <w:sz w:val="20"/>
                <w:szCs w:val="20"/>
              </w:rPr>
              <w:t>134</w:t>
            </w:r>
            <w:r w:rsidR="004C5296">
              <w:rPr>
                <w:rFonts w:ascii="Arial" w:hAnsi="Arial" w:cs="Arial"/>
                <w:sz w:val="20"/>
                <w:szCs w:val="20"/>
              </w:rPr>
              <w:t>.</w:t>
            </w:r>
            <w:r w:rsidRPr="0078484C">
              <w:rPr>
                <w:rFonts w:ascii="Arial" w:hAnsi="Arial" w:cs="Arial"/>
                <w:sz w:val="20"/>
                <w:szCs w:val="20"/>
              </w:rPr>
              <w:t>625</w:t>
            </w:r>
            <w:r w:rsidR="004C5296">
              <w:rPr>
                <w:rFonts w:ascii="Arial" w:hAnsi="Arial" w:cs="Arial"/>
                <w:sz w:val="20"/>
                <w:szCs w:val="20"/>
              </w:rPr>
              <w:t>.</w:t>
            </w:r>
            <w:r w:rsidRPr="0078484C">
              <w:rPr>
                <w:rFonts w:ascii="Arial" w:hAnsi="Arial" w:cs="Arial"/>
                <w:sz w:val="20"/>
                <w:szCs w:val="20"/>
              </w:rPr>
              <w:t>836</w:t>
            </w:r>
          </w:p>
        </w:tc>
      </w:tr>
    </w:tbl>
    <w:p w14:paraId="0E77761A" w14:textId="77777777" w:rsidR="00D84438" w:rsidRPr="0078484C" w:rsidRDefault="00D84438" w:rsidP="007D71BB">
      <w:pPr>
        <w:tabs>
          <w:tab w:val="left" w:pos="993"/>
        </w:tabs>
        <w:spacing w:before="120" w:after="120"/>
        <w:jc w:val="both"/>
        <w:rPr>
          <w:rFonts w:ascii="Arial" w:hAnsi="Arial" w:cs="Arial"/>
          <w:color w:val="000000" w:themeColor="text1"/>
          <w:sz w:val="20"/>
          <w:szCs w:val="20"/>
        </w:rPr>
      </w:pPr>
      <w:r w:rsidRPr="0078484C">
        <w:rPr>
          <w:rFonts w:ascii="Arial" w:hAnsi="Arial" w:cs="Arial"/>
          <w:color w:val="000000" w:themeColor="text1"/>
          <w:sz w:val="20"/>
          <w:szCs w:val="20"/>
        </w:rPr>
        <w:t xml:space="preserve">d)  </w:t>
      </w:r>
      <w:proofErr w:type="spellStart"/>
      <w:r w:rsidRPr="0078484C">
        <w:rPr>
          <w:rFonts w:ascii="Arial" w:hAnsi="Arial" w:cs="Arial"/>
          <w:color w:val="000000" w:themeColor="text1"/>
          <w:sz w:val="20"/>
          <w:szCs w:val="20"/>
        </w:rPr>
        <w:t>Đánh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giá</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khả</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năng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duy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trì</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hệ</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thống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kiểm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soát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nội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bộ</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quản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trị</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rủi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ro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tính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bảo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mật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hạ</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tầng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cơ</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sở</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vật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chất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kỹ</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thuật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hệ</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thống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dự</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phòng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nóng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hệ</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thống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dư</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phòng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thảm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họa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bên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nhận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ủy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quyền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bảo</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đảm</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hoạt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động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ủy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quyền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được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thực</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hiện</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thông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suốt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không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gây</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ảnh</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hưởng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tới</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hoạt</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động</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đầu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tư</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của</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nhà</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đầu</w:t>
      </w:r>
      <w:proofErr w:type="spellEnd"/>
      <w:r w:rsidRPr="0078484C">
        <w:rPr>
          <w:rFonts w:ascii="Arial" w:hAnsi="Arial" w:cs="Arial"/>
          <w:color w:val="000000" w:themeColor="text1"/>
          <w:sz w:val="20"/>
          <w:szCs w:val="20"/>
        </w:rPr>
        <w:t xml:space="preserve"> </w:t>
      </w:r>
      <w:proofErr w:type="spellStart"/>
      <w:r w:rsidRPr="0078484C">
        <w:rPr>
          <w:rFonts w:ascii="Arial" w:hAnsi="Arial" w:cs="Arial"/>
          <w:color w:val="000000" w:themeColor="text1"/>
          <w:sz w:val="20"/>
          <w:szCs w:val="20"/>
        </w:rPr>
        <w:t>tư</w:t>
      </w:r>
      <w:proofErr w:type="spellEnd"/>
      <w:r w:rsidRPr="0078484C">
        <w:rPr>
          <w:rFonts w:ascii="Arial" w:hAnsi="Arial" w:cs="Arial"/>
          <w:color w:val="000000" w:themeColor="text1"/>
          <w:sz w:val="20"/>
          <w:szCs w:val="20"/>
        </w:rPr>
        <w:t xml:space="preserve"> : </w:t>
      </w:r>
      <w:proofErr w:type="spellStart"/>
      <w:r w:rsidRPr="0078484C">
        <w:rPr>
          <w:rFonts w:ascii="Arial" w:hAnsi="Arial" w:cs="Arial"/>
          <w:color w:val="000000" w:themeColor="text1"/>
          <w:sz w:val="20"/>
          <w:szCs w:val="20"/>
        </w:rPr>
        <w:t>Tố</w:t>
      </w:r>
      <w:r w:rsidR="0054640D" w:rsidRPr="0078484C">
        <w:rPr>
          <w:rFonts w:ascii="Arial" w:hAnsi="Arial" w:cs="Arial"/>
          <w:color w:val="000000" w:themeColor="text1"/>
          <w:sz w:val="20"/>
          <w:szCs w:val="20"/>
        </w:rPr>
        <w:t>t</w:t>
      </w:r>
      <w:proofErr w:type="spellEnd"/>
    </w:p>
    <w:tbl>
      <w:tblPr>
        <w:tblW w:w="9072" w:type="dxa"/>
        <w:tblInd w:w="108" w:type="dxa"/>
        <w:tblLook w:val="01E0" w:firstRow="1" w:lastRow="1" w:firstColumn="1" w:lastColumn="1" w:noHBand="0" w:noVBand="0"/>
      </w:tblPr>
      <w:tblGrid>
        <w:gridCol w:w="4392"/>
        <w:gridCol w:w="4680"/>
      </w:tblGrid>
      <w:tr w:rsidR="00D84438" w:rsidRPr="0054640D" w14:paraId="2F02D788" w14:textId="77777777" w:rsidTr="00140B30">
        <w:trPr>
          <w:trHeight w:val="1204"/>
        </w:trPr>
        <w:tc>
          <w:tcPr>
            <w:tcW w:w="4392" w:type="dxa"/>
          </w:tcPr>
          <w:p w14:paraId="17FA7354" w14:textId="77777777" w:rsidR="00D84438" w:rsidRPr="00F66C7E" w:rsidRDefault="00D84438" w:rsidP="007D71BB">
            <w:pPr>
              <w:spacing w:before="120" w:after="100" w:afterAutospacing="1"/>
              <w:jc w:val="both"/>
              <w:rPr>
                <w:rFonts w:ascii="Arial" w:hAnsi="Arial" w:cs="Arial"/>
                <w:b/>
                <w:i/>
                <w:color w:val="000000" w:themeColor="text1"/>
                <w:sz w:val="20"/>
                <w:szCs w:val="20"/>
              </w:rPr>
            </w:pPr>
          </w:p>
        </w:tc>
        <w:tc>
          <w:tcPr>
            <w:tcW w:w="4680" w:type="dxa"/>
          </w:tcPr>
          <w:p w14:paraId="0F413EE6" w14:textId="77777777" w:rsidR="00F66C7E" w:rsidRPr="00D9772B" w:rsidRDefault="00F66C7E" w:rsidP="00140B30">
            <w:pPr>
              <w:spacing w:before="120" w:after="100" w:afterAutospacing="1"/>
              <w:rPr>
                <w:rFonts w:ascii="Times New Roman" w:hAnsi="Times New Roman"/>
                <w:b/>
                <w:bCs/>
                <w:color w:val="000000" w:themeColor="text1"/>
                <w:sz w:val="24"/>
                <w:szCs w:val="24"/>
              </w:rPr>
            </w:pPr>
            <w:r w:rsidRPr="00D9772B">
              <w:rPr>
                <w:rFonts w:ascii="Times New Roman" w:hAnsi="Times New Roman"/>
                <w:b/>
                <w:bCs/>
                <w:color w:val="000000" w:themeColor="text1"/>
                <w:sz w:val="24"/>
                <w:szCs w:val="24"/>
              </w:rPr>
              <w:t xml:space="preserve">Quyền </w:t>
            </w:r>
            <w:proofErr w:type="spellStart"/>
            <w:r w:rsidRPr="00D9772B">
              <w:rPr>
                <w:rFonts w:ascii="Times New Roman" w:hAnsi="Times New Roman"/>
                <w:b/>
                <w:bCs/>
                <w:color w:val="000000" w:themeColor="text1"/>
                <w:sz w:val="24"/>
                <w:szCs w:val="24"/>
              </w:rPr>
              <w:t>Giám</w:t>
            </w:r>
            <w:proofErr w:type="spellEnd"/>
            <w:r w:rsidRPr="00D9772B">
              <w:rPr>
                <w:rFonts w:ascii="Times New Roman" w:hAnsi="Times New Roman"/>
                <w:b/>
                <w:bCs/>
                <w:color w:val="000000" w:themeColor="text1"/>
                <w:sz w:val="24"/>
                <w:szCs w:val="24"/>
              </w:rPr>
              <w:t xml:space="preserve"> </w:t>
            </w:r>
            <w:proofErr w:type="spellStart"/>
            <w:r w:rsidRPr="00D9772B">
              <w:rPr>
                <w:rFonts w:ascii="Times New Roman" w:hAnsi="Times New Roman"/>
                <w:b/>
                <w:bCs/>
                <w:color w:val="000000" w:themeColor="text1"/>
                <w:sz w:val="24"/>
                <w:szCs w:val="24"/>
              </w:rPr>
              <w:t>đốc</w:t>
            </w:r>
            <w:proofErr w:type="spellEnd"/>
            <w:r w:rsidRPr="00D9772B">
              <w:rPr>
                <w:rFonts w:ascii="Times New Roman" w:hAnsi="Times New Roman"/>
                <w:b/>
                <w:bCs/>
                <w:color w:val="000000" w:themeColor="text1"/>
                <w:sz w:val="24"/>
                <w:szCs w:val="24"/>
              </w:rPr>
              <w:t xml:space="preserve"> </w:t>
            </w:r>
            <w:proofErr w:type="spellStart"/>
            <w:r w:rsidRPr="00D9772B">
              <w:rPr>
                <w:rFonts w:ascii="Times New Roman" w:hAnsi="Times New Roman"/>
                <w:b/>
                <w:bCs/>
                <w:color w:val="000000" w:themeColor="text1"/>
                <w:sz w:val="24"/>
                <w:szCs w:val="24"/>
              </w:rPr>
              <w:t>Nghiệp</w:t>
            </w:r>
            <w:proofErr w:type="spellEnd"/>
            <w:r w:rsidRPr="00D9772B">
              <w:rPr>
                <w:rFonts w:ascii="Times New Roman" w:hAnsi="Times New Roman"/>
                <w:b/>
                <w:bCs/>
                <w:color w:val="000000" w:themeColor="text1"/>
                <w:sz w:val="24"/>
                <w:szCs w:val="24"/>
              </w:rPr>
              <w:t xml:space="preserve"> </w:t>
            </w:r>
            <w:proofErr w:type="spellStart"/>
            <w:r w:rsidRPr="00D9772B">
              <w:rPr>
                <w:rFonts w:ascii="Times New Roman" w:hAnsi="Times New Roman"/>
                <w:b/>
                <w:bCs/>
                <w:color w:val="000000" w:themeColor="text1"/>
                <w:sz w:val="24"/>
                <w:szCs w:val="24"/>
              </w:rPr>
              <w:t>vụ</w:t>
            </w:r>
            <w:proofErr w:type="spellEnd"/>
            <w:r w:rsidRPr="00D9772B">
              <w:rPr>
                <w:rFonts w:ascii="Times New Roman" w:hAnsi="Times New Roman"/>
                <w:b/>
                <w:bCs/>
                <w:color w:val="000000" w:themeColor="text1"/>
                <w:sz w:val="24"/>
                <w:szCs w:val="24"/>
              </w:rPr>
              <w:t xml:space="preserve"> </w:t>
            </w:r>
            <w:proofErr w:type="spellStart"/>
            <w:r w:rsidRPr="00D9772B">
              <w:rPr>
                <w:rFonts w:ascii="Times New Roman" w:hAnsi="Times New Roman"/>
                <w:b/>
                <w:bCs/>
                <w:color w:val="000000" w:themeColor="text1"/>
                <w:sz w:val="24"/>
                <w:szCs w:val="24"/>
              </w:rPr>
              <w:t>hỗ</w:t>
            </w:r>
            <w:proofErr w:type="spellEnd"/>
            <w:r w:rsidRPr="00D9772B">
              <w:rPr>
                <w:rFonts w:ascii="Times New Roman" w:hAnsi="Times New Roman"/>
                <w:b/>
                <w:bCs/>
                <w:color w:val="000000" w:themeColor="text1"/>
                <w:sz w:val="24"/>
                <w:szCs w:val="24"/>
              </w:rPr>
              <w:t xml:space="preserve"> </w:t>
            </w:r>
            <w:proofErr w:type="spellStart"/>
            <w:r w:rsidRPr="00D9772B">
              <w:rPr>
                <w:rFonts w:ascii="Times New Roman" w:hAnsi="Times New Roman"/>
                <w:b/>
                <w:bCs/>
                <w:color w:val="000000" w:themeColor="text1"/>
                <w:sz w:val="24"/>
                <w:szCs w:val="24"/>
              </w:rPr>
              <w:t>trợ</w:t>
            </w:r>
            <w:proofErr w:type="spellEnd"/>
            <w:r w:rsidRPr="00D9772B">
              <w:rPr>
                <w:rFonts w:ascii="Times New Roman" w:hAnsi="Times New Roman"/>
                <w:b/>
                <w:bCs/>
                <w:color w:val="000000" w:themeColor="text1"/>
                <w:sz w:val="24"/>
                <w:szCs w:val="24"/>
              </w:rPr>
              <w:t xml:space="preserve"> </w:t>
            </w:r>
            <w:proofErr w:type="spellStart"/>
            <w:r w:rsidRPr="00D9772B">
              <w:rPr>
                <w:rFonts w:ascii="Times New Roman" w:hAnsi="Times New Roman"/>
                <w:b/>
                <w:bCs/>
                <w:color w:val="000000" w:themeColor="text1"/>
                <w:sz w:val="24"/>
                <w:szCs w:val="24"/>
              </w:rPr>
              <w:t>đầu</w:t>
            </w:r>
            <w:proofErr w:type="spellEnd"/>
            <w:r w:rsidRPr="00D9772B">
              <w:rPr>
                <w:rFonts w:ascii="Times New Roman" w:hAnsi="Times New Roman"/>
                <w:b/>
                <w:bCs/>
                <w:color w:val="000000" w:themeColor="text1"/>
                <w:sz w:val="24"/>
                <w:szCs w:val="24"/>
              </w:rPr>
              <w:t xml:space="preserve"> </w:t>
            </w:r>
            <w:proofErr w:type="spellStart"/>
            <w:r w:rsidRPr="00D9772B">
              <w:rPr>
                <w:rFonts w:ascii="Times New Roman" w:hAnsi="Times New Roman"/>
                <w:b/>
                <w:bCs/>
                <w:color w:val="000000" w:themeColor="text1"/>
                <w:sz w:val="24"/>
                <w:szCs w:val="24"/>
              </w:rPr>
              <w:t>tư</w:t>
            </w:r>
            <w:proofErr w:type="spellEnd"/>
          </w:p>
          <w:p w14:paraId="5516B5FA" w14:textId="77777777" w:rsidR="00F66C7E" w:rsidRPr="00D9772B" w:rsidRDefault="00F66C7E" w:rsidP="00F66C7E">
            <w:pPr>
              <w:spacing w:before="120" w:after="100" w:afterAutospacing="1"/>
              <w:jc w:val="center"/>
              <w:rPr>
                <w:rFonts w:ascii="Times New Roman" w:hAnsi="Times New Roman"/>
                <w:b/>
                <w:bCs/>
                <w:color w:val="000000" w:themeColor="text1"/>
                <w:sz w:val="24"/>
                <w:szCs w:val="24"/>
              </w:rPr>
            </w:pPr>
          </w:p>
          <w:p w14:paraId="6350090A" w14:textId="77777777" w:rsidR="00F66C7E" w:rsidRPr="00D9772B" w:rsidRDefault="00F66C7E" w:rsidP="00F66C7E">
            <w:pPr>
              <w:spacing w:before="120" w:after="100" w:afterAutospacing="1"/>
              <w:jc w:val="center"/>
              <w:rPr>
                <w:rFonts w:ascii="Times New Roman" w:hAnsi="Times New Roman"/>
                <w:b/>
                <w:bCs/>
                <w:color w:val="000000" w:themeColor="text1"/>
                <w:sz w:val="24"/>
                <w:szCs w:val="24"/>
              </w:rPr>
            </w:pPr>
          </w:p>
          <w:p w14:paraId="712EE48D" w14:textId="7F625C38" w:rsidR="00D84438" w:rsidRPr="00A67ED9" w:rsidRDefault="00F66C7E" w:rsidP="00F66C7E">
            <w:pPr>
              <w:spacing w:before="120" w:after="100" w:afterAutospacing="1"/>
              <w:jc w:val="center"/>
              <w:rPr>
                <w:rFonts w:ascii="Arial" w:hAnsi="Arial" w:cs="Arial"/>
                <w:i/>
                <w:color w:val="000000" w:themeColor="text1"/>
                <w:sz w:val="20"/>
                <w:szCs w:val="20"/>
              </w:rPr>
            </w:pPr>
            <w:r w:rsidRPr="00D9772B">
              <w:rPr>
                <w:rFonts w:ascii="Times New Roman" w:hAnsi="Times New Roman"/>
                <w:b/>
                <w:bCs/>
                <w:color w:val="000000" w:themeColor="text1"/>
                <w:sz w:val="24"/>
                <w:szCs w:val="24"/>
              </w:rPr>
              <w:t>Lê Hoàng Anh</w:t>
            </w:r>
          </w:p>
        </w:tc>
      </w:tr>
    </w:tbl>
    <w:p w14:paraId="1B133BE0" w14:textId="77777777" w:rsidR="002D7555" w:rsidRPr="00556831" w:rsidRDefault="002D7555" w:rsidP="00E47A85">
      <w:pPr>
        <w:spacing w:after="0"/>
        <w:jc w:val="center"/>
        <w:rPr>
          <w:rFonts w:ascii="Arial" w:eastAsia="Times New Roman" w:hAnsi="Arial" w:cs="Arial"/>
          <w:b/>
          <w:bCs/>
          <w:color w:val="000000" w:themeColor="text1"/>
          <w:sz w:val="20"/>
          <w:szCs w:val="20"/>
        </w:rPr>
      </w:pPr>
    </w:p>
    <w:p w14:paraId="4BECAE15" w14:textId="77777777" w:rsidR="00870EDA" w:rsidRPr="00556831" w:rsidRDefault="00870EDA" w:rsidP="00E47A85">
      <w:pPr>
        <w:spacing w:after="0"/>
        <w:jc w:val="center"/>
        <w:rPr>
          <w:rFonts w:ascii="Arial" w:eastAsia="Times New Roman" w:hAnsi="Arial" w:cs="Arial"/>
          <w:b/>
          <w:bCs/>
          <w:color w:val="000000" w:themeColor="text1"/>
          <w:sz w:val="20"/>
          <w:szCs w:val="20"/>
        </w:rPr>
      </w:pPr>
    </w:p>
    <w:p w14:paraId="51DF2DD3" w14:textId="77777777" w:rsidR="00870EDA" w:rsidRPr="00556831" w:rsidRDefault="00870EDA" w:rsidP="00E47A85">
      <w:pPr>
        <w:spacing w:after="0"/>
        <w:jc w:val="center"/>
        <w:rPr>
          <w:rFonts w:ascii="Arial" w:eastAsia="Times New Roman" w:hAnsi="Arial" w:cs="Arial"/>
          <w:b/>
          <w:bCs/>
          <w:color w:val="000000" w:themeColor="text1"/>
          <w:sz w:val="20"/>
          <w:szCs w:val="20"/>
        </w:rPr>
      </w:pPr>
    </w:p>
    <w:p w14:paraId="3508EF3F" w14:textId="7D0EC4E2" w:rsidR="00870EDA" w:rsidRPr="00556831" w:rsidRDefault="00870EDA" w:rsidP="00611ADB">
      <w:pPr>
        <w:spacing w:after="0" w:line="240" w:lineRule="auto"/>
        <w:rPr>
          <w:rFonts w:ascii="Arial" w:eastAsia="Times New Roman" w:hAnsi="Arial" w:cs="Arial"/>
          <w:b/>
          <w:bCs/>
          <w:color w:val="000000" w:themeColor="text1"/>
          <w:sz w:val="20"/>
          <w:szCs w:val="20"/>
        </w:rPr>
      </w:pPr>
    </w:p>
    <w:sectPr w:rsidR="00870EDA" w:rsidRPr="00556831" w:rsidSect="00176567">
      <w:footerReference w:type="default" r:id="rId12"/>
      <w:pgSz w:w="11909" w:h="16834" w:code="9"/>
      <w:pgMar w:top="720" w:right="1109" w:bottom="63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FE9F" w14:textId="77777777" w:rsidR="00176567" w:rsidRDefault="00176567" w:rsidP="00FA743B">
      <w:pPr>
        <w:spacing w:after="0" w:line="240" w:lineRule="auto"/>
      </w:pPr>
      <w:r>
        <w:separator/>
      </w:r>
    </w:p>
  </w:endnote>
  <w:endnote w:type="continuationSeparator" w:id="0">
    <w:p w14:paraId="47B5D99F" w14:textId="77777777" w:rsidR="00176567" w:rsidRDefault="00176567" w:rsidP="00FA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2C94" w14:textId="77777777" w:rsidR="00F8551A" w:rsidRDefault="005B6393">
    <w:pPr>
      <w:pStyle w:val="Footer"/>
      <w:jc w:val="center"/>
    </w:pPr>
    <w:r>
      <w:fldChar w:fldCharType="begin"/>
    </w:r>
    <w:r w:rsidR="006D0E73">
      <w:instrText xml:space="preserve"> PAGE   \* MERGEFORMAT </w:instrText>
    </w:r>
    <w:r>
      <w:fldChar w:fldCharType="separate"/>
    </w:r>
    <w:r w:rsidR="0070126F">
      <w:rPr>
        <w:noProof/>
      </w:rPr>
      <w:t>3</w:t>
    </w:r>
    <w:r>
      <w:rPr>
        <w:noProof/>
      </w:rPr>
      <w:fldChar w:fldCharType="end"/>
    </w:r>
  </w:p>
  <w:p w14:paraId="3A991A89" w14:textId="77777777" w:rsidR="00F8551A" w:rsidRDefault="00F8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4B6D" w14:textId="77777777" w:rsidR="00176567" w:rsidRDefault="00176567" w:rsidP="00FA743B">
      <w:pPr>
        <w:spacing w:after="0" w:line="240" w:lineRule="auto"/>
      </w:pPr>
      <w:r>
        <w:separator/>
      </w:r>
    </w:p>
  </w:footnote>
  <w:footnote w:type="continuationSeparator" w:id="0">
    <w:p w14:paraId="63A23123" w14:textId="77777777" w:rsidR="00176567" w:rsidRDefault="00176567" w:rsidP="00FA7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9AE"/>
    <w:multiLevelType w:val="multilevel"/>
    <w:tmpl w:val="656E94E6"/>
    <w:lvl w:ilvl="0">
      <w:start w:val="1"/>
      <w:numFmt w:val="decimal"/>
      <w:lvlText w:val="%1."/>
      <w:lvlJc w:val="left"/>
      <w:pPr>
        <w:ind w:left="720" w:hanging="360"/>
      </w:pPr>
      <w:rPr>
        <w:rFonts w:hint="default"/>
      </w:rPr>
    </w:lvl>
    <w:lvl w:ilvl="1">
      <w:start w:val="1"/>
      <w:numFmt w:val="decimal"/>
      <w:isLgl/>
      <w:lvlText w:val="%1.%2."/>
      <w:lvlJc w:val="left"/>
      <w:pPr>
        <w:ind w:left="1166" w:hanging="720"/>
      </w:pPr>
      <w:rPr>
        <w:rFonts w:hint="default"/>
      </w:rPr>
    </w:lvl>
    <w:lvl w:ilvl="2">
      <w:start w:val="1"/>
      <w:numFmt w:val="decimal"/>
      <w:isLgl/>
      <w:lvlText w:val="%1.%2.%3."/>
      <w:lvlJc w:val="left"/>
      <w:pPr>
        <w:ind w:left="1252" w:hanging="72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762" w:hanging="1800"/>
      </w:pPr>
      <w:rPr>
        <w:rFonts w:hint="default"/>
      </w:rPr>
    </w:lvl>
    <w:lvl w:ilvl="8">
      <w:start w:val="1"/>
      <w:numFmt w:val="decimal"/>
      <w:isLgl/>
      <w:lvlText w:val="%1.%2.%3.%4.%5.%6.%7.%8.%9."/>
      <w:lvlJc w:val="left"/>
      <w:pPr>
        <w:ind w:left="2848" w:hanging="1800"/>
      </w:pPr>
      <w:rPr>
        <w:rFonts w:hint="default"/>
      </w:rPr>
    </w:lvl>
  </w:abstractNum>
  <w:abstractNum w:abstractNumId="1" w15:restartNumberingAfterBreak="0">
    <w:nsid w:val="08F426E2"/>
    <w:multiLevelType w:val="hybridMultilevel"/>
    <w:tmpl w:val="10D8A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654B"/>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3144"/>
    <w:multiLevelType w:val="hybridMultilevel"/>
    <w:tmpl w:val="A156C73E"/>
    <w:lvl w:ilvl="0" w:tplc="FE2201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24515C4"/>
    <w:multiLevelType w:val="hybridMultilevel"/>
    <w:tmpl w:val="58B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5523E"/>
    <w:multiLevelType w:val="hybridMultilevel"/>
    <w:tmpl w:val="273EDDF0"/>
    <w:lvl w:ilvl="0" w:tplc="CB005032">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D771DF1"/>
    <w:multiLevelType w:val="hybridMultilevel"/>
    <w:tmpl w:val="F5BA653E"/>
    <w:lvl w:ilvl="0" w:tplc="AF085D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B6935"/>
    <w:multiLevelType w:val="hybridMultilevel"/>
    <w:tmpl w:val="ED6E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41D33"/>
    <w:multiLevelType w:val="hybridMultilevel"/>
    <w:tmpl w:val="071C37A0"/>
    <w:lvl w:ilvl="0" w:tplc="595C8814">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9" w15:restartNumberingAfterBreak="0">
    <w:nsid w:val="22BD7876"/>
    <w:multiLevelType w:val="hybridMultilevel"/>
    <w:tmpl w:val="7A904AC8"/>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F6232"/>
    <w:multiLevelType w:val="hybridMultilevel"/>
    <w:tmpl w:val="CC5EDBF2"/>
    <w:lvl w:ilvl="0" w:tplc="08090001">
      <w:start w:val="1"/>
      <w:numFmt w:val="bullet"/>
      <w:lvlText w:val=""/>
      <w:lvlJc w:val="left"/>
      <w:pPr>
        <w:ind w:left="1440" w:hanging="360"/>
      </w:pPr>
      <w:rPr>
        <w:rFonts w:ascii="Symbol" w:hAnsi="Symbol" w:hint="default"/>
      </w:rPr>
    </w:lvl>
    <w:lvl w:ilvl="1" w:tplc="A56E06BE">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FB1B93"/>
    <w:multiLevelType w:val="hybridMultilevel"/>
    <w:tmpl w:val="267A81BC"/>
    <w:lvl w:ilvl="0" w:tplc="ED208176">
      <w:start w:val="1"/>
      <w:numFmt w:val="bullet"/>
      <w:lvlText w:val="►"/>
      <w:lvlJc w:val="left"/>
      <w:pPr>
        <w:tabs>
          <w:tab w:val="num" w:pos="-349"/>
        </w:tabs>
        <w:ind w:left="720" w:hanging="360"/>
      </w:pPr>
      <w:rPr>
        <w:rFonts w:ascii="Arial" w:hAnsi="Arial" w:hint="default"/>
        <w:color w:val="80808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E5DA7"/>
    <w:multiLevelType w:val="hybridMultilevel"/>
    <w:tmpl w:val="0952F9A2"/>
    <w:lvl w:ilvl="0" w:tplc="7DF6AD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92735"/>
    <w:multiLevelType w:val="hybridMultilevel"/>
    <w:tmpl w:val="A2F2AEA4"/>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D565C"/>
    <w:multiLevelType w:val="hybridMultilevel"/>
    <w:tmpl w:val="A976AB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5603E6"/>
    <w:multiLevelType w:val="multilevel"/>
    <w:tmpl w:val="9D680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92588E"/>
    <w:multiLevelType w:val="hybridMultilevel"/>
    <w:tmpl w:val="0AF010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F3D81"/>
    <w:multiLevelType w:val="hybridMultilevel"/>
    <w:tmpl w:val="5FF2667C"/>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707C4"/>
    <w:multiLevelType w:val="hybridMultilevel"/>
    <w:tmpl w:val="5784C46A"/>
    <w:lvl w:ilvl="0" w:tplc="C3E83D2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59731BF"/>
    <w:multiLevelType w:val="hybridMultilevel"/>
    <w:tmpl w:val="CB587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877A2"/>
    <w:multiLevelType w:val="hybridMultilevel"/>
    <w:tmpl w:val="70784392"/>
    <w:lvl w:ilvl="0" w:tplc="04090017">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06F15"/>
    <w:multiLevelType w:val="hybridMultilevel"/>
    <w:tmpl w:val="A0D4590E"/>
    <w:lvl w:ilvl="0" w:tplc="0D04B47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1045AB"/>
    <w:multiLevelType w:val="hybridMultilevel"/>
    <w:tmpl w:val="837A6CE8"/>
    <w:lvl w:ilvl="0" w:tplc="ED9AC2AA">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30CC3"/>
    <w:multiLevelType w:val="hybridMultilevel"/>
    <w:tmpl w:val="8EF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4619E"/>
    <w:multiLevelType w:val="multilevel"/>
    <w:tmpl w:val="DF763EC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7E6B78"/>
    <w:multiLevelType w:val="hybridMultilevel"/>
    <w:tmpl w:val="43C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56AE5"/>
    <w:multiLevelType w:val="hybridMultilevel"/>
    <w:tmpl w:val="C59EB80A"/>
    <w:lvl w:ilvl="0" w:tplc="FFFFFFFF">
      <w:start w:val="1"/>
      <w:numFmt w:val="decimal"/>
      <w:lvlText w:val="%1."/>
      <w:lvlJc w:val="left"/>
      <w:pPr>
        <w:ind w:left="450" w:hanging="360"/>
      </w:pPr>
      <w:rPr>
        <w:rFonts w:hint="default"/>
        <w:b/>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7" w15:restartNumberingAfterBreak="0">
    <w:nsid w:val="50771FBF"/>
    <w:multiLevelType w:val="hybridMultilevel"/>
    <w:tmpl w:val="BB0C4BAE"/>
    <w:lvl w:ilvl="0" w:tplc="04090017">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B3CEB"/>
    <w:multiLevelType w:val="hybridMultilevel"/>
    <w:tmpl w:val="87B2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866BF"/>
    <w:multiLevelType w:val="hybridMultilevel"/>
    <w:tmpl w:val="8116BC66"/>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459C3"/>
    <w:multiLevelType w:val="hybridMultilevel"/>
    <w:tmpl w:val="AC1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473D5"/>
    <w:multiLevelType w:val="hybridMultilevel"/>
    <w:tmpl w:val="F42E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D6E70"/>
    <w:multiLevelType w:val="hybridMultilevel"/>
    <w:tmpl w:val="BCC6841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9334F7C"/>
    <w:multiLevelType w:val="multilevel"/>
    <w:tmpl w:val="2D9E51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345871"/>
    <w:multiLevelType w:val="hybridMultilevel"/>
    <w:tmpl w:val="681EADE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DC6FDE"/>
    <w:multiLevelType w:val="hybridMultilevel"/>
    <w:tmpl w:val="F5FA0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135C79"/>
    <w:multiLevelType w:val="hybridMultilevel"/>
    <w:tmpl w:val="B2D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3606A"/>
    <w:multiLevelType w:val="hybridMultilevel"/>
    <w:tmpl w:val="41F2481C"/>
    <w:lvl w:ilvl="0" w:tplc="4214539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036450F"/>
    <w:multiLevelType w:val="hybridMultilevel"/>
    <w:tmpl w:val="10A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E4F5A"/>
    <w:multiLevelType w:val="hybridMultilevel"/>
    <w:tmpl w:val="D6CCE8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696E4D"/>
    <w:multiLevelType w:val="hybridMultilevel"/>
    <w:tmpl w:val="61824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15035"/>
    <w:multiLevelType w:val="hybridMultilevel"/>
    <w:tmpl w:val="6E1E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B64D2"/>
    <w:multiLevelType w:val="hybridMultilevel"/>
    <w:tmpl w:val="23F27AB4"/>
    <w:lvl w:ilvl="0" w:tplc="FC0018D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396D11"/>
    <w:multiLevelType w:val="hybridMultilevel"/>
    <w:tmpl w:val="F40288C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4F772BE"/>
    <w:multiLevelType w:val="hybridMultilevel"/>
    <w:tmpl w:val="D8548A08"/>
    <w:lvl w:ilvl="0" w:tplc="CF265D06">
      <w:start w:val="1"/>
      <w:numFmt w:val="lowerLetter"/>
      <w:lvlText w:val="%1)"/>
      <w:lvlJc w:val="left"/>
      <w:pPr>
        <w:ind w:left="1980" w:hanging="360"/>
      </w:pPr>
      <w:rPr>
        <w:rFonts w:hint="default"/>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5" w15:restartNumberingAfterBreak="0">
    <w:nsid w:val="78A40554"/>
    <w:multiLevelType w:val="hybridMultilevel"/>
    <w:tmpl w:val="35D6D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9268AC"/>
    <w:multiLevelType w:val="hybridMultilevel"/>
    <w:tmpl w:val="7BC48B9C"/>
    <w:lvl w:ilvl="0" w:tplc="F57091E8">
      <w:start w:val="1"/>
      <w:numFmt w:val="bullet"/>
      <w:lvlText w:val="-"/>
      <w:lvlJc w:val="left"/>
      <w:pPr>
        <w:ind w:left="360" w:hanging="360"/>
      </w:pPr>
      <w:rPr>
        <w:rFonts w:ascii="Times New Roman" w:eastAsia="Calibri" w:hAnsi="Times New Roman" w:cs="Times New Roman"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47" w15:restartNumberingAfterBreak="0">
    <w:nsid w:val="7D684D93"/>
    <w:multiLevelType w:val="hybridMultilevel"/>
    <w:tmpl w:val="BECC24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D04F9"/>
    <w:multiLevelType w:val="hybridMultilevel"/>
    <w:tmpl w:val="E3E2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654E5"/>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168843">
    <w:abstractNumId w:val="31"/>
  </w:num>
  <w:num w:numId="2" w16cid:durableId="232010922">
    <w:abstractNumId w:val="22"/>
  </w:num>
  <w:num w:numId="3" w16cid:durableId="743071152">
    <w:abstractNumId w:val="4"/>
  </w:num>
  <w:num w:numId="4" w16cid:durableId="556358619">
    <w:abstractNumId w:val="7"/>
  </w:num>
  <w:num w:numId="5" w16cid:durableId="1465151289">
    <w:abstractNumId w:val="42"/>
  </w:num>
  <w:num w:numId="6" w16cid:durableId="557401629">
    <w:abstractNumId w:val="32"/>
  </w:num>
  <w:num w:numId="7" w16cid:durableId="1558324022">
    <w:abstractNumId w:val="24"/>
  </w:num>
  <w:num w:numId="8" w16cid:durableId="887228108">
    <w:abstractNumId w:val="11"/>
  </w:num>
  <w:num w:numId="9" w16cid:durableId="621232236">
    <w:abstractNumId w:val="48"/>
  </w:num>
  <w:num w:numId="10" w16cid:durableId="1969125836">
    <w:abstractNumId w:val="49"/>
  </w:num>
  <w:num w:numId="11" w16cid:durableId="1534612943">
    <w:abstractNumId w:val="2"/>
  </w:num>
  <w:num w:numId="12" w16cid:durableId="1061178076">
    <w:abstractNumId w:val="45"/>
  </w:num>
  <w:num w:numId="13" w16cid:durableId="848905778">
    <w:abstractNumId w:val="28"/>
  </w:num>
  <w:num w:numId="14" w16cid:durableId="867984193">
    <w:abstractNumId w:val="9"/>
  </w:num>
  <w:num w:numId="15" w16cid:durableId="1739550675">
    <w:abstractNumId w:val="38"/>
  </w:num>
  <w:num w:numId="16" w16cid:durableId="1546911869">
    <w:abstractNumId w:val="47"/>
  </w:num>
  <w:num w:numId="17" w16cid:durableId="1765999639">
    <w:abstractNumId w:val="41"/>
  </w:num>
  <w:num w:numId="18" w16cid:durableId="745685134">
    <w:abstractNumId w:val="29"/>
  </w:num>
  <w:num w:numId="19" w16cid:durableId="1604461138">
    <w:abstractNumId w:val="36"/>
  </w:num>
  <w:num w:numId="20" w16cid:durableId="641739790">
    <w:abstractNumId w:val="23"/>
  </w:num>
  <w:num w:numId="21" w16cid:durableId="1364212605">
    <w:abstractNumId w:val="13"/>
  </w:num>
  <w:num w:numId="22" w16cid:durableId="813567180">
    <w:abstractNumId w:val="17"/>
  </w:num>
  <w:num w:numId="23" w16cid:durableId="1687318226">
    <w:abstractNumId w:val="12"/>
  </w:num>
  <w:num w:numId="24" w16cid:durableId="1723553112">
    <w:abstractNumId w:val="15"/>
  </w:num>
  <w:num w:numId="25" w16cid:durableId="959804077">
    <w:abstractNumId w:val="26"/>
  </w:num>
  <w:num w:numId="26" w16cid:durableId="176046705">
    <w:abstractNumId w:val="44"/>
  </w:num>
  <w:num w:numId="27" w16cid:durableId="1076246897">
    <w:abstractNumId w:val="46"/>
  </w:num>
  <w:num w:numId="28" w16cid:durableId="1920945016">
    <w:abstractNumId w:val="33"/>
  </w:num>
  <w:num w:numId="29" w16cid:durableId="2030056643">
    <w:abstractNumId w:val="18"/>
  </w:num>
  <w:num w:numId="30" w16cid:durableId="85417974">
    <w:abstractNumId w:val="5"/>
  </w:num>
  <w:num w:numId="31" w16cid:durableId="1238520916">
    <w:abstractNumId w:val="3"/>
  </w:num>
  <w:num w:numId="32" w16cid:durableId="666447001">
    <w:abstractNumId w:val="8"/>
  </w:num>
  <w:num w:numId="33" w16cid:durableId="98187591">
    <w:abstractNumId w:val="40"/>
  </w:num>
  <w:num w:numId="34" w16cid:durableId="598949019">
    <w:abstractNumId w:val="1"/>
  </w:num>
  <w:num w:numId="35" w16cid:durableId="1708334609">
    <w:abstractNumId w:val="0"/>
  </w:num>
  <w:num w:numId="36" w16cid:durableId="56822838">
    <w:abstractNumId w:val="25"/>
  </w:num>
  <w:num w:numId="37" w16cid:durableId="2034959104">
    <w:abstractNumId w:val="35"/>
  </w:num>
  <w:num w:numId="38" w16cid:durableId="330183882">
    <w:abstractNumId w:val="6"/>
  </w:num>
  <w:num w:numId="39" w16cid:durableId="1991057701">
    <w:abstractNumId w:val="21"/>
  </w:num>
  <w:num w:numId="40" w16cid:durableId="1109357619">
    <w:abstractNumId w:val="30"/>
  </w:num>
  <w:num w:numId="41" w16cid:durableId="2138834248">
    <w:abstractNumId w:val="43"/>
  </w:num>
  <w:num w:numId="42" w16cid:durableId="1048840637">
    <w:abstractNumId w:val="16"/>
  </w:num>
  <w:num w:numId="43" w16cid:durableId="1318025383">
    <w:abstractNumId w:val="10"/>
  </w:num>
  <w:num w:numId="44" w16cid:durableId="1992320957">
    <w:abstractNumId w:val="34"/>
  </w:num>
  <w:num w:numId="45" w16cid:durableId="2042509509">
    <w:abstractNumId w:val="27"/>
  </w:num>
  <w:num w:numId="46" w16cid:durableId="1970235832">
    <w:abstractNumId w:val="20"/>
  </w:num>
  <w:num w:numId="47" w16cid:durableId="4289385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5640032">
    <w:abstractNumId w:val="19"/>
  </w:num>
  <w:num w:numId="49" w16cid:durableId="1093820975">
    <w:abstractNumId w:val="14"/>
  </w:num>
  <w:num w:numId="50" w16cid:durableId="147614672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62"/>
    <w:rsid w:val="000006E2"/>
    <w:rsid w:val="00006470"/>
    <w:rsid w:val="000072FB"/>
    <w:rsid w:val="0001535A"/>
    <w:rsid w:val="00016BEF"/>
    <w:rsid w:val="00025A85"/>
    <w:rsid w:val="00030925"/>
    <w:rsid w:val="000502F6"/>
    <w:rsid w:val="00050380"/>
    <w:rsid w:val="0005757F"/>
    <w:rsid w:val="0005798C"/>
    <w:rsid w:val="00067A58"/>
    <w:rsid w:val="00070049"/>
    <w:rsid w:val="00071EA0"/>
    <w:rsid w:val="00073145"/>
    <w:rsid w:val="00075303"/>
    <w:rsid w:val="000754F3"/>
    <w:rsid w:val="00080A94"/>
    <w:rsid w:val="00090DEF"/>
    <w:rsid w:val="00091432"/>
    <w:rsid w:val="00091C60"/>
    <w:rsid w:val="00093646"/>
    <w:rsid w:val="00097DFD"/>
    <w:rsid w:val="000A0555"/>
    <w:rsid w:val="000A1974"/>
    <w:rsid w:val="000A1EF1"/>
    <w:rsid w:val="000A3F73"/>
    <w:rsid w:val="000A7312"/>
    <w:rsid w:val="000B1C2C"/>
    <w:rsid w:val="000B6588"/>
    <w:rsid w:val="000B6C66"/>
    <w:rsid w:val="000B7B59"/>
    <w:rsid w:val="000D1214"/>
    <w:rsid w:val="000E26F5"/>
    <w:rsid w:val="000E384F"/>
    <w:rsid w:val="000E72BA"/>
    <w:rsid w:val="000F337E"/>
    <w:rsid w:val="0010116A"/>
    <w:rsid w:val="001036C3"/>
    <w:rsid w:val="001101D1"/>
    <w:rsid w:val="00112822"/>
    <w:rsid w:val="00114DAE"/>
    <w:rsid w:val="00116CB8"/>
    <w:rsid w:val="00120CFA"/>
    <w:rsid w:val="00122ADE"/>
    <w:rsid w:val="0012698F"/>
    <w:rsid w:val="00130DF3"/>
    <w:rsid w:val="001319EE"/>
    <w:rsid w:val="00140B30"/>
    <w:rsid w:val="001412D4"/>
    <w:rsid w:val="00146798"/>
    <w:rsid w:val="001479DF"/>
    <w:rsid w:val="00147E15"/>
    <w:rsid w:val="0015142A"/>
    <w:rsid w:val="00154152"/>
    <w:rsid w:val="001628FE"/>
    <w:rsid w:val="0016346C"/>
    <w:rsid w:val="00163F1E"/>
    <w:rsid w:val="00176567"/>
    <w:rsid w:val="00180EA8"/>
    <w:rsid w:val="00185A14"/>
    <w:rsid w:val="001900DE"/>
    <w:rsid w:val="001932A0"/>
    <w:rsid w:val="001A08B3"/>
    <w:rsid w:val="001A338B"/>
    <w:rsid w:val="001A4A60"/>
    <w:rsid w:val="001B0CAE"/>
    <w:rsid w:val="001B4620"/>
    <w:rsid w:val="001B5942"/>
    <w:rsid w:val="001B6B8D"/>
    <w:rsid w:val="001C2DBE"/>
    <w:rsid w:val="001C5530"/>
    <w:rsid w:val="001C5E41"/>
    <w:rsid w:val="001C6EDF"/>
    <w:rsid w:val="001D0567"/>
    <w:rsid w:val="001E4D06"/>
    <w:rsid w:val="001E5226"/>
    <w:rsid w:val="001E57A0"/>
    <w:rsid w:val="001F0D78"/>
    <w:rsid w:val="001F1B90"/>
    <w:rsid w:val="001F367B"/>
    <w:rsid w:val="001F7242"/>
    <w:rsid w:val="001F72B3"/>
    <w:rsid w:val="00201D13"/>
    <w:rsid w:val="002048E3"/>
    <w:rsid w:val="00205083"/>
    <w:rsid w:val="00213049"/>
    <w:rsid w:val="002179F8"/>
    <w:rsid w:val="00220AB8"/>
    <w:rsid w:val="0022564B"/>
    <w:rsid w:val="00225D34"/>
    <w:rsid w:val="002309A0"/>
    <w:rsid w:val="00230B6A"/>
    <w:rsid w:val="002331D8"/>
    <w:rsid w:val="00233475"/>
    <w:rsid w:val="00240993"/>
    <w:rsid w:val="0024314A"/>
    <w:rsid w:val="00245C74"/>
    <w:rsid w:val="0024648F"/>
    <w:rsid w:val="002573B0"/>
    <w:rsid w:val="00267DA2"/>
    <w:rsid w:val="00270D82"/>
    <w:rsid w:val="002730F1"/>
    <w:rsid w:val="00274C2D"/>
    <w:rsid w:val="002751F7"/>
    <w:rsid w:val="00277FFC"/>
    <w:rsid w:val="002854AB"/>
    <w:rsid w:val="00285865"/>
    <w:rsid w:val="00287E6F"/>
    <w:rsid w:val="00290855"/>
    <w:rsid w:val="00291EEF"/>
    <w:rsid w:val="00294726"/>
    <w:rsid w:val="00294A2F"/>
    <w:rsid w:val="002A2014"/>
    <w:rsid w:val="002A2898"/>
    <w:rsid w:val="002A4C7D"/>
    <w:rsid w:val="002A551E"/>
    <w:rsid w:val="002A6613"/>
    <w:rsid w:val="002A755C"/>
    <w:rsid w:val="002A7651"/>
    <w:rsid w:val="002A7CC4"/>
    <w:rsid w:val="002B18C0"/>
    <w:rsid w:val="002B263C"/>
    <w:rsid w:val="002B6BE1"/>
    <w:rsid w:val="002C1412"/>
    <w:rsid w:val="002D0576"/>
    <w:rsid w:val="002D179A"/>
    <w:rsid w:val="002D1D59"/>
    <w:rsid w:val="002D280B"/>
    <w:rsid w:val="002D7555"/>
    <w:rsid w:val="002E2433"/>
    <w:rsid w:val="002E41C7"/>
    <w:rsid w:val="002E68E5"/>
    <w:rsid w:val="002F039B"/>
    <w:rsid w:val="002F03A9"/>
    <w:rsid w:val="002F1698"/>
    <w:rsid w:val="002F2D2B"/>
    <w:rsid w:val="002F7E36"/>
    <w:rsid w:val="0030019D"/>
    <w:rsid w:val="003031B7"/>
    <w:rsid w:val="003052A1"/>
    <w:rsid w:val="0032261A"/>
    <w:rsid w:val="00324B04"/>
    <w:rsid w:val="003262F6"/>
    <w:rsid w:val="0032720C"/>
    <w:rsid w:val="003327E5"/>
    <w:rsid w:val="00333F4E"/>
    <w:rsid w:val="00335E7B"/>
    <w:rsid w:val="00336ABD"/>
    <w:rsid w:val="00344322"/>
    <w:rsid w:val="00344772"/>
    <w:rsid w:val="00345930"/>
    <w:rsid w:val="003501E4"/>
    <w:rsid w:val="003539EF"/>
    <w:rsid w:val="00366B9D"/>
    <w:rsid w:val="00367C86"/>
    <w:rsid w:val="00370916"/>
    <w:rsid w:val="0037282C"/>
    <w:rsid w:val="0037450E"/>
    <w:rsid w:val="00374E94"/>
    <w:rsid w:val="003769E6"/>
    <w:rsid w:val="00391DC1"/>
    <w:rsid w:val="003A2763"/>
    <w:rsid w:val="003A2807"/>
    <w:rsid w:val="003A3D08"/>
    <w:rsid w:val="003A52DF"/>
    <w:rsid w:val="003A623A"/>
    <w:rsid w:val="003A74EB"/>
    <w:rsid w:val="003A7BA0"/>
    <w:rsid w:val="003B09CD"/>
    <w:rsid w:val="003B4835"/>
    <w:rsid w:val="003B5F64"/>
    <w:rsid w:val="003C09FA"/>
    <w:rsid w:val="003C64AA"/>
    <w:rsid w:val="003D13EB"/>
    <w:rsid w:val="003D23A5"/>
    <w:rsid w:val="003D2402"/>
    <w:rsid w:val="003D4757"/>
    <w:rsid w:val="003D4BE9"/>
    <w:rsid w:val="003D5A7C"/>
    <w:rsid w:val="003E1469"/>
    <w:rsid w:val="003E200E"/>
    <w:rsid w:val="003E25A5"/>
    <w:rsid w:val="003E6CAA"/>
    <w:rsid w:val="003F2078"/>
    <w:rsid w:val="003F5D3B"/>
    <w:rsid w:val="003F75D8"/>
    <w:rsid w:val="00401A9A"/>
    <w:rsid w:val="00406078"/>
    <w:rsid w:val="00406C40"/>
    <w:rsid w:val="00413ABA"/>
    <w:rsid w:val="00414FBB"/>
    <w:rsid w:val="00415716"/>
    <w:rsid w:val="00417B04"/>
    <w:rsid w:val="00420143"/>
    <w:rsid w:val="004234AE"/>
    <w:rsid w:val="00426336"/>
    <w:rsid w:val="00426665"/>
    <w:rsid w:val="0043196C"/>
    <w:rsid w:val="00434849"/>
    <w:rsid w:val="00437221"/>
    <w:rsid w:val="00450516"/>
    <w:rsid w:val="00451BB2"/>
    <w:rsid w:val="0045457C"/>
    <w:rsid w:val="00457106"/>
    <w:rsid w:val="00462961"/>
    <w:rsid w:val="00463583"/>
    <w:rsid w:val="0047078F"/>
    <w:rsid w:val="00471777"/>
    <w:rsid w:val="0048266A"/>
    <w:rsid w:val="004837F3"/>
    <w:rsid w:val="0049222F"/>
    <w:rsid w:val="00492AB5"/>
    <w:rsid w:val="0049422D"/>
    <w:rsid w:val="00494C86"/>
    <w:rsid w:val="00494E10"/>
    <w:rsid w:val="004A02E6"/>
    <w:rsid w:val="004A112E"/>
    <w:rsid w:val="004A2E92"/>
    <w:rsid w:val="004A61C5"/>
    <w:rsid w:val="004B03CC"/>
    <w:rsid w:val="004B3FBF"/>
    <w:rsid w:val="004B7069"/>
    <w:rsid w:val="004C5296"/>
    <w:rsid w:val="004C5783"/>
    <w:rsid w:val="004C59D2"/>
    <w:rsid w:val="004C61B3"/>
    <w:rsid w:val="004C7A37"/>
    <w:rsid w:val="004D5204"/>
    <w:rsid w:val="004D5EDA"/>
    <w:rsid w:val="004D67C7"/>
    <w:rsid w:val="004D6F2B"/>
    <w:rsid w:val="004E1353"/>
    <w:rsid w:val="004F2321"/>
    <w:rsid w:val="004F6E71"/>
    <w:rsid w:val="00500470"/>
    <w:rsid w:val="00501569"/>
    <w:rsid w:val="005058A9"/>
    <w:rsid w:val="0051065D"/>
    <w:rsid w:val="005135A3"/>
    <w:rsid w:val="00514477"/>
    <w:rsid w:val="00523E0C"/>
    <w:rsid w:val="00527F16"/>
    <w:rsid w:val="005306D0"/>
    <w:rsid w:val="005314D8"/>
    <w:rsid w:val="00533A11"/>
    <w:rsid w:val="005347C2"/>
    <w:rsid w:val="00534BD1"/>
    <w:rsid w:val="0054103B"/>
    <w:rsid w:val="005418C0"/>
    <w:rsid w:val="00544B03"/>
    <w:rsid w:val="0054640D"/>
    <w:rsid w:val="0054730D"/>
    <w:rsid w:val="00552A2C"/>
    <w:rsid w:val="00553BDF"/>
    <w:rsid w:val="005563D2"/>
    <w:rsid w:val="00556831"/>
    <w:rsid w:val="0056041D"/>
    <w:rsid w:val="00560B9A"/>
    <w:rsid w:val="00561E1B"/>
    <w:rsid w:val="0056472B"/>
    <w:rsid w:val="00566F67"/>
    <w:rsid w:val="0057464F"/>
    <w:rsid w:val="00580DA9"/>
    <w:rsid w:val="005823C3"/>
    <w:rsid w:val="0059492A"/>
    <w:rsid w:val="00594BAA"/>
    <w:rsid w:val="005A0149"/>
    <w:rsid w:val="005A3AB8"/>
    <w:rsid w:val="005A5A89"/>
    <w:rsid w:val="005B2D7C"/>
    <w:rsid w:val="005B39CA"/>
    <w:rsid w:val="005B6393"/>
    <w:rsid w:val="005B6BD1"/>
    <w:rsid w:val="005C3A40"/>
    <w:rsid w:val="005D0C60"/>
    <w:rsid w:val="005D386C"/>
    <w:rsid w:val="005D469C"/>
    <w:rsid w:val="005E4AE3"/>
    <w:rsid w:val="005F0341"/>
    <w:rsid w:val="005F3B78"/>
    <w:rsid w:val="005F5C38"/>
    <w:rsid w:val="00601151"/>
    <w:rsid w:val="00605360"/>
    <w:rsid w:val="00611ADB"/>
    <w:rsid w:val="00614694"/>
    <w:rsid w:val="006176EC"/>
    <w:rsid w:val="0062124E"/>
    <w:rsid w:val="00622025"/>
    <w:rsid w:val="00623D8B"/>
    <w:rsid w:val="0063227D"/>
    <w:rsid w:val="0063532B"/>
    <w:rsid w:val="0064456E"/>
    <w:rsid w:val="00647E0F"/>
    <w:rsid w:val="00652D33"/>
    <w:rsid w:val="006557C6"/>
    <w:rsid w:val="00656740"/>
    <w:rsid w:val="00663D8D"/>
    <w:rsid w:val="00665BBD"/>
    <w:rsid w:val="00667546"/>
    <w:rsid w:val="00670409"/>
    <w:rsid w:val="00680028"/>
    <w:rsid w:val="0068549D"/>
    <w:rsid w:val="006900DF"/>
    <w:rsid w:val="00695521"/>
    <w:rsid w:val="00695C18"/>
    <w:rsid w:val="006A6938"/>
    <w:rsid w:val="006B3E5E"/>
    <w:rsid w:val="006B671D"/>
    <w:rsid w:val="006B75D5"/>
    <w:rsid w:val="006C249E"/>
    <w:rsid w:val="006C5345"/>
    <w:rsid w:val="006D0E73"/>
    <w:rsid w:val="006D1EAC"/>
    <w:rsid w:val="006D516D"/>
    <w:rsid w:val="006E1481"/>
    <w:rsid w:val="006E5A95"/>
    <w:rsid w:val="006E640D"/>
    <w:rsid w:val="0070126F"/>
    <w:rsid w:val="00701EB4"/>
    <w:rsid w:val="007053ED"/>
    <w:rsid w:val="00706EFB"/>
    <w:rsid w:val="0071028F"/>
    <w:rsid w:val="007109F5"/>
    <w:rsid w:val="00715EF0"/>
    <w:rsid w:val="0072169B"/>
    <w:rsid w:val="007259A2"/>
    <w:rsid w:val="00725B2D"/>
    <w:rsid w:val="007416B4"/>
    <w:rsid w:val="007451A2"/>
    <w:rsid w:val="0075115E"/>
    <w:rsid w:val="007546B5"/>
    <w:rsid w:val="0075521C"/>
    <w:rsid w:val="0075736E"/>
    <w:rsid w:val="00763290"/>
    <w:rsid w:val="00763B79"/>
    <w:rsid w:val="00775005"/>
    <w:rsid w:val="00777350"/>
    <w:rsid w:val="00782709"/>
    <w:rsid w:val="00783B40"/>
    <w:rsid w:val="0078484C"/>
    <w:rsid w:val="00784AC2"/>
    <w:rsid w:val="00791BF6"/>
    <w:rsid w:val="007920FF"/>
    <w:rsid w:val="007943B5"/>
    <w:rsid w:val="00796551"/>
    <w:rsid w:val="007A015F"/>
    <w:rsid w:val="007A154B"/>
    <w:rsid w:val="007A2A55"/>
    <w:rsid w:val="007A40A0"/>
    <w:rsid w:val="007A7159"/>
    <w:rsid w:val="007A7236"/>
    <w:rsid w:val="007A78D9"/>
    <w:rsid w:val="007B3948"/>
    <w:rsid w:val="007B4E75"/>
    <w:rsid w:val="007C3EBF"/>
    <w:rsid w:val="007C577C"/>
    <w:rsid w:val="007C5B0F"/>
    <w:rsid w:val="007C7C92"/>
    <w:rsid w:val="007D1C6B"/>
    <w:rsid w:val="007D7147"/>
    <w:rsid w:val="007D71BB"/>
    <w:rsid w:val="007E4DB0"/>
    <w:rsid w:val="007E693E"/>
    <w:rsid w:val="007E6EF3"/>
    <w:rsid w:val="007E73C4"/>
    <w:rsid w:val="007F0FEA"/>
    <w:rsid w:val="007F16D2"/>
    <w:rsid w:val="007F489B"/>
    <w:rsid w:val="007F4C71"/>
    <w:rsid w:val="00803232"/>
    <w:rsid w:val="008057CF"/>
    <w:rsid w:val="00805D49"/>
    <w:rsid w:val="0080738E"/>
    <w:rsid w:val="008111AC"/>
    <w:rsid w:val="008118BB"/>
    <w:rsid w:val="008152F2"/>
    <w:rsid w:val="00817CA9"/>
    <w:rsid w:val="00817CBB"/>
    <w:rsid w:val="008249DC"/>
    <w:rsid w:val="008256E7"/>
    <w:rsid w:val="00826E3E"/>
    <w:rsid w:val="00827B62"/>
    <w:rsid w:val="008301E5"/>
    <w:rsid w:val="008319A6"/>
    <w:rsid w:val="00832E61"/>
    <w:rsid w:val="00837C69"/>
    <w:rsid w:val="00837DDB"/>
    <w:rsid w:val="008400F7"/>
    <w:rsid w:val="008417AD"/>
    <w:rsid w:val="00841F47"/>
    <w:rsid w:val="00842ABA"/>
    <w:rsid w:val="00847662"/>
    <w:rsid w:val="00847D85"/>
    <w:rsid w:val="0085109B"/>
    <w:rsid w:val="00852FBE"/>
    <w:rsid w:val="008611A9"/>
    <w:rsid w:val="00865CDF"/>
    <w:rsid w:val="00866FE6"/>
    <w:rsid w:val="00870EDA"/>
    <w:rsid w:val="00871B78"/>
    <w:rsid w:val="00873971"/>
    <w:rsid w:val="00880824"/>
    <w:rsid w:val="00883D63"/>
    <w:rsid w:val="00883EE6"/>
    <w:rsid w:val="008852D8"/>
    <w:rsid w:val="00892618"/>
    <w:rsid w:val="008A0D39"/>
    <w:rsid w:val="008A1E73"/>
    <w:rsid w:val="008A35DE"/>
    <w:rsid w:val="008A5553"/>
    <w:rsid w:val="008B086E"/>
    <w:rsid w:val="008B302F"/>
    <w:rsid w:val="008B3F5E"/>
    <w:rsid w:val="008B457C"/>
    <w:rsid w:val="008B4928"/>
    <w:rsid w:val="008B5876"/>
    <w:rsid w:val="008B7B86"/>
    <w:rsid w:val="008C0228"/>
    <w:rsid w:val="008D3D7E"/>
    <w:rsid w:val="008D6534"/>
    <w:rsid w:val="008D6A8B"/>
    <w:rsid w:val="008D7F66"/>
    <w:rsid w:val="008F0E90"/>
    <w:rsid w:val="008F1FDB"/>
    <w:rsid w:val="008F501A"/>
    <w:rsid w:val="00900146"/>
    <w:rsid w:val="009021E3"/>
    <w:rsid w:val="009062F2"/>
    <w:rsid w:val="00913981"/>
    <w:rsid w:val="00914147"/>
    <w:rsid w:val="00920BDB"/>
    <w:rsid w:val="0092288E"/>
    <w:rsid w:val="00922E20"/>
    <w:rsid w:val="00923CDF"/>
    <w:rsid w:val="00933B9A"/>
    <w:rsid w:val="009416CD"/>
    <w:rsid w:val="00941E61"/>
    <w:rsid w:val="0094302C"/>
    <w:rsid w:val="00944148"/>
    <w:rsid w:val="00955A5E"/>
    <w:rsid w:val="0096009E"/>
    <w:rsid w:val="00961C1D"/>
    <w:rsid w:val="00962B04"/>
    <w:rsid w:val="009654CF"/>
    <w:rsid w:val="009668F6"/>
    <w:rsid w:val="00966A09"/>
    <w:rsid w:val="00967840"/>
    <w:rsid w:val="00972988"/>
    <w:rsid w:val="00972E43"/>
    <w:rsid w:val="009767F4"/>
    <w:rsid w:val="00982F21"/>
    <w:rsid w:val="009834F4"/>
    <w:rsid w:val="00983CB3"/>
    <w:rsid w:val="00985DB2"/>
    <w:rsid w:val="00986497"/>
    <w:rsid w:val="00992923"/>
    <w:rsid w:val="009A16B5"/>
    <w:rsid w:val="009A555E"/>
    <w:rsid w:val="009A5EB0"/>
    <w:rsid w:val="009B0EF1"/>
    <w:rsid w:val="009B5077"/>
    <w:rsid w:val="009C048C"/>
    <w:rsid w:val="009C23D2"/>
    <w:rsid w:val="009C2A7E"/>
    <w:rsid w:val="009C7402"/>
    <w:rsid w:val="009D22A7"/>
    <w:rsid w:val="009D3991"/>
    <w:rsid w:val="009E1C7F"/>
    <w:rsid w:val="009E4A4F"/>
    <w:rsid w:val="009F297E"/>
    <w:rsid w:val="009F5F62"/>
    <w:rsid w:val="009F68FF"/>
    <w:rsid w:val="00A05092"/>
    <w:rsid w:val="00A05109"/>
    <w:rsid w:val="00A0759E"/>
    <w:rsid w:val="00A11AAF"/>
    <w:rsid w:val="00A1378F"/>
    <w:rsid w:val="00A303C9"/>
    <w:rsid w:val="00A356DC"/>
    <w:rsid w:val="00A40625"/>
    <w:rsid w:val="00A4202F"/>
    <w:rsid w:val="00A42DC0"/>
    <w:rsid w:val="00A56270"/>
    <w:rsid w:val="00A5782A"/>
    <w:rsid w:val="00A611CD"/>
    <w:rsid w:val="00A67ED9"/>
    <w:rsid w:val="00A67F2C"/>
    <w:rsid w:val="00A707CE"/>
    <w:rsid w:val="00A76FC9"/>
    <w:rsid w:val="00A7714E"/>
    <w:rsid w:val="00A77C05"/>
    <w:rsid w:val="00A81D0C"/>
    <w:rsid w:val="00A840A8"/>
    <w:rsid w:val="00A87320"/>
    <w:rsid w:val="00A911AD"/>
    <w:rsid w:val="00A91635"/>
    <w:rsid w:val="00A936BD"/>
    <w:rsid w:val="00A93BF4"/>
    <w:rsid w:val="00A9424D"/>
    <w:rsid w:val="00A944FE"/>
    <w:rsid w:val="00A9459C"/>
    <w:rsid w:val="00A9651E"/>
    <w:rsid w:val="00A97C63"/>
    <w:rsid w:val="00AA783E"/>
    <w:rsid w:val="00AB1CF7"/>
    <w:rsid w:val="00AB71F4"/>
    <w:rsid w:val="00AC187D"/>
    <w:rsid w:val="00AC3A5D"/>
    <w:rsid w:val="00AE7BDA"/>
    <w:rsid w:val="00AF073A"/>
    <w:rsid w:val="00AF0E2D"/>
    <w:rsid w:val="00AF450F"/>
    <w:rsid w:val="00AF4610"/>
    <w:rsid w:val="00AF677E"/>
    <w:rsid w:val="00AF79B4"/>
    <w:rsid w:val="00B02016"/>
    <w:rsid w:val="00B10627"/>
    <w:rsid w:val="00B10A91"/>
    <w:rsid w:val="00B114F6"/>
    <w:rsid w:val="00B12CA6"/>
    <w:rsid w:val="00B160B9"/>
    <w:rsid w:val="00B16A54"/>
    <w:rsid w:val="00B27C59"/>
    <w:rsid w:val="00B33621"/>
    <w:rsid w:val="00B35592"/>
    <w:rsid w:val="00B35981"/>
    <w:rsid w:val="00B36692"/>
    <w:rsid w:val="00B3745A"/>
    <w:rsid w:val="00B41DB6"/>
    <w:rsid w:val="00B46498"/>
    <w:rsid w:val="00B479E7"/>
    <w:rsid w:val="00B507EB"/>
    <w:rsid w:val="00B60C82"/>
    <w:rsid w:val="00B655ED"/>
    <w:rsid w:val="00B67EA1"/>
    <w:rsid w:val="00B71777"/>
    <w:rsid w:val="00B74307"/>
    <w:rsid w:val="00B75763"/>
    <w:rsid w:val="00B82891"/>
    <w:rsid w:val="00B85398"/>
    <w:rsid w:val="00B860E0"/>
    <w:rsid w:val="00B91BAF"/>
    <w:rsid w:val="00B97E41"/>
    <w:rsid w:val="00BA2978"/>
    <w:rsid w:val="00BC2AFF"/>
    <w:rsid w:val="00BC2D36"/>
    <w:rsid w:val="00BC2E58"/>
    <w:rsid w:val="00BC4629"/>
    <w:rsid w:val="00BC6E16"/>
    <w:rsid w:val="00BD0F19"/>
    <w:rsid w:val="00BD5DB7"/>
    <w:rsid w:val="00BD6F52"/>
    <w:rsid w:val="00BE0808"/>
    <w:rsid w:val="00BE0AFB"/>
    <w:rsid w:val="00BE5028"/>
    <w:rsid w:val="00BE7766"/>
    <w:rsid w:val="00BF1846"/>
    <w:rsid w:val="00BF20C3"/>
    <w:rsid w:val="00BF70BE"/>
    <w:rsid w:val="00C033C8"/>
    <w:rsid w:val="00C03D83"/>
    <w:rsid w:val="00C03E70"/>
    <w:rsid w:val="00C041A5"/>
    <w:rsid w:val="00C14B34"/>
    <w:rsid w:val="00C1629B"/>
    <w:rsid w:val="00C2195F"/>
    <w:rsid w:val="00C34F4F"/>
    <w:rsid w:val="00C36276"/>
    <w:rsid w:val="00C37E7B"/>
    <w:rsid w:val="00C4060A"/>
    <w:rsid w:val="00C42BF8"/>
    <w:rsid w:val="00C44509"/>
    <w:rsid w:val="00C459D4"/>
    <w:rsid w:val="00C50E36"/>
    <w:rsid w:val="00C53281"/>
    <w:rsid w:val="00C56B4C"/>
    <w:rsid w:val="00C63680"/>
    <w:rsid w:val="00C63E73"/>
    <w:rsid w:val="00C70F26"/>
    <w:rsid w:val="00C71F4C"/>
    <w:rsid w:val="00C72752"/>
    <w:rsid w:val="00C74623"/>
    <w:rsid w:val="00C74B9B"/>
    <w:rsid w:val="00C74FB6"/>
    <w:rsid w:val="00C83D4F"/>
    <w:rsid w:val="00C952E2"/>
    <w:rsid w:val="00C97241"/>
    <w:rsid w:val="00C9769D"/>
    <w:rsid w:val="00CA09E3"/>
    <w:rsid w:val="00CA3B7B"/>
    <w:rsid w:val="00CA668B"/>
    <w:rsid w:val="00CC4A62"/>
    <w:rsid w:val="00CC7E32"/>
    <w:rsid w:val="00CD3EB4"/>
    <w:rsid w:val="00CD4A8A"/>
    <w:rsid w:val="00CD7F2A"/>
    <w:rsid w:val="00CE55B8"/>
    <w:rsid w:val="00CF52AB"/>
    <w:rsid w:val="00CF5907"/>
    <w:rsid w:val="00CF73DE"/>
    <w:rsid w:val="00D00C8B"/>
    <w:rsid w:val="00D02FC4"/>
    <w:rsid w:val="00D111DA"/>
    <w:rsid w:val="00D25DF9"/>
    <w:rsid w:val="00D261D0"/>
    <w:rsid w:val="00D31586"/>
    <w:rsid w:val="00D3541E"/>
    <w:rsid w:val="00D46B6C"/>
    <w:rsid w:val="00D552D6"/>
    <w:rsid w:val="00D565D7"/>
    <w:rsid w:val="00D60258"/>
    <w:rsid w:val="00D67A2A"/>
    <w:rsid w:val="00D70B95"/>
    <w:rsid w:val="00D809C5"/>
    <w:rsid w:val="00D84438"/>
    <w:rsid w:val="00D8453A"/>
    <w:rsid w:val="00D86720"/>
    <w:rsid w:val="00D91A53"/>
    <w:rsid w:val="00D923CC"/>
    <w:rsid w:val="00D92CBC"/>
    <w:rsid w:val="00D93009"/>
    <w:rsid w:val="00D9772B"/>
    <w:rsid w:val="00DA7109"/>
    <w:rsid w:val="00DA71E3"/>
    <w:rsid w:val="00DB2BA1"/>
    <w:rsid w:val="00DB4097"/>
    <w:rsid w:val="00DB4ED6"/>
    <w:rsid w:val="00DB6A61"/>
    <w:rsid w:val="00DC17A0"/>
    <w:rsid w:val="00DC5E17"/>
    <w:rsid w:val="00DC654E"/>
    <w:rsid w:val="00DD3B3A"/>
    <w:rsid w:val="00DD6C68"/>
    <w:rsid w:val="00DD7DFE"/>
    <w:rsid w:val="00DE311B"/>
    <w:rsid w:val="00DE5A2E"/>
    <w:rsid w:val="00DF1760"/>
    <w:rsid w:val="00DF4A87"/>
    <w:rsid w:val="00DF585F"/>
    <w:rsid w:val="00DF5E10"/>
    <w:rsid w:val="00E04FEE"/>
    <w:rsid w:val="00E259DB"/>
    <w:rsid w:val="00E271CD"/>
    <w:rsid w:val="00E42163"/>
    <w:rsid w:val="00E45646"/>
    <w:rsid w:val="00E4728F"/>
    <w:rsid w:val="00E47A85"/>
    <w:rsid w:val="00E50A5B"/>
    <w:rsid w:val="00E50A90"/>
    <w:rsid w:val="00E559DB"/>
    <w:rsid w:val="00E56A5B"/>
    <w:rsid w:val="00E61BF5"/>
    <w:rsid w:val="00E628F8"/>
    <w:rsid w:val="00E7296F"/>
    <w:rsid w:val="00E73452"/>
    <w:rsid w:val="00E7469C"/>
    <w:rsid w:val="00E74811"/>
    <w:rsid w:val="00E76EBB"/>
    <w:rsid w:val="00E80B61"/>
    <w:rsid w:val="00E81C04"/>
    <w:rsid w:val="00E8335B"/>
    <w:rsid w:val="00E870E2"/>
    <w:rsid w:val="00E90F63"/>
    <w:rsid w:val="00E9323B"/>
    <w:rsid w:val="00EA2BC0"/>
    <w:rsid w:val="00EA3834"/>
    <w:rsid w:val="00EB0682"/>
    <w:rsid w:val="00EB49DC"/>
    <w:rsid w:val="00EB7526"/>
    <w:rsid w:val="00EC167D"/>
    <w:rsid w:val="00EC30B0"/>
    <w:rsid w:val="00EE1D6B"/>
    <w:rsid w:val="00EE202C"/>
    <w:rsid w:val="00EE2B5D"/>
    <w:rsid w:val="00EE2F23"/>
    <w:rsid w:val="00EE3F15"/>
    <w:rsid w:val="00EE4AFB"/>
    <w:rsid w:val="00EE4B41"/>
    <w:rsid w:val="00EE5869"/>
    <w:rsid w:val="00EE69E6"/>
    <w:rsid w:val="00EF4E69"/>
    <w:rsid w:val="00EF76B9"/>
    <w:rsid w:val="00F04CDE"/>
    <w:rsid w:val="00F05BCA"/>
    <w:rsid w:val="00F05EE2"/>
    <w:rsid w:val="00F14C00"/>
    <w:rsid w:val="00F23EAE"/>
    <w:rsid w:val="00F24DF0"/>
    <w:rsid w:val="00F2576B"/>
    <w:rsid w:val="00F33C80"/>
    <w:rsid w:val="00F350F0"/>
    <w:rsid w:val="00F406B7"/>
    <w:rsid w:val="00F41967"/>
    <w:rsid w:val="00F54959"/>
    <w:rsid w:val="00F56B81"/>
    <w:rsid w:val="00F56C96"/>
    <w:rsid w:val="00F668EA"/>
    <w:rsid w:val="00F66C7E"/>
    <w:rsid w:val="00F7228D"/>
    <w:rsid w:val="00F81BDE"/>
    <w:rsid w:val="00F84AD1"/>
    <w:rsid w:val="00F8551A"/>
    <w:rsid w:val="00F85ED1"/>
    <w:rsid w:val="00F86DF3"/>
    <w:rsid w:val="00F86DF9"/>
    <w:rsid w:val="00F90696"/>
    <w:rsid w:val="00F90E2F"/>
    <w:rsid w:val="00FA743B"/>
    <w:rsid w:val="00FB20CB"/>
    <w:rsid w:val="00FB6ED8"/>
    <w:rsid w:val="00FC2387"/>
    <w:rsid w:val="00FC49CD"/>
    <w:rsid w:val="00FC5118"/>
    <w:rsid w:val="00FD0C9D"/>
    <w:rsid w:val="00FD33C5"/>
    <w:rsid w:val="00FD5FD2"/>
    <w:rsid w:val="00FD73A6"/>
    <w:rsid w:val="00FE4871"/>
    <w:rsid w:val="00FE7816"/>
    <w:rsid w:val="00FF06B3"/>
    <w:rsid w:val="00FF49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5C5B"/>
  <w15:docId w15:val="{85C0477C-C5C2-483A-9CC6-BAB40518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9D"/>
    <w:pPr>
      <w:ind w:left="720"/>
      <w:contextualSpacing/>
    </w:pPr>
  </w:style>
  <w:style w:type="paragraph" w:styleId="ListBullet">
    <w:name w:val="List Bullet"/>
    <w:basedOn w:val="Normal"/>
    <w:autoRedefine/>
    <w:rsid w:val="00FA743B"/>
    <w:pPr>
      <w:tabs>
        <w:tab w:val="left" w:pos="360"/>
      </w:tabs>
      <w:overflowPunct w:val="0"/>
      <w:autoSpaceDE w:val="0"/>
      <w:autoSpaceDN w:val="0"/>
      <w:adjustRightInd w:val="0"/>
      <w:spacing w:after="0"/>
      <w:ind w:left="360"/>
      <w:jc w:val="both"/>
      <w:textAlignment w:val="baseline"/>
    </w:pPr>
    <w:rPr>
      <w:rFonts w:ascii="Arial" w:eastAsia="Times New Roman" w:hAnsi="Arial" w:cs="Arial"/>
      <w:sz w:val="20"/>
      <w:szCs w:val="20"/>
    </w:rPr>
  </w:style>
  <w:style w:type="paragraph" w:styleId="Header">
    <w:name w:val="header"/>
    <w:basedOn w:val="Normal"/>
    <w:link w:val="HeaderChar"/>
    <w:uiPriority w:val="99"/>
    <w:unhideWhenUsed/>
    <w:rsid w:val="00FA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3B"/>
  </w:style>
  <w:style w:type="paragraph" w:styleId="Footer">
    <w:name w:val="footer"/>
    <w:basedOn w:val="Normal"/>
    <w:link w:val="FooterChar"/>
    <w:uiPriority w:val="99"/>
    <w:unhideWhenUsed/>
    <w:rsid w:val="00FA7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3B"/>
  </w:style>
  <w:style w:type="paragraph" w:styleId="BalloonText">
    <w:name w:val="Balloon Text"/>
    <w:basedOn w:val="Normal"/>
    <w:link w:val="BalloonTextChar"/>
    <w:uiPriority w:val="99"/>
    <w:semiHidden/>
    <w:unhideWhenUsed/>
    <w:rsid w:val="00F9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2F"/>
    <w:rPr>
      <w:rFonts w:ascii="Tahoma" w:hAnsi="Tahoma" w:cs="Tahoma"/>
      <w:sz w:val="16"/>
      <w:szCs w:val="16"/>
    </w:rPr>
  </w:style>
  <w:style w:type="character" w:styleId="CommentReference">
    <w:name w:val="annotation reference"/>
    <w:basedOn w:val="DefaultParagraphFont"/>
    <w:uiPriority w:val="99"/>
    <w:unhideWhenUsed/>
    <w:rsid w:val="00F90E2F"/>
    <w:rPr>
      <w:sz w:val="16"/>
      <w:szCs w:val="16"/>
    </w:rPr>
  </w:style>
  <w:style w:type="paragraph" w:styleId="CommentText">
    <w:name w:val="annotation text"/>
    <w:basedOn w:val="Normal"/>
    <w:link w:val="CommentTextChar"/>
    <w:uiPriority w:val="99"/>
    <w:unhideWhenUsed/>
    <w:rsid w:val="00F90E2F"/>
    <w:rPr>
      <w:sz w:val="20"/>
      <w:szCs w:val="20"/>
    </w:rPr>
  </w:style>
  <w:style w:type="character" w:customStyle="1" w:styleId="CommentTextChar">
    <w:name w:val="Comment Text Char"/>
    <w:basedOn w:val="DefaultParagraphFont"/>
    <w:link w:val="CommentText"/>
    <w:uiPriority w:val="99"/>
    <w:rsid w:val="00F90E2F"/>
  </w:style>
  <w:style w:type="paragraph" w:styleId="CommentSubject">
    <w:name w:val="annotation subject"/>
    <w:basedOn w:val="CommentText"/>
    <w:next w:val="CommentText"/>
    <w:link w:val="CommentSubjectChar"/>
    <w:uiPriority w:val="99"/>
    <w:semiHidden/>
    <w:unhideWhenUsed/>
    <w:rsid w:val="00F90E2F"/>
    <w:rPr>
      <w:b/>
      <w:bCs/>
    </w:rPr>
  </w:style>
  <w:style w:type="character" w:customStyle="1" w:styleId="CommentSubjectChar">
    <w:name w:val="Comment Subject Char"/>
    <w:basedOn w:val="CommentTextChar"/>
    <w:link w:val="CommentSubject"/>
    <w:uiPriority w:val="99"/>
    <w:semiHidden/>
    <w:rsid w:val="00F90E2F"/>
    <w:rPr>
      <w:b/>
      <w:bCs/>
    </w:rPr>
  </w:style>
  <w:style w:type="paragraph" w:styleId="Revision">
    <w:name w:val="Revision"/>
    <w:hidden/>
    <w:uiPriority w:val="99"/>
    <w:semiHidden/>
    <w:rsid w:val="005058A9"/>
    <w:rPr>
      <w:sz w:val="22"/>
      <w:szCs w:val="22"/>
    </w:rPr>
  </w:style>
  <w:style w:type="paragraph" w:styleId="BodyText">
    <w:name w:val="Body Text"/>
    <w:basedOn w:val="Normal"/>
    <w:link w:val="BodyTextChar"/>
    <w:rsid w:val="007E4DB0"/>
    <w:pPr>
      <w:overflowPunct w:val="0"/>
      <w:autoSpaceDE w:val="0"/>
      <w:autoSpaceDN w:val="0"/>
      <w:adjustRightInd w:val="0"/>
      <w:spacing w:after="0" w:line="240" w:lineRule="auto"/>
      <w:jc w:val="both"/>
      <w:textAlignment w:val="baseline"/>
    </w:pPr>
    <w:rPr>
      <w:rFonts w:ascii="VNI-Times" w:eastAsia="Times New Roman" w:hAnsi="VNI-Times"/>
      <w:sz w:val="20"/>
      <w:szCs w:val="20"/>
      <w:lang w:val="en-GB"/>
    </w:rPr>
  </w:style>
  <w:style w:type="character" w:customStyle="1" w:styleId="BodyTextChar">
    <w:name w:val="Body Text Char"/>
    <w:basedOn w:val="DefaultParagraphFont"/>
    <w:link w:val="BodyText"/>
    <w:rsid w:val="007E4DB0"/>
    <w:rPr>
      <w:rFonts w:ascii="VNI-Times" w:eastAsia="Times New Roman" w:hAnsi="VNI-Times"/>
      <w:lang w:val="en-GB"/>
    </w:rPr>
  </w:style>
  <w:style w:type="table" w:styleId="PlainTable4">
    <w:name w:val="Plain Table 4"/>
    <w:basedOn w:val="TableNormal"/>
    <w:uiPriority w:val="44"/>
    <w:rsid w:val="00966A09"/>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45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049">
      <w:bodyDiv w:val="1"/>
      <w:marLeft w:val="0"/>
      <w:marRight w:val="0"/>
      <w:marTop w:val="0"/>
      <w:marBottom w:val="0"/>
      <w:divBdr>
        <w:top w:val="none" w:sz="0" w:space="0" w:color="auto"/>
        <w:left w:val="none" w:sz="0" w:space="0" w:color="auto"/>
        <w:bottom w:val="none" w:sz="0" w:space="0" w:color="auto"/>
        <w:right w:val="none" w:sz="0" w:space="0" w:color="auto"/>
      </w:divBdr>
    </w:div>
    <w:div w:id="26831872">
      <w:bodyDiv w:val="1"/>
      <w:marLeft w:val="0"/>
      <w:marRight w:val="0"/>
      <w:marTop w:val="0"/>
      <w:marBottom w:val="0"/>
      <w:divBdr>
        <w:top w:val="none" w:sz="0" w:space="0" w:color="auto"/>
        <w:left w:val="none" w:sz="0" w:space="0" w:color="auto"/>
        <w:bottom w:val="none" w:sz="0" w:space="0" w:color="auto"/>
        <w:right w:val="none" w:sz="0" w:space="0" w:color="auto"/>
      </w:divBdr>
    </w:div>
    <w:div w:id="66415256">
      <w:bodyDiv w:val="1"/>
      <w:marLeft w:val="0"/>
      <w:marRight w:val="0"/>
      <w:marTop w:val="0"/>
      <w:marBottom w:val="0"/>
      <w:divBdr>
        <w:top w:val="none" w:sz="0" w:space="0" w:color="auto"/>
        <w:left w:val="none" w:sz="0" w:space="0" w:color="auto"/>
        <w:bottom w:val="none" w:sz="0" w:space="0" w:color="auto"/>
        <w:right w:val="none" w:sz="0" w:space="0" w:color="auto"/>
      </w:divBdr>
    </w:div>
    <w:div w:id="103161549">
      <w:bodyDiv w:val="1"/>
      <w:marLeft w:val="0"/>
      <w:marRight w:val="0"/>
      <w:marTop w:val="0"/>
      <w:marBottom w:val="0"/>
      <w:divBdr>
        <w:top w:val="none" w:sz="0" w:space="0" w:color="auto"/>
        <w:left w:val="none" w:sz="0" w:space="0" w:color="auto"/>
        <w:bottom w:val="none" w:sz="0" w:space="0" w:color="auto"/>
        <w:right w:val="none" w:sz="0" w:space="0" w:color="auto"/>
      </w:divBdr>
    </w:div>
    <w:div w:id="120655039">
      <w:bodyDiv w:val="1"/>
      <w:marLeft w:val="0"/>
      <w:marRight w:val="0"/>
      <w:marTop w:val="0"/>
      <w:marBottom w:val="0"/>
      <w:divBdr>
        <w:top w:val="none" w:sz="0" w:space="0" w:color="auto"/>
        <w:left w:val="none" w:sz="0" w:space="0" w:color="auto"/>
        <w:bottom w:val="none" w:sz="0" w:space="0" w:color="auto"/>
        <w:right w:val="none" w:sz="0" w:space="0" w:color="auto"/>
      </w:divBdr>
    </w:div>
    <w:div w:id="143203358">
      <w:bodyDiv w:val="1"/>
      <w:marLeft w:val="0"/>
      <w:marRight w:val="0"/>
      <w:marTop w:val="0"/>
      <w:marBottom w:val="0"/>
      <w:divBdr>
        <w:top w:val="none" w:sz="0" w:space="0" w:color="auto"/>
        <w:left w:val="none" w:sz="0" w:space="0" w:color="auto"/>
        <w:bottom w:val="none" w:sz="0" w:space="0" w:color="auto"/>
        <w:right w:val="none" w:sz="0" w:space="0" w:color="auto"/>
      </w:divBdr>
    </w:div>
    <w:div w:id="144125313">
      <w:bodyDiv w:val="1"/>
      <w:marLeft w:val="0"/>
      <w:marRight w:val="0"/>
      <w:marTop w:val="0"/>
      <w:marBottom w:val="0"/>
      <w:divBdr>
        <w:top w:val="none" w:sz="0" w:space="0" w:color="auto"/>
        <w:left w:val="none" w:sz="0" w:space="0" w:color="auto"/>
        <w:bottom w:val="none" w:sz="0" w:space="0" w:color="auto"/>
        <w:right w:val="none" w:sz="0" w:space="0" w:color="auto"/>
      </w:divBdr>
    </w:div>
    <w:div w:id="176816751">
      <w:bodyDiv w:val="1"/>
      <w:marLeft w:val="0"/>
      <w:marRight w:val="0"/>
      <w:marTop w:val="0"/>
      <w:marBottom w:val="0"/>
      <w:divBdr>
        <w:top w:val="none" w:sz="0" w:space="0" w:color="auto"/>
        <w:left w:val="none" w:sz="0" w:space="0" w:color="auto"/>
        <w:bottom w:val="none" w:sz="0" w:space="0" w:color="auto"/>
        <w:right w:val="none" w:sz="0" w:space="0" w:color="auto"/>
      </w:divBdr>
    </w:div>
    <w:div w:id="181169174">
      <w:bodyDiv w:val="1"/>
      <w:marLeft w:val="0"/>
      <w:marRight w:val="0"/>
      <w:marTop w:val="0"/>
      <w:marBottom w:val="0"/>
      <w:divBdr>
        <w:top w:val="none" w:sz="0" w:space="0" w:color="auto"/>
        <w:left w:val="none" w:sz="0" w:space="0" w:color="auto"/>
        <w:bottom w:val="none" w:sz="0" w:space="0" w:color="auto"/>
        <w:right w:val="none" w:sz="0" w:space="0" w:color="auto"/>
      </w:divBdr>
    </w:div>
    <w:div w:id="183060923">
      <w:bodyDiv w:val="1"/>
      <w:marLeft w:val="0"/>
      <w:marRight w:val="0"/>
      <w:marTop w:val="0"/>
      <w:marBottom w:val="0"/>
      <w:divBdr>
        <w:top w:val="none" w:sz="0" w:space="0" w:color="auto"/>
        <w:left w:val="none" w:sz="0" w:space="0" w:color="auto"/>
        <w:bottom w:val="none" w:sz="0" w:space="0" w:color="auto"/>
        <w:right w:val="none" w:sz="0" w:space="0" w:color="auto"/>
      </w:divBdr>
    </w:div>
    <w:div w:id="199903781">
      <w:bodyDiv w:val="1"/>
      <w:marLeft w:val="0"/>
      <w:marRight w:val="0"/>
      <w:marTop w:val="0"/>
      <w:marBottom w:val="0"/>
      <w:divBdr>
        <w:top w:val="none" w:sz="0" w:space="0" w:color="auto"/>
        <w:left w:val="none" w:sz="0" w:space="0" w:color="auto"/>
        <w:bottom w:val="none" w:sz="0" w:space="0" w:color="auto"/>
        <w:right w:val="none" w:sz="0" w:space="0" w:color="auto"/>
      </w:divBdr>
    </w:div>
    <w:div w:id="242841848">
      <w:bodyDiv w:val="1"/>
      <w:marLeft w:val="0"/>
      <w:marRight w:val="0"/>
      <w:marTop w:val="0"/>
      <w:marBottom w:val="0"/>
      <w:divBdr>
        <w:top w:val="none" w:sz="0" w:space="0" w:color="auto"/>
        <w:left w:val="none" w:sz="0" w:space="0" w:color="auto"/>
        <w:bottom w:val="none" w:sz="0" w:space="0" w:color="auto"/>
        <w:right w:val="none" w:sz="0" w:space="0" w:color="auto"/>
      </w:divBdr>
    </w:div>
    <w:div w:id="244843018">
      <w:bodyDiv w:val="1"/>
      <w:marLeft w:val="0"/>
      <w:marRight w:val="0"/>
      <w:marTop w:val="0"/>
      <w:marBottom w:val="0"/>
      <w:divBdr>
        <w:top w:val="none" w:sz="0" w:space="0" w:color="auto"/>
        <w:left w:val="none" w:sz="0" w:space="0" w:color="auto"/>
        <w:bottom w:val="none" w:sz="0" w:space="0" w:color="auto"/>
        <w:right w:val="none" w:sz="0" w:space="0" w:color="auto"/>
      </w:divBdr>
    </w:div>
    <w:div w:id="259728940">
      <w:bodyDiv w:val="1"/>
      <w:marLeft w:val="0"/>
      <w:marRight w:val="0"/>
      <w:marTop w:val="0"/>
      <w:marBottom w:val="0"/>
      <w:divBdr>
        <w:top w:val="none" w:sz="0" w:space="0" w:color="auto"/>
        <w:left w:val="none" w:sz="0" w:space="0" w:color="auto"/>
        <w:bottom w:val="none" w:sz="0" w:space="0" w:color="auto"/>
        <w:right w:val="none" w:sz="0" w:space="0" w:color="auto"/>
      </w:divBdr>
    </w:div>
    <w:div w:id="265161541">
      <w:bodyDiv w:val="1"/>
      <w:marLeft w:val="0"/>
      <w:marRight w:val="0"/>
      <w:marTop w:val="0"/>
      <w:marBottom w:val="0"/>
      <w:divBdr>
        <w:top w:val="none" w:sz="0" w:space="0" w:color="auto"/>
        <w:left w:val="none" w:sz="0" w:space="0" w:color="auto"/>
        <w:bottom w:val="none" w:sz="0" w:space="0" w:color="auto"/>
        <w:right w:val="none" w:sz="0" w:space="0" w:color="auto"/>
      </w:divBdr>
    </w:div>
    <w:div w:id="268397176">
      <w:bodyDiv w:val="1"/>
      <w:marLeft w:val="0"/>
      <w:marRight w:val="0"/>
      <w:marTop w:val="0"/>
      <w:marBottom w:val="0"/>
      <w:divBdr>
        <w:top w:val="none" w:sz="0" w:space="0" w:color="auto"/>
        <w:left w:val="none" w:sz="0" w:space="0" w:color="auto"/>
        <w:bottom w:val="none" w:sz="0" w:space="0" w:color="auto"/>
        <w:right w:val="none" w:sz="0" w:space="0" w:color="auto"/>
      </w:divBdr>
    </w:div>
    <w:div w:id="269364207">
      <w:bodyDiv w:val="1"/>
      <w:marLeft w:val="0"/>
      <w:marRight w:val="0"/>
      <w:marTop w:val="0"/>
      <w:marBottom w:val="0"/>
      <w:divBdr>
        <w:top w:val="none" w:sz="0" w:space="0" w:color="auto"/>
        <w:left w:val="none" w:sz="0" w:space="0" w:color="auto"/>
        <w:bottom w:val="none" w:sz="0" w:space="0" w:color="auto"/>
        <w:right w:val="none" w:sz="0" w:space="0" w:color="auto"/>
      </w:divBdr>
    </w:div>
    <w:div w:id="284510539">
      <w:bodyDiv w:val="1"/>
      <w:marLeft w:val="0"/>
      <w:marRight w:val="0"/>
      <w:marTop w:val="0"/>
      <w:marBottom w:val="0"/>
      <w:divBdr>
        <w:top w:val="none" w:sz="0" w:space="0" w:color="auto"/>
        <w:left w:val="none" w:sz="0" w:space="0" w:color="auto"/>
        <w:bottom w:val="none" w:sz="0" w:space="0" w:color="auto"/>
        <w:right w:val="none" w:sz="0" w:space="0" w:color="auto"/>
      </w:divBdr>
    </w:div>
    <w:div w:id="300696248">
      <w:bodyDiv w:val="1"/>
      <w:marLeft w:val="0"/>
      <w:marRight w:val="0"/>
      <w:marTop w:val="0"/>
      <w:marBottom w:val="0"/>
      <w:divBdr>
        <w:top w:val="none" w:sz="0" w:space="0" w:color="auto"/>
        <w:left w:val="none" w:sz="0" w:space="0" w:color="auto"/>
        <w:bottom w:val="none" w:sz="0" w:space="0" w:color="auto"/>
        <w:right w:val="none" w:sz="0" w:space="0" w:color="auto"/>
      </w:divBdr>
    </w:div>
    <w:div w:id="303052281">
      <w:bodyDiv w:val="1"/>
      <w:marLeft w:val="0"/>
      <w:marRight w:val="0"/>
      <w:marTop w:val="0"/>
      <w:marBottom w:val="0"/>
      <w:divBdr>
        <w:top w:val="none" w:sz="0" w:space="0" w:color="auto"/>
        <w:left w:val="none" w:sz="0" w:space="0" w:color="auto"/>
        <w:bottom w:val="none" w:sz="0" w:space="0" w:color="auto"/>
        <w:right w:val="none" w:sz="0" w:space="0" w:color="auto"/>
      </w:divBdr>
    </w:div>
    <w:div w:id="375350493">
      <w:bodyDiv w:val="1"/>
      <w:marLeft w:val="0"/>
      <w:marRight w:val="0"/>
      <w:marTop w:val="0"/>
      <w:marBottom w:val="0"/>
      <w:divBdr>
        <w:top w:val="none" w:sz="0" w:space="0" w:color="auto"/>
        <w:left w:val="none" w:sz="0" w:space="0" w:color="auto"/>
        <w:bottom w:val="none" w:sz="0" w:space="0" w:color="auto"/>
        <w:right w:val="none" w:sz="0" w:space="0" w:color="auto"/>
      </w:divBdr>
    </w:div>
    <w:div w:id="378405831">
      <w:bodyDiv w:val="1"/>
      <w:marLeft w:val="0"/>
      <w:marRight w:val="0"/>
      <w:marTop w:val="0"/>
      <w:marBottom w:val="0"/>
      <w:divBdr>
        <w:top w:val="none" w:sz="0" w:space="0" w:color="auto"/>
        <w:left w:val="none" w:sz="0" w:space="0" w:color="auto"/>
        <w:bottom w:val="none" w:sz="0" w:space="0" w:color="auto"/>
        <w:right w:val="none" w:sz="0" w:space="0" w:color="auto"/>
      </w:divBdr>
    </w:div>
    <w:div w:id="383868920">
      <w:bodyDiv w:val="1"/>
      <w:marLeft w:val="0"/>
      <w:marRight w:val="0"/>
      <w:marTop w:val="0"/>
      <w:marBottom w:val="0"/>
      <w:divBdr>
        <w:top w:val="none" w:sz="0" w:space="0" w:color="auto"/>
        <w:left w:val="none" w:sz="0" w:space="0" w:color="auto"/>
        <w:bottom w:val="none" w:sz="0" w:space="0" w:color="auto"/>
        <w:right w:val="none" w:sz="0" w:space="0" w:color="auto"/>
      </w:divBdr>
    </w:div>
    <w:div w:id="408238107">
      <w:bodyDiv w:val="1"/>
      <w:marLeft w:val="0"/>
      <w:marRight w:val="0"/>
      <w:marTop w:val="0"/>
      <w:marBottom w:val="0"/>
      <w:divBdr>
        <w:top w:val="none" w:sz="0" w:space="0" w:color="auto"/>
        <w:left w:val="none" w:sz="0" w:space="0" w:color="auto"/>
        <w:bottom w:val="none" w:sz="0" w:space="0" w:color="auto"/>
        <w:right w:val="none" w:sz="0" w:space="0" w:color="auto"/>
      </w:divBdr>
    </w:div>
    <w:div w:id="416756238">
      <w:bodyDiv w:val="1"/>
      <w:marLeft w:val="0"/>
      <w:marRight w:val="0"/>
      <w:marTop w:val="0"/>
      <w:marBottom w:val="0"/>
      <w:divBdr>
        <w:top w:val="none" w:sz="0" w:space="0" w:color="auto"/>
        <w:left w:val="none" w:sz="0" w:space="0" w:color="auto"/>
        <w:bottom w:val="none" w:sz="0" w:space="0" w:color="auto"/>
        <w:right w:val="none" w:sz="0" w:space="0" w:color="auto"/>
      </w:divBdr>
    </w:div>
    <w:div w:id="421875935">
      <w:bodyDiv w:val="1"/>
      <w:marLeft w:val="0"/>
      <w:marRight w:val="0"/>
      <w:marTop w:val="0"/>
      <w:marBottom w:val="0"/>
      <w:divBdr>
        <w:top w:val="none" w:sz="0" w:space="0" w:color="auto"/>
        <w:left w:val="none" w:sz="0" w:space="0" w:color="auto"/>
        <w:bottom w:val="none" w:sz="0" w:space="0" w:color="auto"/>
        <w:right w:val="none" w:sz="0" w:space="0" w:color="auto"/>
      </w:divBdr>
    </w:div>
    <w:div w:id="449709503">
      <w:bodyDiv w:val="1"/>
      <w:marLeft w:val="0"/>
      <w:marRight w:val="0"/>
      <w:marTop w:val="0"/>
      <w:marBottom w:val="0"/>
      <w:divBdr>
        <w:top w:val="none" w:sz="0" w:space="0" w:color="auto"/>
        <w:left w:val="none" w:sz="0" w:space="0" w:color="auto"/>
        <w:bottom w:val="none" w:sz="0" w:space="0" w:color="auto"/>
        <w:right w:val="none" w:sz="0" w:space="0" w:color="auto"/>
      </w:divBdr>
    </w:div>
    <w:div w:id="450326993">
      <w:bodyDiv w:val="1"/>
      <w:marLeft w:val="0"/>
      <w:marRight w:val="0"/>
      <w:marTop w:val="0"/>
      <w:marBottom w:val="0"/>
      <w:divBdr>
        <w:top w:val="none" w:sz="0" w:space="0" w:color="auto"/>
        <w:left w:val="none" w:sz="0" w:space="0" w:color="auto"/>
        <w:bottom w:val="none" w:sz="0" w:space="0" w:color="auto"/>
        <w:right w:val="none" w:sz="0" w:space="0" w:color="auto"/>
      </w:divBdr>
    </w:div>
    <w:div w:id="455946608">
      <w:bodyDiv w:val="1"/>
      <w:marLeft w:val="0"/>
      <w:marRight w:val="0"/>
      <w:marTop w:val="0"/>
      <w:marBottom w:val="0"/>
      <w:divBdr>
        <w:top w:val="none" w:sz="0" w:space="0" w:color="auto"/>
        <w:left w:val="none" w:sz="0" w:space="0" w:color="auto"/>
        <w:bottom w:val="none" w:sz="0" w:space="0" w:color="auto"/>
        <w:right w:val="none" w:sz="0" w:space="0" w:color="auto"/>
      </w:divBdr>
    </w:div>
    <w:div w:id="468594423">
      <w:bodyDiv w:val="1"/>
      <w:marLeft w:val="0"/>
      <w:marRight w:val="0"/>
      <w:marTop w:val="0"/>
      <w:marBottom w:val="0"/>
      <w:divBdr>
        <w:top w:val="none" w:sz="0" w:space="0" w:color="auto"/>
        <w:left w:val="none" w:sz="0" w:space="0" w:color="auto"/>
        <w:bottom w:val="none" w:sz="0" w:space="0" w:color="auto"/>
        <w:right w:val="none" w:sz="0" w:space="0" w:color="auto"/>
      </w:divBdr>
    </w:div>
    <w:div w:id="469203488">
      <w:bodyDiv w:val="1"/>
      <w:marLeft w:val="0"/>
      <w:marRight w:val="0"/>
      <w:marTop w:val="0"/>
      <w:marBottom w:val="0"/>
      <w:divBdr>
        <w:top w:val="none" w:sz="0" w:space="0" w:color="auto"/>
        <w:left w:val="none" w:sz="0" w:space="0" w:color="auto"/>
        <w:bottom w:val="none" w:sz="0" w:space="0" w:color="auto"/>
        <w:right w:val="none" w:sz="0" w:space="0" w:color="auto"/>
      </w:divBdr>
    </w:div>
    <w:div w:id="476995428">
      <w:bodyDiv w:val="1"/>
      <w:marLeft w:val="0"/>
      <w:marRight w:val="0"/>
      <w:marTop w:val="0"/>
      <w:marBottom w:val="0"/>
      <w:divBdr>
        <w:top w:val="none" w:sz="0" w:space="0" w:color="auto"/>
        <w:left w:val="none" w:sz="0" w:space="0" w:color="auto"/>
        <w:bottom w:val="none" w:sz="0" w:space="0" w:color="auto"/>
        <w:right w:val="none" w:sz="0" w:space="0" w:color="auto"/>
      </w:divBdr>
    </w:div>
    <w:div w:id="482432254">
      <w:bodyDiv w:val="1"/>
      <w:marLeft w:val="0"/>
      <w:marRight w:val="0"/>
      <w:marTop w:val="0"/>
      <w:marBottom w:val="0"/>
      <w:divBdr>
        <w:top w:val="none" w:sz="0" w:space="0" w:color="auto"/>
        <w:left w:val="none" w:sz="0" w:space="0" w:color="auto"/>
        <w:bottom w:val="none" w:sz="0" w:space="0" w:color="auto"/>
        <w:right w:val="none" w:sz="0" w:space="0" w:color="auto"/>
      </w:divBdr>
    </w:div>
    <w:div w:id="484470675">
      <w:bodyDiv w:val="1"/>
      <w:marLeft w:val="0"/>
      <w:marRight w:val="0"/>
      <w:marTop w:val="0"/>
      <w:marBottom w:val="0"/>
      <w:divBdr>
        <w:top w:val="none" w:sz="0" w:space="0" w:color="auto"/>
        <w:left w:val="none" w:sz="0" w:space="0" w:color="auto"/>
        <w:bottom w:val="none" w:sz="0" w:space="0" w:color="auto"/>
        <w:right w:val="none" w:sz="0" w:space="0" w:color="auto"/>
      </w:divBdr>
    </w:div>
    <w:div w:id="507792648">
      <w:bodyDiv w:val="1"/>
      <w:marLeft w:val="0"/>
      <w:marRight w:val="0"/>
      <w:marTop w:val="0"/>
      <w:marBottom w:val="0"/>
      <w:divBdr>
        <w:top w:val="none" w:sz="0" w:space="0" w:color="auto"/>
        <w:left w:val="none" w:sz="0" w:space="0" w:color="auto"/>
        <w:bottom w:val="none" w:sz="0" w:space="0" w:color="auto"/>
        <w:right w:val="none" w:sz="0" w:space="0" w:color="auto"/>
      </w:divBdr>
    </w:div>
    <w:div w:id="531070695">
      <w:bodyDiv w:val="1"/>
      <w:marLeft w:val="0"/>
      <w:marRight w:val="0"/>
      <w:marTop w:val="0"/>
      <w:marBottom w:val="0"/>
      <w:divBdr>
        <w:top w:val="none" w:sz="0" w:space="0" w:color="auto"/>
        <w:left w:val="none" w:sz="0" w:space="0" w:color="auto"/>
        <w:bottom w:val="none" w:sz="0" w:space="0" w:color="auto"/>
        <w:right w:val="none" w:sz="0" w:space="0" w:color="auto"/>
      </w:divBdr>
    </w:div>
    <w:div w:id="601305160">
      <w:bodyDiv w:val="1"/>
      <w:marLeft w:val="0"/>
      <w:marRight w:val="0"/>
      <w:marTop w:val="0"/>
      <w:marBottom w:val="0"/>
      <w:divBdr>
        <w:top w:val="none" w:sz="0" w:space="0" w:color="auto"/>
        <w:left w:val="none" w:sz="0" w:space="0" w:color="auto"/>
        <w:bottom w:val="none" w:sz="0" w:space="0" w:color="auto"/>
        <w:right w:val="none" w:sz="0" w:space="0" w:color="auto"/>
      </w:divBdr>
    </w:div>
    <w:div w:id="633412197">
      <w:bodyDiv w:val="1"/>
      <w:marLeft w:val="0"/>
      <w:marRight w:val="0"/>
      <w:marTop w:val="0"/>
      <w:marBottom w:val="0"/>
      <w:divBdr>
        <w:top w:val="none" w:sz="0" w:space="0" w:color="auto"/>
        <w:left w:val="none" w:sz="0" w:space="0" w:color="auto"/>
        <w:bottom w:val="none" w:sz="0" w:space="0" w:color="auto"/>
        <w:right w:val="none" w:sz="0" w:space="0" w:color="auto"/>
      </w:divBdr>
    </w:div>
    <w:div w:id="653871737">
      <w:bodyDiv w:val="1"/>
      <w:marLeft w:val="0"/>
      <w:marRight w:val="0"/>
      <w:marTop w:val="0"/>
      <w:marBottom w:val="0"/>
      <w:divBdr>
        <w:top w:val="none" w:sz="0" w:space="0" w:color="auto"/>
        <w:left w:val="none" w:sz="0" w:space="0" w:color="auto"/>
        <w:bottom w:val="none" w:sz="0" w:space="0" w:color="auto"/>
        <w:right w:val="none" w:sz="0" w:space="0" w:color="auto"/>
      </w:divBdr>
    </w:div>
    <w:div w:id="668750113">
      <w:bodyDiv w:val="1"/>
      <w:marLeft w:val="0"/>
      <w:marRight w:val="0"/>
      <w:marTop w:val="0"/>
      <w:marBottom w:val="0"/>
      <w:divBdr>
        <w:top w:val="none" w:sz="0" w:space="0" w:color="auto"/>
        <w:left w:val="none" w:sz="0" w:space="0" w:color="auto"/>
        <w:bottom w:val="none" w:sz="0" w:space="0" w:color="auto"/>
        <w:right w:val="none" w:sz="0" w:space="0" w:color="auto"/>
      </w:divBdr>
    </w:div>
    <w:div w:id="684402890">
      <w:bodyDiv w:val="1"/>
      <w:marLeft w:val="0"/>
      <w:marRight w:val="0"/>
      <w:marTop w:val="0"/>
      <w:marBottom w:val="0"/>
      <w:divBdr>
        <w:top w:val="none" w:sz="0" w:space="0" w:color="auto"/>
        <w:left w:val="none" w:sz="0" w:space="0" w:color="auto"/>
        <w:bottom w:val="none" w:sz="0" w:space="0" w:color="auto"/>
        <w:right w:val="none" w:sz="0" w:space="0" w:color="auto"/>
      </w:divBdr>
    </w:div>
    <w:div w:id="690450780">
      <w:bodyDiv w:val="1"/>
      <w:marLeft w:val="0"/>
      <w:marRight w:val="0"/>
      <w:marTop w:val="0"/>
      <w:marBottom w:val="0"/>
      <w:divBdr>
        <w:top w:val="none" w:sz="0" w:space="0" w:color="auto"/>
        <w:left w:val="none" w:sz="0" w:space="0" w:color="auto"/>
        <w:bottom w:val="none" w:sz="0" w:space="0" w:color="auto"/>
        <w:right w:val="none" w:sz="0" w:space="0" w:color="auto"/>
      </w:divBdr>
    </w:div>
    <w:div w:id="709569966">
      <w:bodyDiv w:val="1"/>
      <w:marLeft w:val="0"/>
      <w:marRight w:val="0"/>
      <w:marTop w:val="0"/>
      <w:marBottom w:val="0"/>
      <w:divBdr>
        <w:top w:val="none" w:sz="0" w:space="0" w:color="auto"/>
        <w:left w:val="none" w:sz="0" w:space="0" w:color="auto"/>
        <w:bottom w:val="none" w:sz="0" w:space="0" w:color="auto"/>
        <w:right w:val="none" w:sz="0" w:space="0" w:color="auto"/>
      </w:divBdr>
    </w:div>
    <w:div w:id="725836537">
      <w:bodyDiv w:val="1"/>
      <w:marLeft w:val="0"/>
      <w:marRight w:val="0"/>
      <w:marTop w:val="0"/>
      <w:marBottom w:val="0"/>
      <w:divBdr>
        <w:top w:val="none" w:sz="0" w:space="0" w:color="auto"/>
        <w:left w:val="none" w:sz="0" w:space="0" w:color="auto"/>
        <w:bottom w:val="none" w:sz="0" w:space="0" w:color="auto"/>
        <w:right w:val="none" w:sz="0" w:space="0" w:color="auto"/>
      </w:divBdr>
    </w:div>
    <w:div w:id="734744600">
      <w:bodyDiv w:val="1"/>
      <w:marLeft w:val="0"/>
      <w:marRight w:val="0"/>
      <w:marTop w:val="0"/>
      <w:marBottom w:val="0"/>
      <w:divBdr>
        <w:top w:val="none" w:sz="0" w:space="0" w:color="auto"/>
        <w:left w:val="none" w:sz="0" w:space="0" w:color="auto"/>
        <w:bottom w:val="none" w:sz="0" w:space="0" w:color="auto"/>
        <w:right w:val="none" w:sz="0" w:space="0" w:color="auto"/>
      </w:divBdr>
    </w:div>
    <w:div w:id="734935978">
      <w:bodyDiv w:val="1"/>
      <w:marLeft w:val="0"/>
      <w:marRight w:val="0"/>
      <w:marTop w:val="0"/>
      <w:marBottom w:val="0"/>
      <w:divBdr>
        <w:top w:val="none" w:sz="0" w:space="0" w:color="auto"/>
        <w:left w:val="none" w:sz="0" w:space="0" w:color="auto"/>
        <w:bottom w:val="none" w:sz="0" w:space="0" w:color="auto"/>
        <w:right w:val="none" w:sz="0" w:space="0" w:color="auto"/>
      </w:divBdr>
    </w:div>
    <w:div w:id="748191260">
      <w:bodyDiv w:val="1"/>
      <w:marLeft w:val="0"/>
      <w:marRight w:val="0"/>
      <w:marTop w:val="0"/>
      <w:marBottom w:val="0"/>
      <w:divBdr>
        <w:top w:val="none" w:sz="0" w:space="0" w:color="auto"/>
        <w:left w:val="none" w:sz="0" w:space="0" w:color="auto"/>
        <w:bottom w:val="none" w:sz="0" w:space="0" w:color="auto"/>
        <w:right w:val="none" w:sz="0" w:space="0" w:color="auto"/>
      </w:divBdr>
    </w:div>
    <w:div w:id="762608165">
      <w:bodyDiv w:val="1"/>
      <w:marLeft w:val="0"/>
      <w:marRight w:val="0"/>
      <w:marTop w:val="0"/>
      <w:marBottom w:val="0"/>
      <w:divBdr>
        <w:top w:val="none" w:sz="0" w:space="0" w:color="auto"/>
        <w:left w:val="none" w:sz="0" w:space="0" w:color="auto"/>
        <w:bottom w:val="none" w:sz="0" w:space="0" w:color="auto"/>
        <w:right w:val="none" w:sz="0" w:space="0" w:color="auto"/>
      </w:divBdr>
    </w:div>
    <w:div w:id="772166578">
      <w:bodyDiv w:val="1"/>
      <w:marLeft w:val="0"/>
      <w:marRight w:val="0"/>
      <w:marTop w:val="0"/>
      <w:marBottom w:val="0"/>
      <w:divBdr>
        <w:top w:val="none" w:sz="0" w:space="0" w:color="auto"/>
        <w:left w:val="none" w:sz="0" w:space="0" w:color="auto"/>
        <w:bottom w:val="none" w:sz="0" w:space="0" w:color="auto"/>
        <w:right w:val="none" w:sz="0" w:space="0" w:color="auto"/>
      </w:divBdr>
    </w:div>
    <w:div w:id="773676185">
      <w:bodyDiv w:val="1"/>
      <w:marLeft w:val="0"/>
      <w:marRight w:val="0"/>
      <w:marTop w:val="0"/>
      <w:marBottom w:val="0"/>
      <w:divBdr>
        <w:top w:val="none" w:sz="0" w:space="0" w:color="auto"/>
        <w:left w:val="none" w:sz="0" w:space="0" w:color="auto"/>
        <w:bottom w:val="none" w:sz="0" w:space="0" w:color="auto"/>
        <w:right w:val="none" w:sz="0" w:space="0" w:color="auto"/>
      </w:divBdr>
    </w:div>
    <w:div w:id="794255514">
      <w:bodyDiv w:val="1"/>
      <w:marLeft w:val="0"/>
      <w:marRight w:val="0"/>
      <w:marTop w:val="0"/>
      <w:marBottom w:val="0"/>
      <w:divBdr>
        <w:top w:val="none" w:sz="0" w:space="0" w:color="auto"/>
        <w:left w:val="none" w:sz="0" w:space="0" w:color="auto"/>
        <w:bottom w:val="none" w:sz="0" w:space="0" w:color="auto"/>
        <w:right w:val="none" w:sz="0" w:space="0" w:color="auto"/>
      </w:divBdr>
    </w:div>
    <w:div w:id="800802944">
      <w:bodyDiv w:val="1"/>
      <w:marLeft w:val="0"/>
      <w:marRight w:val="0"/>
      <w:marTop w:val="0"/>
      <w:marBottom w:val="0"/>
      <w:divBdr>
        <w:top w:val="none" w:sz="0" w:space="0" w:color="auto"/>
        <w:left w:val="none" w:sz="0" w:space="0" w:color="auto"/>
        <w:bottom w:val="none" w:sz="0" w:space="0" w:color="auto"/>
        <w:right w:val="none" w:sz="0" w:space="0" w:color="auto"/>
      </w:divBdr>
    </w:div>
    <w:div w:id="819346480">
      <w:bodyDiv w:val="1"/>
      <w:marLeft w:val="0"/>
      <w:marRight w:val="0"/>
      <w:marTop w:val="0"/>
      <w:marBottom w:val="0"/>
      <w:divBdr>
        <w:top w:val="none" w:sz="0" w:space="0" w:color="auto"/>
        <w:left w:val="none" w:sz="0" w:space="0" w:color="auto"/>
        <w:bottom w:val="none" w:sz="0" w:space="0" w:color="auto"/>
        <w:right w:val="none" w:sz="0" w:space="0" w:color="auto"/>
      </w:divBdr>
    </w:div>
    <w:div w:id="823395924">
      <w:bodyDiv w:val="1"/>
      <w:marLeft w:val="0"/>
      <w:marRight w:val="0"/>
      <w:marTop w:val="0"/>
      <w:marBottom w:val="0"/>
      <w:divBdr>
        <w:top w:val="none" w:sz="0" w:space="0" w:color="auto"/>
        <w:left w:val="none" w:sz="0" w:space="0" w:color="auto"/>
        <w:bottom w:val="none" w:sz="0" w:space="0" w:color="auto"/>
        <w:right w:val="none" w:sz="0" w:space="0" w:color="auto"/>
      </w:divBdr>
    </w:div>
    <w:div w:id="846335549">
      <w:bodyDiv w:val="1"/>
      <w:marLeft w:val="0"/>
      <w:marRight w:val="0"/>
      <w:marTop w:val="0"/>
      <w:marBottom w:val="0"/>
      <w:divBdr>
        <w:top w:val="none" w:sz="0" w:space="0" w:color="auto"/>
        <w:left w:val="none" w:sz="0" w:space="0" w:color="auto"/>
        <w:bottom w:val="none" w:sz="0" w:space="0" w:color="auto"/>
        <w:right w:val="none" w:sz="0" w:space="0" w:color="auto"/>
      </w:divBdr>
    </w:div>
    <w:div w:id="887494511">
      <w:bodyDiv w:val="1"/>
      <w:marLeft w:val="0"/>
      <w:marRight w:val="0"/>
      <w:marTop w:val="0"/>
      <w:marBottom w:val="0"/>
      <w:divBdr>
        <w:top w:val="none" w:sz="0" w:space="0" w:color="auto"/>
        <w:left w:val="none" w:sz="0" w:space="0" w:color="auto"/>
        <w:bottom w:val="none" w:sz="0" w:space="0" w:color="auto"/>
        <w:right w:val="none" w:sz="0" w:space="0" w:color="auto"/>
      </w:divBdr>
    </w:div>
    <w:div w:id="908731849">
      <w:bodyDiv w:val="1"/>
      <w:marLeft w:val="0"/>
      <w:marRight w:val="0"/>
      <w:marTop w:val="0"/>
      <w:marBottom w:val="0"/>
      <w:divBdr>
        <w:top w:val="none" w:sz="0" w:space="0" w:color="auto"/>
        <w:left w:val="none" w:sz="0" w:space="0" w:color="auto"/>
        <w:bottom w:val="none" w:sz="0" w:space="0" w:color="auto"/>
        <w:right w:val="none" w:sz="0" w:space="0" w:color="auto"/>
      </w:divBdr>
    </w:div>
    <w:div w:id="917442340">
      <w:bodyDiv w:val="1"/>
      <w:marLeft w:val="0"/>
      <w:marRight w:val="0"/>
      <w:marTop w:val="0"/>
      <w:marBottom w:val="0"/>
      <w:divBdr>
        <w:top w:val="none" w:sz="0" w:space="0" w:color="auto"/>
        <w:left w:val="none" w:sz="0" w:space="0" w:color="auto"/>
        <w:bottom w:val="none" w:sz="0" w:space="0" w:color="auto"/>
        <w:right w:val="none" w:sz="0" w:space="0" w:color="auto"/>
      </w:divBdr>
    </w:div>
    <w:div w:id="947814315">
      <w:bodyDiv w:val="1"/>
      <w:marLeft w:val="0"/>
      <w:marRight w:val="0"/>
      <w:marTop w:val="0"/>
      <w:marBottom w:val="0"/>
      <w:divBdr>
        <w:top w:val="none" w:sz="0" w:space="0" w:color="auto"/>
        <w:left w:val="none" w:sz="0" w:space="0" w:color="auto"/>
        <w:bottom w:val="none" w:sz="0" w:space="0" w:color="auto"/>
        <w:right w:val="none" w:sz="0" w:space="0" w:color="auto"/>
      </w:divBdr>
    </w:div>
    <w:div w:id="950665414">
      <w:bodyDiv w:val="1"/>
      <w:marLeft w:val="0"/>
      <w:marRight w:val="0"/>
      <w:marTop w:val="0"/>
      <w:marBottom w:val="0"/>
      <w:divBdr>
        <w:top w:val="none" w:sz="0" w:space="0" w:color="auto"/>
        <w:left w:val="none" w:sz="0" w:space="0" w:color="auto"/>
        <w:bottom w:val="none" w:sz="0" w:space="0" w:color="auto"/>
        <w:right w:val="none" w:sz="0" w:space="0" w:color="auto"/>
      </w:divBdr>
    </w:div>
    <w:div w:id="954486098">
      <w:bodyDiv w:val="1"/>
      <w:marLeft w:val="0"/>
      <w:marRight w:val="0"/>
      <w:marTop w:val="0"/>
      <w:marBottom w:val="0"/>
      <w:divBdr>
        <w:top w:val="none" w:sz="0" w:space="0" w:color="auto"/>
        <w:left w:val="none" w:sz="0" w:space="0" w:color="auto"/>
        <w:bottom w:val="none" w:sz="0" w:space="0" w:color="auto"/>
        <w:right w:val="none" w:sz="0" w:space="0" w:color="auto"/>
      </w:divBdr>
    </w:div>
    <w:div w:id="978650284">
      <w:bodyDiv w:val="1"/>
      <w:marLeft w:val="0"/>
      <w:marRight w:val="0"/>
      <w:marTop w:val="0"/>
      <w:marBottom w:val="0"/>
      <w:divBdr>
        <w:top w:val="none" w:sz="0" w:space="0" w:color="auto"/>
        <w:left w:val="none" w:sz="0" w:space="0" w:color="auto"/>
        <w:bottom w:val="none" w:sz="0" w:space="0" w:color="auto"/>
        <w:right w:val="none" w:sz="0" w:space="0" w:color="auto"/>
      </w:divBdr>
    </w:div>
    <w:div w:id="1012756019">
      <w:bodyDiv w:val="1"/>
      <w:marLeft w:val="0"/>
      <w:marRight w:val="0"/>
      <w:marTop w:val="0"/>
      <w:marBottom w:val="0"/>
      <w:divBdr>
        <w:top w:val="none" w:sz="0" w:space="0" w:color="auto"/>
        <w:left w:val="none" w:sz="0" w:space="0" w:color="auto"/>
        <w:bottom w:val="none" w:sz="0" w:space="0" w:color="auto"/>
        <w:right w:val="none" w:sz="0" w:space="0" w:color="auto"/>
      </w:divBdr>
    </w:div>
    <w:div w:id="1027293344">
      <w:bodyDiv w:val="1"/>
      <w:marLeft w:val="0"/>
      <w:marRight w:val="0"/>
      <w:marTop w:val="0"/>
      <w:marBottom w:val="0"/>
      <w:divBdr>
        <w:top w:val="none" w:sz="0" w:space="0" w:color="auto"/>
        <w:left w:val="none" w:sz="0" w:space="0" w:color="auto"/>
        <w:bottom w:val="none" w:sz="0" w:space="0" w:color="auto"/>
        <w:right w:val="none" w:sz="0" w:space="0" w:color="auto"/>
      </w:divBdr>
    </w:div>
    <w:div w:id="1050225288">
      <w:bodyDiv w:val="1"/>
      <w:marLeft w:val="0"/>
      <w:marRight w:val="0"/>
      <w:marTop w:val="0"/>
      <w:marBottom w:val="0"/>
      <w:divBdr>
        <w:top w:val="none" w:sz="0" w:space="0" w:color="auto"/>
        <w:left w:val="none" w:sz="0" w:space="0" w:color="auto"/>
        <w:bottom w:val="none" w:sz="0" w:space="0" w:color="auto"/>
        <w:right w:val="none" w:sz="0" w:space="0" w:color="auto"/>
      </w:divBdr>
    </w:div>
    <w:div w:id="1093747363">
      <w:bodyDiv w:val="1"/>
      <w:marLeft w:val="0"/>
      <w:marRight w:val="0"/>
      <w:marTop w:val="0"/>
      <w:marBottom w:val="0"/>
      <w:divBdr>
        <w:top w:val="none" w:sz="0" w:space="0" w:color="auto"/>
        <w:left w:val="none" w:sz="0" w:space="0" w:color="auto"/>
        <w:bottom w:val="none" w:sz="0" w:space="0" w:color="auto"/>
        <w:right w:val="none" w:sz="0" w:space="0" w:color="auto"/>
      </w:divBdr>
    </w:div>
    <w:div w:id="1125588121">
      <w:bodyDiv w:val="1"/>
      <w:marLeft w:val="0"/>
      <w:marRight w:val="0"/>
      <w:marTop w:val="0"/>
      <w:marBottom w:val="0"/>
      <w:divBdr>
        <w:top w:val="none" w:sz="0" w:space="0" w:color="auto"/>
        <w:left w:val="none" w:sz="0" w:space="0" w:color="auto"/>
        <w:bottom w:val="none" w:sz="0" w:space="0" w:color="auto"/>
        <w:right w:val="none" w:sz="0" w:space="0" w:color="auto"/>
      </w:divBdr>
    </w:div>
    <w:div w:id="1132484784">
      <w:bodyDiv w:val="1"/>
      <w:marLeft w:val="0"/>
      <w:marRight w:val="0"/>
      <w:marTop w:val="0"/>
      <w:marBottom w:val="0"/>
      <w:divBdr>
        <w:top w:val="none" w:sz="0" w:space="0" w:color="auto"/>
        <w:left w:val="none" w:sz="0" w:space="0" w:color="auto"/>
        <w:bottom w:val="none" w:sz="0" w:space="0" w:color="auto"/>
        <w:right w:val="none" w:sz="0" w:space="0" w:color="auto"/>
      </w:divBdr>
    </w:div>
    <w:div w:id="1164778322">
      <w:bodyDiv w:val="1"/>
      <w:marLeft w:val="0"/>
      <w:marRight w:val="0"/>
      <w:marTop w:val="0"/>
      <w:marBottom w:val="0"/>
      <w:divBdr>
        <w:top w:val="none" w:sz="0" w:space="0" w:color="auto"/>
        <w:left w:val="none" w:sz="0" w:space="0" w:color="auto"/>
        <w:bottom w:val="none" w:sz="0" w:space="0" w:color="auto"/>
        <w:right w:val="none" w:sz="0" w:space="0" w:color="auto"/>
      </w:divBdr>
    </w:div>
    <w:div w:id="1215386635">
      <w:bodyDiv w:val="1"/>
      <w:marLeft w:val="0"/>
      <w:marRight w:val="0"/>
      <w:marTop w:val="0"/>
      <w:marBottom w:val="0"/>
      <w:divBdr>
        <w:top w:val="none" w:sz="0" w:space="0" w:color="auto"/>
        <w:left w:val="none" w:sz="0" w:space="0" w:color="auto"/>
        <w:bottom w:val="none" w:sz="0" w:space="0" w:color="auto"/>
        <w:right w:val="none" w:sz="0" w:space="0" w:color="auto"/>
      </w:divBdr>
    </w:div>
    <w:div w:id="1224173532">
      <w:bodyDiv w:val="1"/>
      <w:marLeft w:val="0"/>
      <w:marRight w:val="0"/>
      <w:marTop w:val="0"/>
      <w:marBottom w:val="0"/>
      <w:divBdr>
        <w:top w:val="none" w:sz="0" w:space="0" w:color="auto"/>
        <w:left w:val="none" w:sz="0" w:space="0" w:color="auto"/>
        <w:bottom w:val="none" w:sz="0" w:space="0" w:color="auto"/>
        <w:right w:val="none" w:sz="0" w:space="0" w:color="auto"/>
      </w:divBdr>
    </w:div>
    <w:div w:id="1237479131">
      <w:bodyDiv w:val="1"/>
      <w:marLeft w:val="0"/>
      <w:marRight w:val="0"/>
      <w:marTop w:val="0"/>
      <w:marBottom w:val="0"/>
      <w:divBdr>
        <w:top w:val="none" w:sz="0" w:space="0" w:color="auto"/>
        <w:left w:val="none" w:sz="0" w:space="0" w:color="auto"/>
        <w:bottom w:val="none" w:sz="0" w:space="0" w:color="auto"/>
        <w:right w:val="none" w:sz="0" w:space="0" w:color="auto"/>
      </w:divBdr>
    </w:div>
    <w:div w:id="1245726068">
      <w:bodyDiv w:val="1"/>
      <w:marLeft w:val="0"/>
      <w:marRight w:val="0"/>
      <w:marTop w:val="0"/>
      <w:marBottom w:val="0"/>
      <w:divBdr>
        <w:top w:val="none" w:sz="0" w:space="0" w:color="auto"/>
        <w:left w:val="none" w:sz="0" w:space="0" w:color="auto"/>
        <w:bottom w:val="none" w:sz="0" w:space="0" w:color="auto"/>
        <w:right w:val="none" w:sz="0" w:space="0" w:color="auto"/>
      </w:divBdr>
    </w:div>
    <w:div w:id="1258826629">
      <w:bodyDiv w:val="1"/>
      <w:marLeft w:val="0"/>
      <w:marRight w:val="0"/>
      <w:marTop w:val="0"/>
      <w:marBottom w:val="0"/>
      <w:divBdr>
        <w:top w:val="none" w:sz="0" w:space="0" w:color="auto"/>
        <w:left w:val="none" w:sz="0" w:space="0" w:color="auto"/>
        <w:bottom w:val="none" w:sz="0" w:space="0" w:color="auto"/>
        <w:right w:val="none" w:sz="0" w:space="0" w:color="auto"/>
      </w:divBdr>
    </w:div>
    <w:div w:id="1262881380">
      <w:bodyDiv w:val="1"/>
      <w:marLeft w:val="0"/>
      <w:marRight w:val="0"/>
      <w:marTop w:val="0"/>
      <w:marBottom w:val="0"/>
      <w:divBdr>
        <w:top w:val="none" w:sz="0" w:space="0" w:color="auto"/>
        <w:left w:val="none" w:sz="0" w:space="0" w:color="auto"/>
        <w:bottom w:val="none" w:sz="0" w:space="0" w:color="auto"/>
        <w:right w:val="none" w:sz="0" w:space="0" w:color="auto"/>
      </w:divBdr>
    </w:div>
    <w:div w:id="1311254402">
      <w:bodyDiv w:val="1"/>
      <w:marLeft w:val="0"/>
      <w:marRight w:val="0"/>
      <w:marTop w:val="0"/>
      <w:marBottom w:val="0"/>
      <w:divBdr>
        <w:top w:val="none" w:sz="0" w:space="0" w:color="auto"/>
        <w:left w:val="none" w:sz="0" w:space="0" w:color="auto"/>
        <w:bottom w:val="none" w:sz="0" w:space="0" w:color="auto"/>
        <w:right w:val="none" w:sz="0" w:space="0" w:color="auto"/>
      </w:divBdr>
    </w:div>
    <w:div w:id="1337879940">
      <w:bodyDiv w:val="1"/>
      <w:marLeft w:val="0"/>
      <w:marRight w:val="0"/>
      <w:marTop w:val="0"/>
      <w:marBottom w:val="0"/>
      <w:divBdr>
        <w:top w:val="none" w:sz="0" w:space="0" w:color="auto"/>
        <w:left w:val="none" w:sz="0" w:space="0" w:color="auto"/>
        <w:bottom w:val="none" w:sz="0" w:space="0" w:color="auto"/>
        <w:right w:val="none" w:sz="0" w:space="0" w:color="auto"/>
      </w:divBdr>
    </w:div>
    <w:div w:id="1355692203">
      <w:bodyDiv w:val="1"/>
      <w:marLeft w:val="0"/>
      <w:marRight w:val="0"/>
      <w:marTop w:val="0"/>
      <w:marBottom w:val="0"/>
      <w:divBdr>
        <w:top w:val="none" w:sz="0" w:space="0" w:color="auto"/>
        <w:left w:val="none" w:sz="0" w:space="0" w:color="auto"/>
        <w:bottom w:val="none" w:sz="0" w:space="0" w:color="auto"/>
        <w:right w:val="none" w:sz="0" w:space="0" w:color="auto"/>
      </w:divBdr>
    </w:div>
    <w:div w:id="1359235874">
      <w:bodyDiv w:val="1"/>
      <w:marLeft w:val="0"/>
      <w:marRight w:val="0"/>
      <w:marTop w:val="0"/>
      <w:marBottom w:val="0"/>
      <w:divBdr>
        <w:top w:val="none" w:sz="0" w:space="0" w:color="auto"/>
        <w:left w:val="none" w:sz="0" w:space="0" w:color="auto"/>
        <w:bottom w:val="none" w:sz="0" w:space="0" w:color="auto"/>
        <w:right w:val="none" w:sz="0" w:space="0" w:color="auto"/>
      </w:divBdr>
    </w:div>
    <w:div w:id="1365405481">
      <w:bodyDiv w:val="1"/>
      <w:marLeft w:val="0"/>
      <w:marRight w:val="0"/>
      <w:marTop w:val="0"/>
      <w:marBottom w:val="0"/>
      <w:divBdr>
        <w:top w:val="none" w:sz="0" w:space="0" w:color="auto"/>
        <w:left w:val="none" w:sz="0" w:space="0" w:color="auto"/>
        <w:bottom w:val="none" w:sz="0" w:space="0" w:color="auto"/>
        <w:right w:val="none" w:sz="0" w:space="0" w:color="auto"/>
      </w:divBdr>
    </w:div>
    <w:div w:id="1375155553">
      <w:bodyDiv w:val="1"/>
      <w:marLeft w:val="0"/>
      <w:marRight w:val="0"/>
      <w:marTop w:val="0"/>
      <w:marBottom w:val="0"/>
      <w:divBdr>
        <w:top w:val="none" w:sz="0" w:space="0" w:color="auto"/>
        <w:left w:val="none" w:sz="0" w:space="0" w:color="auto"/>
        <w:bottom w:val="none" w:sz="0" w:space="0" w:color="auto"/>
        <w:right w:val="none" w:sz="0" w:space="0" w:color="auto"/>
      </w:divBdr>
    </w:div>
    <w:div w:id="1378628792">
      <w:bodyDiv w:val="1"/>
      <w:marLeft w:val="0"/>
      <w:marRight w:val="0"/>
      <w:marTop w:val="0"/>
      <w:marBottom w:val="0"/>
      <w:divBdr>
        <w:top w:val="none" w:sz="0" w:space="0" w:color="auto"/>
        <w:left w:val="none" w:sz="0" w:space="0" w:color="auto"/>
        <w:bottom w:val="none" w:sz="0" w:space="0" w:color="auto"/>
        <w:right w:val="none" w:sz="0" w:space="0" w:color="auto"/>
      </w:divBdr>
    </w:div>
    <w:div w:id="1379814474">
      <w:bodyDiv w:val="1"/>
      <w:marLeft w:val="0"/>
      <w:marRight w:val="0"/>
      <w:marTop w:val="0"/>
      <w:marBottom w:val="0"/>
      <w:divBdr>
        <w:top w:val="none" w:sz="0" w:space="0" w:color="auto"/>
        <w:left w:val="none" w:sz="0" w:space="0" w:color="auto"/>
        <w:bottom w:val="none" w:sz="0" w:space="0" w:color="auto"/>
        <w:right w:val="none" w:sz="0" w:space="0" w:color="auto"/>
      </w:divBdr>
    </w:div>
    <w:div w:id="1402678976">
      <w:bodyDiv w:val="1"/>
      <w:marLeft w:val="0"/>
      <w:marRight w:val="0"/>
      <w:marTop w:val="0"/>
      <w:marBottom w:val="0"/>
      <w:divBdr>
        <w:top w:val="none" w:sz="0" w:space="0" w:color="auto"/>
        <w:left w:val="none" w:sz="0" w:space="0" w:color="auto"/>
        <w:bottom w:val="none" w:sz="0" w:space="0" w:color="auto"/>
        <w:right w:val="none" w:sz="0" w:space="0" w:color="auto"/>
      </w:divBdr>
    </w:div>
    <w:div w:id="1419013857">
      <w:bodyDiv w:val="1"/>
      <w:marLeft w:val="0"/>
      <w:marRight w:val="0"/>
      <w:marTop w:val="0"/>
      <w:marBottom w:val="0"/>
      <w:divBdr>
        <w:top w:val="none" w:sz="0" w:space="0" w:color="auto"/>
        <w:left w:val="none" w:sz="0" w:space="0" w:color="auto"/>
        <w:bottom w:val="none" w:sz="0" w:space="0" w:color="auto"/>
        <w:right w:val="none" w:sz="0" w:space="0" w:color="auto"/>
      </w:divBdr>
    </w:div>
    <w:div w:id="1422990422">
      <w:bodyDiv w:val="1"/>
      <w:marLeft w:val="0"/>
      <w:marRight w:val="0"/>
      <w:marTop w:val="0"/>
      <w:marBottom w:val="0"/>
      <w:divBdr>
        <w:top w:val="none" w:sz="0" w:space="0" w:color="auto"/>
        <w:left w:val="none" w:sz="0" w:space="0" w:color="auto"/>
        <w:bottom w:val="none" w:sz="0" w:space="0" w:color="auto"/>
        <w:right w:val="none" w:sz="0" w:space="0" w:color="auto"/>
      </w:divBdr>
    </w:div>
    <w:div w:id="1461268634">
      <w:bodyDiv w:val="1"/>
      <w:marLeft w:val="0"/>
      <w:marRight w:val="0"/>
      <w:marTop w:val="0"/>
      <w:marBottom w:val="0"/>
      <w:divBdr>
        <w:top w:val="none" w:sz="0" w:space="0" w:color="auto"/>
        <w:left w:val="none" w:sz="0" w:space="0" w:color="auto"/>
        <w:bottom w:val="none" w:sz="0" w:space="0" w:color="auto"/>
        <w:right w:val="none" w:sz="0" w:space="0" w:color="auto"/>
      </w:divBdr>
    </w:div>
    <w:div w:id="1474248631">
      <w:bodyDiv w:val="1"/>
      <w:marLeft w:val="0"/>
      <w:marRight w:val="0"/>
      <w:marTop w:val="0"/>
      <w:marBottom w:val="0"/>
      <w:divBdr>
        <w:top w:val="none" w:sz="0" w:space="0" w:color="auto"/>
        <w:left w:val="none" w:sz="0" w:space="0" w:color="auto"/>
        <w:bottom w:val="none" w:sz="0" w:space="0" w:color="auto"/>
        <w:right w:val="none" w:sz="0" w:space="0" w:color="auto"/>
      </w:divBdr>
    </w:div>
    <w:div w:id="1528133906">
      <w:bodyDiv w:val="1"/>
      <w:marLeft w:val="0"/>
      <w:marRight w:val="0"/>
      <w:marTop w:val="0"/>
      <w:marBottom w:val="0"/>
      <w:divBdr>
        <w:top w:val="none" w:sz="0" w:space="0" w:color="auto"/>
        <w:left w:val="none" w:sz="0" w:space="0" w:color="auto"/>
        <w:bottom w:val="none" w:sz="0" w:space="0" w:color="auto"/>
        <w:right w:val="none" w:sz="0" w:space="0" w:color="auto"/>
      </w:divBdr>
    </w:div>
    <w:div w:id="1537348520">
      <w:bodyDiv w:val="1"/>
      <w:marLeft w:val="0"/>
      <w:marRight w:val="0"/>
      <w:marTop w:val="0"/>
      <w:marBottom w:val="0"/>
      <w:divBdr>
        <w:top w:val="none" w:sz="0" w:space="0" w:color="auto"/>
        <w:left w:val="none" w:sz="0" w:space="0" w:color="auto"/>
        <w:bottom w:val="none" w:sz="0" w:space="0" w:color="auto"/>
        <w:right w:val="none" w:sz="0" w:space="0" w:color="auto"/>
      </w:divBdr>
    </w:div>
    <w:div w:id="1552108844">
      <w:bodyDiv w:val="1"/>
      <w:marLeft w:val="0"/>
      <w:marRight w:val="0"/>
      <w:marTop w:val="0"/>
      <w:marBottom w:val="0"/>
      <w:divBdr>
        <w:top w:val="none" w:sz="0" w:space="0" w:color="auto"/>
        <w:left w:val="none" w:sz="0" w:space="0" w:color="auto"/>
        <w:bottom w:val="none" w:sz="0" w:space="0" w:color="auto"/>
        <w:right w:val="none" w:sz="0" w:space="0" w:color="auto"/>
      </w:divBdr>
    </w:div>
    <w:div w:id="1562905392">
      <w:bodyDiv w:val="1"/>
      <w:marLeft w:val="0"/>
      <w:marRight w:val="0"/>
      <w:marTop w:val="0"/>
      <w:marBottom w:val="0"/>
      <w:divBdr>
        <w:top w:val="none" w:sz="0" w:space="0" w:color="auto"/>
        <w:left w:val="none" w:sz="0" w:space="0" w:color="auto"/>
        <w:bottom w:val="none" w:sz="0" w:space="0" w:color="auto"/>
        <w:right w:val="none" w:sz="0" w:space="0" w:color="auto"/>
      </w:divBdr>
    </w:div>
    <w:div w:id="1579167619">
      <w:bodyDiv w:val="1"/>
      <w:marLeft w:val="0"/>
      <w:marRight w:val="0"/>
      <w:marTop w:val="0"/>
      <w:marBottom w:val="0"/>
      <w:divBdr>
        <w:top w:val="none" w:sz="0" w:space="0" w:color="auto"/>
        <w:left w:val="none" w:sz="0" w:space="0" w:color="auto"/>
        <w:bottom w:val="none" w:sz="0" w:space="0" w:color="auto"/>
        <w:right w:val="none" w:sz="0" w:space="0" w:color="auto"/>
      </w:divBdr>
    </w:div>
    <w:div w:id="1598827435">
      <w:bodyDiv w:val="1"/>
      <w:marLeft w:val="0"/>
      <w:marRight w:val="0"/>
      <w:marTop w:val="0"/>
      <w:marBottom w:val="0"/>
      <w:divBdr>
        <w:top w:val="none" w:sz="0" w:space="0" w:color="auto"/>
        <w:left w:val="none" w:sz="0" w:space="0" w:color="auto"/>
        <w:bottom w:val="none" w:sz="0" w:space="0" w:color="auto"/>
        <w:right w:val="none" w:sz="0" w:space="0" w:color="auto"/>
      </w:divBdr>
    </w:div>
    <w:div w:id="1602297113">
      <w:bodyDiv w:val="1"/>
      <w:marLeft w:val="0"/>
      <w:marRight w:val="0"/>
      <w:marTop w:val="0"/>
      <w:marBottom w:val="0"/>
      <w:divBdr>
        <w:top w:val="none" w:sz="0" w:space="0" w:color="auto"/>
        <w:left w:val="none" w:sz="0" w:space="0" w:color="auto"/>
        <w:bottom w:val="none" w:sz="0" w:space="0" w:color="auto"/>
        <w:right w:val="none" w:sz="0" w:space="0" w:color="auto"/>
      </w:divBdr>
    </w:div>
    <w:div w:id="1618221101">
      <w:bodyDiv w:val="1"/>
      <w:marLeft w:val="0"/>
      <w:marRight w:val="0"/>
      <w:marTop w:val="0"/>
      <w:marBottom w:val="0"/>
      <w:divBdr>
        <w:top w:val="none" w:sz="0" w:space="0" w:color="auto"/>
        <w:left w:val="none" w:sz="0" w:space="0" w:color="auto"/>
        <w:bottom w:val="none" w:sz="0" w:space="0" w:color="auto"/>
        <w:right w:val="none" w:sz="0" w:space="0" w:color="auto"/>
      </w:divBdr>
    </w:div>
    <w:div w:id="1628975422">
      <w:bodyDiv w:val="1"/>
      <w:marLeft w:val="0"/>
      <w:marRight w:val="0"/>
      <w:marTop w:val="0"/>
      <w:marBottom w:val="0"/>
      <w:divBdr>
        <w:top w:val="none" w:sz="0" w:space="0" w:color="auto"/>
        <w:left w:val="none" w:sz="0" w:space="0" w:color="auto"/>
        <w:bottom w:val="none" w:sz="0" w:space="0" w:color="auto"/>
        <w:right w:val="none" w:sz="0" w:space="0" w:color="auto"/>
      </w:divBdr>
    </w:div>
    <w:div w:id="1638687176">
      <w:bodyDiv w:val="1"/>
      <w:marLeft w:val="0"/>
      <w:marRight w:val="0"/>
      <w:marTop w:val="0"/>
      <w:marBottom w:val="0"/>
      <w:divBdr>
        <w:top w:val="none" w:sz="0" w:space="0" w:color="auto"/>
        <w:left w:val="none" w:sz="0" w:space="0" w:color="auto"/>
        <w:bottom w:val="none" w:sz="0" w:space="0" w:color="auto"/>
        <w:right w:val="none" w:sz="0" w:space="0" w:color="auto"/>
      </w:divBdr>
    </w:div>
    <w:div w:id="1659381289">
      <w:bodyDiv w:val="1"/>
      <w:marLeft w:val="0"/>
      <w:marRight w:val="0"/>
      <w:marTop w:val="0"/>
      <w:marBottom w:val="0"/>
      <w:divBdr>
        <w:top w:val="none" w:sz="0" w:space="0" w:color="auto"/>
        <w:left w:val="none" w:sz="0" w:space="0" w:color="auto"/>
        <w:bottom w:val="none" w:sz="0" w:space="0" w:color="auto"/>
        <w:right w:val="none" w:sz="0" w:space="0" w:color="auto"/>
      </w:divBdr>
    </w:div>
    <w:div w:id="1668366736">
      <w:bodyDiv w:val="1"/>
      <w:marLeft w:val="0"/>
      <w:marRight w:val="0"/>
      <w:marTop w:val="0"/>
      <w:marBottom w:val="0"/>
      <w:divBdr>
        <w:top w:val="none" w:sz="0" w:space="0" w:color="auto"/>
        <w:left w:val="none" w:sz="0" w:space="0" w:color="auto"/>
        <w:bottom w:val="none" w:sz="0" w:space="0" w:color="auto"/>
        <w:right w:val="none" w:sz="0" w:space="0" w:color="auto"/>
      </w:divBdr>
    </w:div>
    <w:div w:id="1670139726">
      <w:bodyDiv w:val="1"/>
      <w:marLeft w:val="0"/>
      <w:marRight w:val="0"/>
      <w:marTop w:val="0"/>
      <w:marBottom w:val="0"/>
      <w:divBdr>
        <w:top w:val="none" w:sz="0" w:space="0" w:color="auto"/>
        <w:left w:val="none" w:sz="0" w:space="0" w:color="auto"/>
        <w:bottom w:val="none" w:sz="0" w:space="0" w:color="auto"/>
        <w:right w:val="none" w:sz="0" w:space="0" w:color="auto"/>
      </w:divBdr>
    </w:div>
    <w:div w:id="1707833251">
      <w:bodyDiv w:val="1"/>
      <w:marLeft w:val="0"/>
      <w:marRight w:val="0"/>
      <w:marTop w:val="0"/>
      <w:marBottom w:val="0"/>
      <w:divBdr>
        <w:top w:val="none" w:sz="0" w:space="0" w:color="auto"/>
        <w:left w:val="none" w:sz="0" w:space="0" w:color="auto"/>
        <w:bottom w:val="none" w:sz="0" w:space="0" w:color="auto"/>
        <w:right w:val="none" w:sz="0" w:space="0" w:color="auto"/>
      </w:divBdr>
    </w:div>
    <w:div w:id="1722172818">
      <w:bodyDiv w:val="1"/>
      <w:marLeft w:val="0"/>
      <w:marRight w:val="0"/>
      <w:marTop w:val="0"/>
      <w:marBottom w:val="0"/>
      <w:divBdr>
        <w:top w:val="none" w:sz="0" w:space="0" w:color="auto"/>
        <w:left w:val="none" w:sz="0" w:space="0" w:color="auto"/>
        <w:bottom w:val="none" w:sz="0" w:space="0" w:color="auto"/>
        <w:right w:val="none" w:sz="0" w:space="0" w:color="auto"/>
      </w:divBdr>
    </w:div>
    <w:div w:id="1728794804">
      <w:bodyDiv w:val="1"/>
      <w:marLeft w:val="0"/>
      <w:marRight w:val="0"/>
      <w:marTop w:val="0"/>
      <w:marBottom w:val="0"/>
      <w:divBdr>
        <w:top w:val="none" w:sz="0" w:space="0" w:color="auto"/>
        <w:left w:val="none" w:sz="0" w:space="0" w:color="auto"/>
        <w:bottom w:val="none" w:sz="0" w:space="0" w:color="auto"/>
        <w:right w:val="none" w:sz="0" w:space="0" w:color="auto"/>
      </w:divBdr>
    </w:div>
    <w:div w:id="1731880982">
      <w:bodyDiv w:val="1"/>
      <w:marLeft w:val="0"/>
      <w:marRight w:val="0"/>
      <w:marTop w:val="0"/>
      <w:marBottom w:val="0"/>
      <w:divBdr>
        <w:top w:val="none" w:sz="0" w:space="0" w:color="auto"/>
        <w:left w:val="none" w:sz="0" w:space="0" w:color="auto"/>
        <w:bottom w:val="none" w:sz="0" w:space="0" w:color="auto"/>
        <w:right w:val="none" w:sz="0" w:space="0" w:color="auto"/>
      </w:divBdr>
    </w:div>
    <w:div w:id="1763721634">
      <w:bodyDiv w:val="1"/>
      <w:marLeft w:val="0"/>
      <w:marRight w:val="0"/>
      <w:marTop w:val="0"/>
      <w:marBottom w:val="0"/>
      <w:divBdr>
        <w:top w:val="none" w:sz="0" w:space="0" w:color="auto"/>
        <w:left w:val="none" w:sz="0" w:space="0" w:color="auto"/>
        <w:bottom w:val="none" w:sz="0" w:space="0" w:color="auto"/>
        <w:right w:val="none" w:sz="0" w:space="0" w:color="auto"/>
      </w:divBdr>
    </w:div>
    <w:div w:id="1765421548">
      <w:bodyDiv w:val="1"/>
      <w:marLeft w:val="0"/>
      <w:marRight w:val="0"/>
      <w:marTop w:val="0"/>
      <w:marBottom w:val="0"/>
      <w:divBdr>
        <w:top w:val="none" w:sz="0" w:space="0" w:color="auto"/>
        <w:left w:val="none" w:sz="0" w:space="0" w:color="auto"/>
        <w:bottom w:val="none" w:sz="0" w:space="0" w:color="auto"/>
        <w:right w:val="none" w:sz="0" w:space="0" w:color="auto"/>
      </w:divBdr>
    </w:div>
    <w:div w:id="1831173403">
      <w:bodyDiv w:val="1"/>
      <w:marLeft w:val="0"/>
      <w:marRight w:val="0"/>
      <w:marTop w:val="0"/>
      <w:marBottom w:val="0"/>
      <w:divBdr>
        <w:top w:val="none" w:sz="0" w:space="0" w:color="auto"/>
        <w:left w:val="none" w:sz="0" w:space="0" w:color="auto"/>
        <w:bottom w:val="none" w:sz="0" w:space="0" w:color="auto"/>
        <w:right w:val="none" w:sz="0" w:space="0" w:color="auto"/>
      </w:divBdr>
    </w:div>
    <w:div w:id="1887830723">
      <w:bodyDiv w:val="1"/>
      <w:marLeft w:val="0"/>
      <w:marRight w:val="0"/>
      <w:marTop w:val="0"/>
      <w:marBottom w:val="0"/>
      <w:divBdr>
        <w:top w:val="none" w:sz="0" w:space="0" w:color="auto"/>
        <w:left w:val="none" w:sz="0" w:space="0" w:color="auto"/>
        <w:bottom w:val="none" w:sz="0" w:space="0" w:color="auto"/>
        <w:right w:val="none" w:sz="0" w:space="0" w:color="auto"/>
      </w:divBdr>
    </w:div>
    <w:div w:id="1893999749">
      <w:bodyDiv w:val="1"/>
      <w:marLeft w:val="0"/>
      <w:marRight w:val="0"/>
      <w:marTop w:val="0"/>
      <w:marBottom w:val="0"/>
      <w:divBdr>
        <w:top w:val="none" w:sz="0" w:space="0" w:color="auto"/>
        <w:left w:val="none" w:sz="0" w:space="0" w:color="auto"/>
        <w:bottom w:val="none" w:sz="0" w:space="0" w:color="auto"/>
        <w:right w:val="none" w:sz="0" w:space="0" w:color="auto"/>
      </w:divBdr>
    </w:div>
    <w:div w:id="1894466851">
      <w:bodyDiv w:val="1"/>
      <w:marLeft w:val="0"/>
      <w:marRight w:val="0"/>
      <w:marTop w:val="0"/>
      <w:marBottom w:val="0"/>
      <w:divBdr>
        <w:top w:val="none" w:sz="0" w:space="0" w:color="auto"/>
        <w:left w:val="none" w:sz="0" w:space="0" w:color="auto"/>
        <w:bottom w:val="none" w:sz="0" w:space="0" w:color="auto"/>
        <w:right w:val="none" w:sz="0" w:space="0" w:color="auto"/>
      </w:divBdr>
    </w:div>
    <w:div w:id="1921983397">
      <w:bodyDiv w:val="1"/>
      <w:marLeft w:val="0"/>
      <w:marRight w:val="0"/>
      <w:marTop w:val="0"/>
      <w:marBottom w:val="0"/>
      <w:divBdr>
        <w:top w:val="none" w:sz="0" w:space="0" w:color="auto"/>
        <w:left w:val="none" w:sz="0" w:space="0" w:color="auto"/>
        <w:bottom w:val="none" w:sz="0" w:space="0" w:color="auto"/>
        <w:right w:val="none" w:sz="0" w:space="0" w:color="auto"/>
      </w:divBdr>
    </w:div>
    <w:div w:id="1927642778">
      <w:bodyDiv w:val="1"/>
      <w:marLeft w:val="0"/>
      <w:marRight w:val="0"/>
      <w:marTop w:val="0"/>
      <w:marBottom w:val="0"/>
      <w:divBdr>
        <w:top w:val="none" w:sz="0" w:space="0" w:color="auto"/>
        <w:left w:val="none" w:sz="0" w:space="0" w:color="auto"/>
        <w:bottom w:val="none" w:sz="0" w:space="0" w:color="auto"/>
        <w:right w:val="none" w:sz="0" w:space="0" w:color="auto"/>
      </w:divBdr>
    </w:div>
    <w:div w:id="1933468583">
      <w:bodyDiv w:val="1"/>
      <w:marLeft w:val="0"/>
      <w:marRight w:val="0"/>
      <w:marTop w:val="0"/>
      <w:marBottom w:val="0"/>
      <w:divBdr>
        <w:top w:val="none" w:sz="0" w:space="0" w:color="auto"/>
        <w:left w:val="none" w:sz="0" w:space="0" w:color="auto"/>
        <w:bottom w:val="none" w:sz="0" w:space="0" w:color="auto"/>
        <w:right w:val="none" w:sz="0" w:space="0" w:color="auto"/>
      </w:divBdr>
    </w:div>
    <w:div w:id="1936789634">
      <w:bodyDiv w:val="1"/>
      <w:marLeft w:val="0"/>
      <w:marRight w:val="0"/>
      <w:marTop w:val="0"/>
      <w:marBottom w:val="0"/>
      <w:divBdr>
        <w:top w:val="none" w:sz="0" w:space="0" w:color="auto"/>
        <w:left w:val="none" w:sz="0" w:space="0" w:color="auto"/>
        <w:bottom w:val="none" w:sz="0" w:space="0" w:color="auto"/>
        <w:right w:val="none" w:sz="0" w:space="0" w:color="auto"/>
      </w:divBdr>
    </w:div>
    <w:div w:id="1985307203">
      <w:bodyDiv w:val="1"/>
      <w:marLeft w:val="0"/>
      <w:marRight w:val="0"/>
      <w:marTop w:val="0"/>
      <w:marBottom w:val="0"/>
      <w:divBdr>
        <w:top w:val="none" w:sz="0" w:space="0" w:color="auto"/>
        <w:left w:val="none" w:sz="0" w:space="0" w:color="auto"/>
        <w:bottom w:val="none" w:sz="0" w:space="0" w:color="auto"/>
        <w:right w:val="none" w:sz="0" w:space="0" w:color="auto"/>
      </w:divBdr>
    </w:div>
    <w:div w:id="1987854535">
      <w:bodyDiv w:val="1"/>
      <w:marLeft w:val="0"/>
      <w:marRight w:val="0"/>
      <w:marTop w:val="0"/>
      <w:marBottom w:val="0"/>
      <w:divBdr>
        <w:top w:val="none" w:sz="0" w:space="0" w:color="auto"/>
        <w:left w:val="none" w:sz="0" w:space="0" w:color="auto"/>
        <w:bottom w:val="none" w:sz="0" w:space="0" w:color="auto"/>
        <w:right w:val="none" w:sz="0" w:space="0" w:color="auto"/>
      </w:divBdr>
    </w:div>
    <w:div w:id="1988584953">
      <w:bodyDiv w:val="1"/>
      <w:marLeft w:val="0"/>
      <w:marRight w:val="0"/>
      <w:marTop w:val="0"/>
      <w:marBottom w:val="0"/>
      <w:divBdr>
        <w:top w:val="none" w:sz="0" w:space="0" w:color="auto"/>
        <w:left w:val="none" w:sz="0" w:space="0" w:color="auto"/>
        <w:bottom w:val="none" w:sz="0" w:space="0" w:color="auto"/>
        <w:right w:val="none" w:sz="0" w:space="0" w:color="auto"/>
      </w:divBdr>
    </w:div>
    <w:div w:id="1997762240">
      <w:bodyDiv w:val="1"/>
      <w:marLeft w:val="0"/>
      <w:marRight w:val="0"/>
      <w:marTop w:val="0"/>
      <w:marBottom w:val="0"/>
      <w:divBdr>
        <w:top w:val="none" w:sz="0" w:space="0" w:color="auto"/>
        <w:left w:val="none" w:sz="0" w:space="0" w:color="auto"/>
        <w:bottom w:val="none" w:sz="0" w:space="0" w:color="auto"/>
        <w:right w:val="none" w:sz="0" w:space="0" w:color="auto"/>
      </w:divBdr>
    </w:div>
    <w:div w:id="2006468411">
      <w:bodyDiv w:val="1"/>
      <w:marLeft w:val="0"/>
      <w:marRight w:val="0"/>
      <w:marTop w:val="0"/>
      <w:marBottom w:val="0"/>
      <w:divBdr>
        <w:top w:val="none" w:sz="0" w:space="0" w:color="auto"/>
        <w:left w:val="none" w:sz="0" w:space="0" w:color="auto"/>
        <w:bottom w:val="none" w:sz="0" w:space="0" w:color="auto"/>
        <w:right w:val="none" w:sz="0" w:space="0" w:color="auto"/>
      </w:divBdr>
    </w:div>
    <w:div w:id="2009819446">
      <w:bodyDiv w:val="1"/>
      <w:marLeft w:val="0"/>
      <w:marRight w:val="0"/>
      <w:marTop w:val="0"/>
      <w:marBottom w:val="0"/>
      <w:divBdr>
        <w:top w:val="none" w:sz="0" w:space="0" w:color="auto"/>
        <w:left w:val="none" w:sz="0" w:space="0" w:color="auto"/>
        <w:bottom w:val="none" w:sz="0" w:space="0" w:color="auto"/>
        <w:right w:val="none" w:sz="0" w:space="0" w:color="auto"/>
      </w:divBdr>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
    <w:div w:id="2016877067">
      <w:bodyDiv w:val="1"/>
      <w:marLeft w:val="0"/>
      <w:marRight w:val="0"/>
      <w:marTop w:val="0"/>
      <w:marBottom w:val="0"/>
      <w:divBdr>
        <w:top w:val="none" w:sz="0" w:space="0" w:color="auto"/>
        <w:left w:val="none" w:sz="0" w:space="0" w:color="auto"/>
        <w:bottom w:val="none" w:sz="0" w:space="0" w:color="auto"/>
        <w:right w:val="none" w:sz="0" w:space="0" w:color="auto"/>
      </w:divBdr>
    </w:div>
    <w:div w:id="2054503309">
      <w:bodyDiv w:val="1"/>
      <w:marLeft w:val="0"/>
      <w:marRight w:val="0"/>
      <w:marTop w:val="0"/>
      <w:marBottom w:val="0"/>
      <w:divBdr>
        <w:top w:val="none" w:sz="0" w:space="0" w:color="auto"/>
        <w:left w:val="none" w:sz="0" w:space="0" w:color="auto"/>
        <w:bottom w:val="none" w:sz="0" w:space="0" w:color="auto"/>
        <w:right w:val="none" w:sz="0" w:space="0" w:color="auto"/>
      </w:divBdr>
    </w:div>
    <w:div w:id="2068456510">
      <w:bodyDiv w:val="1"/>
      <w:marLeft w:val="0"/>
      <w:marRight w:val="0"/>
      <w:marTop w:val="0"/>
      <w:marBottom w:val="0"/>
      <w:divBdr>
        <w:top w:val="none" w:sz="0" w:space="0" w:color="auto"/>
        <w:left w:val="none" w:sz="0" w:space="0" w:color="auto"/>
        <w:bottom w:val="none" w:sz="0" w:space="0" w:color="auto"/>
        <w:right w:val="none" w:sz="0" w:space="0" w:color="auto"/>
      </w:divBdr>
    </w:div>
    <w:div w:id="2071414899">
      <w:bodyDiv w:val="1"/>
      <w:marLeft w:val="0"/>
      <w:marRight w:val="0"/>
      <w:marTop w:val="0"/>
      <w:marBottom w:val="0"/>
      <w:divBdr>
        <w:top w:val="none" w:sz="0" w:space="0" w:color="auto"/>
        <w:left w:val="none" w:sz="0" w:space="0" w:color="auto"/>
        <w:bottom w:val="none" w:sz="0" w:space="0" w:color="auto"/>
        <w:right w:val="none" w:sz="0" w:space="0" w:color="auto"/>
      </w:divBdr>
    </w:div>
    <w:div w:id="2083403148">
      <w:bodyDiv w:val="1"/>
      <w:marLeft w:val="0"/>
      <w:marRight w:val="0"/>
      <w:marTop w:val="0"/>
      <w:marBottom w:val="0"/>
      <w:divBdr>
        <w:top w:val="none" w:sz="0" w:space="0" w:color="auto"/>
        <w:left w:val="none" w:sz="0" w:space="0" w:color="auto"/>
        <w:bottom w:val="none" w:sz="0" w:space="0" w:color="auto"/>
        <w:right w:val="none" w:sz="0" w:space="0" w:color="auto"/>
      </w:divBdr>
    </w:div>
    <w:div w:id="20893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DB5E7C50A9945B3041B2C046486F4" ma:contentTypeVersion="14" ma:contentTypeDescription="Create a new document." ma:contentTypeScope="" ma:versionID="0afbf51b299968e2faab26b5845ca7d6">
  <xsd:schema xmlns:xsd="http://www.w3.org/2001/XMLSchema" xmlns:xs="http://www.w3.org/2001/XMLSchema" xmlns:p="http://schemas.microsoft.com/office/2006/metadata/properties" xmlns:ns2="4b0ec68f-0f9b-4e66-929f-60cc462616ed" xmlns:ns3="6dd7a203-552b-46f7-87d0-4bf2c379389b" targetNamespace="http://schemas.microsoft.com/office/2006/metadata/properties" ma:root="true" ma:fieldsID="e16bc3deb39fc0d22d47f19323985150" ns2:_="" ns3:_="">
    <xsd:import namespace="4b0ec68f-0f9b-4e66-929f-60cc462616ed"/>
    <xsd:import namespace="6dd7a203-552b-46f7-87d0-4bf2c37938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c68f-0f9b-4e66-929f-60cc46261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0afc97-7c6a-4e00-b079-4567eaa0b9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7a203-552b-46f7-87d0-4bf2c3793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3bcf1e-3eff-4a73-8c90-ee622eae9f40}" ma:internalName="TaxCatchAll" ma:showField="CatchAllData" ma:web="6dd7a203-552b-46f7-87d0-4bf2c37938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A5B19-BEA7-4D18-A1A9-771F07DCE471}">
  <ds:schemaRefs>
    <ds:schemaRef ds:uri="http://schemas.openxmlformats.org/officeDocument/2006/bibliography"/>
  </ds:schemaRefs>
</ds:datastoreItem>
</file>

<file path=customXml/itemProps2.xml><?xml version="1.0" encoding="utf-8"?>
<ds:datastoreItem xmlns:ds="http://schemas.openxmlformats.org/officeDocument/2006/customXml" ds:itemID="{BBD9BA0D-CC10-4141-921C-0139D21887CA}">
  <ds:schemaRefs>
    <ds:schemaRef ds:uri="http://schemas.microsoft.com/sharepoint/v3/contenttype/forms"/>
  </ds:schemaRefs>
</ds:datastoreItem>
</file>

<file path=customXml/itemProps3.xml><?xml version="1.0" encoding="utf-8"?>
<ds:datastoreItem xmlns:ds="http://schemas.openxmlformats.org/officeDocument/2006/customXml" ds:itemID="{70957692-A5B6-4392-A361-F2965A0B4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c68f-0f9b-4e66-929f-60cc462616ed"/>
    <ds:schemaRef ds:uri="6dd7a203-552b-46f7-87d0-4bf2c379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linhtha</dc:creator>
  <cp:keywords>Public</cp:keywords>
  <cp:lastModifiedBy>Ly Nguyen Kieu Truc</cp:lastModifiedBy>
  <cp:revision>104</cp:revision>
  <cp:lastPrinted>2024-03-11T08:54:00Z</cp:lastPrinted>
  <dcterms:created xsi:type="dcterms:W3CDTF">2022-03-16T07:01:00Z</dcterms:created>
  <dcterms:modified xsi:type="dcterms:W3CDTF">2024-03-11T09:03:00Z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2eec0f0c-d6aa-4e1e-81b8-649aea41ee35</vt:lpwstr>
  </property>
  <property fmtid="{D5CDD505-2E9C-101B-9397-08002B2CF9AE}" pid="3" name="db.comClassification">
    <vt:lpwstr>Public</vt:lpwstr>
  </property>
</Properties>
</file>