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A0DF" w14:textId="46C4A783" w:rsidR="006E7584" w:rsidRPr="004802DE" w:rsidRDefault="006E7584" w:rsidP="00345D38">
      <w:pPr>
        <w:spacing w:line="360" w:lineRule="auto"/>
        <w:jc w:val="center"/>
        <w:rPr>
          <w:lang w:val="nl-NL"/>
        </w:rPr>
      </w:pPr>
      <w:r w:rsidRPr="004802DE">
        <w:rPr>
          <w:lang w:val="nl-NL"/>
        </w:rPr>
        <w:t>Phụ lục số 2</w:t>
      </w:r>
      <w:r w:rsidR="00F33E61" w:rsidRPr="004802DE">
        <w:rPr>
          <w:lang w:val="nl-NL"/>
        </w:rPr>
        <w:t>5</w:t>
      </w:r>
    </w:p>
    <w:p w14:paraId="40144502" w14:textId="77777777" w:rsidR="006E7584" w:rsidRPr="004802DE" w:rsidRDefault="006E7584" w:rsidP="00345D38">
      <w:pPr>
        <w:spacing w:line="360" w:lineRule="auto"/>
        <w:jc w:val="center"/>
        <w:rPr>
          <w:lang w:val="nl-NL"/>
        </w:rPr>
      </w:pPr>
      <w:r w:rsidRPr="004802DE">
        <w:rPr>
          <w:lang w:val="nl-NL"/>
        </w:rPr>
        <w:t>Nội dung Báo cáo tổng kết hoạt động quản lý quỹ</w:t>
      </w:r>
    </w:p>
    <w:p w14:paraId="64A827D4" w14:textId="31D3BACC" w:rsidR="006E7584" w:rsidRPr="004802DE" w:rsidRDefault="006E7584" w:rsidP="00345D38">
      <w:pPr>
        <w:spacing w:line="360" w:lineRule="auto"/>
        <w:jc w:val="center"/>
        <w:rPr>
          <w:i/>
          <w:lang w:val="nl-NL"/>
        </w:rPr>
      </w:pPr>
      <w:r w:rsidRPr="004802DE">
        <w:rPr>
          <w:i/>
          <w:lang w:val="nl-NL"/>
        </w:rPr>
        <w:t>(ban hành kèm theo Thông tư</w:t>
      </w:r>
      <w:r w:rsidR="009D3268" w:rsidRPr="004802DE">
        <w:rPr>
          <w:i/>
          <w:lang w:val="nl-NL"/>
        </w:rPr>
        <w:t xml:space="preserve"> số 98/2020/TT-BTC ngày 16 tháng 11 năm 2020 của Bộ trưởng Bộ Tài chính</w:t>
      </w:r>
      <w:r w:rsidRPr="004802DE">
        <w:rPr>
          <w:i/>
          <w:lang w:val="nl-NL"/>
        </w:rPr>
        <w:t>)</w:t>
      </w:r>
    </w:p>
    <w:p w14:paraId="220CE282" w14:textId="77777777" w:rsidR="00D04F29" w:rsidRPr="004802DE" w:rsidRDefault="00D04F29" w:rsidP="00345D38">
      <w:pPr>
        <w:spacing w:line="360" w:lineRule="auto"/>
        <w:jc w:val="center"/>
        <w:rPr>
          <w:lang w:val="nl-NL"/>
        </w:rPr>
      </w:pPr>
    </w:p>
    <w:p w14:paraId="635A5DAE" w14:textId="77777777" w:rsidR="006E7584" w:rsidRPr="004802DE" w:rsidRDefault="006E7584" w:rsidP="00345D38">
      <w:pPr>
        <w:spacing w:line="360" w:lineRule="auto"/>
        <w:jc w:val="center"/>
        <w:rPr>
          <w:bCs/>
          <w:lang w:val="nl-NL"/>
        </w:rPr>
      </w:pPr>
      <w:r w:rsidRPr="004802DE">
        <w:rPr>
          <w:lang w:val="nl-NL"/>
        </w:rPr>
        <w:t>BÁO CÁO TỔNG KẾT HOẠT ĐỘNG QUẢN LÝ QUỸ</w:t>
      </w:r>
    </w:p>
    <w:p w14:paraId="1CC8CEDB" w14:textId="05151E0B" w:rsidR="006E7584" w:rsidRPr="004802DE" w:rsidRDefault="00937D1F" w:rsidP="00345D38">
      <w:pPr>
        <w:pStyle w:val="ListParagraph"/>
        <w:tabs>
          <w:tab w:val="left" w:pos="270"/>
          <w:tab w:val="left" w:pos="1134"/>
        </w:tabs>
        <w:spacing w:line="360" w:lineRule="auto"/>
        <w:ind w:left="0"/>
        <w:jc w:val="center"/>
        <w:rPr>
          <w:bCs/>
          <w:lang w:eastAsia="vi-VN"/>
        </w:rPr>
      </w:pPr>
      <w:r w:rsidRPr="004802DE">
        <w:rPr>
          <w:bCs/>
          <w:lang w:eastAsia="vi-VN"/>
        </w:rPr>
        <w:t>N</w:t>
      </w:r>
      <w:r w:rsidR="006E7584" w:rsidRPr="004802DE">
        <w:rPr>
          <w:bCs/>
          <w:lang w:val="vi-VN" w:eastAsia="vi-VN"/>
        </w:rPr>
        <w:t>ăm 20</w:t>
      </w:r>
      <w:r w:rsidR="00F70323" w:rsidRPr="004802DE">
        <w:rPr>
          <w:bCs/>
          <w:lang w:eastAsia="vi-VN"/>
        </w:rPr>
        <w:t>2</w:t>
      </w:r>
      <w:r w:rsidR="00D01A46" w:rsidRPr="004802DE">
        <w:rPr>
          <w:bCs/>
          <w:lang w:eastAsia="vi-VN"/>
        </w:rPr>
        <w:t>2</w:t>
      </w:r>
    </w:p>
    <w:p w14:paraId="5EB45796" w14:textId="77777777" w:rsidR="008B68C6" w:rsidRPr="004802DE" w:rsidRDefault="008B68C6" w:rsidP="00922F16">
      <w:pPr>
        <w:pStyle w:val="ListParagraph"/>
        <w:numPr>
          <w:ilvl w:val="0"/>
          <w:numId w:val="34"/>
        </w:numPr>
        <w:tabs>
          <w:tab w:val="left" w:pos="270"/>
          <w:tab w:val="left" w:pos="1134"/>
        </w:tabs>
        <w:spacing w:after="240" w:line="360" w:lineRule="auto"/>
        <w:jc w:val="both"/>
      </w:pPr>
      <w:r w:rsidRPr="004802DE">
        <w:t xml:space="preserve">Thông tin về </w:t>
      </w:r>
      <w:r w:rsidR="00D74FBD" w:rsidRPr="004802DE">
        <w:t>quỹ</w:t>
      </w:r>
    </w:p>
    <w:p w14:paraId="61683977" w14:textId="49F94D3D" w:rsidR="00D9600E" w:rsidRPr="004802DE" w:rsidRDefault="008B68C6" w:rsidP="00345D38">
      <w:pPr>
        <w:pStyle w:val="ListParagraph"/>
        <w:spacing w:after="240" w:line="360" w:lineRule="auto"/>
        <w:ind w:left="0"/>
        <w:jc w:val="both"/>
      </w:pPr>
      <w:r w:rsidRPr="004802DE">
        <w:rPr>
          <w:b w:val="0"/>
        </w:rPr>
        <w:t>a) Tên</w:t>
      </w:r>
      <w:r w:rsidR="00D9600E" w:rsidRPr="004802DE">
        <w:rPr>
          <w:b w:val="0"/>
        </w:rPr>
        <w:t xml:space="preserve"> </w:t>
      </w:r>
      <w:r w:rsidR="00D74FBD" w:rsidRPr="004802DE">
        <w:rPr>
          <w:b w:val="0"/>
        </w:rPr>
        <w:t>quỹ</w:t>
      </w:r>
      <w:r w:rsidRPr="004802DE">
        <w:rPr>
          <w:b w:val="0"/>
        </w:rPr>
        <w:t>:</w:t>
      </w:r>
      <w:r w:rsidR="00D9600E" w:rsidRPr="004802DE">
        <w:rPr>
          <w:b w:val="0"/>
        </w:rPr>
        <w:t xml:space="preserve"> </w:t>
      </w:r>
      <w:r w:rsidR="00DC414B" w:rsidRPr="004802DE">
        <w:t xml:space="preserve">QUỸ ĐẦU TƯ </w:t>
      </w:r>
      <w:r w:rsidR="00D9600E" w:rsidRPr="004802DE">
        <w:t>TRÁI PHIẾU GIA TĂNG THU NHẬP CỐ ĐỊNH (DCIP)</w:t>
      </w:r>
    </w:p>
    <w:p w14:paraId="7C14EB62" w14:textId="5A4C649F" w:rsidR="00D9600E" w:rsidRPr="004802DE" w:rsidRDefault="00D9600E" w:rsidP="00345D38">
      <w:pPr>
        <w:pStyle w:val="ListParagraph"/>
        <w:spacing w:after="240" w:line="360" w:lineRule="auto"/>
        <w:ind w:left="0"/>
        <w:jc w:val="both"/>
        <w:rPr>
          <w:b w:val="0"/>
          <w:bCs/>
        </w:rPr>
      </w:pPr>
      <w:r w:rsidRPr="004802DE">
        <w:rPr>
          <w:b w:val="0"/>
          <w:bCs/>
          <w:i/>
          <w:iCs/>
        </w:rPr>
        <w:t>ti</w:t>
      </w:r>
      <w:r w:rsidR="007C2A24" w:rsidRPr="004802DE">
        <w:rPr>
          <w:b w:val="0"/>
          <w:bCs/>
          <w:i/>
          <w:iCs/>
        </w:rPr>
        <w:t>ền thân</w:t>
      </w:r>
      <w:r w:rsidRPr="004802DE">
        <w:rPr>
          <w:b w:val="0"/>
          <w:bCs/>
          <w:i/>
          <w:iCs/>
        </w:rPr>
        <w:t xml:space="preserve"> là</w:t>
      </w:r>
      <w:r w:rsidRPr="004802DE">
        <w:rPr>
          <w:b w:val="0"/>
          <w:bCs/>
        </w:rPr>
        <w:t xml:space="preserve"> </w:t>
      </w:r>
      <w:r w:rsidRPr="004802DE">
        <w:rPr>
          <w:b w:val="0"/>
          <w:bCs/>
          <w:i/>
          <w:iCs/>
        </w:rPr>
        <w:t>QUỸ ĐẦU TƯ ĐỊNH HƯỚNG BẢO TOÀN VỐN VIỆT NAM (</w:t>
      </w:r>
      <w:r w:rsidR="001134DD" w:rsidRPr="004802DE">
        <w:rPr>
          <w:b w:val="0"/>
          <w:bCs/>
          <w:i/>
          <w:iCs/>
        </w:rPr>
        <w:t>VFMVFC</w:t>
      </w:r>
      <w:r w:rsidRPr="004802DE">
        <w:rPr>
          <w:b w:val="0"/>
          <w:bCs/>
          <w:i/>
          <w:iCs/>
        </w:rPr>
        <w:t>)</w:t>
      </w:r>
    </w:p>
    <w:p w14:paraId="7569095C" w14:textId="77777777" w:rsidR="00DC414B" w:rsidRPr="004802DE" w:rsidRDefault="008B68C6" w:rsidP="00DC414B">
      <w:pPr>
        <w:pStyle w:val="ListParagraph"/>
        <w:spacing w:after="240" w:line="360" w:lineRule="auto"/>
        <w:ind w:left="0"/>
        <w:jc w:val="both"/>
        <w:rPr>
          <w:b w:val="0"/>
        </w:rPr>
      </w:pPr>
      <w:r w:rsidRPr="004802DE">
        <w:rPr>
          <w:b w:val="0"/>
        </w:rPr>
        <w:t xml:space="preserve">b) Mục tiêu đầu tư của </w:t>
      </w:r>
      <w:r w:rsidR="00D74FBD" w:rsidRPr="004802DE">
        <w:rPr>
          <w:b w:val="0"/>
        </w:rPr>
        <w:t>quỹ</w:t>
      </w:r>
      <w:r w:rsidRPr="004802DE">
        <w:rPr>
          <w:b w:val="0"/>
        </w:rPr>
        <w:t>:</w:t>
      </w:r>
    </w:p>
    <w:p w14:paraId="686167AB" w14:textId="77777777" w:rsidR="00D9600E" w:rsidRPr="004802DE" w:rsidRDefault="00D9600E" w:rsidP="00D9600E">
      <w:pPr>
        <w:pStyle w:val="ListParagraph"/>
        <w:spacing w:line="312" w:lineRule="auto"/>
        <w:ind w:left="0"/>
        <w:jc w:val="both"/>
        <w:rPr>
          <w:b w:val="0"/>
        </w:rPr>
      </w:pPr>
      <w:r w:rsidRPr="004802DE">
        <w:rPr>
          <w:b w:val="0"/>
        </w:rPr>
        <w:t>Mục tiêu chính của Quỹ DCIP là tìm kiếm lợi nhuận từ việc đầu tư vào các loại chứng khoán nợ (bao gồm, nhưng không giới hạn, trái phiếu Chính phủ, trái phiếu được Chính phủ bảo lãnh, Trái phiếu chính quyền địa phương, Trái phiếu của các tổ chức phát hành hoạt động theo pháp luật Việt Nam…), giấy tờ có giá và các công cụ có thu nhập cố định. Mục tiêu đầu tư của Quỹ DCIP đồng thời hướng tới việc đáp ứng nhu cầu của người đầu tư có nhu cầu đầu tư trong khoảng thời gian tới 12 tháng.</w:t>
      </w:r>
    </w:p>
    <w:p w14:paraId="0EEC8D13" w14:textId="082D4F6C" w:rsidR="008B68C6" w:rsidRPr="004802DE" w:rsidRDefault="008B68C6" w:rsidP="00345D38">
      <w:pPr>
        <w:pStyle w:val="ListParagraph"/>
        <w:spacing w:after="240" w:line="360" w:lineRule="auto"/>
        <w:ind w:left="0"/>
        <w:jc w:val="both"/>
        <w:rPr>
          <w:b w:val="0"/>
        </w:rPr>
      </w:pPr>
      <w:r w:rsidRPr="004802DE">
        <w:rPr>
          <w:b w:val="0"/>
        </w:rPr>
        <w:t xml:space="preserve">c) Thời hạn hoạt động của </w:t>
      </w:r>
      <w:r w:rsidR="00D74FBD" w:rsidRPr="004802DE">
        <w:rPr>
          <w:b w:val="0"/>
        </w:rPr>
        <w:t>quỹ</w:t>
      </w:r>
      <w:r w:rsidRPr="004802DE">
        <w:rPr>
          <w:b w:val="0"/>
        </w:rPr>
        <w:t xml:space="preserve"> (nếu có):</w:t>
      </w:r>
      <w:r w:rsidR="003F7D0C" w:rsidRPr="004802DE">
        <w:rPr>
          <w:b w:val="0"/>
        </w:rPr>
        <w:t xml:space="preserve"> </w:t>
      </w:r>
      <w:r w:rsidR="00077105" w:rsidRPr="004802DE">
        <w:rPr>
          <w:b w:val="0"/>
        </w:rPr>
        <w:t>được tính</w:t>
      </w:r>
      <w:r w:rsidR="00077105" w:rsidRPr="004802DE">
        <w:rPr>
          <w:b w:val="0"/>
          <w:lang w:val="vi-VN"/>
        </w:rPr>
        <w:t xml:space="preserve"> từ ngày được UBCKNN </w:t>
      </w:r>
      <w:r w:rsidR="00943EFC" w:rsidRPr="004802DE">
        <w:rPr>
          <w:b w:val="0"/>
        </w:rPr>
        <w:t>cấp</w:t>
      </w:r>
      <w:r w:rsidR="00077105" w:rsidRPr="004802DE">
        <w:rPr>
          <w:b w:val="0"/>
          <w:lang w:val="vi-VN"/>
        </w:rPr>
        <w:t xml:space="preserve"> giấy chứng nhận đăng ký lập quỹ</w:t>
      </w:r>
      <w:r w:rsidR="00077105" w:rsidRPr="004802DE">
        <w:rPr>
          <w:b w:val="0"/>
        </w:rPr>
        <w:t>, và không giới hạn về thời hạn hoạt động</w:t>
      </w:r>
    </w:p>
    <w:p w14:paraId="23ECD2B8" w14:textId="77777777" w:rsidR="008B68C6" w:rsidRPr="004802DE" w:rsidRDefault="008B68C6" w:rsidP="00345D38">
      <w:pPr>
        <w:pStyle w:val="ListParagraph"/>
        <w:spacing w:after="240" w:line="360" w:lineRule="auto"/>
        <w:ind w:left="0"/>
        <w:jc w:val="both"/>
        <w:rPr>
          <w:b w:val="0"/>
        </w:rPr>
      </w:pPr>
      <w:r w:rsidRPr="004802DE">
        <w:rPr>
          <w:b w:val="0"/>
        </w:rPr>
        <w:t>d) Danh mục tham chiếu (benchmark portfolio) (nếu có):</w:t>
      </w:r>
      <w:r w:rsidR="003F7D0C" w:rsidRPr="004802DE">
        <w:rPr>
          <w:b w:val="0"/>
        </w:rPr>
        <w:t xml:space="preserve"> </w:t>
      </w:r>
      <w:r w:rsidR="00806EC0" w:rsidRPr="004802DE">
        <w:rPr>
          <w:b w:val="0"/>
        </w:rPr>
        <w:t>không có</w:t>
      </w:r>
    </w:p>
    <w:p w14:paraId="4F5C94E4" w14:textId="0D754FCA" w:rsidR="008B68C6" w:rsidRPr="004802DE" w:rsidRDefault="00B94BE2" w:rsidP="00345D38">
      <w:pPr>
        <w:pStyle w:val="ListParagraph"/>
        <w:spacing w:after="240" w:line="360" w:lineRule="auto"/>
        <w:ind w:left="0"/>
        <w:jc w:val="both"/>
        <w:rPr>
          <w:b w:val="0"/>
        </w:rPr>
      </w:pPr>
      <w:r w:rsidRPr="004802DE">
        <w:rPr>
          <w:b w:val="0"/>
        </w:rPr>
        <w:t>e</w:t>
      </w:r>
      <w:r w:rsidR="008B68C6" w:rsidRPr="004802DE">
        <w:rPr>
          <w:b w:val="0"/>
        </w:rPr>
        <w:t>) Chính sách phân chia lợi nhuận:</w:t>
      </w:r>
    </w:p>
    <w:p w14:paraId="2DC8C393" w14:textId="77777777" w:rsidR="003F7D0C" w:rsidRPr="004802DE" w:rsidRDefault="003F7D0C" w:rsidP="00345D38">
      <w:pPr>
        <w:pStyle w:val="ListParagraph"/>
        <w:spacing w:after="240" w:line="360" w:lineRule="auto"/>
        <w:ind w:left="0"/>
        <w:jc w:val="both"/>
        <w:rPr>
          <w:b w:val="0"/>
        </w:rPr>
      </w:pPr>
      <w:r w:rsidRPr="004802DE">
        <w:rPr>
          <w:b w:val="0"/>
        </w:rPr>
        <w:t>Việc phân phối lợi nhuận hàng năm thực hiện dựa trên đề xuất của Ban đại diện quỹ và được Đại hội nhà đầu tư thông qua.</w:t>
      </w:r>
    </w:p>
    <w:p w14:paraId="0A03A297" w14:textId="77777777" w:rsidR="003F7D0C" w:rsidRPr="004802DE" w:rsidRDefault="00ED0367" w:rsidP="00345D38">
      <w:pPr>
        <w:pStyle w:val="ListParagraph"/>
        <w:spacing w:after="240" w:line="360" w:lineRule="auto"/>
        <w:ind w:left="0"/>
        <w:jc w:val="both"/>
        <w:rPr>
          <w:b w:val="0"/>
        </w:rPr>
      </w:pPr>
      <w:r w:rsidRPr="004802DE">
        <w:rPr>
          <w:b w:val="0"/>
        </w:rPr>
        <w:t>H</w:t>
      </w:r>
      <w:r w:rsidR="003F7D0C" w:rsidRPr="004802DE">
        <w:rPr>
          <w:b w:val="0"/>
        </w:rPr>
        <w:t>ình thức phân chia lợi nhuận bằng tiền hoặc bằng đơn vị quỹ. Lợi nhuận phân chia được trích từ nguồn lợi nhuận để lại của quỹ. Công ty quản lý quỹ chỉ được phân chia lợi nhuận khi quỹ đã hoàn thành hoặc có đủ năng lực tài chính để hoàn thành nghĩa vụ thuế và các nghĩa vụ tài chính khác theo quy định của pháp luật; trích lập đầy đủ các quỹ theo quy định tại điều lệ quỹ; ngay sau khi trả hết số lợi nhuận đã định, quỹ vẫn phải bảo đảm thanh toán đủ các khoản nợ, nghĩa vụ tài sản khác đến hạn.</w:t>
      </w:r>
    </w:p>
    <w:p w14:paraId="48813992" w14:textId="36315DAF" w:rsidR="008B68C6" w:rsidRPr="004802DE" w:rsidRDefault="002C224D" w:rsidP="00345D38">
      <w:pPr>
        <w:pStyle w:val="ListParagraph"/>
        <w:spacing w:after="240" w:line="360" w:lineRule="auto"/>
        <w:ind w:left="0"/>
        <w:jc w:val="both"/>
        <w:rPr>
          <w:b w:val="0"/>
          <w:lang w:val="sv-SE"/>
        </w:rPr>
      </w:pPr>
      <w:r w:rsidRPr="004802DE">
        <w:rPr>
          <w:b w:val="0"/>
          <w:lang w:val="sv-SE"/>
        </w:rPr>
        <w:t>f</w:t>
      </w:r>
      <w:r w:rsidR="008B68C6" w:rsidRPr="004802DE">
        <w:rPr>
          <w:b w:val="0"/>
          <w:lang w:val="sv-SE"/>
        </w:rPr>
        <w:t xml:space="preserve">) Số lượng </w:t>
      </w:r>
      <w:r w:rsidR="00D74FBD" w:rsidRPr="004802DE">
        <w:rPr>
          <w:b w:val="0"/>
          <w:lang w:val="sv-SE"/>
        </w:rPr>
        <w:t>đơn vị quỹ</w:t>
      </w:r>
      <w:r w:rsidR="008B68C6" w:rsidRPr="004802DE">
        <w:rPr>
          <w:b w:val="0"/>
          <w:lang w:val="sv-SE"/>
        </w:rPr>
        <w:t xml:space="preserve"> đang lưu hành:</w:t>
      </w:r>
      <w:r w:rsidR="003F7D0C" w:rsidRPr="004802DE">
        <w:rPr>
          <w:b w:val="0"/>
          <w:lang w:val="sv-SE"/>
        </w:rPr>
        <w:t xml:space="preserve"> </w:t>
      </w:r>
    </w:p>
    <w:tbl>
      <w:tblPr>
        <w:tblW w:w="7906" w:type="dxa"/>
        <w:tblLook w:val="04A0" w:firstRow="1" w:lastRow="0" w:firstColumn="1" w:lastColumn="0" w:noHBand="0" w:noVBand="1"/>
      </w:tblPr>
      <w:tblGrid>
        <w:gridCol w:w="616"/>
        <w:gridCol w:w="4604"/>
        <w:gridCol w:w="2070"/>
        <w:gridCol w:w="616"/>
      </w:tblGrid>
      <w:tr w:rsidR="004257DE" w:rsidRPr="004802DE" w14:paraId="1DA10168" w14:textId="77777777" w:rsidTr="00283C10">
        <w:trPr>
          <w:trHeight w:val="315"/>
        </w:trPr>
        <w:tc>
          <w:tcPr>
            <w:tcW w:w="5220" w:type="dxa"/>
            <w:gridSpan w:val="2"/>
            <w:tcBorders>
              <w:top w:val="nil"/>
              <w:left w:val="nil"/>
              <w:bottom w:val="nil"/>
              <w:right w:val="nil"/>
            </w:tcBorders>
            <w:shd w:val="clear" w:color="auto" w:fill="auto"/>
            <w:noWrap/>
            <w:vAlign w:val="center"/>
            <w:hideMark/>
          </w:tcPr>
          <w:p w14:paraId="17E3AE76" w14:textId="04C87EF7" w:rsidR="00280F21" w:rsidRPr="004802DE" w:rsidRDefault="00280F21" w:rsidP="00280F21">
            <w:pPr>
              <w:jc w:val="both"/>
              <w:rPr>
                <w:b w:val="0"/>
              </w:rPr>
            </w:pPr>
            <w:r w:rsidRPr="004802DE">
              <w:rPr>
                <w:b w:val="0"/>
                <w:lang w:val="nl-NL"/>
              </w:rPr>
              <w:t>Tổng số chứng chỉ Quỹ tại ngày 3</w:t>
            </w:r>
            <w:r w:rsidR="00A47728" w:rsidRPr="004802DE">
              <w:rPr>
                <w:b w:val="0"/>
                <w:lang w:val="nl-NL"/>
              </w:rPr>
              <w:t>1/12/202</w:t>
            </w:r>
            <w:r w:rsidR="005C0342" w:rsidRPr="004802DE">
              <w:rPr>
                <w:b w:val="0"/>
                <w:lang w:val="nl-NL"/>
              </w:rPr>
              <w:t>1</w:t>
            </w:r>
          </w:p>
        </w:tc>
        <w:tc>
          <w:tcPr>
            <w:tcW w:w="2070" w:type="dxa"/>
            <w:tcBorders>
              <w:top w:val="nil"/>
              <w:left w:val="nil"/>
              <w:bottom w:val="nil"/>
              <w:right w:val="nil"/>
            </w:tcBorders>
            <w:shd w:val="clear" w:color="auto" w:fill="auto"/>
            <w:noWrap/>
            <w:vAlign w:val="center"/>
            <w:hideMark/>
          </w:tcPr>
          <w:p w14:paraId="14A89340" w14:textId="0E99342B" w:rsidR="00280F21" w:rsidRPr="004802DE" w:rsidRDefault="00283C10" w:rsidP="00283C10">
            <w:pPr>
              <w:jc w:val="right"/>
              <w:rPr>
                <w:b w:val="0"/>
              </w:rPr>
            </w:pPr>
            <w:r w:rsidRPr="004802DE">
              <w:rPr>
                <w:b w:val="0"/>
              </w:rPr>
              <w:t>28</w:t>
            </w:r>
            <w:r w:rsidR="008E54FC">
              <w:rPr>
                <w:b w:val="0"/>
              </w:rPr>
              <w:t>.</w:t>
            </w:r>
            <w:r w:rsidRPr="004802DE">
              <w:rPr>
                <w:b w:val="0"/>
              </w:rPr>
              <w:t>078</w:t>
            </w:r>
            <w:r w:rsidR="008E54FC">
              <w:rPr>
                <w:b w:val="0"/>
              </w:rPr>
              <w:t>.</w:t>
            </w:r>
            <w:r w:rsidRPr="004802DE">
              <w:rPr>
                <w:b w:val="0"/>
              </w:rPr>
              <w:t>292</w:t>
            </w:r>
            <w:r w:rsidR="008E54FC">
              <w:rPr>
                <w:b w:val="0"/>
              </w:rPr>
              <w:t>,</w:t>
            </w:r>
            <w:r w:rsidRPr="004802DE">
              <w:rPr>
                <w:b w:val="0"/>
              </w:rPr>
              <w:t>71</w:t>
            </w:r>
          </w:p>
        </w:tc>
        <w:tc>
          <w:tcPr>
            <w:tcW w:w="616" w:type="dxa"/>
            <w:tcBorders>
              <w:top w:val="nil"/>
              <w:left w:val="nil"/>
              <w:bottom w:val="nil"/>
              <w:right w:val="nil"/>
            </w:tcBorders>
            <w:shd w:val="clear" w:color="auto" w:fill="auto"/>
            <w:noWrap/>
            <w:vAlign w:val="center"/>
            <w:hideMark/>
          </w:tcPr>
          <w:p w14:paraId="2225C270" w14:textId="77777777" w:rsidR="00280F21" w:rsidRPr="004802DE" w:rsidRDefault="00280F21" w:rsidP="00280F21">
            <w:pPr>
              <w:jc w:val="both"/>
              <w:rPr>
                <w:b w:val="0"/>
              </w:rPr>
            </w:pPr>
            <w:r w:rsidRPr="004802DE">
              <w:rPr>
                <w:b w:val="0"/>
              </w:rPr>
              <w:t>ccq</w:t>
            </w:r>
          </w:p>
        </w:tc>
      </w:tr>
      <w:tr w:rsidR="004257DE" w:rsidRPr="004802DE" w14:paraId="40465E56" w14:textId="77777777" w:rsidTr="00283C10">
        <w:trPr>
          <w:trHeight w:val="433"/>
        </w:trPr>
        <w:tc>
          <w:tcPr>
            <w:tcW w:w="5220" w:type="dxa"/>
            <w:gridSpan w:val="2"/>
            <w:tcBorders>
              <w:top w:val="nil"/>
              <w:left w:val="nil"/>
              <w:bottom w:val="nil"/>
              <w:right w:val="nil"/>
            </w:tcBorders>
            <w:shd w:val="clear" w:color="auto" w:fill="auto"/>
            <w:noWrap/>
            <w:vAlign w:val="center"/>
            <w:hideMark/>
          </w:tcPr>
          <w:p w14:paraId="44BFA788" w14:textId="77777777" w:rsidR="00280F21" w:rsidRPr="004802DE" w:rsidRDefault="00280F21" w:rsidP="00280F21">
            <w:pPr>
              <w:jc w:val="both"/>
              <w:rPr>
                <w:b w:val="0"/>
              </w:rPr>
            </w:pPr>
            <w:r w:rsidRPr="004802DE">
              <w:rPr>
                <w:b w:val="0"/>
                <w:lang w:val="nl-NL"/>
              </w:rPr>
              <w:t xml:space="preserve">Tổng số lượng chứng Quỹ phát hành thêm trong kỳ </w:t>
            </w:r>
          </w:p>
        </w:tc>
        <w:tc>
          <w:tcPr>
            <w:tcW w:w="2070" w:type="dxa"/>
            <w:tcBorders>
              <w:top w:val="nil"/>
              <w:left w:val="nil"/>
              <w:bottom w:val="nil"/>
              <w:right w:val="nil"/>
            </w:tcBorders>
            <w:shd w:val="clear" w:color="auto" w:fill="auto"/>
            <w:noWrap/>
            <w:vAlign w:val="center"/>
            <w:hideMark/>
          </w:tcPr>
          <w:p w14:paraId="078AE174" w14:textId="1F57D44E" w:rsidR="00280F21" w:rsidRPr="004802DE" w:rsidRDefault="00280F21" w:rsidP="00283C10">
            <w:pPr>
              <w:jc w:val="right"/>
              <w:rPr>
                <w:b w:val="0"/>
              </w:rPr>
            </w:pPr>
            <w:r w:rsidRPr="004802DE">
              <w:rPr>
                <w:b w:val="0"/>
              </w:rPr>
              <w:t xml:space="preserve">     </w:t>
            </w:r>
            <w:r w:rsidR="00283C10" w:rsidRPr="004802DE">
              <w:rPr>
                <w:b w:val="0"/>
              </w:rPr>
              <w:t>120</w:t>
            </w:r>
            <w:r w:rsidR="008E54FC">
              <w:rPr>
                <w:b w:val="0"/>
              </w:rPr>
              <w:t>.</w:t>
            </w:r>
            <w:r w:rsidR="00283C10" w:rsidRPr="004802DE">
              <w:rPr>
                <w:b w:val="0"/>
              </w:rPr>
              <w:t>426</w:t>
            </w:r>
            <w:r w:rsidR="008E54FC">
              <w:rPr>
                <w:b w:val="0"/>
              </w:rPr>
              <w:t>.</w:t>
            </w:r>
            <w:r w:rsidR="00283C10" w:rsidRPr="004802DE">
              <w:rPr>
                <w:b w:val="0"/>
              </w:rPr>
              <w:t>929</w:t>
            </w:r>
            <w:r w:rsidR="008E54FC">
              <w:rPr>
                <w:b w:val="0"/>
              </w:rPr>
              <w:t>,</w:t>
            </w:r>
            <w:r w:rsidR="00283C10" w:rsidRPr="004802DE">
              <w:rPr>
                <w:b w:val="0"/>
              </w:rPr>
              <w:t>21</w:t>
            </w:r>
          </w:p>
        </w:tc>
        <w:tc>
          <w:tcPr>
            <w:tcW w:w="616" w:type="dxa"/>
            <w:tcBorders>
              <w:top w:val="nil"/>
              <w:left w:val="nil"/>
              <w:bottom w:val="nil"/>
              <w:right w:val="nil"/>
            </w:tcBorders>
            <w:shd w:val="clear" w:color="auto" w:fill="auto"/>
            <w:noWrap/>
            <w:vAlign w:val="center"/>
            <w:hideMark/>
          </w:tcPr>
          <w:p w14:paraId="75F7D8D5" w14:textId="77777777" w:rsidR="00280F21" w:rsidRPr="004802DE" w:rsidRDefault="00280F21" w:rsidP="00280F21">
            <w:pPr>
              <w:jc w:val="both"/>
              <w:rPr>
                <w:b w:val="0"/>
              </w:rPr>
            </w:pPr>
            <w:r w:rsidRPr="004802DE">
              <w:rPr>
                <w:b w:val="0"/>
              </w:rPr>
              <w:t>ccq</w:t>
            </w:r>
          </w:p>
        </w:tc>
      </w:tr>
      <w:tr w:rsidR="004257DE" w:rsidRPr="004802DE" w14:paraId="544DFAB7" w14:textId="77777777" w:rsidTr="00283C10">
        <w:trPr>
          <w:trHeight w:val="361"/>
        </w:trPr>
        <w:tc>
          <w:tcPr>
            <w:tcW w:w="5220" w:type="dxa"/>
            <w:gridSpan w:val="2"/>
            <w:tcBorders>
              <w:top w:val="nil"/>
              <w:left w:val="nil"/>
              <w:bottom w:val="nil"/>
              <w:right w:val="nil"/>
            </w:tcBorders>
            <w:shd w:val="clear" w:color="auto" w:fill="auto"/>
            <w:noWrap/>
            <w:vAlign w:val="center"/>
            <w:hideMark/>
          </w:tcPr>
          <w:p w14:paraId="669DE5ED" w14:textId="77777777" w:rsidR="00280F21" w:rsidRPr="004802DE" w:rsidRDefault="00280F21" w:rsidP="00280F21">
            <w:pPr>
              <w:jc w:val="both"/>
              <w:rPr>
                <w:b w:val="0"/>
              </w:rPr>
            </w:pPr>
            <w:r w:rsidRPr="004802DE">
              <w:rPr>
                <w:b w:val="0"/>
                <w:lang w:val="nl-NL"/>
              </w:rPr>
              <w:lastRenderedPageBreak/>
              <w:t>Tổng số lượng chứng Quỹ mua lại trong kỳ</w:t>
            </w:r>
          </w:p>
        </w:tc>
        <w:tc>
          <w:tcPr>
            <w:tcW w:w="2070" w:type="dxa"/>
            <w:tcBorders>
              <w:top w:val="nil"/>
              <w:left w:val="nil"/>
              <w:bottom w:val="nil"/>
              <w:right w:val="nil"/>
            </w:tcBorders>
            <w:shd w:val="clear" w:color="auto" w:fill="auto"/>
            <w:noWrap/>
            <w:vAlign w:val="center"/>
            <w:hideMark/>
          </w:tcPr>
          <w:p w14:paraId="528AA963" w14:textId="650F67EF" w:rsidR="00280F21" w:rsidRPr="004802DE" w:rsidRDefault="00280F21" w:rsidP="00280F21">
            <w:pPr>
              <w:jc w:val="both"/>
              <w:rPr>
                <w:b w:val="0"/>
              </w:rPr>
            </w:pPr>
            <w:r w:rsidRPr="004802DE">
              <w:rPr>
                <w:b w:val="0"/>
              </w:rPr>
              <w:t xml:space="preserve">   </w:t>
            </w:r>
            <w:r w:rsidR="00283C10" w:rsidRPr="004802DE">
              <w:rPr>
                <w:b w:val="0"/>
              </w:rPr>
              <w:t>(118</w:t>
            </w:r>
            <w:r w:rsidR="008E54FC">
              <w:rPr>
                <w:b w:val="0"/>
              </w:rPr>
              <w:t>.</w:t>
            </w:r>
            <w:r w:rsidR="00283C10" w:rsidRPr="004802DE">
              <w:rPr>
                <w:b w:val="0"/>
              </w:rPr>
              <w:t>977</w:t>
            </w:r>
            <w:r w:rsidR="008E54FC">
              <w:rPr>
                <w:b w:val="0"/>
              </w:rPr>
              <w:t>.</w:t>
            </w:r>
            <w:r w:rsidR="00283C10" w:rsidRPr="004802DE">
              <w:rPr>
                <w:b w:val="0"/>
              </w:rPr>
              <w:t>451</w:t>
            </w:r>
            <w:r w:rsidR="008E54FC">
              <w:rPr>
                <w:b w:val="0"/>
              </w:rPr>
              <w:t>,</w:t>
            </w:r>
            <w:r w:rsidR="00283C10" w:rsidRPr="004802DE">
              <w:rPr>
                <w:b w:val="0"/>
              </w:rPr>
              <w:t>61)</w:t>
            </w:r>
          </w:p>
        </w:tc>
        <w:tc>
          <w:tcPr>
            <w:tcW w:w="616" w:type="dxa"/>
            <w:tcBorders>
              <w:top w:val="nil"/>
              <w:left w:val="nil"/>
              <w:bottom w:val="nil"/>
              <w:right w:val="nil"/>
            </w:tcBorders>
            <w:shd w:val="clear" w:color="auto" w:fill="auto"/>
            <w:noWrap/>
            <w:vAlign w:val="center"/>
            <w:hideMark/>
          </w:tcPr>
          <w:p w14:paraId="2C911135" w14:textId="77777777" w:rsidR="00280F21" w:rsidRPr="004802DE" w:rsidRDefault="00280F21" w:rsidP="00280F21">
            <w:pPr>
              <w:jc w:val="both"/>
              <w:rPr>
                <w:b w:val="0"/>
              </w:rPr>
            </w:pPr>
            <w:r w:rsidRPr="004802DE">
              <w:rPr>
                <w:b w:val="0"/>
              </w:rPr>
              <w:t>ccq</w:t>
            </w:r>
          </w:p>
        </w:tc>
      </w:tr>
      <w:tr w:rsidR="004257DE" w:rsidRPr="004802DE" w14:paraId="09CAF436" w14:textId="77777777" w:rsidTr="00283C10">
        <w:trPr>
          <w:trHeight w:val="451"/>
        </w:trPr>
        <w:tc>
          <w:tcPr>
            <w:tcW w:w="5220" w:type="dxa"/>
            <w:gridSpan w:val="2"/>
            <w:tcBorders>
              <w:top w:val="nil"/>
              <w:left w:val="nil"/>
              <w:bottom w:val="nil"/>
              <w:right w:val="nil"/>
            </w:tcBorders>
            <w:shd w:val="clear" w:color="auto" w:fill="auto"/>
            <w:vAlign w:val="center"/>
            <w:hideMark/>
          </w:tcPr>
          <w:p w14:paraId="4E981DDD" w14:textId="08D5116B" w:rsidR="00280F21" w:rsidRPr="004802DE" w:rsidRDefault="00280F21" w:rsidP="00280F21">
            <w:pPr>
              <w:jc w:val="both"/>
              <w:rPr>
                <w:b w:val="0"/>
              </w:rPr>
            </w:pPr>
            <w:r w:rsidRPr="004802DE">
              <w:rPr>
                <w:b w:val="0"/>
                <w:lang w:val="nl-NL"/>
              </w:rPr>
              <w:t xml:space="preserve">Tổng số lượng chứng chỉ Quỹ tại ngày </w:t>
            </w:r>
            <w:r w:rsidR="00A47728" w:rsidRPr="004802DE">
              <w:rPr>
                <w:b w:val="0"/>
                <w:lang w:val="nl-NL"/>
              </w:rPr>
              <w:t>3</w:t>
            </w:r>
            <w:r w:rsidR="005C0342" w:rsidRPr="004802DE">
              <w:rPr>
                <w:b w:val="0"/>
                <w:lang w:val="nl-NL"/>
              </w:rPr>
              <w:t>1</w:t>
            </w:r>
            <w:r w:rsidR="00A47728" w:rsidRPr="004802DE">
              <w:rPr>
                <w:b w:val="0"/>
                <w:lang w:val="nl-NL"/>
              </w:rPr>
              <w:t>/</w:t>
            </w:r>
            <w:r w:rsidR="005C0342" w:rsidRPr="004802DE">
              <w:rPr>
                <w:b w:val="0"/>
                <w:lang w:val="nl-NL"/>
              </w:rPr>
              <w:t>12</w:t>
            </w:r>
            <w:r w:rsidR="00A47728" w:rsidRPr="004802DE">
              <w:rPr>
                <w:b w:val="0"/>
                <w:lang w:val="nl-NL"/>
              </w:rPr>
              <w:t>/202</w:t>
            </w:r>
            <w:r w:rsidR="005C0342" w:rsidRPr="004802DE">
              <w:rPr>
                <w:b w:val="0"/>
                <w:lang w:val="nl-NL"/>
              </w:rPr>
              <w:t>2</w:t>
            </w:r>
          </w:p>
        </w:tc>
        <w:tc>
          <w:tcPr>
            <w:tcW w:w="2070" w:type="dxa"/>
            <w:tcBorders>
              <w:top w:val="nil"/>
              <w:left w:val="nil"/>
              <w:bottom w:val="nil"/>
              <w:right w:val="nil"/>
            </w:tcBorders>
            <w:shd w:val="clear" w:color="auto" w:fill="auto"/>
            <w:noWrap/>
            <w:vAlign w:val="center"/>
            <w:hideMark/>
          </w:tcPr>
          <w:p w14:paraId="3CBE89E4" w14:textId="7C90D4FD" w:rsidR="00280F21" w:rsidRPr="004802DE" w:rsidRDefault="00280F21" w:rsidP="00280F21">
            <w:pPr>
              <w:jc w:val="both"/>
              <w:rPr>
                <w:b w:val="0"/>
              </w:rPr>
            </w:pPr>
            <w:r w:rsidRPr="004802DE">
              <w:rPr>
                <w:b w:val="0"/>
              </w:rPr>
              <w:t xml:space="preserve">      </w:t>
            </w:r>
            <w:r w:rsidR="00937D1F" w:rsidRPr="004802DE">
              <w:rPr>
                <w:b w:val="0"/>
              </w:rPr>
              <w:t>2</w:t>
            </w:r>
            <w:r w:rsidR="00283C10" w:rsidRPr="004802DE">
              <w:rPr>
                <w:b w:val="0"/>
              </w:rPr>
              <w:t>9</w:t>
            </w:r>
            <w:r w:rsidR="008E54FC">
              <w:rPr>
                <w:b w:val="0"/>
              </w:rPr>
              <w:t>.</w:t>
            </w:r>
            <w:r w:rsidR="00283C10" w:rsidRPr="004802DE">
              <w:rPr>
                <w:b w:val="0"/>
              </w:rPr>
              <w:t>527</w:t>
            </w:r>
            <w:r w:rsidR="008E54FC">
              <w:rPr>
                <w:b w:val="0"/>
              </w:rPr>
              <w:t>.</w:t>
            </w:r>
            <w:r w:rsidR="00283C10" w:rsidRPr="004802DE">
              <w:rPr>
                <w:b w:val="0"/>
              </w:rPr>
              <w:t>770</w:t>
            </w:r>
            <w:r w:rsidR="008E54FC">
              <w:rPr>
                <w:b w:val="0"/>
              </w:rPr>
              <w:t>,</w:t>
            </w:r>
            <w:r w:rsidR="00283C10" w:rsidRPr="004802DE">
              <w:rPr>
                <w:b w:val="0"/>
              </w:rPr>
              <w:t>3</w:t>
            </w:r>
            <w:r w:rsidR="00937D1F" w:rsidRPr="004802DE">
              <w:rPr>
                <w:b w:val="0"/>
              </w:rPr>
              <w:t>1</w:t>
            </w:r>
          </w:p>
        </w:tc>
        <w:tc>
          <w:tcPr>
            <w:tcW w:w="616" w:type="dxa"/>
            <w:tcBorders>
              <w:top w:val="nil"/>
              <w:left w:val="nil"/>
              <w:bottom w:val="nil"/>
              <w:right w:val="nil"/>
            </w:tcBorders>
            <w:shd w:val="clear" w:color="auto" w:fill="auto"/>
            <w:noWrap/>
            <w:vAlign w:val="center"/>
            <w:hideMark/>
          </w:tcPr>
          <w:p w14:paraId="74BCCB2A" w14:textId="77777777" w:rsidR="00280F21" w:rsidRPr="004802DE" w:rsidRDefault="00280F21" w:rsidP="00280F21">
            <w:pPr>
              <w:jc w:val="both"/>
              <w:rPr>
                <w:b w:val="0"/>
              </w:rPr>
            </w:pPr>
            <w:r w:rsidRPr="004802DE">
              <w:rPr>
                <w:b w:val="0"/>
              </w:rPr>
              <w:t>ccq</w:t>
            </w:r>
          </w:p>
        </w:tc>
      </w:tr>
      <w:tr w:rsidR="004257DE" w:rsidRPr="004802DE" w14:paraId="0C50C297" w14:textId="77777777" w:rsidTr="00283C10">
        <w:trPr>
          <w:gridAfter w:val="3"/>
          <w:wAfter w:w="7290" w:type="dxa"/>
          <w:trHeight w:val="451"/>
        </w:trPr>
        <w:tc>
          <w:tcPr>
            <w:tcW w:w="616" w:type="dxa"/>
            <w:tcBorders>
              <w:top w:val="nil"/>
              <w:left w:val="nil"/>
              <w:bottom w:val="nil"/>
              <w:right w:val="nil"/>
            </w:tcBorders>
            <w:shd w:val="clear" w:color="auto" w:fill="auto"/>
            <w:noWrap/>
            <w:vAlign w:val="center"/>
          </w:tcPr>
          <w:p w14:paraId="23263876" w14:textId="36BA4802" w:rsidR="00A00F04" w:rsidRPr="004802DE" w:rsidRDefault="00A00F04" w:rsidP="00DE0BED">
            <w:pPr>
              <w:jc w:val="both"/>
              <w:rPr>
                <w:b w:val="0"/>
              </w:rPr>
            </w:pPr>
          </w:p>
        </w:tc>
      </w:tr>
    </w:tbl>
    <w:p w14:paraId="5B6F7D96" w14:textId="77777777" w:rsidR="00527A16" w:rsidRPr="004802DE" w:rsidRDefault="00527A16" w:rsidP="00527A16">
      <w:pPr>
        <w:pStyle w:val="ListParagraph"/>
        <w:spacing w:after="240" w:line="360" w:lineRule="auto"/>
        <w:ind w:left="0"/>
        <w:jc w:val="both"/>
        <w:rPr>
          <w:b w:val="0"/>
          <w:bCs/>
        </w:rPr>
      </w:pPr>
      <w:r w:rsidRPr="004802DE">
        <w:rPr>
          <w:b w:val="0"/>
          <w:bCs/>
        </w:rPr>
        <w:t xml:space="preserve">g) Nội dung thay đổi tại Điều lệ Quỹ trong kỳ báo cáo: được đề cập trong Nghị quyết Đại hội Nhà đầu tư thường niên Năm tài chính 2021 của Quỹ Đầu tư Trái phiếu Gia tăng thu nhập cố định thông qua theo hình thức lấy ý kiến bằng văn bản ngày 06/04/2022 . Nội dung chi tiết </w:t>
      </w:r>
      <w:r w:rsidRPr="004802DE">
        <w:rPr>
          <w:b w:val="0"/>
          <w:sz w:val="22"/>
          <w:szCs w:val="22"/>
        </w:rPr>
        <w:t xml:space="preserve">được công bố trên trang thông tin điện tử của quỹ/công ty quản lý quỹ tại đường dẫn </w:t>
      </w:r>
      <w:hyperlink r:id="rId8" w:history="1">
        <w:r w:rsidRPr="004802DE">
          <w:rPr>
            <w:rStyle w:val="Hyperlink"/>
            <w:b w:val="0"/>
            <w:bCs/>
          </w:rPr>
          <w:t>DCIP- Điều lệ quỹ AGM năm 2022 (dragoncapital.com.vn)</w:t>
        </w:r>
      </w:hyperlink>
      <w:r w:rsidRPr="004802DE">
        <w:rPr>
          <w:b w:val="0"/>
          <w:bCs/>
        </w:rPr>
        <w:t>.</w:t>
      </w:r>
    </w:p>
    <w:p w14:paraId="5F31B8FC" w14:textId="77777777" w:rsidR="00527A16" w:rsidRPr="004802DE" w:rsidRDefault="00527A16" w:rsidP="00527A16">
      <w:pPr>
        <w:pStyle w:val="ListParagraph"/>
        <w:spacing w:after="240" w:line="360" w:lineRule="auto"/>
        <w:ind w:left="0"/>
        <w:jc w:val="both"/>
        <w:rPr>
          <w:b w:val="0"/>
          <w:bCs/>
        </w:rPr>
      </w:pPr>
    </w:p>
    <w:p w14:paraId="11927F0E" w14:textId="77777777" w:rsidR="00527A16" w:rsidRPr="004802DE" w:rsidRDefault="00527A16" w:rsidP="00527A16">
      <w:pPr>
        <w:pStyle w:val="ListParagraph"/>
        <w:spacing w:after="240" w:line="360" w:lineRule="auto"/>
        <w:ind w:left="0"/>
        <w:jc w:val="both"/>
        <w:rPr>
          <w:b w:val="0"/>
          <w:bCs/>
        </w:rPr>
      </w:pPr>
      <w:r w:rsidRPr="004802DE">
        <w:t xml:space="preserve"> </w:t>
      </w:r>
      <w:r w:rsidRPr="004802DE">
        <w:rPr>
          <w:b w:val="0"/>
          <w:bCs/>
        </w:rPr>
        <w:t xml:space="preserve">h) Nội dung Nghị quyết Đại hội nhà đầu tư trong kỳ báo cáo: Nghị quyết Đại hội Nhà đầu tư thường niên Năm tài chính 2021 của Quỹ Đầu tư Trái phiếu Gia tăng thu nhập cố định thông qua theo hình thức lấy ý kiến bằng văn bản ngày 06/04/2022 đã thông qua nội dung kết quả hoạt động của Quỹ năm 2021, kế hoạch hoạt động năm 2022, lựa chọn công ty kiểm toán, ngân sách ban đại diện quỹ, những thay đổi về điều lệ quỹ phù hợp với pháp luật… Nội dung chi tiết được </w:t>
      </w:r>
      <w:r w:rsidRPr="004802DE">
        <w:rPr>
          <w:b w:val="0"/>
          <w:sz w:val="22"/>
          <w:szCs w:val="22"/>
        </w:rPr>
        <w:t xml:space="preserve">công bố trên trang thông tin điện tử của quỹ/công ty quản lý quỹ tại đường dẫn </w:t>
      </w:r>
      <w:hyperlink r:id="rId9" w:history="1">
        <w:r w:rsidRPr="004802DE">
          <w:rPr>
            <w:rStyle w:val="Hyperlink"/>
            <w:b w:val="0"/>
            <w:bCs/>
          </w:rPr>
          <w:t>DCIP- Nghị quyết Đại hội thường niên năm tài chính 2021 (dragoncapital.com.vn)</w:t>
        </w:r>
      </w:hyperlink>
      <w:r w:rsidRPr="004802DE">
        <w:rPr>
          <w:b w:val="0"/>
          <w:bCs/>
        </w:rPr>
        <w:t>.</w:t>
      </w:r>
    </w:p>
    <w:p w14:paraId="31ACC807" w14:textId="58B00F98" w:rsidR="00666EF0" w:rsidRPr="004802DE" w:rsidRDefault="008B68C6" w:rsidP="00666EF0">
      <w:pPr>
        <w:autoSpaceDE w:val="0"/>
        <w:autoSpaceDN w:val="0"/>
        <w:spacing w:before="40" w:after="40" w:line="312" w:lineRule="auto"/>
        <w:jc w:val="both"/>
        <w:rPr>
          <w:b w:val="0"/>
          <w:bCs/>
        </w:rPr>
      </w:pPr>
      <w:r w:rsidRPr="004802DE">
        <w:rPr>
          <w:b w:val="0"/>
          <w:lang w:val="sv-SE"/>
        </w:rPr>
        <w:t>i</w:t>
      </w:r>
      <w:r w:rsidRPr="004802DE">
        <w:rPr>
          <w:b w:val="0"/>
          <w:bCs/>
        </w:rPr>
        <w:t xml:space="preserve">) </w:t>
      </w:r>
      <w:r w:rsidR="00666EF0" w:rsidRPr="004802DE">
        <w:rPr>
          <w:b w:val="0"/>
          <w:bCs/>
        </w:rPr>
        <w:t xml:space="preserve">Ý kiến nhận xét của ngân hàng giám sát về các nội dung quy định tại Thông tư hướng dẫn về hoạt động và quản lý các quỹ đầu tư chứng khoán.  </w:t>
      </w:r>
    </w:p>
    <w:p w14:paraId="513FC0C6" w14:textId="7553303A" w:rsidR="009B070B" w:rsidRPr="004802DE" w:rsidRDefault="00666EF0" w:rsidP="00666EF0">
      <w:pPr>
        <w:spacing w:before="120" w:after="120" w:line="360" w:lineRule="auto"/>
        <w:jc w:val="both"/>
        <w:rPr>
          <w:b w:val="0"/>
          <w:bCs/>
        </w:rPr>
      </w:pPr>
      <w:r w:rsidRPr="004802DE">
        <w:rPr>
          <w:b w:val="0"/>
          <w:bCs/>
        </w:rPr>
        <w:t>Chi tiết xin xem tại mục 4. Báo cáo hoạt động của ngân hàng giám sát  </w:t>
      </w:r>
    </w:p>
    <w:p w14:paraId="3074085F" w14:textId="01B0BF6A" w:rsidR="008B68C6" w:rsidRPr="004802DE" w:rsidRDefault="008B68C6" w:rsidP="009B070B">
      <w:pPr>
        <w:pStyle w:val="ListParagraph"/>
        <w:numPr>
          <w:ilvl w:val="0"/>
          <w:numId w:val="34"/>
        </w:numPr>
        <w:tabs>
          <w:tab w:val="left" w:pos="270"/>
          <w:tab w:val="left" w:pos="1134"/>
        </w:tabs>
        <w:autoSpaceDE w:val="0"/>
        <w:autoSpaceDN w:val="0"/>
        <w:adjustRightInd w:val="0"/>
        <w:spacing w:before="120" w:after="100" w:afterAutospacing="1" w:line="360" w:lineRule="auto"/>
        <w:jc w:val="both"/>
        <w:rPr>
          <w:b w:val="0"/>
          <w:sz w:val="22"/>
          <w:szCs w:val="22"/>
          <w:lang w:val="sv-SE"/>
        </w:rPr>
      </w:pPr>
      <w:r w:rsidRPr="004802DE">
        <w:rPr>
          <w:lang w:val="sv-SE"/>
        </w:rPr>
        <w:t xml:space="preserve">Báo cáo về kết quả hoạt động của </w:t>
      </w:r>
      <w:r w:rsidR="00D74FBD" w:rsidRPr="004802DE">
        <w:rPr>
          <w:lang w:val="sv-SE"/>
        </w:rPr>
        <w:t>quỹ</w:t>
      </w:r>
    </w:p>
    <w:p w14:paraId="398CD271" w14:textId="1889DA6E" w:rsidR="00791393" w:rsidRPr="004802DE" w:rsidRDefault="006E7584" w:rsidP="00AC7BE0">
      <w:pPr>
        <w:pStyle w:val="ListParagraph"/>
        <w:numPr>
          <w:ilvl w:val="0"/>
          <w:numId w:val="40"/>
        </w:numPr>
        <w:spacing w:after="240" w:line="360" w:lineRule="auto"/>
        <w:jc w:val="both"/>
        <w:rPr>
          <w:b w:val="0"/>
          <w:lang w:val="sv-SE"/>
        </w:rPr>
      </w:pPr>
      <w:r w:rsidRPr="004802DE">
        <w:rPr>
          <w:b w:val="0"/>
          <w:lang w:val="sv-SE"/>
        </w:rPr>
        <w:t xml:space="preserve"> </w:t>
      </w:r>
      <w:r w:rsidR="00791393" w:rsidRPr="004802DE">
        <w:rPr>
          <w:b w:val="0"/>
          <w:lang w:val="sv-SE"/>
        </w:rPr>
        <w:t xml:space="preserve"> Thông tin về danh mục đầu tư và giá trị tài sản ròng của quỹ tại thời điểm 31/12 của 3 năm gần nhất (nếu có), cụ thể:</w:t>
      </w:r>
    </w:p>
    <w:p w14:paraId="12510F0B" w14:textId="77777777" w:rsidR="00E65679" w:rsidRPr="004802DE" w:rsidRDefault="00791393" w:rsidP="00791393">
      <w:pPr>
        <w:pStyle w:val="ListParagraph"/>
        <w:numPr>
          <w:ilvl w:val="0"/>
          <w:numId w:val="25"/>
        </w:numPr>
        <w:spacing w:after="240" w:line="360" w:lineRule="auto"/>
        <w:ind w:left="360"/>
        <w:jc w:val="both"/>
        <w:rPr>
          <w:b w:val="0"/>
          <w:i/>
          <w:lang w:val="nl-NL"/>
        </w:rPr>
      </w:pPr>
      <w:r w:rsidRPr="004802DE">
        <w:rPr>
          <w:b w:val="0"/>
          <w:lang w:val="nl-NL"/>
        </w:rPr>
        <w:t xml:space="preserve">Danh mục đầu tư của quỹ phân bố theo ngành, lĩnh vực và loại sản phẩm (cổ phiếu, trái phiếu...) </w:t>
      </w:r>
      <w:r w:rsidRPr="004802DE">
        <w:rPr>
          <w:b w:val="0"/>
          <w:i/>
          <w:lang w:val="nl-NL"/>
        </w:rPr>
        <w:t>(không nêu chi tiết cả danh mục theo mã chứng khoán)</w:t>
      </w:r>
    </w:p>
    <w:p w14:paraId="7DDF9751" w14:textId="77777777" w:rsidR="00E65679" w:rsidRPr="004802DE" w:rsidRDefault="00E65679" w:rsidP="00E65679">
      <w:pPr>
        <w:spacing w:after="240" w:line="360" w:lineRule="auto"/>
        <w:jc w:val="both"/>
        <w:rPr>
          <w:b w:val="0"/>
          <w:i/>
          <w:lang w:val="nl-NL"/>
        </w:rPr>
      </w:pPr>
    </w:p>
    <w:p w14:paraId="402AA518" w14:textId="77777777" w:rsidR="00E65679" w:rsidRPr="004802DE" w:rsidRDefault="00E65679" w:rsidP="00E65679">
      <w:pPr>
        <w:spacing w:after="240" w:line="360" w:lineRule="auto"/>
        <w:jc w:val="both"/>
        <w:rPr>
          <w:b w:val="0"/>
          <w:i/>
          <w:lang w:val="nl-NL"/>
        </w:rPr>
      </w:pPr>
    </w:p>
    <w:p w14:paraId="5AE3C4A5" w14:textId="77777777" w:rsidR="00E65679" w:rsidRPr="004802DE" w:rsidRDefault="00E65679" w:rsidP="00E65679">
      <w:pPr>
        <w:spacing w:after="240" w:line="360" w:lineRule="auto"/>
        <w:jc w:val="both"/>
        <w:rPr>
          <w:b w:val="0"/>
          <w:i/>
          <w:lang w:val="nl-NL"/>
        </w:rPr>
      </w:pPr>
    </w:p>
    <w:p w14:paraId="4C7F7194" w14:textId="77777777" w:rsidR="00E65679" w:rsidRPr="004802DE" w:rsidRDefault="00E65679" w:rsidP="00E65679">
      <w:pPr>
        <w:spacing w:after="240" w:line="360" w:lineRule="auto"/>
        <w:jc w:val="both"/>
        <w:rPr>
          <w:b w:val="0"/>
          <w:i/>
          <w:lang w:val="nl-NL"/>
        </w:rPr>
      </w:pPr>
    </w:p>
    <w:tbl>
      <w:tblPr>
        <w:tblW w:w="10075" w:type="dxa"/>
        <w:tblLook w:val="04A0" w:firstRow="1" w:lastRow="0" w:firstColumn="1" w:lastColumn="0" w:noHBand="0" w:noVBand="1"/>
      </w:tblPr>
      <w:tblGrid>
        <w:gridCol w:w="594"/>
        <w:gridCol w:w="1651"/>
        <w:gridCol w:w="1890"/>
        <w:gridCol w:w="810"/>
        <w:gridCol w:w="1718"/>
        <w:gridCol w:w="1072"/>
        <w:gridCol w:w="1607"/>
        <w:gridCol w:w="895"/>
      </w:tblGrid>
      <w:tr w:rsidR="004518B9" w:rsidRPr="004802DE" w14:paraId="671AE57C" w14:textId="77777777" w:rsidTr="004A5E2A">
        <w:trPr>
          <w:trHeight w:val="28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5B6A9" w14:textId="77777777" w:rsidR="00E65679" w:rsidRPr="004802DE" w:rsidRDefault="00E65679" w:rsidP="0040771A">
            <w:pPr>
              <w:rPr>
                <w:rFonts w:ascii="Arial" w:hAnsi="Arial" w:cs="Arial"/>
                <w:bCs/>
                <w:sz w:val="20"/>
                <w:szCs w:val="20"/>
              </w:rPr>
            </w:pPr>
            <w:r w:rsidRPr="004802DE">
              <w:rPr>
                <w:rFonts w:ascii="Arial" w:hAnsi="Arial" w:cs="Arial"/>
                <w:bCs/>
                <w:sz w:val="20"/>
                <w:szCs w:val="20"/>
              </w:rPr>
              <w:lastRenderedPageBreak/>
              <w:t>STT</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14:paraId="20CD2373" w14:textId="77777777" w:rsidR="00E65679" w:rsidRPr="004802DE" w:rsidRDefault="00E65679" w:rsidP="0040771A">
            <w:pPr>
              <w:rPr>
                <w:rFonts w:ascii="Arial" w:hAnsi="Arial" w:cs="Arial"/>
                <w:bCs/>
                <w:sz w:val="20"/>
                <w:szCs w:val="20"/>
              </w:rPr>
            </w:pPr>
            <w:r w:rsidRPr="004802DE">
              <w:rPr>
                <w:rFonts w:ascii="Arial" w:hAnsi="Arial" w:cs="Arial"/>
                <w:bCs/>
                <w:sz w:val="20"/>
                <w:szCs w:val="20"/>
              </w:rPr>
              <w:t xml:space="preserve">Chỉ tiêu </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D5B323" w14:textId="4A7CF575" w:rsidR="00E65679" w:rsidRPr="004802DE" w:rsidRDefault="00E65679" w:rsidP="004802DE">
            <w:pPr>
              <w:jc w:val="center"/>
              <w:rPr>
                <w:rFonts w:ascii="Arial" w:hAnsi="Arial" w:cs="Arial"/>
                <w:bCs/>
                <w:sz w:val="20"/>
                <w:szCs w:val="20"/>
              </w:rPr>
            </w:pPr>
            <w:r w:rsidRPr="004802DE">
              <w:rPr>
                <w:rFonts w:ascii="Arial" w:hAnsi="Arial" w:cs="Arial"/>
                <w:bCs/>
                <w:sz w:val="20"/>
                <w:szCs w:val="20"/>
              </w:rPr>
              <w:t>31/12/2022</w:t>
            </w:r>
          </w:p>
        </w:tc>
        <w:tc>
          <w:tcPr>
            <w:tcW w:w="27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46470B" w14:textId="77777777" w:rsidR="00E65679" w:rsidRPr="004802DE" w:rsidRDefault="00E65679" w:rsidP="004802DE">
            <w:pPr>
              <w:jc w:val="center"/>
              <w:rPr>
                <w:rFonts w:ascii="Arial" w:hAnsi="Arial" w:cs="Arial"/>
                <w:bCs/>
                <w:sz w:val="20"/>
                <w:szCs w:val="20"/>
              </w:rPr>
            </w:pPr>
            <w:r w:rsidRPr="004802DE">
              <w:rPr>
                <w:rFonts w:ascii="Arial" w:hAnsi="Arial" w:cs="Arial"/>
                <w:bCs/>
                <w:sz w:val="20"/>
                <w:szCs w:val="20"/>
              </w:rPr>
              <w:t>31/12/2021</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203840" w14:textId="77777777" w:rsidR="00E65679" w:rsidRPr="004802DE" w:rsidRDefault="00E65679" w:rsidP="004802DE">
            <w:pPr>
              <w:jc w:val="center"/>
              <w:rPr>
                <w:rFonts w:ascii="Arial" w:hAnsi="Arial" w:cs="Arial"/>
                <w:bCs/>
                <w:sz w:val="20"/>
                <w:szCs w:val="20"/>
              </w:rPr>
            </w:pPr>
            <w:r w:rsidRPr="004802DE">
              <w:rPr>
                <w:rFonts w:ascii="Arial" w:hAnsi="Arial" w:cs="Arial"/>
                <w:bCs/>
                <w:sz w:val="20"/>
                <w:szCs w:val="20"/>
              </w:rPr>
              <w:t>31/12/2020</w:t>
            </w:r>
          </w:p>
        </w:tc>
      </w:tr>
      <w:tr w:rsidR="004802DE" w:rsidRPr="004802DE" w14:paraId="257E93D4" w14:textId="77777777" w:rsidTr="004A5E2A">
        <w:trPr>
          <w:trHeight w:val="2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DE2B804" w14:textId="77777777" w:rsidR="00E65679" w:rsidRPr="004802DE" w:rsidRDefault="00E65679" w:rsidP="0040771A">
            <w:pPr>
              <w:jc w:val="center"/>
              <w:rPr>
                <w:rFonts w:ascii="Arial" w:hAnsi="Arial" w:cs="Arial"/>
                <w:b w:val="0"/>
                <w:sz w:val="20"/>
                <w:szCs w:val="20"/>
              </w:rPr>
            </w:pPr>
            <w:r w:rsidRPr="004802DE">
              <w:rPr>
                <w:rFonts w:ascii="Arial" w:hAnsi="Arial" w:cs="Arial"/>
                <w:b w:val="0"/>
                <w:sz w:val="20"/>
                <w:szCs w:val="20"/>
              </w:rPr>
              <w:t>1</w:t>
            </w:r>
          </w:p>
        </w:tc>
        <w:tc>
          <w:tcPr>
            <w:tcW w:w="1651" w:type="dxa"/>
            <w:tcBorders>
              <w:top w:val="nil"/>
              <w:left w:val="nil"/>
              <w:bottom w:val="single" w:sz="4" w:space="0" w:color="auto"/>
              <w:right w:val="single" w:sz="4" w:space="0" w:color="auto"/>
            </w:tcBorders>
            <w:shd w:val="clear" w:color="auto" w:fill="auto"/>
            <w:noWrap/>
            <w:vAlign w:val="center"/>
            <w:hideMark/>
          </w:tcPr>
          <w:p w14:paraId="4DBA2F7E" w14:textId="77777777" w:rsidR="00E65679" w:rsidRPr="004802DE" w:rsidRDefault="00E65679" w:rsidP="0040771A">
            <w:pPr>
              <w:rPr>
                <w:rFonts w:ascii="Arial" w:hAnsi="Arial" w:cs="Arial"/>
                <w:b w:val="0"/>
                <w:sz w:val="20"/>
                <w:szCs w:val="20"/>
              </w:rPr>
            </w:pPr>
            <w:r w:rsidRPr="004802DE">
              <w:rPr>
                <w:rFonts w:ascii="Arial" w:hAnsi="Arial" w:cs="Arial"/>
                <w:b w:val="0"/>
                <w:sz w:val="20"/>
                <w:szCs w:val="20"/>
              </w:rPr>
              <w:t xml:space="preserve">Cổ phiếu </w:t>
            </w:r>
          </w:p>
        </w:tc>
        <w:tc>
          <w:tcPr>
            <w:tcW w:w="1890" w:type="dxa"/>
            <w:tcBorders>
              <w:top w:val="nil"/>
              <w:left w:val="nil"/>
              <w:bottom w:val="single" w:sz="4" w:space="0" w:color="auto"/>
              <w:right w:val="single" w:sz="4" w:space="0" w:color="auto"/>
            </w:tcBorders>
            <w:shd w:val="clear" w:color="auto" w:fill="auto"/>
            <w:noWrap/>
            <w:vAlign w:val="center"/>
            <w:hideMark/>
          </w:tcPr>
          <w:p w14:paraId="7ABCDDE5"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w:t>
            </w:r>
          </w:p>
        </w:tc>
        <w:tc>
          <w:tcPr>
            <w:tcW w:w="810" w:type="dxa"/>
            <w:tcBorders>
              <w:top w:val="nil"/>
              <w:left w:val="nil"/>
              <w:bottom w:val="single" w:sz="4" w:space="0" w:color="auto"/>
              <w:right w:val="single" w:sz="4" w:space="0" w:color="auto"/>
            </w:tcBorders>
            <w:shd w:val="clear" w:color="auto" w:fill="auto"/>
            <w:noWrap/>
            <w:vAlign w:val="center"/>
            <w:hideMark/>
          </w:tcPr>
          <w:p w14:paraId="3A999453" w14:textId="010E88BD"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w:t>
            </w:r>
          </w:p>
        </w:tc>
        <w:tc>
          <w:tcPr>
            <w:tcW w:w="1718" w:type="dxa"/>
            <w:tcBorders>
              <w:top w:val="nil"/>
              <w:left w:val="nil"/>
              <w:bottom w:val="single" w:sz="4" w:space="0" w:color="auto"/>
              <w:right w:val="single" w:sz="4" w:space="0" w:color="auto"/>
            </w:tcBorders>
            <w:shd w:val="clear" w:color="auto" w:fill="auto"/>
            <w:noWrap/>
            <w:vAlign w:val="center"/>
          </w:tcPr>
          <w:p w14:paraId="30DC10FD"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w:t>
            </w:r>
          </w:p>
        </w:tc>
        <w:tc>
          <w:tcPr>
            <w:tcW w:w="1072" w:type="dxa"/>
            <w:tcBorders>
              <w:top w:val="nil"/>
              <w:left w:val="nil"/>
              <w:bottom w:val="single" w:sz="4" w:space="0" w:color="auto"/>
              <w:right w:val="single" w:sz="4" w:space="0" w:color="auto"/>
            </w:tcBorders>
            <w:shd w:val="clear" w:color="auto" w:fill="auto"/>
            <w:noWrap/>
            <w:vAlign w:val="center"/>
            <w:hideMark/>
          </w:tcPr>
          <w:p w14:paraId="058495C7"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w:t>
            </w:r>
          </w:p>
        </w:tc>
        <w:tc>
          <w:tcPr>
            <w:tcW w:w="1607" w:type="dxa"/>
            <w:tcBorders>
              <w:top w:val="nil"/>
              <w:left w:val="nil"/>
              <w:bottom w:val="single" w:sz="4" w:space="0" w:color="auto"/>
              <w:right w:val="single" w:sz="4" w:space="0" w:color="auto"/>
            </w:tcBorders>
            <w:shd w:val="clear" w:color="auto" w:fill="auto"/>
            <w:noWrap/>
            <w:vAlign w:val="center"/>
            <w:hideMark/>
          </w:tcPr>
          <w:p w14:paraId="4A729AEE"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35.831.500</w:t>
            </w:r>
          </w:p>
        </w:tc>
        <w:tc>
          <w:tcPr>
            <w:tcW w:w="733" w:type="dxa"/>
            <w:tcBorders>
              <w:top w:val="nil"/>
              <w:left w:val="nil"/>
              <w:bottom w:val="single" w:sz="4" w:space="0" w:color="auto"/>
              <w:right w:val="single" w:sz="4" w:space="0" w:color="auto"/>
            </w:tcBorders>
            <w:shd w:val="clear" w:color="auto" w:fill="auto"/>
            <w:noWrap/>
            <w:vAlign w:val="center"/>
            <w:hideMark/>
          </w:tcPr>
          <w:p w14:paraId="29AE79AC"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0,30%</w:t>
            </w:r>
          </w:p>
        </w:tc>
      </w:tr>
      <w:tr w:rsidR="004802DE" w:rsidRPr="004802DE" w14:paraId="2A81F696" w14:textId="77777777" w:rsidTr="004A5E2A">
        <w:trPr>
          <w:trHeight w:val="2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3F9E56A" w14:textId="77777777" w:rsidR="00E65679" w:rsidRPr="004802DE" w:rsidRDefault="00E65679" w:rsidP="0040771A">
            <w:pPr>
              <w:jc w:val="center"/>
              <w:rPr>
                <w:rFonts w:ascii="Arial" w:hAnsi="Arial" w:cs="Arial"/>
                <w:b w:val="0"/>
                <w:sz w:val="20"/>
                <w:szCs w:val="20"/>
              </w:rPr>
            </w:pPr>
            <w:r w:rsidRPr="004802DE">
              <w:rPr>
                <w:rFonts w:ascii="Arial" w:hAnsi="Arial" w:cs="Arial"/>
                <w:b w:val="0"/>
                <w:sz w:val="20"/>
                <w:szCs w:val="20"/>
              </w:rPr>
              <w:t>2</w:t>
            </w:r>
          </w:p>
        </w:tc>
        <w:tc>
          <w:tcPr>
            <w:tcW w:w="1651" w:type="dxa"/>
            <w:tcBorders>
              <w:top w:val="nil"/>
              <w:left w:val="nil"/>
              <w:bottom w:val="single" w:sz="4" w:space="0" w:color="auto"/>
              <w:right w:val="single" w:sz="4" w:space="0" w:color="auto"/>
            </w:tcBorders>
            <w:shd w:val="clear" w:color="auto" w:fill="auto"/>
            <w:noWrap/>
            <w:vAlign w:val="center"/>
            <w:hideMark/>
          </w:tcPr>
          <w:p w14:paraId="24E2CC3B" w14:textId="77777777" w:rsidR="00E65679" w:rsidRPr="004802DE" w:rsidRDefault="00E65679" w:rsidP="0040771A">
            <w:pPr>
              <w:rPr>
                <w:rFonts w:ascii="Arial" w:hAnsi="Arial" w:cs="Arial"/>
                <w:b w:val="0"/>
                <w:sz w:val="20"/>
                <w:szCs w:val="20"/>
              </w:rPr>
            </w:pPr>
            <w:r w:rsidRPr="004802DE">
              <w:rPr>
                <w:rFonts w:ascii="Arial" w:hAnsi="Arial" w:cs="Arial"/>
                <w:b w:val="0"/>
                <w:sz w:val="20"/>
                <w:szCs w:val="20"/>
              </w:rPr>
              <w:t>Trái phiếu</w:t>
            </w:r>
          </w:p>
        </w:tc>
        <w:tc>
          <w:tcPr>
            <w:tcW w:w="1890" w:type="dxa"/>
            <w:tcBorders>
              <w:top w:val="nil"/>
              <w:left w:val="nil"/>
              <w:bottom w:val="single" w:sz="4" w:space="0" w:color="auto"/>
              <w:right w:val="single" w:sz="4" w:space="0" w:color="auto"/>
            </w:tcBorders>
            <w:shd w:val="clear" w:color="auto" w:fill="auto"/>
            <w:noWrap/>
            <w:vAlign w:val="center"/>
            <w:hideMark/>
          </w:tcPr>
          <w:p w14:paraId="2BC1BA2B"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259.856.156.004</w:t>
            </w:r>
          </w:p>
        </w:tc>
        <w:tc>
          <w:tcPr>
            <w:tcW w:w="810" w:type="dxa"/>
            <w:tcBorders>
              <w:top w:val="nil"/>
              <w:left w:val="nil"/>
              <w:bottom w:val="single" w:sz="4" w:space="0" w:color="auto"/>
              <w:right w:val="single" w:sz="4" w:space="0" w:color="auto"/>
            </w:tcBorders>
            <w:shd w:val="clear" w:color="auto" w:fill="auto"/>
            <w:noWrap/>
            <w:vAlign w:val="center"/>
            <w:hideMark/>
          </w:tcPr>
          <w:p w14:paraId="420FC914" w14:textId="2DF47E16"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88%</w:t>
            </w:r>
          </w:p>
        </w:tc>
        <w:tc>
          <w:tcPr>
            <w:tcW w:w="1718" w:type="dxa"/>
            <w:tcBorders>
              <w:top w:val="nil"/>
              <w:left w:val="nil"/>
              <w:bottom w:val="single" w:sz="4" w:space="0" w:color="auto"/>
              <w:right w:val="single" w:sz="4" w:space="0" w:color="auto"/>
            </w:tcBorders>
            <w:shd w:val="clear" w:color="auto" w:fill="auto"/>
            <w:noWrap/>
            <w:vAlign w:val="center"/>
            <w:hideMark/>
          </w:tcPr>
          <w:p w14:paraId="72A1ECB7"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105.760.645.206</w:t>
            </w:r>
          </w:p>
        </w:tc>
        <w:tc>
          <w:tcPr>
            <w:tcW w:w="1072" w:type="dxa"/>
            <w:tcBorders>
              <w:top w:val="nil"/>
              <w:left w:val="nil"/>
              <w:bottom w:val="single" w:sz="4" w:space="0" w:color="auto"/>
              <w:right w:val="single" w:sz="4" w:space="0" w:color="auto"/>
            </w:tcBorders>
            <w:shd w:val="clear" w:color="auto" w:fill="auto"/>
            <w:noWrap/>
            <w:vAlign w:val="center"/>
            <w:hideMark/>
          </w:tcPr>
          <w:p w14:paraId="49030A43"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38,98%</w:t>
            </w:r>
          </w:p>
        </w:tc>
        <w:tc>
          <w:tcPr>
            <w:tcW w:w="1607" w:type="dxa"/>
            <w:tcBorders>
              <w:top w:val="nil"/>
              <w:left w:val="nil"/>
              <w:bottom w:val="single" w:sz="4" w:space="0" w:color="auto"/>
              <w:right w:val="single" w:sz="4" w:space="0" w:color="auto"/>
            </w:tcBorders>
            <w:shd w:val="clear" w:color="auto" w:fill="auto"/>
            <w:noWrap/>
            <w:vAlign w:val="center"/>
            <w:hideMark/>
          </w:tcPr>
          <w:p w14:paraId="14AD87D5"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w:t>
            </w:r>
          </w:p>
        </w:tc>
        <w:tc>
          <w:tcPr>
            <w:tcW w:w="733" w:type="dxa"/>
            <w:tcBorders>
              <w:top w:val="nil"/>
              <w:left w:val="nil"/>
              <w:bottom w:val="single" w:sz="4" w:space="0" w:color="auto"/>
              <w:right w:val="single" w:sz="4" w:space="0" w:color="auto"/>
            </w:tcBorders>
            <w:shd w:val="clear" w:color="auto" w:fill="auto"/>
            <w:noWrap/>
            <w:vAlign w:val="center"/>
            <w:hideMark/>
          </w:tcPr>
          <w:p w14:paraId="6040A189"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w:t>
            </w:r>
          </w:p>
        </w:tc>
      </w:tr>
      <w:tr w:rsidR="004802DE" w:rsidRPr="004802DE" w14:paraId="21E17B21" w14:textId="77777777" w:rsidTr="004A5E2A">
        <w:trPr>
          <w:trHeight w:val="2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6DDAEF5" w14:textId="77777777" w:rsidR="00E65679" w:rsidRPr="004802DE" w:rsidRDefault="00E65679" w:rsidP="0040771A">
            <w:pPr>
              <w:jc w:val="center"/>
              <w:rPr>
                <w:rFonts w:ascii="Arial" w:hAnsi="Arial" w:cs="Arial"/>
                <w:b w:val="0"/>
                <w:sz w:val="20"/>
                <w:szCs w:val="20"/>
              </w:rPr>
            </w:pPr>
            <w:r w:rsidRPr="004802DE">
              <w:rPr>
                <w:rFonts w:ascii="Arial" w:hAnsi="Arial" w:cs="Arial"/>
                <w:b w:val="0"/>
                <w:sz w:val="20"/>
                <w:szCs w:val="20"/>
              </w:rPr>
              <w:t>3</w:t>
            </w:r>
          </w:p>
        </w:tc>
        <w:tc>
          <w:tcPr>
            <w:tcW w:w="1651" w:type="dxa"/>
            <w:tcBorders>
              <w:top w:val="nil"/>
              <w:left w:val="nil"/>
              <w:bottom w:val="single" w:sz="4" w:space="0" w:color="auto"/>
              <w:right w:val="single" w:sz="4" w:space="0" w:color="auto"/>
            </w:tcBorders>
            <w:shd w:val="clear" w:color="auto" w:fill="auto"/>
            <w:noWrap/>
            <w:vAlign w:val="center"/>
            <w:hideMark/>
          </w:tcPr>
          <w:p w14:paraId="118DDE60" w14:textId="77777777" w:rsidR="00E65679" w:rsidRPr="004802DE" w:rsidRDefault="00E65679" w:rsidP="0040771A">
            <w:pPr>
              <w:rPr>
                <w:rFonts w:ascii="Arial" w:hAnsi="Arial" w:cs="Arial"/>
                <w:b w:val="0"/>
                <w:sz w:val="20"/>
                <w:szCs w:val="20"/>
              </w:rPr>
            </w:pPr>
            <w:r w:rsidRPr="004802DE">
              <w:rPr>
                <w:rFonts w:ascii="Arial" w:hAnsi="Arial" w:cs="Arial"/>
                <w:b w:val="0"/>
                <w:sz w:val="20"/>
                <w:szCs w:val="20"/>
              </w:rPr>
              <w:t>Chứng chỉ tiền gửi</w:t>
            </w:r>
          </w:p>
        </w:tc>
        <w:tc>
          <w:tcPr>
            <w:tcW w:w="1890" w:type="dxa"/>
            <w:tcBorders>
              <w:top w:val="nil"/>
              <w:left w:val="nil"/>
              <w:bottom w:val="single" w:sz="4" w:space="0" w:color="auto"/>
              <w:right w:val="single" w:sz="4" w:space="0" w:color="auto"/>
            </w:tcBorders>
            <w:shd w:val="clear" w:color="auto" w:fill="auto"/>
            <w:noWrap/>
            <w:vAlign w:val="center"/>
            <w:hideMark/>
          </w:tcPr>
          <w:p w14:paraId="0A98B589"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w:t>
            </w:r>
          </w:p>
        </w:tc>
        <w:tc>
          <w:tcPr>
            <w:tcW w:w="810" w:type="dxa"/>
            <w:tcBorders>
              <w:top w:val="nil"/>
              <w:left w:val="nil"/>
              <w:bottom w:val="single" w:sz="4" w:space="0" w:color="auto"/>
              <w:right w:val="single" w:sz="4" w:space="0" w:color="auto"/>
            </w:tcBorders>
            <w:shd w:val="clear" w:color="auto" w:fill="auto"/>
            <w:noWrap/>
            <w:vAlign w:val="center"/>
            <w:hideMark/>
          </w:tcPr>
          <w:p w14:paraId="1F790623" w14:textId="15637543"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w:t>
            </w:r>
          </w:p>
        </w:tc>
        <w:tc>
          <w:tcPr>
            <w:tcW w:w="1718" w:type="dxa"/>
            <w:tcBorders>
              <w:top w:val="nil"/>
              <w:left w:val="nil"/>
              <w:bottom w:val="single" w:sz="4" w:space="0" w:color="auto"/>
              <w:right w:val="single" w:sz="4" w:space="0" w:color="auto"/>
            </w:tcBorders>
            <w:shd w:val="clear" w:color="auto" w:fill="auto"/>
            <w:noWrap/>
            <w:vAlign w:val="center"/>
            <w:hideMark/>
          </w:tcPr>
          <w:p w14:paraId="00ED3D7E"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94.794.372.478</w:t>
            </w:r>
          </w:p>
        </w:tc>
        <w:tc>
          <w:tcPr>
            <w:tcW w:w="1072" w:type="dxa"/>
            <w:tcBorders>
              <w:top w:val="nil"/>
              <w:left w:val="nil"/>
              <w:bottom w:val="single" w:sz="4" w:space="0" w:color="auto"/>
              <w:right w:val="single" w:sz="4" w:space="0" w:color="auto"/>
            </w:tcBorders>
            <w:shd w:val="clear" w:color="auto" w:fill="auto"/>
            <w:noWrap/>
            <w:vAlign w:val="center"/>
            <w:hideMark/>
          </w:tcPr>
          <w:p w14:paraId="285CB6E8"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34,94%</w:t>
            </w:r>
          </w:p>
        </w:tc>
        <w:tc>
          <w:tcPr>
            <w:tcW w:w="1607" w:type="dxa"/>
            <w:tcBorders>
              <w:top w:val="nil"/>
              <w:left w:val="nil"/>
              <w:bottom w:val="single" w:sz="4" w:space="0" w:color="auto"/>
              <w:right w:val="single" w:sz="4" w:space="0" w:color="auto"/>
            </w:tcBorders>
            <w:shd w:val="clear" w:color="auto" w:fill="auto"/>
            <w:noWrap/>
            <w:vAlign w:val="center"/>
            <w:hideMark/>
          </w:tcPr>
          <w:p w14:paraId="07E1BB9A"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w:t>
            </w:r>
          </w:p>
        </w:tc>
        <w:tc>
          <w:tcPr>
            <w:tcW w:w="733" w:type="dxa"/>
            <w:tcBorders>
              <w:top w:val="nil"/>
              <w:left w:val="nil"/>
              <w:bottom w:val="single" w:sz="4" w:space="0" w:color="auto"/>
              <w:right w:val="single" w:sz="4" w:space="0" w:color="auto"/>
            </w:tcBorders>
            <w:shd w:val="clear" w:color="auto" w:fill="auto"/>
            <w:noWrap/>
            <w:vAlign w:val="center"/>
            <w:hideMark/>
          </w:tcPr>
          <w:p w14:paraId="79E6AF56"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w:t>
            </w:r>
          </w:p>
        </w:tc>
      </w:tr>
      <w:tr w:rsidR="004802DE" w:rsidRPr="004802DE" w14:paraId="4FD38CBC" w14:textId="77777777" w:rsidTr="004A5E2A">
        <w:trPr>
          <w:trHeight w:val="2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23D6D0A" w14:textId="77777777" w:rsidR="00E65679" w:rsidRPr="004802DE" w:rsidRDefault="00E65679" w:rsidP="0040771A">
            <w:pPr>
              <w:jc w:val="center"/>
              <w:rPr>
                <w:rFonts w:ascii="Arial" w:hAnsi="Arial" w:cs="Arial"/>
                <w:b w:val="0"/>
                <w:sz w:val="20"/>
                <w:szCs w:val="20"/>
              </w:rPr>
            </w:pPr>
            <w:r w:rsidRPr="004802DE">
              <w:rPr>
                <w:rFonts w:ascii="Arial" w:hAnsi="Arial" w:cs="Arial"/>
                <w:b w:val="0"/>
                <w:sz w:val="20"/>
                <w:szCs w:val="20"/>
              </w:rPr>
              <w:t>4</w:t>
            </w:r>
          </w:p>
        </w:tc>
        <w:tc>
          <w:tcPr>
            <w:tcW w:w="1651" w:type="dxa"/>
            <w:tcBorders>
              <w:top w:val="nil"/>
              <w:left w:val="nil"/>
              <w:bottom w:val="single" w:sz="4" w:space="0" w:color="auto"/>
              <w:right w:val="single" w:sz="4" w:space="0" w:color="auto"/>
            </w:tcBorders>
            <w:shd w:val="clear" w:color="auto" w:fill="auto"/>
            <w:noWrap/>
            <w:vAlign w:val="center"/>
            <w:hideMark/>
          </w:tcPr>
          <w:p w14:paraId="698D007B" w14:textId="77777777" w:rsidR="00E65679" w:rsidRPr="004802DE" w:rsidRDefault="00E65679" w:rsidP="0040771A">
            <w:pPr>
              <w:rPr>
                <w:rFonts w:ascii="Arial" w:hAnsi="Arial" w:cs="Arial"/>
                <w:b w:val="0"/>
                <w:sz w:val="20"/>
                <w:szCs w:val="20"/>
              </w:rPr>
            </w:pPr>
            <w:r w:rsidRPr="004802DE">
              <w:rPr>
                <w:rFonts w:ascii="Arial" w:hAnsi="Arial" w:cs="Arial"/>
                <w:b w:val="0"/>
                <w:sz w:val="20"/>
                <w:szCs w:val="20"/>
              </w:rPr>
              <w:t>Tiền gửi ngân hàng</w:t>
            </w:r>
          </w:p>
        </w:tc>
        <w:tc>
          <w:tcPr>
            <w:tcW w:w="1890" w:type="dxa"/>
            <w:tcBorders>
              <w:top w:val="nil"/>
              <w:left w:val="nil"/>
              <w:bottom w:val="single" w:sz="4" w:space="0" w:color="auto"/>
              <w:right w:val="single" w:sz="4" w:space="0" w:color="auto"/>
            </w:tcBorders>
            <w:shd w:val="clear" w:color="auto" w:fill="auto"/>
            <w:noWrap/>
            <w:vAlign w:val="center"/>
            <w:hideMark/>
          </w:tcPr>
          <w:p w14:paraId="61586571"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33.810.668.894</w:t>
            </w:r>
          </w:p>
        </w:tc>
        <w:tc>
          <w:tcPr>
            <w:tcW w:w="810" w:type="dxa"/>
            <w:tcBorders>
              <w:top w:val="nil"/>
              <w:left w:val="nil"/>
              <w:bottom w:val="single" w:sz="4" w:space="0" w:color="auto"/>
              <w:right w:val="single" w:sz="4" w:space="0" w:color="auto"/>
            </w:tcBorders>
            <w:shd w:val="clear" w:color="auto" w:fill="auto"/>
            <w:noWrap/>
            <w:vAlign w:val="center"/>
            <w:hideMark/>
          </w:tcPr>
          <w:p w14:paraId="17389C6F" w14:textId="3D722EFE"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12%</w:t>
            </w:r>
          </w:p>
        </w:tc>
        <w:tc>
          <w:tcPr>
            <w:tcW w:w="1718" w:type="dxa"/>
            <w:tcBorders>
              <w:top w:val="nil"/>
              <w:left w:val="nil"/>
              <w:bottom w:val="single" w:sz="4" w:space="0" w:color="auto"/>
              <w:right w:val="single" w:sz="4" w:space="0" w:color="auto"/>
            </w:tcBorders>
            <w:shd w:val="clear" w:color="auto" w:fill="auto"/>
            <w:noWrap/>
            <w:vAlign w:val="center"/>
            <w:hideMark/>
          </w:tcPr>
          <w:p w14:paraId="71D615E1"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69.745.423.286</w:t>
            </w:r>
          </w:p>
        </w:tc>
        <w:tc>
          <w:tcPr>
            <w:tcW w:w="1072" w:type="dxa"/>
            <w:tcBorders>
              <w:top w:val="nil"/>
              <w:left w:val="nil"/>
              <w:bottom w:val="single" w:sz="4" w:space="0" w:color="auto"/>
              <w:right w:val="single" w:sz="4" w:space="0" w:color="auto"/>
            </w:tcBorders>
            <w:shd w:val="clear" w:color="auto" w:fill="auto"/>
            <w:noWrap/>
            <w:vAlign w:val="center"/>
            <w:hideMark/>
          </w:tcPr>
          <w:p w14:paraId="3D12447C"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25,71%</w:t>
            </w:r>
          </w:p>
        </w:tc>
        <w:tc>
          <w:tcPr>
            <w:tcW w:w="1607" w:type="dxa"/>
            <w:tcBorders>
              <w:top w:val="nil"/>
              <w:left w:val="nil"/>
              <w:bottom w:val="single" w:sz="4" w:space="0" w:color="auto"/>
              <w:right w:val="single" w:sz="4" w:space="0" w:color="auto"/>
            </w:tcBorders>
            <w:shd w:val="clear" w:color="auto" w:fill="auto"/>
            <w:noWrap/>
            <w:vAlign w:val="center"/>
            <w:hideMark/>
          </w:tcPr>
          <w:p w14:paraId="00DA2AAF"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6.007.890.412</w:t>
            </w:r>
          </w:p>
        </w:tc>
        <w:tc>
          <w:tcPr>
            <w:tcW w:w="733" w:type="dxa"/>
            <w:tcBorders>
              <w:top w:val="nil"/>
              <w:left w:val="nil"/>
              <w:bottom w:val="single" w:sz="4" w:space="0" w:color="auto"/>
              <w:right w:val="single" w:sz="4" w:space="0" w:color="auto"/>
            </w:tcBorders>
            <w:shd w:val="clear" w:color="auto" w:fill="auto"/>
            <w:noWrap/>
            <w:vAlign w:val="center"/>
            <w:hideMark/>
          </w:tcPr>
          <w:p w14:paraId="4CA422B0"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49,80%</w:t>
            </w:r>
          </w:p>
        </w:tc>
      </w:tr>
      <w:tr w:rsidR="004802DE" w:rsidRPr="004802DE" w14:paraId="7F245FAF" w14:textId="77777777" w:rsidTr="004A5E2A">
        <w:trPr>
          <w:trHeight w:val="2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01CAE297" w14:textId="77777777" w:rsidR="00E65679" w:rsidRPr="004802DE" w:rsidRDefault="00E65679" w:rsidP="0040771A">
            <w:pPr>
              <w:jc w:val="center"/>
              <w:rPr>
                <w:rFonts w:ascii="Arial" w:hAnsi="Arial" w:cs="Arial"/>
                <w:b w:val="0"/>
                <w:sz w:val="20"/>
                <w:szCs w:val="20"/>
              </w:rPr>
            </w:pPr>
            <w:r w:rsidRPr="004802DE">
              <w:rPr>
                <w:rFonts w:ascii="Arial" w:hAnsi="Arial" w:cs="Arial"/>
                <w:b w:val="0"/>
                <w:sz w:val="20"/>
                <w:szCs w:val="20"/>
              </w:rPr>
              <w:t>5</w:t>
            </w:r>
          </w:p>
        </w:tc>
        <w:tc>
          <w:tcPr>
            <w:tcW w:w="1651" w:type="dxa"/>
            <w:tcBorders>
              <w:top w:val="nil"/>
              <w:left w:val="nil"/>
              <w:bottom w:val="single" w:sz="4" w:space="0" w:color="auto"/>
              <w:right w:val="single" w:sz="4" w:space="0" w:color="auto"/>
            </w:tcBorders>
            <w:shd w:val="clear" w:color="auto" w:fill="auto"/>
            <w:noWrap/>
            <w:vAlign w:val="center"/>
            <w:hideMark/>
          </w:tcPr>
          <w:p w14:paraId="5F63699C" w14:textId="77777777" w:rsidR="00E65679" w:rsidRPr="004802DE" w:rsidRDefault="00E65679" w:rsidP="0040771A">
            <w:pPr>
              <w:rPr>
                <w:rFonts w:ascii="Arial" w:hAnsi="Arial" w:cs="Arial"/>
                <w:b w:val="0"/>
                <w:sz w:val="20"/>
                <w:szCs w:val="20"/>
              </w:rPr>
            </w:pPr>
            <w:r w:rsidRPr="004802DE">
              <w:rPr>
                <w:rFonts w:ascii="Arial" w:hAnsi="Arial" w:cs="Arial"/>
                <w:b w:val="0"/>
                <w:sz w:val="20"/>
                <w:szCs w:val="20"/>
              </w:rPr>
              <w:t>Tiền &amp; Tài sản khác</w:t>
            </w:r>
          </w:p>
        </w:tc>
        <w:tc>
          <w:tcPr>
            <w:tcW w:w="1890" w:type="dxa"/>
            <w:tcBorders>
              <w:top w:val="nil"/>
              <w:left w:val="nil"/>
              <w:bottom w:val="single" w:sz="4" w:space="0" w:color="auto"/>
              <w:right w:val="single" w:sz="4" w:space="0" w:color="auto"/>
            </w:tcBorders>
            <w:shd w:val="clear" w:color="auto" w:fill="auto"/>
            <w:noWrap/>
            <w:vAlign w:val="center"/>
            <w:hideMark/>
          </w:tcPr>
          <w:p w14:paraId="03D76CB4"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135.747.154</w:t>
            </w:r>
          </w:p>
        </w:tc>
        <w:tc>
          <w:tcPr>
            <w:tcW w:w="810" w:type="dxa"/>
            <w:tcBorders>
              <w:top w:val="nil"/>
              <w:left w:val="nil"/>
              <w:bottom w:val="single" w:sz="4" w:space="0" w:color="auto"/>
              <w:right w:val="single" w:sz="4" w:space="0" w:color="auto"/>
            </w:tcBorders>
            <w:shd w:val="clear" w:color="auto" w:fill="auto"/>
            <w:noWrap/>
            <w:vAlign w:val="center"/>
            <w:hideMark/>
          </w:tcPr>
          <w:p w14:paraId="7A71F680" w14:textId="59A4EF1D"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w:t>
            </w:r>
          </w:p>
        </w:tc>
        <w:tc>
          <w:tcPr>
            <w:tcW w:w="1718" w:type="dxa"/>
            <w:tcBorders>
              <w:top w:val="nil"/>
              <w:left w:val="nil"/>
              <w:bottom w:val="single" w:sz="4" w:space="0" w:color="auto"/>
              <w:right w:val="single" w:sz="4" w:space="0" w:color="auto"/>
            </w:tcBorders>
            <w:shd w:val="clear" w:color="auto" w:fill="auto"/>
            <w:noWrap/>
            <w:vAlign w:val="center"/>
            <w:hideMark/>
          </w:tcPr>
          <w:p w14:paraId="010A86CA"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985.499.645</w:t>
            </w:r>
          </w:p>
        </w:tc>
        <w:tc>
          <w:tcPr>
            <w:tcW w:w="1072" w:type="dxa"/>
            <w:tcBorders>
              <w:top w:val="nil"/>
              <w:left w:val="nil"/>
              <w:bottom w:val="single" w:sz="4" w:space="0" w:color="auto"/>
              <w:right w:val="single" w:sz="4" w:space="0" w:color="auto"/>
            </w:tcBorders>
            <w:shd w:val="clear" w:color="auto" w:fill="auto"/>
            <w:noWrap/>
            <w:vAlign w:val="center"/>
            <w:hideMark/>
          </w:tcPr>
          <w:p w14:paraId="0BE19148"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0,36%</w:t>
            </w:r>
          </w:p>
        </w:tc>
        <w:tc>
          <w:tcPr>
            <w:tcW w:w="1607" w:type="dxa"/>
            <w:tcBorders>
              <w:top w:val="nil"/>
              <w:left w:val="nil"/>
              <w:bottom w:val="single" w:sz="4" w:space="0" w:color="auto"/>
              <w:right w:val="single" w:sz="4" w:space="0" w:color="auto"/>
            </w:tcBorders>
            <w:shd w:val="clear" w:color="auto" w:fill="auto"/>
            <w:noWrap/>
            <w:vAlign w:val="center"/>
            <w:hideMark/>
          </w:tcPr>
          <w:p w14:paraId="678F3CD7"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6.031.009.993</w:t>
            </w:r>
          </w:p>
        </w:tc>
        <w:tc>
          <w:tcPr>
            <w:tcW w:w="733" w:type="dxa"/>
            <w:tcBorders>
              <w:top w:val="nil"/>
              <w:left w:val="nil"/>
              <w:bottom w:val="single" w:sz="4" w:space="0" w:color="auto"/>
              <w:right w:val="single" w:sz="4" w:space="0" w:color="auto"/>
            </w:tcBorders>
            <w:shd w:val="clear" w:color="auto" w:fill="auto"/>
            <w:noWrap/>
            <w:vAlign w:val="center"/>
            <w:hideMark/>
          </w:tcPr>
          <w:p w14:paraId="7D1DE698" w14:textId="77777777" w:rsidR="00E65679" w:rsidRPr="004802DE" w:rsidRDefault="00E65679" w:rsidP="004802DE">
            <w:pPr>
              <w:jc w:val="center"/>
              <w:rPr>
                <w:rFonts w:ascii="Arial" w:hAnsi="Arial" w:cs="Arial"/>
                <w:b w:val="0"/>
                <w:bCs/>
                <w:sz w:val="20"/>
                <w:szCs w:val="20"/>
              </w:rPr>
            </w:pPr>
            <w:r w:rsidRPr="004802DE">
              <w:rPr>
                <w:rFonts w:ascii="Arial" w:hAnsi="Arial" w:cs="Arial"/>
                <w:b w:val="0"/>
                <w:bCs/>
                <w:color w:val="000000"/>
                <w:sz w:val="20"/>
                <w:szCs w:val="20"/>
              </w:rPr>
              <w:t>49,90%</w:t>
            </w:r>
          </w:p>
        </w:tc>
      </w:tr>
      <w:tr w:rsidR="004802DE" w:rsidRPr="004802DE" w14:paraId="208BFBB5" w14:textId="77777777" w:rsidTr="004A5E2A">
        <w:trPr>
          <w:trHeight w:val="262"/>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177B031" w14:textId="77777777" w:rsidR="00E65679" w:rsidRPr="004802DE" w:rsidRDefault="00E65679" w:rsidP="0040771A">
            <w:pPr>
              <w:jc w:val="center"/>
              <w:rPr>
                <w:rFonts w:ascii="Arial" w:hAnsi="Arial" w:cs="Arial"/>
                <w:b w:val="0"/>
                <w:sz w:val="20"/>
                <w:szCs w:val="20"/>
              </w:rPr>
            </w:pPr>
            <w:r w:rsidRPr="004802DE">
              <w:rPr>
                <w:rFonts w:ascii="Arial" w:hAnsi="Arial" w:cs="Arial"/>
                <w:b w:val="0"/>
                <w:sz w:val="20"/>
                <w:szCs w:val="20"/>
              </w:rPr>
              <w:t> </w:t>
            </w:r>
          </w:p>
        </w:tc>
        <w:tc>
          <w:tcPr>
            <w:tcW w:w="1651" w:type="dxa"/>
            <w:tcBorders>
              <w:top w:val="nil"/>
              <w:left w:val="nil"/>
              <w:bottom w:val="single" w:sz="4" w:space="0" w:color="auto"/>
              <w:right w:val="single" w:sz="4" w:space="0" w:color="auto"/>
            </w:tcBorders>
            <w:shd w:val="clear" w:color="auto" w:fill="auto"/>
            <w:noWrap/>
            <w:vAlign w:val="center"/>
            <w:hideMark/>
          </w:tcPr>
          <w:p w14:paraId="57AF05C4" w14:textId="77777777" w:rsidR="00E65679" w:rsidRPr="004802DE" w:rsidRDefault="00E65679" w:rsidP="0040771A">
            <w:pPr>
              <w:rPr>
                <w:rFonts w:ascii="Arial" w:hAnsi="Arial" w:cs="Arial"/>
                <w:bCs/>
                <w:sz w:val="20"/>
                <w:szCs w:val="20"/>
              </w:rPr>
            </w:pPr>
            <w:r w:rsidRPr="004802DE">
              <w:rPr>
                <w:rFonts w:ascii="Arial" w:hAnsi="Arial" w:cs="Arial"/>
                <w:bCs/>
                <w:sz w:val="20"/>
                <w:szCs w:val="20"/>
              </w:rPr>
              <w:t>Tổng cộng</w:t>
            </w:r>
          </w:p>
        </w:tc>
        <w:tc>
          <w:tcPr>
            <w:tcW w:w="1890" w:type="dxa"/>
            <w:tcBorders>
              <w:top w:val="nil"/>
              <w:left w:val="nil"/>
              <w:bottom w:val="single" w:sz="4" w:space="0" w:color="auto"/>
              <w:right w:val="single" w:sz="4" w:space="0" w:color="auto"/>
            </w:tcBorders>
            <w:shd w:val="clear" w:color="auto" w:fill="auto"/>
            <w:noWrap/>
            <w:vAlign w:val="center"/>
            <w:hideMark/>
          </w:tcPr>
          <w:p w14:paraId="707D125B" w14:textId="77777777" w:rsidR="00E65679" w:rsidRPr="004802DE" w:rsidRDefault="00E65679" w:rsidP="004802DE">
            <w:pPr>
              <w:jc w:val="center"/>
              <w:rPr>
                <w:rFonts w:ascii="Arial" w:hAnsi="Arial" w:cs="Arial"/>
                <w:sz w:val="20"/>
                <w:szCs w:val="20"/>
              </w:rPr>
            </w:pPr>
            <w:r w:rsidRPr="004802DE">
              <w:rPr>
                <w:rFonts w:ascii="Arial" w:hAnsi="Arial" w:cs="Arial"/>
                <w:color w:val="000000"/>
                <w:sz w:val="20"/>
                <w:szCs w:val="20"/>
              </w:rPr>
              <w:t>293.802.572.052</w:t>
            </w:r>
          </w:p>
        </w:tc>
        <w:tc>
          <w:tcPr>
            <w:tcW w:w="810" w:type="dxa"/>
            <w:tcBorders>
              <w:top w:val="nil"/>
              <w:left w:val="nil"/>
              <w:bottom w:val="single" w:sz="4" w:space="0" w:color="auto"/>
              <w:right w:val="single" w:sz="4" w:space="0" w:color="auto"/>
            </w:tcBorders>
            <w:shd w:val="clear" w:color="auto" w:fill="auto"/>
            <w:noWrap/>
            <w:vAlign w:val="center"/>
            <w:hideMark/>
          </w:tcPr>
          <w:p w14:paraId="09362B51" w14:textId="37A35267" w:rsidR="00E65679" w:rsidRPr="004802DE" w:rsidRDefault="00E65679" w:rsidP="004802DE">
            <w:pPr>
              <w:jc w:val="center"/>
              <w:rPr>
                <w:rFonts w:ascii="Arial" w:hAnsi="Arial" w:cs="Arial"/>
                <w:sz w:val="20"/>
                <w:szCs w:val="20"/>
              </w:rPr>
            </w:pPr>
            <w:r w:rsidRPr="004802DE">
              <w:rPr>
                <w:rFonts w:ascii="Arial" w:hAnsi="Arial" w:cs="Arial"/>
                <w:color w:val="000000"/>
                <w:sz w:val="20"/>
                <w:szCs w:val="20"/>
              </w:rPr>
              <w:t>100%</w:t>
            </w:r>
          </w:p>
        </w:tc>
        <w:tc>
          <w:tcPr>
            <w:tcW w:w="1718" w:type="dxa"/>
            <w:tcBorders>
              <w:top w:val="nil"/>
              <w:left w:val="nil"/>
              <w:bottom w:val="single" w:sz="4" w:space="0" w:color="auto"/>
              <w:right w:val="single" w:sz="4" w:space="0" w:color="auto"/>
            </w:tcBorders>
            <w:shd w:val="clear" w:color="auto" w:fill="auto"/>
            <w:noWrap/>
            <w:vAlign w:val="center"/>
            <w:hideMark/>
          </w:tcPr>
          <w:p w14:paraId="7E287872" w14:textId="77777777" w:rsidR="00E65679" w:rsidRPr="004802DE" w:rsidRDefault="00E65679" w:rsidP="004802DE">
            <w:pPr>
              <w:jc w:val="center"/>
              <w:rPr>
                <w:rFonts w:ascii="Arial" w:hAnsi="Arial" w:cs="Arial"/>
                <w:sz w:val="20"/>
                <w:szCs w:val="20"/>
              </w:rPr>
            </w:pPr>
            <w:r w:rsidRPr="004802DE">
              <w:rPr>
                <w:rFonts w:ascii="Arial" w:hAnsi="Arial" w:cs="Arial"/>
                <w:color w:val="000000"/>
                <w:sz w:val="20"/>
                <w:szCs w:val="20"/>
              </w:rPr>
              <w:t>271.285.940.615</w:t>
            </w:r>
          </w:p>
        </w:tc>
        <w:tc>
          <w:tcPr>
            <w:tcW w:w="1072" w:type="dxa"/>
            <w:tcBorders>
              <w:top w:val="nil"/>
              <w:left w:val="nil"/>
              <w:bottom w:val="single" w:sz="4" w:space="0" w:color="auto"/>
              <w:right w:val="single" w:sz="4" w:space="0" w:color="auto"/>
            </w:tcBorders>
            <w:shd w:val="clear" w:color="auto" w:fill="auto"/>
            <w:noWrap/>
            <w:vAlign w:val="center"/>
            <w:hideMark/>
          </w:tcPr>
          <w:p w14:paraId="71A1AC31" w14:textId="77777777" w:rsidR="00E65679" w:rsidRPr="004802DE" w:rsidRDefault="00E65679" w:rsidP="004802DE">
            <w:pPr>
              <w:jc w:val="center"/>
              <w:rPr>
                <w:rFonts w:ascii="Arial" w:hAnsi="Arial" w:cs="Arial"/>
                <w:sz w:val="20"/>
                <w:szCs w:val="20"/>
              </w:rPr>
            </w:pPr>
            <w:r w:rsidRPr="004802DE">
              <w:rPr>
                <w:rFonts w:ascii="Arial" w:hAnsi="Arial" w:cs="Arial"/>
                <w:color w:val="000000"/>
                <w:sz w:val="20"/>
                <w:szCs w:val="20"/>
              </w:rPr>
              <w:t>100%</w:t>
            </w:r>
          </w:p>
        </w:tc>
        <w:tc>
          <w:tcPr>
            <w:tcW w:w="1607" w:type="dxa"/>
            <w:tcBorders>
              <w:top w:val="nil"/>
              <w:left w:val="nil"/>
              <w:bottom w:val="single" w:sz="4" w:space="0" w:color="auto"/>
              <w:right w:val="single" w:sz="4" w:space="0" w:color="auto"/>
            </w:tcBorders>
            <w:shd w:val="clear" w:color="auto" w:fill="auto"/>
            <w:noWrap/>
            <w:vAlign w:val="center"/>
            <w:hideMark/>
          </w:tcPr>
          <w:p w14:paraId="6257BA87" w14:textId="77777777" w:rsidR="00E65679" w:rsidRPr="004802DE" w:rsidRDefault="00E65679" w:rsidP="004802DE">
            <w:pPr>
              <w:jc w:val="center"/>
              <w:rPr>
                <w:rFonts w:ascii="Arial" w:hAnsi="Arial" w:cs="Arial"/>
                <w:sz w:val="20"/>
                <w:szCs w:val="20"/>
              </w:rPr>
            </w:pPr>
            <w:r w:rsidRPr="004802DE">
              <w:rPr>
                <w:rFonts w:ascii="Arial" w:hAnsi="Arial" w:cs="Arial"/>
                <w:color w:val="000000"/>
                <w:sz w:val="20"/>
                <w:szCs w:val="20"/>
              </w:rPr>
              <w:t>12.074.731.905</w:t>
            </w:r>
          </w:p>
        </w:tc>
        <w:tc>
          <w:tcPr>
            <w:tcW w:w="733" w:type="dxa"/>
            <w:tcBorders>
              <w:top w:val="nil"/>
              <w:left w:val="nil"/>
              <w:bottom w:val="single" w:sz="4" w:space="0" w:color="auto"/>
              <w:right w:val="single" w:sz="4" w:space="0" w:color="auto"/>
            </w:tcBorders>
            <w:shd w:val="clear" w:color="auto" w:fill="auto"/>
            <w:noWrap/>
            <w:vAlign w:val="center"/>
            <w:hideMark/>
          </w:tcPr>
          <w:p w14:paraId="5A9BA814" w14:textId="77777777" w:rsidR="00E65679" w:rsidRPr="004802DE" w:rsidRDefault="00E65679" w:rsidP="004802DE">
            <w:pPr>
              <w:jc w:val="center"/>
              <w:rPr>
                <w:rFonts w:ascii="Arial" w:hAnsi="Arial" w:cs="Arial"/>
                <w:sz w:val="20"/>
                <w:szCs w:val="20"/>
              </w:rPr>
            </w:pPr>
            <w:r w:rsidRPr="004802DE">
              <w:rPr>
                <w:rFonts w:ascii="Arial" w:hAnsi="Arial" w:cs="Arial"/>
                <w:color w:val="000000"/>
                <w:sz w:val="20"/>
                <w:szCs w:val="20"/>
              </w:rPr>
              <w:t>100%</w:t>
            </w:r>
          </w:p>
        </w:tc>
      </w:tr>
    </w:tbl>
    <w:p w14:paraId="3A219C65" w14:textId="77777777" w:rsidR="00791393" w:rsidRPr="004802DE" w:rsidRDefault="00791393" w:rsidP="00791393">
      <w:pPr>
        <w:pStyle w:val="ListParagraph"/>
        <w:tabs>
          <w:tab w:val="left" w:pos="1134"/>
        </w:tabs>
        <w:spacing w:after="240" w:line="360" w:lineRule="auto"/>
        <w:ind w:left="0"/>
        <w:jc w:val="both"/>
        <w:rPr>
          <w:b w:val="0"/>
          <w:lang w:val="nl-NL"/>
        </w:rPr>
      </w:pPr>
      <w:r w:rsidRPr="004802DE">
        <w:rPr>
          <w:b w:val="0"/>
          <w:lang w:val="nl-NL"/>
        </w:rPr>
        <w:tab/>
      </w:r>
      <w:r w:rsidRPr="004802DE">
        <w:rPr>
          <w:b w:val="0"/>
          <w:lang w:val="nl-NL"/>
        </w:rPr>
        <w:tab/>
      </w:r>
      <w:r w:rsidRPr="004802DE">
        <w:rPr>
          <w:b w:val="0"/>
          <w:lang w:val="nl-NL"/>
        </w:rPr>
        <w:tab/>
      </w:r>
    </w:p>
    <w:p w14:paraId="3679A070" w14:textId="431B8385" w:rsidR="00791393" w:rsidRPr="004802DE" w:rsidRDefault="00791393" w:rsidP="00791393">
      <w:pPr>
        <w:pStyle w:val="ListParagraph"/>
        <w:numPr>
          <w:ilvl w:val="0"/>
          <w:numId w:val="26"/>
        </w:numPr>
        <w:spacing w:after="240" w:line="360" w:lineRule="auto"/>
        <w:ind w:left="360"/>
        <w:jc w:val="both"/>
        <w:rPr>
          <w:b w:val="0"/>
          <w:lang w:val="nl-NL"/>
        </w:rPr>
      </w:pPr>
      <w:r w:rsidRPr="004802DE">
        <w:rPr>
          <w:b w:val="0"/>
          <w:lang w:val="nl-NL"/>
        </w:rPr>
        <w:t>Phân bổ tài sản theo ngành:</w:t>
      </w:r>
    </w:p>
    <w:tbl>
      <w:tblPr>
        <w:tblW w:w="9354" w:type="dxa"/>
        <w:jc w:val="center"/>
        <w:tblLook w:val="04A0" w:firstRow="1" w:lastRow="0" w:firstColumn="1" w:lastColumn="0" w:noHBand="0" w:noVBand="1"/>
      </w:tblPr>
      <w:tblGrid>
        <w:gridCol w:w="998"/>
        <w:gridCol w:w="1453"/>
        <w:gridCol w:w="2301"/>
        <w:gridCol w:w="327"/>
        <w:gridCol w:w="1425"/>
        <w:gridCol w:w="549"/>
        <w:gridCol w:w="875"/>
        <w:gridCol w:w="1426"/>
      </w:tblGrid>
      <w:tr w:rsidR="00E65679" w:rsidRPr="004518B9" w14:paraId="25FEC3DA" w14:textId="77777777" w:rsidTr="004518B9">
        <w:trPr>
          <w:trHeight w:val="286"/>
          <w:jc w:val="center"/>
        </w:trPr>
        <w:tc>
          <w:tcPr>
            <w:tcW w:w="998" w:type="dxa"/>
            <w:tcBorders>
              <w:top w:val="single" w:sz="4" w:space="0" w:color="auto"/>
              <w:left w:val="single" w:sz="4" w:space="0" w:color="auto"/>
              <w:bottom w:val="single" w:sz="4" w:space="0" w:color="auto"/>
              <w:right w:val="single" w:sz="4" w:space="0" w:color="auto"/>
            </w:tcBorders>
            <w:shd w:val="clear" w:color="auto" w:fill="auto"/>
          </w:tcPr>
          <w:p w14:paraId="2A0FB22B" w14:textId="77777777" w:rsidR="00E65679" w:rsidRPr="004518B9" w:rsidRDefault="00E65679" w:rsidP="0040771A">
            <w:pPr>
              <w:jc w:val="center"/>
              <w:rPr>
                <w:rFonts w:ascii="Arial" w:hAnsi="Arial" w:cs="Arial"/>
                <w:bCs/>
                <w:sz w:val="20"/>
                <w:szCs w:val="20"/>
              </w:rPr>
            </w:pPr>
            <w:r w:rsidRPr="004518B9">
              <w:rPr>
                <w:rFonts w:ascii="Arial" w:hAnsi="Arial" w:cs="Arial"/>
                <w:b w:val="0"/>
                <w:sz w:val="20"/>
                <w:szCs w:val="20"/>
                <w:lang w:val="nl-NL"/>
              </w:rPr>
              <w:br w:type="page"/>
            </w:r>
            <w:r w:rsidRPr="004518B9">
              <w:rPr>
                <w:rFonts w:ascii="Arial" w:hAnsi="Arial" w:cs="Arial"/>
                <w:bCs/>
                <w:sz w:val="20"/>
                <w:szCs w:val="20"/>
              </w:rPr>
              <w:t>STT</w:t>
            </w:r>
          </w:p>
        </w:tc>
        <w:tc>
          <w:tcPr>
            <w:tcW w:w="408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2EB45" w14:textId="77777777" w:rsidR="00E65679" w:rsidRPr="004518B9" w:rsidRDefault="00E65679" w:rsidP="0040771A">
            <w:pPr>
              <w:jc w:val="center"/>
              <w:rPr>
                <w:rFonts w:ascii="Arial" w:hAnsi="Arial" w:cs="Arial"/>
                <w:bCs/>
                <w:sz w:val="20"/>
                <w:szCs w:val="20"/>
              </w:rPr>
            </w:pPr>
            <w:r w:rsidRPr="004518B9">
              <w:rPr>
                <w:rFonts w:ascii="Arial" w:hAnsi="Arial" w:cs="Arial"/>
                <w:bCs/>
                <w:sz w:val="20"/>
                <w:szCs w:val="20"/>
              </w:rPr>
              <w:t>Ngành</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37789321" w14:textId="77777777" w:rsidR="00E65679" w:rsidRPr="004518B9" w:rsidRDefault="00E65679" w:rsidP="0040771A">
            <w:pPr>
              <w:jc w:val="center"/>
              <w:rPr>
                <w:rFonts w:ascii="Arial" w:hAnsi="Arial" w:cs="Arial"/>
                <w:bCs/>
                <w:sz w:val="20"/>
                <w:szCs w:val="20"/>
                <w:lang w:eastAsia="vi-VN"/>
              </w:rPr>
            </w:pPr>
            <w:r w:rsidRPr="004518B9">
              <w:rPr>
                <w:rFonts w:ascii="Arial" w:hAnsi="Arial" w:cs="Arial"/>
                <w:bCs/>
                <w:sz w:val="20"/>
                <w:szCs w:val="20"/>
                <w:lang w:eastAsia="vi-VN"/>
              </w:rPr>
              <w:t>31/12/2022</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tcPr>
          <w:p w14:paraId="27B12365" w14:textId="77777777" w:rsidR="00E65679" w:rsidRPr="004518B9" w:rsidRDefault="00E65679" w:rsidP="0040771A">
            <w:pPr>
              <w:jc w:val="center"/>
              <w:rPr>
                <w:rFonts w:ascii="Arial" w:hAnsi="Arial" w:cs="Arial"/>
                <w:bCs/>
                <w:sz w:val="20"/>
                <w:szCs w:val="20"/>
              </w:rPr>
            </w:pPr>
            <w:r w:rsidRPr="004518B9">
              <w:rPr>
                <w:rFonts w:ascii="Arial" w:hAnsi="Arial" w:cs="Arial"/>
                <w:bCs/>
                <w:sz w:val="20"/>
                <w:szCs w:val="20"/>
                <w:lang w:eastAsia="vi-VN"/>
              </w:rPr>
              <w:t>31/12/2021</w:t>
            </w: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1A79B54" w14:textId="77777777" w:rsidR="00E65679" w:rsidRPr="004518B9" w:rsidRDefault="00E65679" w:rsidP="0040771A">
            <w:pPr>
              <w:jc w:val="center"/>
              <w:rPr>
                <w:rFonts w:ascii="Arial" w:hAnsi="Arial" w:cs="Arial"/>
                <w:bCs/>
                <w:sz w:val="20"/>
                <w:szCs w:val="20"/>
              </w:rPr>
            </w:pPr>
            <w:r w:rsidRPr="004518B9">
              <w:rPr>
                <w:rFonts w:ascii="Arial" w:hAnsi="Arial" w:cs="Arial"/>
                <w:bCs/>
                <w:sz w:val="20"/>
                <w:szCs w:val="20"/>
                <w:lang w:eastAsia="vi-VN"/>
              </w:rPr>
              <w:t>31/12/2020</w:t>
            </w:r>
          </w:p>
        </w:tc>
      </w:tr>
      <w:tr w:rsidR="00E65679" w:rsidRPr="004518B9" w14:paraId="2451B167" w14:textId="77777777" w:rsidTr="004518B9">
        <w:trPr>
          <w:trHeight w:val="286"/>
          <w:jc w:val="center"/>
        </w:trPr>
        <w:tc>
          <w:tcPr>
            <w:tcW w:w="998" w:type="dxa"/>
            <w:tcBorders>
              <w:top w:val="single" w:sz="4" w:space="0" w:color="auto"/>
              <w:left w:val="single" w:sz="4" w:space="0" w:color="auto"/>
              <w:bottom w:val="single" w:sz="4" w:space="0" w:color="auto"/>
              <w:right w:val="single" w:sz="4" w:space="0" w:color="auto"/>
            </w:tcBorders>
            <w:shd w:val="clear" w:color="auto" w:fill="auto"/>
          </w:tcPr>
          <w:p w14:paraId="39AC4FF9" w14:textId="77777777" w:rsidR="00E65679" w:rsidRPr="004518B9" w:rsidRDefault="00E65679" w:rsidP="0040771A">
            <w:pPr>
              <w:jc w:val="center"/>
              <w:rPr>
                <w:rFonts w:ascii="Arial" w:hAnsi="Arial" w:cs="Arial"/>
                <w:b w:val="0"/>
                <w:sz w:val="20"/>
                <w:szCs w:val="20"/>
              </w:rPr>
            </w:pPr>
            <w:r w:rsidRPr="004518B9">
              <w:rPr>
                <w:rFonts w:ascii="Arial" w:hAnsi="Arial" w:cs="Arial"/>
                <w:b w:val="0"/>
                <w:sz w:val="20"/>
                <w:szCs w:val="20"/>
              </w:rPr>
              <w:t>1</w:t>
            </w:r>
          </w:p>
        </w:tc>
        <w:tc>
          <w:tcPr>
            <w:tcW w:w="4081" w:type="dxa"/>
            <w:gridSpan w:val="3"/>
            <w:tcBorders>
              <w:top w:val="single" w:sz="4" w:space="0" w:color="auto"/>
              <w:left w:val="single" w:sz="4" w:space="0" w:color="auto"/>
              <w:bottom w:val="single" w:sz="4" w:space="0" w:color="auto"/>
              <w:right w:val="single" w:sz="4" w:space="0" w:color="auto"/>
            </w:tcBorders>
            <w:shd w:val="clear" w:color="auto" w:fill="auto"/>
            <w:noWrap/>
          </w:tcPr>
          <w:p w14:paraId="2284CBC4" w14:textId="77777777" w:rsidR="00E65679" w:rsidRPr="004518B9" w:rsidRDefault="00E65679" w:rsidP="0040771A">
            <w:pPr>
              <w:rPr>
                <w:rFonts w:ascii="Arial" w:hAnsi="Arial" w:cs="Arial"/>
                <w:b w:val="0"/>
                <w:sz w:val="20"/>
                <w:szCs w:val="20"/>
              </w:rPr>
            </w:pPr>
            <w:r w:rsidRPr="004518B9">
              <w:rPr>
                <w:rFonts w:ascii="Arial" w:hAnsi="Arial" w:cs="Arial"/>
                <w:b w:val="0"/>
                <w:sz w:val="20"/>
                <w:szCs w:val="20"/>
              </w:rPr>
              <w:t>Ngân Hàng</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B89DC8B" w14:textId="77777777" w:rsidR="00E65679" w:rsidRPr="004518B9" w:rsidDel="0061725C"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E9F21"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18B9EA3"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0,07%</w:t>
            </w:r>
          </w:p>
        </w:tc>
      </w:tr>
      <w:tr w:rsidR="00E65679" w:rsidRPr="004518B9" w14:paraId="0AAE27C7" w14:textId="77777777" w:rsidTr="004518B9">
        <w:trPr>
          <w:trHeight w:val="286"/>
          <w:jc w:val="center"/>
        </w:trPr>
        <w:tc>
          <w:tcPr>
            <w:tcW w:w="998" w:type="dxa"/>
            <w:tcBorders>
              <w:top w:val="nil"/>
              <w:left w:val="single" w:sz="4" w:space="0" w:color="auto"/>
              <w:bottom w:val="single" w:sz="4" w:space="0" w:color="auto"/>
              <w:right w:val="single" w:sz="4" w:space="0" w:color="auto"/>
            </w:tcBorders>
            <w:shd w:val="clear" w:color="auto" w:fill="auto"/>
          </w:tcPr>
          <w:p w14:paraId="6D0F7C41" w14:textId="77777777" w:rsidR="00E65679" w:rsidRPr="004518B9" w:rsidRDefault="00E65679" w:rsidP="0040771A">
            <w:pPr>
              <w:jc w:val="center"/>
              <w:rPr>
                <w:rFonts w:ascii="Arial" w:hAnsi="Arial" w:cs="Arial"/>
                <w:b w:val="0"/>
                <w:sz w:val="20"/>
                <w:szCs w:val="20"/>
              </w:rPr>
            </w:pPr>
            <w:r w:rsidRPr="004518B9">
              <w:rPr>
                <w:rFonts w:ascii="Arial" w:hAnsi="Arial" w:cs="Arial"/>
                <w:b w:val="0"/>
                <w:sz w:val="20"/>
                <w:szCs w:val="20"/>
              </w:rPr>
              <w:t>2</w:t>
            </w:r>
          </w:p>
        </w:tc>
        <w:tc>
          <w:tcPr>
            <w:tcW w:w="4081" w:type="dxa"/>
            <w:gridSpan w:val="3"/>
            <w:tcBorders>
              <w:top w:val="nil"/>
              <w:left w:val="single" w:sz="4" w:space="0" w:color="auto"/>
              <w:bottom w:val="single" w:sz="4" w:space="0" w:color="auto"/>
              <w:right w:val="single" w:sz="4" w:space="0" w:color="auto"/>
            </w:tcBorders>
            <w:shd w:val="clear" w:color="auto" w:fill="auto"/>
            <w:noWrap/>
          </w:tcPr>
          <w:p w14:paraId="061EC087" w14:textId="77777777" w:rsidR="00E65679" w:rsidRPr="004518B9" w:rsidRDefault="00E65679" w:rsidP="0040771A">
            <w:pPr>
              <w:rPr>
                <w:rFonts w:ascii="Arial" w:hAnsi="Arial" w:cs="Arial"/>
                <w:b w:val="0"/>
                <w:sz w:val="20"/>
                <w:szCs w:val="20"/>
              </w:rPr>
            </w:pPr>
            <w:r w:rsidRPr="004518B9">
              <w:rPr>
                <w:rFonts w:ascii="Arial" w:hAnsi="Arial" w:cs="Arial"/>
                <w:b w:val="0"/>
                <w:sz w:val="20"/>
                <w:szCs w:val="20"/>
              </w:rPr>
              <w:t>Bất Động Sản</w:t>
            </w:r>
          </w:p>
        </w:tc>
        <w:tc>
          <w:tcPr>
            <w:tcW w:w="1425" w:type="dxa"/>
            <w:tcBorders>
              <w:top w:val="nil"/>
              <w:left w:val="single" w:sz="4" w:space="0" w:color="auto"/>
              <w:bottom w:val="single" w:sz="4" w:space="0" w:color="auto"/>
              <w:right w:val="single" w:sz="4" w:space="0" w:color="auto"/>
            </w:tcBorders>
            <w:shd w:val="clear" w:color="auto" w:fill="auto"/>
            <w:vAlign w:val="center"/>
          </w:tcPr>
          <w:p w14:paraId="64CCB8B5" w14:textId="77777777" w:rsidR="00E65679" w:rsidRPr="004518B9" w:rsidDel="0061725C"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13,50%</w:t>
            </w:r>
          </w:p>
        </w:tc>
        <w:tc>
          <w:tcPr>
            <w:tcW w:w="1424" w:type="dxa"/>
            <w:gridSpan w:val="2"/>
            <w:tcBorders>
              <w:top w:val="nil"/>
              <w:left w:val="single" w:sz="4" w:space="0" w:color="auto"/>
              <w:bottom w:val="single" w:sz="4" w:space="0" w:color="auto"/>
              <w:right w:val="single" w:sz="4" w:space="0" w:color="auto"/>
            </w:tcBorders>
            <w:shd w:val="clear" w:color="auto" w:fill="auto"/>
            <w:vAlign w:val="center"/>
          </w:tcPr>
          <w:p w14:paraId="1CD6E467"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18,76%</w:t>
            </w:r>
          </w:p>
        </w:tc>
        <w:tc>
          <w:tcPr>
            <w:tcW w:w="1426" w:type="dxa"/>
            <w:tcBorders>
              <w:top w:val="nil"/>
              <w:left w:val="single" w:sz="4" w:space="0" w:color="auto"/>
              <w:bottom w:val="single" w:sz="4" w:space="0" w:color="auto"/>
              <w:right w:val="single" w:sz="4" w:space="0" w:color="auto"/>
            </w:tcBorders>
            <w:shd w:val="clear" w:color="auto" w:fill="auto"/>
            <w:vAlign w:val="center"/>
          </w:tcPr>
          <w:p w14:paraId="7B05056D"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r>
      <w:tr w:rsidR="00E65679" w:rsidRPr="004518B9" w14:paraId="7AEA2445" w14:textId="77777777" w:rsidTr="004518B9">
        <w:trPr>
          <w:trHeight w:val="286"/>
          <w:jc w:val="center"/>
        </w:trPr>
        <w:tc>
          <w:tcPr>
            <w:tcW w:w="998" w:type="dxa"/>
            <w:tcBorders>
              <w:top w:val="nil"/>
              <w:left w:val="single" w:sz="4" w:space="0" w:color="auto"/>
              <w:bottom w:val="single" w:sz="4" w:space="0" w:color="auto"/>
              <w:right w:val="single" w:sz="4" w:space="0" w:color="auto"/>
            </w:tcBorders>
            <w:shd w:val="clear" w:color="auto" w:fill="auto"/>
          </w:tcPr>
          <w:p w14:paraId="5638B676" w14:textId="77777777" w:rsidR="00E65679" w:rsidRPr="004518B9" w:rsidRDefault="00E65679" w:rsidP="0040771A">
            <w:pPr>
              <w:jc w:val="center"/>
              <w:rPr>
                <w:rFonts w:ascii="Arial" w:hAnsi="Arial" w:cs="Arial"/>
                <w:b w:val="0"/>
                <w:sz w:val="20"/>
                <w:szCs w:val="20"/>
              </w:rPr>
            </w:pPr>
            <w:r w:rsidRPr="004518B9">
              <w:rPr>
                <w:rFonts w:ascii="Arial" w:hAnsi="Arial" w:cs="Arial"/>
                <w:b w:val="0"/>
                <w:sz w:val="20"/>
                <w:szCs w:val="20"/>
              </w:rPr>
              <w:t>3</w:t>
            </w:r>
          </w:p>
        </w:tc>
        <w:tc>
          <w:tcPr>
            <w:tcW w:w="4081" w:type="dxa"/>
            <w:gridSpan w:val="3"/>
            <w:tcBorders>
              <w:top w:val="nil"/>
              <w:left w:val="single" w:sz="4" w:space="0" w:color="auto"/>
              <w:bottom w:val="single" w:sz="4" w:space="0" w:color="auto"/>
              <w:right w:val="single" w:sz="4" w:space="0" w:color="auto"/>
            </w:tcBorders>
            <w:shd w:val="clear" w:color="auto" w:fill="auto"/>
            <w:noWrap/>
          </w:tcPr>
          <w:p w14:paraId="58BCBD69" w14:textId="77777777" w:rsidR="00E65679" w:rsidRPr="004518B9" w:rsidRDefault="00E65679" w:rsidP="0040771A">
            <w:pPr>
              <w:rPr>
                <w:rFonts w:ascii="Arial" w:hAnsi="Arial" w:cs="Arial"/>
                <w:b w:val="0"/>
                <w:sz w:val="20"/>
                <w:szCs w:val="20"/>
              </w:rPr>
            </w:pPr>
            <w:r w:rsidRPr="004518B9">
              <w:rPr>
                <w:rFonts w:ascii="Arial" w:hAnsi="Arial" w:cs="Arial"/>
                <w:b w:val="0"/>
                <w:sz w:val="20"/>
                <w:szCs w:val="20"/>
              </w:rPr>
              <w:t>Bán Lẻ</w:t>
            </w:r>
          </w:p>
        </w:tc>
        <w:tc>
          <w:tcPr>
            <w:tcW w:w="1425" w:type="dxa"/>
            <w:tcBorders>
              <w:top w:val="nil"/>
              <w:left w:val="single" w:sz="4" w:space="0" w:color="auto"/>
              <w:bottom w:val="single" w:sz="4" w:space="0" w:color="auto"/>
              <w:right w:val="single" w:sz="4" w:space="0" w:color="auto"/>
            </w:tcBorders>
            <w:shd w:val="clear" w:color="auto" w:fill="auto"/>
            <w:vAlign w:val="center"/>
          </w:tcPr>
          <w:p w14:paraId="5BBB383D" w14:textId="77777777" w:rsidR="00E65679" w:rsidRPr="004518B9" w:rsidDel="0061725C"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6,00%</w:t>
            </w:r>
          </w:p>
        </w:tc>
        <w:tc>
          <w:tcPr>
            <w:tcW w:w="1424" w:type="dxa"/>
            <w:gridSpan w:val="2"/>
            <w:tcBorders>
              <w:top w:val="nil"/>
              <w:left w:val="single" w:sz="4" w:space="0" w:color="auto"/>
              <w:bottom w:val="single" w:sz="4" w:space="0" w:color="auto"/>
              <w:right w:val="single" w:sz="4" w:space="0" w:color="auto"/>
            </w:tcBorders>
            <w:shd w:val="clear" w:color="auto" w:fill="auto"/>
            <w:vAlign w:val="center"/>
          </w:tcPr>
          <w:p w14:paraId="386966DC"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c>
          <w:tcPr>
            <w:tcW w:w="1426" w:type="dxa"/>
            <w:tcBorders>
              <w:top w:val="nil"/>
              <w:left w:val="single" w:sz="4" w:space="0" w:color="auto"/>
              <w:bottom w:val="single" w:sz="4" w:space="0" w:color="auto"/>
              <w:right w:val="single" w:sz="4" w:space="0" w:color="auto"/>
            </w:tcBorders>
            <w:shd w:val="clear" w:color="auto" w:fill="auto"/>
            <w:vAlign w:val="center"/>
          </w:tcPr>
          <w:p w14:paraId="3E9BD293"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0,17%</w:t>
            </w:r>
          </w:p>
        </w:tc>
      </w:tr>
      <w:tr w:rsidR="00E65679" w:rsidRPr="004518B9" w14:paraId="1F20AA4F" w14:textId="77777777" w:rsidTr="004518B9">
        <w:trPr>
          <w:trHeight w:val="286"/>
          <w:jc w:val="center"/>
        </w:trPr>
        <w:tc>
          <w:tcPr>
            <w:tcW w:w="998" w:type="dxa"/>
            <w:tcBorders>
              <w:top w:val="nil"/>
              <w:left w:val="single" w:sz="4" w:space="0" w:color="auto"/>
              <w:bottom w:val="single" w:sz="4" w:space="0" w:color="auto"/>
              <w:right w:val="single" w:sz="4" w:space="0" w:color="auto"/>
            </w:tcBorders>
            <w:shd w:val="clear" w:color="auto" w:fill="auto"/>
          </w:tcPr>
          <w:p w14:paraId="037E673A" w14:textId="77777777" w:rsidR="00E65679" w:rsidRPr="004518B9" w:rsidRDefault="00E65679" w:rsidP="0040771A">
            <w:pPr>
              <w:jc w:val="center"/>
              <w:rPr>
                <w:rFonts w:ascii="Arial" w:hAnsi="Arial" w:cs="Arial"/>
                <w:b w:val="0"/>
                <w:sz w:val="20"/>
                <w:szCs w:val="20"/>
              </w:rPr>
            </w:pPr>
            <w:r w:rsidRPr="004518B9">
              <w:rPr>
                <w:rFonts w:ascii="Arial" w:hAnsi="Arial" w:cs="Arial"/>
                <w:b w:val="0"/>
                <w:sz w:val="20"/>
                <w:szCs w:val="20"/>
              </w:rPr>
              <w:t>4</w:t>
            </w:r>
          </w:p>
        </w:tc>
        <w:tc>
          <w:tcPr>
            <w:tcW w:w="4081" w:type="dxa"/>
            <w:gridSpan w:val="3"/>
            <w:tcBorders>
              <w:top w:val="nil"/>
              <w:left w:val="single" w:sz="4" w:space="0" w:color="auto"/>
              <w:bottom w:val="single" w:sz="4" w:space="0" w:color="auto"/>
              <w:right w:val="single" w:sz="4" w:space="0" w:color="auto"/>
            </w:tcBorders>
            <w:shd w:val="clear" w:color="auto" w:fill="auto"/>
            <w:noWrap/>
          </w:tcPr>
          <w:p w14:paraId="234ACECD" w14:textId="77777777" w:rsidR="00E65679" w:rsidRPr="004518B9" w:rsidRDefault="00E65679" w:rsidP="0040771A">
            <w:pPr>
              <w:rPr>
                <w:rFonts w:ascii="Arial" w:hAnsi="Arial" w:cs="Arial"/>
                <w:b w:val="0"/>
                <w:sz w:val="20"/>
                <w:szCs w:val="20"/>
              </w:rPr>
            </w:pPr>
            <w:r w:rsidRPr="004518B9">
              <w:rPr>
                <w:rFonts w:ascii="Arial" w:hAnsi="Arial" w:cs="Arial"/>
                <w:b w:val="0"/>
                <w:sz w:val="20"/>
                <w:szCs w:val="20"/>
              </w:rPr>
              <w:t>Hàng Hoá Công Nghiệp</w:t>
            </w:r>
          </w:p>
        </w:tc>
        <w:tc>
          <w:tcPr>
            <w:tcW w:w="1425" w:type="dxa"/>
            <w:tcBorders>
              <w:top w:val="nil"/>
              <w:left w:val="single" w:sz="4" w:space="0" w:color="auto"/>
              <w:bottom w:val="single" w:sz="4" w:space="0" w:color="auto"/>
              <w:right w:val="single" w:sz="4" w:space="0" w:color="auto"/>
            </w:tcBorders>
            <w:shd w:val="clear" w:color="auto" w:fill="auto"/>
            <w:vAlign w:val="center"/>
          </w:tcPr>
          <w:p w14:paraId="07EC40D4" w14:textId="77777777" w:rsidR="00E65679" w:rsidRPr="004518B9" w:rsidDel="0061725C"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c>
          <w:tcPr>
            <w:tcW w:w="1424" w:type="dxa"/>
            <w:gridSpan w:val="2"/>
            <w:tcBorders>
              <w:top w:val="nil"/>
              <w:left w:val="single" w:sz="4" w:space="0" w:color="auto"/>
              <w:bottom w:val="single" w:sz="4" w:space="0" w:color="auto"/>
              <w:right w:val="single" w:sz="4" w:space="0" w:color="auto"/>
            </w:tcBorders>
            <w:shd w:val="clear" w:color="auto" w:fill="auto"/>
            <w:vAlign w:val="center"/>
          </w:tcPr>
          <w:p w14:paraId="0D7FBAE4"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c>
          <w:tcPr>
            <w:tcW w:w="1426" w:type="dxa"/>
            <w:tcBorders>
              <w:top w:val="nil"/>
              <w:left w:val="single" w:sz="4" w:space="0" w:color="auto"/>
              <w:bottom w:val="single" w:sz="4" w:space="0" w:color="auto"/>
              <w:right w:val="single" w:sz="4" w:space="0" w:color="auto"/>
            </w:tcBorders>
            <w:shd w:val="clear" w:color="auto" w:fill="auto"/>
            <w:vAlign w:val="center"/>
          </w:tcPr>
          <w:p w14:paraId="7831874E"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r>
      <w:tr w:rsidR="00E65679" w:rsidRPr="004518B9" w14:paraId="571F81FE" w14:textId="77777777" w:rsidTr="004518B9">
        <w:trPr>
          <w:trHeight w:val="286"/>
          <w:jc w:val="center"/>
        </w:trPr>
        <w:tc>
          <w:tcPr>
            <w:tcW w:w="998" w:type="dxa"/>
            <w:tcBorders>
              <w:top w:val="nil"/>
              <w:left w:val="single" w:sz="4" w:space="0" w:color="auto"/>
              <w:bottom w:val="single" w:sz="4" w:space="0" w:color="auto"/>
              <w:right w:val="single" w:sz="4" w:space="0" w:color="auto"/>
            </w:tcBorders>
            <w:shd w:val="clear" w:color="auto" w:fill="auto"/>
          </w:tcPr>
          <w:p w14:paraId="43324CA0" w14:textId="77777777" w:rsidR="00E65679" w:rsidRPr="004518B9" w:rsidRDefault="00E65679" w:rsidP="0040771A">
            <w:pPr>
              <w:jc w:val="center"/>
              <w:rPr>
                <w:rFonts w:ascii="Arial" w:hAnsi="Arial" w:cs="Arial"/>
                <w:b w:val="0"/>
                <w:sz w:val="20"/>
                <w:szCs w:val="20"/>
              </w:rPr>
            </w:pPr>
            <w:r w:rsidRPr="004518B9">
              <w:rPr>
                <w:rFonts w:ascii="Arial" w:hAnsi="Arial" w:cs="Arial"/>
                <w:b w:val="0"/>
                <w:sz w:val="20"/>
                <w:szCs w:val="20"/>
              </w:rPr>
              <w:t>5</w:t>
            </w:r>
          </w:p>
        </w:tc>
        <w:tc>
          <w:tcPr>
            <w:tcW w:w="4081" w:type="dxa"/>
            <w:gridSpan w:val="3"/>
            <w:tcBorders>
              <w:top w:val="nil"/>
              <w:left w:val="single" w:sz="4" w:space="0" w:color="auto"/>
              <w:bottom w:val="single" w:sz="4" w:space="0" w:color="auto"/>
              <w:right w:val="single" w:sz="4" w:space="0" w:color="auto"/>
            </w:tcBorders>
            <w:shd w:val="clear" w:color="auto" w:fill="auto"/>
            <w:noWrap/>
          </w:tcPr>
          <w:p w14:paraId="7BB26B3D" w14:textId="77777777" w:rsidR="00E65679" w:rsidRPr="004518B9" w:rsidRDefault="00E65679" w:rsidP="0040771A">
            <w:pPr>
              <w:rPr>
                <w:rFonts w:ascii="Arial" w:hAnsi="Arial" w:cs="Arial"/>
                <w:b w:val="0"/>
                <w:sz w:val="20"/>
                <w:szCs w:val="20"/>
              </w:rPr>
            </w:pPr>
            <w:r w:rsidRPr="004518B9">
              <w:rPr>
                <w:rFonts w:ascii="Arial" w:hAnsi="Arial" w:cs="Arial"/>
                <w:b w:val="0"/>
                <w:sz w:val="20"/>
                <w:szCs w:val="20"/>
              </w:rPr>
              <w:t>Phần Mềm &amp; Dịch Vụ Phần Mềm</w:t>
            </w:r>
          </w:p>
        </w:tc>
        <w:tc>
          <w:tcPr>
            <w:tcW w:w="1425" w:type="dxa"/>
            <w:tcBorders>
              <w:top w:val="nil"/>
              <w:left w:val="single" w:sz="4" w:space="0" w:color="auto"/>
              <w:bottom w:val="single" w:sz="4" w:space="0" w:color="auto"/>
              <w:right w:val="single" w:sz="4" w:space="0" w:color="auto"/>
            </w:tcBorders>
            <w:shd w:val="clear" w:color="auto" w:fill="auto"/>
            <w:vAlign w:val="center"/>
          </w:tcPr>
          <w:p w14:paraId="06C9108E" w14:textId="77777777" w:rsidR="00E65679" w:rsidRPr="004518B9" w:rsidDel="0061725C"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c>
          <w:tcPr>
            <w:tcW w:w="1424" w:type="dxa"/>
            <w:gridSpan w:val="2"/>
            <w:tcBorders>
              <w:top w:val="nil"/>
              <w:left w:val="single" w:sz="4" w:space="0" w:color="auto"/>
              <w:bottom w:val="single" w:sz="4" w:space="0" w:color="auto"/>
              <w:right w:val="single" w:sz="4" w:space="0" w:color="auto"/>
            </w:tcBorders>
            <w:shd w:val="clear" w:color="auto" w:fill="auto"/>
            <w:vAlign w:val="center"/>
          </w:tcPr>
          <w:p w14:paraId="6A8CC1C5"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c>
          <w:tcPr>
            <w:tcW w:w="1426" w:type="dxa"/>
            <w:tcBorders>
              <w:top w:val="nil"/>
              <w:left w:val="single" w:sz="4" w:space="0" w:color="auto"/>
              <w:bottom w:val="single" w:sz="4" w:space="0" w:color="auto"/>
              <w:right w:val="single" w:sz="4" w:space="0" w:color="auto"/>
            </w:tcBorders>
            <w:shd w:val="clear" w:color="auto" w:fill="auto"/>
            <w:vAlign w:val="center"/>
          </w:tcPr>
          <w:p w14:paraId="34F28686"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0,06%</w:t>
            </w:r>
          </w:p>
        </w:tc>
      </w:tr>
      <w:tr w:rsidR="00E65679" w:rsidRPr="004518B9" w14:paraId="690F64A6" w14:textId="77777777" w:rsidTr="004518B9">
        <w:trPr>
          <w:trHeight w:val="286"/>
          <w:jc w:val="center"/>
        </w:trPr>
        <w:tc>
          <w:tcPr>
            <w:tcW w:w="998" w:type="dxa"/>
            <w:tcBorders>
              <w:top w:val="nil"/>
              <w:left w:val="single" w:sz="4" w:space="0" w:color="auto"/>
              <w:bottom w:val="single" w:sz="4" w:space="0" w:color="auto"/>
              <w:right w:val="single" w:sz="4" w:space="0" w:color="auto"/>
            </w:tcBorders>
            <w:shd w:val="clear" w:color="auto" w:fill="auto"/>
          </w:tcPr>
          <w:p w14:paraId="6ECAD9C4" w14:textId="77777777" w:rsidR="00E65679" w:rsidRPr="004518B9" w:rsidRDefault="00E65679" w:rsidP="0040771A">
            <w:pPr>
              <w:jc w:val="center"/>
              <w:rPr>
                <w:rFonts w:ascii="Arial" w:hAnsi="Arial" w:cs="Arial"/>
                <w:b w:val="0"/>
                <w:sz w:val="20"/>
                <w:szCs w:val="20"/>
              </w:rPr>
            </w:pPr>
            <w:r w:rsidRPr="004518B9">
              <w:rPr>
                <w:rFonts w:ascii="Arial" w:hAnsi="Arial" w:cs="Arial"/>
                <w:b w:val="0"/>
                <w:sz w:val="20"/>
                <w:szCs w:val="20"/>
              </w:rPr>
              <w:t>6</w:t>
            </w:r>
          </w:p>
        </w:tc>
        <w:tc>
          <w:tcPr>
            <w:tcW w:w="4081" w:type="dxa"/>
            <w:gridSpan w:val="3"/>
            <w:tcBorders>
              <w:top w:val="nil"/>
              <w:left w:val="single" w:sz="4" w:space="0" w:color="auto"/>
              <w:bottom w:val="single" w:sz="4" w:space="0" w:color="auto"/>
              <w:right w:val="single" w:sz="4" w:space="0" w:color="auto"/>
            </w:tcBorders>
            <w:shd w:val="clear" w:color="auto" w:fill="auto"/>
            <w:noWrap/>
          </w:tcPr>
          <w:p w14:paraId="77113500" w14:textId="77777777" w:rsidR="00E65679" w:rsidRPr="004518B9" w:rsidRDefault="00E65679" w:rsidP="0040771A">
            <w:pPr>
              <w:rPr>
                <w:rFonts w:ascii="Arial" w:hAnsi="Arial" w:cs="Arial"/>
                <w:b w:val="0"/>
                <w:sz w:val="20"/>
                <w:szCs w:val="20"/>
              </w:rPr>
            </w:pPr>
            <w:r w:rsidRPr="004518B9">
              <w:rPr>
                <w:rFonts w:ascii="Arial" w:hAnsi="Arial" w:cs="Arial"/>
                <w:b w:val="0"/>
                <w:sz w:val="20"/>
                <w:szCs w:val="20"/>
              </w:rPr>
              <w:t>Vận tải</w:t>
            </w:r>
          </w:p>
        </w:tc>
        <w:tc>
          <w:tcPr>
            <w:tcW w:w="1425" w:type="dxa"/>
            <w:tcBorders>
              <w:top w:val="nil"/>
              <w:left w:val="single" w:sz="4" w:space="0" w:color="auto"/>
              <w:bottom w:val="single" w:sz="4" w:space="0" w:color="auto"/>
              <w:right w:val="single" w:sz="4" w:space="0" w:color="auto"/>
            </w:tcBorders>
            <w:shd w:val="clear" w:color="auto" w:fill="auto"/>
            <w:vAlign w:val="center"/>
          </w:tcPr>
          <w:p w14:paraId="6A2B4A7E"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c>
          <w:tcPr>
            <w:tcW w:w="1424" w:type="dxa"/>
            <w:gridSpan w:val="2"/>
            <w:tcBorders>
              <w:top w:val="nil"/>
              <w:left w:val="single" w:sz="4" w:space="0" w:color="auto"/>
              <w:bottom w:val="single" w:sz="4" w:space="0" w:color="auto"/>
              <w:right w:val="single" w:sz="4" w:space="0" w:color="auto"/>
            </w:tcBorders>
            <w:shd w:val="clear" w:color="auto" w:fill="auto"/>
            <w:vAlign w:val="center"/>
          </w:tcPr>
          <w:p w14:paraId="19D5A99B"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19,85%</w:t>
            </w:r>
          </w:p>
        </w:tc>
        <w:tc>
          <w:tcPr>
            <w:tcW w:w="1426" w:type="dxa"/>
            <w:tcBorders>
              <w:top w:val="nil"/>
              <w:left w:val="single" w:sz="4" w:space="0" w:color="auto"/>
              <w:bottom w:val="single" w:sz="4" w:space="0" w:color="auto"/>
              <w:right w:val="single" w:sz="4" w:space="0" w:color="auto"/>
            </w:tcBorders>
            <w:shd w:val="clear" w:color="auto" w:fill="auto"/>
            <w:vAlign w:val="center"/>
          </w:tcPr>
          <w:p w14:paraId="34D84D04"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r>
      <w:tr w:rsidR="00E65679" w:rsidRPr="004518B9" w14:paraId="7303FBD0" w14:textId="77777777" w:rsidTr="004518B9">
        <w:trPr>
          <w:trHeight w:val="286"/>
          <w:jc w:val="center"/>
        </w:trPr>
        <w:tc>
          <w:tcPr>
            <w:tcW w:w="998" w:type="dxa"/>
            <w:tcBorders>
              <w:top w:val="nil"/>
              <w:left w:val="single" w:sz="4" w:space="0" w:color="auto"/>
              <w:bottom w:val="single" w:sz="4" w:space="0" w:color="auto"/>
              <w:right w:val="single" w:sz="4" w:space="0" w:color="auto"/>
            </w:tcBorders>
            <w:shd w:val="clear" w:color="auto" w:fill="auto"/>
          </w:tcPr>
          <w:p w14:paraId="0E95181D" w14:textId="77777777" w:rsidR="00E65679" w:rsidRPr="004518B9" w:rsidRDefault="00E65679" w:rsidP="0040771A">
            <w:pPr>
              <w:jc w:val="center"/>
              <w:rPr>
                <w:rFonts w:ascii="Arial" w:hAnsi="Arial" w:cs="Arial"/>
                <w:b w:val="0"/>
                <w:sz w:val="20"/>
                <w:szCs w:val="20"/>
              </w:rPr>
            </w:pPr>
            <w:r w:rsidRPr="004518B9">
              <w:rPr>
                <w:rFonts w:ascii="Arial" w:hAnsi="Arial" w:cs="Arial"/>
                <w:b w:val="0"/>
                <w:sz w:val="20"/>
                <w:szCs w:val="20"/>
              </w:rPr>
              <w:t>7</w:t>
            </w:r>
          </w:p>
        </w:tc>
        <w:tc>
          <w:tcPr>
            <w:tcW w:w="4081" w:type="dxa"/>
            <w:gridSpan w:val="3"/>
            <w:tcBorders>
              <w:top w:val="nil"/>
              <w:left w:val="single" w:sz="4" w:space="0" w:color="auto"/>
              <w:bottom w:val="single" w:sz="4" w:space="0" w:color="auto"/>
              <w:right w:val="single" w:sz="4" w:space="0" w:color="auto"/>
            </w:tcBorders>
            <w:shd w:val="clear" w:color="auto" w:fill="auto"/>
            <w:noWrap/>
          </w:tcPr>
          <w:p w14:paraId="08CAC1EB" w14:textId="77777777" w:rsidR="00E65679" w:rsidRPr="004518B9" w:rsidRDefault="00E65679" w:rsidP="0040771A">
            <w:pPr>
              <w:rPr>
                <w:rFonts w:ascii="Arial" w:hAnsi="Arial" w:cs="Arial"/>
                <w:b w:val="0"/>
                <w:sz w:val="20"/>
                <w:szCs w:val="20"/>
              </w:rPr>
            </w:pPr>
            <w:r w:rsidRPr="004518B9">
              <w:rPr>
                <w:rFonts w:ascii="Arial" w:hAnsi="Arial" w:cs="Arial"/>
                <w:b w:val="0"/>
                <w:sz w:val="20"/>
                <w:szCs w:val="20"/>
              </w:rPr>
              <w:t>Vật Liệu</w:t>
            </w:r>
          </w:p>
        </w:tc>
        <w:tc>
          <w:tcPr>
            <w:tcW w:w="1425" w:type="dxa"/>
            <w:tcBorders>
              <w:top w:val="nil"/>
              <w:left w:val="single" w:sz="4" w:space="0" w:color="auto"/>
              <w:bottom w:val="single" w:sz="4" w:space="0" w:color="auto"/>
              <w:right w:val="single" w:sz="4" w:space="0" w:color="auto"/>
            </w:tcBorders>
            <w:shd w:val="clear" w:color="auto" w:fill="auto"/>
            <w:vAlign w:val="center"/>
          </w:tcPr>
          <w:p w14:paraId="657DFC61"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c>
          <w:tcPr>
            <w:tcW w:w="1424" w:type="dxa"/>
            <w:gridSpan w:val="2"/>
            <w:tcBorders>
              <w:top w:val="nil"/>
              <w:left w:val="single" w:sz="4" w:space="0" w:color="auto"/>
              <w:bottom w:val="single" w:sz="4" w:space="0" w:color="auto"/>
              <w:right w:val="single" w:sz="4" w:space="0" w:color="auto"/>
            </w:tcBorders>
            <w:shd w:val="clear" w:color="auto" w:fill="auto"/>
            <w:vAlign w:val="center"/>
          </w:tcPr>
          <w:p w14:paraId="2D48154B"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c>
          <w:tcPr>
            <w:tcW w:w="1426" w:type="dxa"/>
            <w:tcBorders>
              <w:top w:val="nil"/>
              <w:left w:val="single" w:sz="4" w:space="0" w:color="auto"/>
              <w:bottom w:val="single" w:sz="4" w:space="0" w:color="auto"/>
              <w:right w:val="single" w:sz="4" w:space="0" w:color="auto"/>
            </w:tcBorders>
            <w:shd w:val="clear" w:color="auto" w:fill="auto"/>
            <w:vAlign w:val="center"/>
          </w:tcPr>
          <w:p w14:paraId="4165A1FB"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r>
      <w:tr w:rsidR="00E65679" w:rsidRPr="004518B9" w14:paraId="3D9A8B94" w14:textId="77777777" w:rsidTr="004518B9">
        <w:trPr>
          <w:trHeight w:val="286"/>
          <w:jc w:val="center"/>
        </w:trPr>
        <w:tc>
          <w:tcPr>
            <w:tcW w:w="998" w:type="dxa"/>
            <w:tcBorders>
              <w:top w:val="nil"/>
              <w:left w:val="single" w:sz="4" w:space="0" w:color="auto"/>
              <w:bottom w:val="single" w:sz="4" w:space="0" w:color="auto"/>
              <w:right w:val="single" w:sz="4" w:space="0" w:color="auto"/>
            </w:tcBorders>
            <w:shd w:val="clear" w:color="auto" w:fill="auto"/>
          </w:tcPr>
          <w:p w14:paraId="7AE04E66" w14:textId="77777777" w:rsidR="00E65679" w:rsidRPr="004518B9" w:rsidRDefault="00E65679" w:rsidP="0040771A">
            <w:pPr>
              <w:jc w:val="center"/>
              <w:rPr>
                <w:rFonts w:ascii="Arial" w:hAnsi="Arial" w:cs="Arial"/>
                <w:b w:val="0"/>
                <w:sz w:val="20"/>
                <w:szCs w:val="20"/>
              </w:rPr>
            </w:pPr>
            <w:r w:rsidRPr="004518B9">
              <w:rPr>
                <w:rFonts w:ascii="Arial" w:hAnsi="Arial" w:cs="Arial"/>
                <w:b w:val="0"/>
                <w:sz w:val="20"/>
                <w:szCs w:val="20"/>
              </w:rPr>
              <w:t>8</w:t>
            </w:r>
          </w:p>
        </w:tc>
        <w:tc>
          <w:tcPr>
            <w:tcW w:w="4081" w:type="dxa"/>
            <w:gridSpan w:val="3"/>
            <w:tcBorders>
              <w:top w:val="nil"/>
              <w:left w:val="single" w:sz="4" w:space="0" w:color="auto"/>
              <w:bottom w:val="single" w:sz="4" w:space="0" w:color="auto"/>
              <w:right w:val="single" w:sz="4" w:space="0" w:color="auto"/>
            </w:tcBorders>
            <w:shd w:val="clear" w:color="auto" w:fill="auto"/>
            <w:noWrap/>
          </w:tcPr>
          <w:p w14:paraId="0A2C985E" w14:textId="77777777" w:rsidR="00E65679" w:rsidRPr="004518B9" w:rsidRDefault="00E65679" w:rsidP="0040771A">
            <w:pPr>
              <w:rPr>
                <w:rFonts w:ascii="Arial" w:hAnsi="Arial" w:cs="Arial"/>
                <w:b w:val="0"/>
                <w:sz w:val="20"/>
                <w:szCs w:val="20"/>
              </w:rPr>
            </w:pPr>
            <w:r w:rsidRPr="004518B9">
              <w:rPr>
                <w:rFonts w:ascii="Arial" w:hAnsi="Arial" w:cs="Arial"/>
                <w:b w:val="0"/>
                <w:sz w:val="20"/>
                <w:szCs w:val="20"/>
              </w:rPr>
              <w:t>Ô tô &amp; Phụ Tùng Ô tô</w:t>
            </w:r>
          </w:p>
        </w:tc>
        <w:tc>
          <w:tcPr>
            <w:tcW w:w="1425" w:type="dxa"/>
            <w:tcBorders>
              <w:top w:val="nil"/>
              <w:left w:val="single" w:sz="4" w:space="0" w:color="auto"/>
              <w:bottom w:val="single" w:sz="4" w:space="0" w:color="auto"/>
              <w:right w:val="single" w:sz="4" w:space="0" w:color="auto"/>
            </w:tcBorders>
            <w:shd w:val="clear" w:color="auto" w:fill="auto"/>
            <w:vAlign w:val="center"/>
          </w:tcPr>
          <w:p w14:paraId="6BDE049E"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c>
          <w:tcPr>
            <w:tcW w:w="1424" w:type="dxa"/>
            <w:gridSpan w:val="2"/>
            <w:tcBorders>
              <w:top w:val="nil"/>
              <w:left w:val="single" w:sz="4" w:space="0" w:color="auto"/>
              <w:bottom w:val="single" w:sz="4" w:space="0" w:color="auto"/>
              <w:right w:val="single" w:sz="4" w:space="0" w:color="auto"/>
            </w:tcBorders>
            <w:shd w:val="clear" w:color="auto" w:fill="auto"/>
            <w:vAlign w:val="center"/>
          </w:tcPr>
          <w:p w14:paraId="3F6423A0"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c>
          <w:tcPr>
            <w:tcW w:w="1426" w:type="dxa"/>
            <w:tcBorders>
              <w:top w:val="nil"/>
              <w:left w:val="single" w:sz="4" w:space="0" w:color="auto"/>
              <w:bottom w:val="single" w:sz="4" w:space="0" w:color="auto"/>
              <w:right w:val="single" w:sz="4" w:space="0" w:color="auto"/>
            </w:tcBorders>
            <w:shd w:val="clear" w:color="auto" w:fill="auto"/>
            <w:vAlign w:val="center"/>
          </w:tcPr>
          <w:p w14:paraId="7FB77F46"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r>
      <w:tr w:rsidR="00E65679" w:rsidRPr="004518B9" w14:paraId="5C3892F5" w14:textId="77777777" w:rsidTr="004518B9">
        <w:trPr>
          <w:trHeight w:val="286"/>
          <w:jc w:val="center"/>
        </w:trPr>
        <w:tc>
          <w:tcPr>
            <w:tcW w:w="998" w:type="dxa"/>
            <w:tcBorders>
              <w:top w:val="nil"/>
              <w:left w:val="single" w:sz="4" w:space="0" w:color="auto"/>
              <w:bottom w:val="single" w:sz="4" w:space="0" w:color="auto"/>
              <w:right w:val="single" w:sz="4" w:space="0" w:color="auto"/>
            </w:tcBorders>
            <w:shd w:val="clear" w:color="auto" w:fill="auto"/>
          </w:tcPr>
          <w:p w14:paraId="6CE97D03" w14:textId="77777777" w:rsidR="00E65679" w:rsidRPr="004518B9" w:rsidRDefault="00E65679" w:rsidP="0040771A">
            <w:pPr>
              <w:jc w:val="center"/>
              <w:rPr>
                <w:rFonts w:ascii="Arial" w:hAnsi="Arial" w:cs="Arial"/>
                <w:b w:val="0"/>
                <w:sz w:val="20"/>
                <w:szCs w:val="20"/>
              </w:rPr>
            </w:pPr>
            <w:r w:rsidRPr="004518B9">
              <w:rPr>
                <w:rFonts w:ascii="Arial" w:hAnsi="Arial" w:cs="Arial"/>
                <w:b w:val="0"/>
                <w:sz w:val="20"/>
                <w:szCs w:val="20"/>
              </w:rPr>
              <w:t>9</w:t>
            </w:r>
          </w:p>
        </w:tc>
        <w:tc>
          <w:tcPr>
            <w:tcW w:w="4081" w:type="dxa"/>
            <w:gridSpan w:val="3"/>
            <w:tcBorders>
              <w:top w:val="nil"/>
              <w:left w:val="single" w:sz="4" w:space="0" w:color="auto"/>
              <w:bottom w:val="single" w:sz="4" w:space="0" w:color="auto"/>
              <w:right w:val="single" w:sz="4" w:space="0" w:color="auto"/>
            </w:tcBorders>
            <w:shd w:val="clear" w:color="auto" w:fill="auto"/>
            <w:noWrap/>
          </w:tcPr>
          <w:p w14:paraId="546DCA89" w14:textId="77777777" w:rsidR="00E65679" w:rsidRPr="004518B9" w:rsidRDefault="00E65679" w:rsidP="0040771A">
            <w:pPr>
              <w:rPr>
                <w:rFonts w:ascii="Arial" w:hAnsi="Arial" w:cs="Arial"/>
                <w:b w:val="0"/>
                <w:sz w:val="20"/>
                <w:szCs w:val="20"/>
              </w:rPr>
            </w:pPr>
            <w:r w:rsidRPr="004518B9">
              <w:rPr>
                <w:rFonts w:ascii="Arial" w:hAnsi="Arial" w:cs="Arial"/>
                <w:b w:val="0"/>
                <w:sz w:val="20"/>
                <w:szCs w:val="20"/>
              </w:rPr>
              <w:t>Dịch Vụ Tài Chính &amp; Tài chính tiêu dùng</w:t>
            </w:r>
          </w:p>
        </w:tc>
        <w:tc>
          <w:tcPr>
            <w:tcW w:w="1425" w:type="dxa"/>
            <w:tcBorders>
              <w:top w:val="nil"/>
              <w:left w:val="single" w:sz="4" w:space="0" w:color="auto"/>
              <w:bottom w:val="single" w:sz="4" w:space="0" w:color="auto"/>
              <w:right w:val="single" w:sz="4" w:space="0" w:color="auto"/>
            </w:tcBorders>
            <w:shd w:val="clear" w:color="auto" w:fill="auto"/>
            <w:vAlign w:val="center"/>
          </w:tcPr>
          <w:p w14:paraId="12FFB9B9"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20,70%</w:t>
            </w:r>
          </w:p>
        </w:tc>
        <w:tc>
          <w:tcPr>
            <w:tcW w:w="1424" w:type="dxa"/>
            <w:gridSpan w:val="2"/>
            <w:tcBorders>
              <w:top w:val="nil"/>
              <w:left w:val="single" w:sz="4" w:space="0" w:color="auto"/>
              <w:bottom w:val="single" w:sz="4" w:space="0" w:color="auto"/>
              <w:right w:val="single" w:sz="4" w:space="0" w:color="auto"/>
            </w:tcBorders>
            <w:shd w:val="clear" w:color="auto" w:fill="auto"/>
            <w:vAlign w:val="center"/>
          </w:tcPr>
          <w:p w14:paraId="77849A69"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34,94%</w:t>
            </w:r>
          </w:p>
        </w:tc>
        <w:tc>
          <w:tcPr>
            <w:tcW w:w="1426" w:type="dxa"/>
            <w:tcBorders>
              <w:top w:val="nil"/>
              <w:left w:val="single" w:sz="4" w:space="0" w:color="auto"/>
              <w:bottom w:val="single" w:sz="4" w:space="0" w:color="auto"/>
              <w:right w:val="single" w:sz="4" w:space="0" w:color="auto"/>
            </w:tcBorders>
            <w:shd w:val="clear" w:color="auto" w:fill="auto"/>
            <w:vAlign w:val="center"/>
          </w:tcPr>
          <w:p w14:paraId="3524B4CB"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r>
      <w:tr w:rsidR="00E65679" w:rsidRPr="004518B9" w14:paraId="7DF47C8E" w14:textId="77777777" w:rsidTr="004518B9">
        <w:trPr>
          <w:trHeight w:val="286"/>
          <w:jc w:val="center"/>
        </w:trPr>
        <w:tc>
          <w:tcPr>
            <w:tcW w:w="998" w:type="dxa"/>
            <w:tcBorders>
              <w:top w:val="nil"/>
              <w:left w:val="single" w:sz="4" w:space="0" w:color="auto"/>
              <w:bottom w:val="single" w:sz="4" w:space="0" w:color="auto"/>
              <w:right w:val="single" w:sz="4" w:space="0" w:color="auto"/>
            </w:tcBorders>
            <w:shd w:val="clear" w:color="auto" w:fill="auto"/>
          </w:tcPr>
          <w:p w14:paraId="016A9839" w14:textId="77777777" w:rsidR="00E65679" w:rsidRPr="004518B9" w:rsidRDefault="00E65679" w:rsidP="0040771A">
            <w:pPr>
              <w:jc w:val="center"/>
              <w:rPr>
                <w:rFonts w:ascii="Arial" w:hAnsi="Arial" w:cs="Arial"/>
                <w:b w:val="0"/>
                <w:sz w:val="20"/>
                <w:szCs w:val="20"/>
              </w:rPr>
            </w:pPr>
            <w:r w:rsidRPr="004518B9">
              <w:rPr>
                <w:rFonts w:ascii="Arial" w:hAnsi="Arial" w:cs="Arial"/>
                <w:b w:val="0"/>
                <w:sz w:val="20"/>
                <w:szCs w:val="20"/>
              </w:rPr>
              <w:t>10</w:t>
            </w:r>
          </w:p>
        </w:tc>
        <w:tc>
          <w:tcPr>
            <w:tcW w:w="4081" w:type="dxa"/>
            <w:gridSpan w:val="3"/>
            <w:tcBorders>
              <w:top w:val="nil"/>
              <w:left w:val="single" w:sz="4" w:space="0" w:color="auto"/>
              <w:bottom w:val="single" w:sz="4" w:space="0" w:color="auto"/>
              <w:right w:val="single" w:sz="4" w:space="0" w:color="auto"/>
            </w:tcBorders>
            <w:shd w:val="clear" w:color="auto" w:fill="auto"/>
            <w:noWrap/>
          </w:tcPr>
          <w:p w14:paraId="715E86AA" w14:textId="77777777" w:rsidR="00E65679" w:rsidRPr="004518B9" w:rsidRDefault="00E65679" w:rsidP="0040771A">
            <w:pPr>
              <w:rPr>
                <w:rFonts w:ascii="Arial" w:hAnsi="Arial" w:cs="Arial"/>
                <w:b w:val="0"/>
                <w:sz w:val="20"/>
                <w:szCs w:val="20"/>
              </w:rPr>
            </w:pPr>
            <w:r w:rsidRPr="004518B9">
              <w:rPr>
                <w:rFonts w:ascii="Arial" w:hAnsi="Arial" w:cs="Arial"/>
                <w:b w:val="0"/>
                <w:sz w:val="20"/>
                <w:szCs w:val="20"/>
              </w:rPr>
              <w:t>Xây dựng công trình kỹ thuật dân dụng</w:t>
            </w:r>
          </w:p>
        </w:tc>
        <w:tc>
          <w:tcPr>
            <w:tcW w:w="1425" w:type="dxa"/>
            <w:tcBorders>
              <w:top w:val="nil"/>
              <w:left w:val="single" w:sz="4" w:space="0" w:color="auto"/>
              <w:bottom w:val="single" w:sz="4" w:space="0" w:color="auto"/>
              <w:right w:val="single" w:sz="4" w:space="0" w:color="auto"/>
            </w:tcBorders>
            <w:shd w:val="clear" w:color="auto" w:fill="auto"/>
            <w:vAlign w:val="center"/>
          </w:tcPr>
          <w:p w14:paraId="52611E4B"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48,30%</w:t>
            </w:r>
          </w:p>
        </w:tc>
        <w:tc>
          <w:tcPr>
            <w:tcW w:w="1424" w:type="dxa"/>
            <w:gridSpan w:val="2"/>
            <w:tcBorders>
              <w:top w:val="nil"/>
              <w:left w:val="single" w:sz="4" w:space="0" w:color="auto"/>
              <w:bottom w:val="single" w:sz="4" w:space="0" w:color="auto"/>
              <w:right w:val="single" w:sz="4" w:space="0" w:color="auto"/>
            </w:tcBorders>
            <w:shd w:val="clear" w:color="auto" w:fill="auto"/>
            <w:vAlign w:val="center"/>
          </w:tcPr>
          <w:p w14:paraId="72D41642"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0,38%</w:t>
            </w:r>
          </w:p>
        </w:tc>
        <w:tc>
          <w:tcPr>
            <w:tcW w:w="1426" w:type="dxa"/>
            <w:tcBorders>
              <w:top w:val="nil"/>
              <w:left w:val="single" w:sz="4" w:space="0" w:color="auto"/>
              <w:bottom w:val="single" w:sz="4" w:space="0" w:color="auto"/>
              <w:right w:val="single" w:sz="4" w:space="0" w:color="auto"/>
            </w:tcBorders>
            <w:shd w:val="clear" w:color="auto" w:fill="auto"/>
            <w:vAlign w:val="center"/>
          </w:tcPr>
          <w:p w14:paraId="4D66DB36"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r>
      <w:tr w:rsidR="00E65679" w:rsidRPr="004518B9" w14:paraId="037329AA" w14:textId="77777777" w:rsidTr="004518B9">
        <w:trPr>
          <w:trHeight w:val="286"/>
          <w:jc w:val="center"/>
        </w:trPr>
        <w:tc>
          <w:tcPr>
            <w:tcW w:w="998" w:type="dxa"/>
            <w:tcBorders>
              <w:top w:val="nil"/>
              <w:left w:val="single" w:sz="4" w:space="0" w:color="auto"/>
              <w:bottom w:val="single" w:sz="4" w:space="0" w:color="auto"/>
              <w:right w:val="single" w:sz="4" w:space="0" w:color="auto"/>
            </w:tcBorders>
            <w:shd w:val="clear" w:color="auto" w:fill="auto"/>
          </w:tcPr>
          <w:p w14:paraId="275B60E7" w14:textId="77777777" w:rsidR="00E65679" w:rsidRPr="004518B9" w:rsidRDefault="00E65679" w:rsidP="0040771A">
            <w:pPr>
              <w:jc w:val="center"/>
              <w:rPr>
                <w:rFonts w:ascii="Arial" w:hAnsi="Arial" w:cs="Arial"/>
                <w:b w:val="0"/>
                <w:sz w:val="20"/>
                <w:szCs w:val="20"/>
              </w:rPr>
            </w:pPr>
            <w:r w:rsidRPr="004518B9">
              <w:rPr>
                <w:rFonts w:ascii="Arial" w:hAnsi="Arial" w:cs="Arial"/>
                <w:b w:val="0"/>
                <w:sz w:val="20"/>
                <w:szCs w:val="20"/>
              </w:rPr>
              <w:t>11</w:t>
            </w:r>
          </w:p>
        </w:tc>
        <w:tc>
          <w:tcPr>
            <w:tcW w:w="4081" w:type="dxa"/>
            <w:gridSpan w:val="3"/>
            <w:tcBorders>
              <w:top w:val="nil"/>
              <w:left w:val="single" w:sz="4" w:space="0" w:color="auto"/>
              <w:bottom w:val="single" w:sz="4" w:space="0" w:color="auto"/>
              <w:right w:val="single" w:sz="4" w:space="0" w:color="auto"/>
            </w:tcBorders>
            <w:shd w:val="clear" w:color="auto" w:fill="auto"/>
            <w:noWrap/>
          </w:tcPr>
          <w:p w14:paraId="77A14792" w14:textId="77777777" w:rsidR="00E65679" w:rsidRPr="004518B9" w:rsidRDefault="00E65679" w:rsidP="0040771A">
            <w:pPr>
              <w:rPr>
                <w:rFonts w:ascii="Arial" w:hAnsi="Arial" w:cs="Arial"/>
                <w:b w:val="0"/>
                <w:sz w:val="20"/>
                <w:szCs w:val="20"/>
              </w:rPr>
            </w:pPr>
            <w:r w:rsidRPr="004518B9">
              <w:rPr>
                <w:rFonts w:ascii="Arial" w:hAnsi="Arial" w:cs="Arial"/>
                <w:b w:val="0"/>
                <w:sz w:val="20"/>
                <w:szCs w:val="20"/>
              </w:rPr>
              <w:t>Tiền &amp; các khoản tương đương tiền</w:t>
            </w:r>
          </w:p>
        </w:tc>
        <w:tc>
          <w:tcPr>
            <w:tcW w:w="1425" w:type="dxa"/>
            <w:tcBorders>
              <w:top w:val="nil"/>
              <w:left w:val="single" w:sz="4" w:space="0" w:color="auto"/>
              <w:bottom w:val="single" w:sz="4" w:space="0" w:color="auto"/>
              <w:right w:val="single" w:sz="4" w:space="0" w:color="auto"/>
            </w:tcBorders>
            <w:shd w:val="clear" w:color="auto" w:fill="auto"/>
            <w:vAlign w:val="center"/>
          </w:tcPr>
          <w:p w14:paraId="01439B16"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11,50%</w:t>
            </w:r>
          </w:p>
        </w:tc>
        <w:tc>
          <w:tcPr>
            <w:tcW w:w="1424" w:type="dxa"/>
            <w:gridSpan w:val="2"/>
            <w:tcBorders>
              <w:top w:val="nil"/>
              <w:left w:val="single" w:sz="4" w:space="0" w:color="auto"/>
              <w:bottom w:val="single" w:sz="4" w:space="0" w:color="auto"/>
              <w:right w:val="single" w:sz="4" w:space="0" w:color="auto"/>
            </w:tcBorders>
            <w:shd w:val="clear" w:color="auto" w:fill="auto"/>
            <w:vAlign w:val="center"/>
          </w:tcPr>
          <w:p w14:paraId="19A155F7"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26,07%</w:t>
            </w:r>
          </w:p>
        </w:tc>
        <w:tc>
          <w:tcPr>
            <w:tcW w:w="1426" w:type="dxa"/>
            <w:tcBorders>
              <w:top w:val="nil"/>
              <w:left w:val="single" w:sz="4" w:space="0" w:color="auto"/>
              <w:bottom w:val="single" w:sz="4" w:space="0" w:color="auto"/>
              <w:right w:val="single" w:sz="4" w:space="0" w:color="auto"/>
            </w:tcBorders>
            <w:shd w:val="clear" w:color="auto" w:fill="auto"/>
            <w:vAlign w:val="center"/>
          </w:tcPr>
          <w:p w14:paraId="5D6B9655"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99,70%</w:t>
            </w:r>
          </w:p>
        </w:tc>
      </w:tr>
      <w:tr w:rsidR="00E65679" w:rsidRPr="004518B9" w14:paraId="5D6B3515" w14:textId="77777777" w:rsidTr="004518B9">
        <w:trPr>
          <w:trHeight w:val="286"/>
          <w:jc w:val="center"/>
        </w:trPr>
        <w:tc>
          <w:tcPr>
            <w:tcW w:w="998" w:type="dxa"/>
            <w:tcBorders>
              <w:top w:val="nil"/>
              <w:left w:val="single" w:sz="4" w:space="0" w:color="auto"/>
              <w:bottom w:val="single" w:sz="4" w:space="0" w:color="auto"/>
              <w:right w:val="single" w:sz="4" w:space="0" w:color="auto"/>
            </w:tcBorders>
            <w:shd w:val="clear" w:color="auto" w:fill="auto"/>
          </w:tcPr>
          <w:p w14:paraId="74121467" w14:textId="77777777" w:rsidR="00E65679" w:rsidRPr="004518B9" w:rsidRDefault="00E65679" w:rsidP="0040771A">
            <w:pPr>
              <w:jc w:val="center"/>
              <w:rPr>
                <w:rFonts w:ascii="Arial" w:hAnsi="Arial" w:cs="Arial"/>
                <w:b w:val="0"/>
                <w:sz w:val="20"/>
                <w:szCs w:val="20"/>
              </w:rPr>
            </w:pPr>
            <w:r w:rsidRPr="004518B9">
              <w:rPr>
                <w:rFonts w:ascii="Arial" w:hAnsi="Arial" w:cs="Arial"/>
                <w:b w:val="0"/>
                <w:sz w:val="20"/>
                <w:szCs w:val="20"/>
              </w:rPr>
              <w:t>12</w:t>
            </w:r>
          </w:p>
        </w:tc>
        <w:tc>
          <w:tcPr>
            <w:tcW w:w="4081" w:type="dxa"/>
            <w:gridSpan w:val="3"/>
            <w:tcBorders>
              <w:top w:val="nil"/>
              <w:left w:val="single" w:sz="4" w:space="0" w:color="auto"/>
              <w:bottom w:val="single" w:sz="4" w:space="0" w:color="auto"/>
              <w:right w:val="single" w:sz="4" w:space="0" w:color="auto"/>
            </w:tcBorders>
            <w:shd w:val="clear" w:color="auto" w:fill="auto"/>
            <w:noWrap/>
          </w:tcPr>
          <w:p w14:paraId="74A5B5B7" w14:textId="77777777" w:rsidR="00E65679" w:rsidRPr="004518B9" w:rsidRDefault="00E65679" w:rsidP="0040771A">
            <w:pPr>
              <w:rPr>
                <w:rFonts w:ascii="Arial" w:hAnsi="Arial" w:cs="Arial"/>
                <w:b w:val="0"/>
                <w:sz w:val="20"/>
                <w:szCs w:val="20"/>
              </w:rPr>
            </w:pPr>
            <w:r w:rsidRPr="004518B9">
              <w:rPr>
                <w:rFonts w:ascii="Arial" w:hAnsi="Arial" w:cs="Arial"/>
                <w:b w:val="0"/>
                <w:sz w:val="20"/>
                <w:szCs w:val="20"/>
              </w:rPr>
              <w:t>Chứng khoán nợ</w:t>
            </w:r>
          </w:p>
        </w:tc>
        <w:tc>
          <w:tcPr>
            <w:tcW w:w="1425" w:type="dxa"/>
            <w:tcBorders>
              <w:top w:val="nil"/>
              <w:left w:val="single" w:sz="4" w:space="0" w:color="auto"/>
              <w:bottom w:val="single" w:sz="4" w:space="0" w:color="auto"/>
              <w:right w:val="single" w:sz="4" w:space="0" w:color="auto"/>
            </w:tcBorders>
            <w:shd w:val="clear" w:color="auto" w:fill="auto"/>
            <w:vAlign w:val="center"/>
          </w:tcPr>
          <w:p w14:paraId="143928E4" w14:textId="77777777" w:rsidR="00E65679" w:rsidRPr="004518B9" w:rsidDel="00923180"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c>
          <w:tcPr>
            <w:tcW w:w="1424" w:type="dxa"/>
            <w:gridSpan w:val="2"/>
            <w:tcBorders>
              <w:top w:val="nil"/>
              <w:left w:val="single" w:sz="4" w:space="0" w:color="auto"/>
              <w:bottom w:val="single" w:sz="4" w:space="0" w:color="auto"/>
              <w:right w:val="single" w:sz="4" w:space="0" w:color="auto"/>
            </w:tcBorders>
            <w:shd w:val="clear" w:color="auto" w:fill="auto"/>
            <w:vAlign w:val="center"/>
          </w:tcPr>
          <w:p w14:paraId="6FE26C98"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c>
          <w:tcPr>
            <w:tcW w:w="1426" w:type="dxa"/>
            <w:tcBorders>
              <w:top w:val="nil"/>
              <w:left w:val="single" w:sz="4" w:space="0" w:color="auto"/>
              <w:bottom w:val="single" w:sz="4" w:space="0" w:color="auto"/>
              <w:right w:val="single" w:sz="4" w:space="0" w:color="auto"/>
            </w:tcBorders>
            <w:shd w:val="clear" w:color="auto" w:fill="auto"/>
            <w:vAlign w:val="center"/>
          </w:tcPr>
          <w:p w14:paraId="5C6D0525" w14:textId="77777777" w:rsidR="00E65679" w:rsidRPr="004518B9" w:rsidRDefault="00E65679" w:rsidP="004518B9">
            <w:pPr>
              <w:jc w:val="center"/>
              <w:rPr>
                <w:rFonts w:ascii="Arial" w:hAnsi="Arial" w:cs="Arial"/>
                <w:b w:val="0"/>
                <w:bCs/>
                <w:sz w:val="20"/>
                <w:szCs w:val="20"/>
              </w:rPr>
            </w:pPr>
            <w:r w:rsidRPr="004518B9">
              <w:rPr>
                <w:rFonts w:ascii="Arial" w:hAnsi="Arial" w:cs="Arial"/>
                <w:b w:val="0"/>
                <w:bCs/>
                <w:color w:val="000000"/>
                <w:sz w:val="20"/>
                <w:szCs w:val="20"/>
              </w:rPr>
              <w:t>-</w:t>
            </w:r>
          </w:p>
        </w:tc>
      </w:tr>
      <w:tr w:rsidR="00E65679" w:rsidRPr="004518B9" w14:paraId="4CCE2302" w14:textId="77777777" w:rsidTr="004518B9">
        <w:trPr>
          <w:trHeight w:val="286"/>
          <w:jc w:val="center"/>
        </w:trPr>
        <w:tc>
          <w:tcPr>
            <w:tcW w:w="998" w:type="dxa"/>
            <w:tcBorders>
              <w:top w:val="nil"/>
              <w:left w:val="single" w:sz="4" w:space="0" w:color="auto"/>
              <w:bottom w:val="single" w:sz="4" w:space="0" w:color="auto"/>
              <w:right w:val="single" w:sz="4" w:space="0" w:color="auto"/>
            </w:tcBorders>
            <w:shd w:val="clear" w:color="auto" w:fill="auto"/>
          </w:tcPr>
          <w:p w14:paraId="74E03BE5" w14:textId="77777777" w:rsidR="00E65679" w:rsidRPr="004518B9" w:rsidRDefault="00E65679" w:rsidP="0040771A">
            <w:pPr>
              <w:jc w:val="center"/>
              <w:rPr>
                <w:rFonts w:ascii="Arial" w:hAnsi="Arial" w:cs="Arial"/>
                <w:b w:val="0"/>
                <w:sz w:val="20"/>
                <w:szCs w:val="20"/>
              </w:rPr>
            </w:pPr>
          </w:p>
        </w:tc>
        <w:tc>
          <w:tcPr>
            <w:tcW w:w="4081" w:type="dxa"/>
            <w:gridSpan w:val="3"/>
            <w:tcBorders>
              <w:top w:val="nil"/>
              <w:left w:val="single" w:sz="4" w:space="0" w:color="auto"/>
              <w:bottom w:val="single" w:sz="4" w:space="0" w:color="auto"/>
              <w:right w:val="single" w:sz="4" w:space="0" w:color="auto"/>
            </w:tcBorders>
            <w:shd w:val="clear" w:color="auto" w:fill="auto"/>
            <w:noWrap/>
            <w:vAlign w:val="bottom"/>
          </w:tcPr>
          <w:p w14:paraId="5966B527" w14:textId="77777777" w:rsidR="00E65679" w:rsidRPr="004518B9" w:rsidRDefault="00E65679" w:rsidP="0040771A">
            <w:pPr>
              <w:rPr>
                <w:rFonts w:ascii="Arial" w:hAnsi="Arial" w:cs="Arial"/>
                <w:b w:val="0"/>
                <w:sz w:val="20"/>
                <w:szCs w:val="20"/>
              </w:rPr>
            </w:pPr>
            <w:r w:rsidRPr="004518B9">
              <w:rPr>
                <w:rFonts w:ascii="Arial" w:hAnsi="Arial" w:cs="Arial"/>
                <w:bCs/>
                <w:sz w:val="20"/>
                <w:szCs w:val="20"/>
              </w:rPr>
              <w:t>Tổng</w:t>
            </w:r>
          </w:p>
        </w:tc>
        <w:tc>
          <w:tcPr>
            <w:tcW w:w="1425" w:type="dxa"/>
            <w:tcBorders>
              <w:top w:val="nil"/>
              <w:left w:val="single" w:sz="4" w:space="0" w:color="auto"/>
              <w:bottom w:val="single" w:sz="4" w:space="0" w:color="auto"/>
              <w:right w:val="single" w:sz="4" w:space="0" w:color="auto"/>
            </w:tcBorders>
            <w:shd w:val="clear" w:color="auto" w:fill="auto"/>
            <w:vAlign w:val="center"/>
          </w:tcPr>
          <w:p w14:paraId="544087D6" w14:textId="77777777" w:rsidR="00E65679" w:rsidRPr="004518B9" w:rsidRDefault="00E65679" w:rsidP="004518B9">
            <w:pPr>
              <w:jc w:val="center"/>
              <w:rPr>
                <w:rFonts w:ascii="Arial" w:hAnsi="Arial" w:cs="Arial"/>
                <w:sz w:val="20"/>
                <w:szCs w:val="20"/>
              </w:rPr>
            </w:pPr>
            <w:r w:rsidRPr="004518B9">
              <w:rPr>
                <w:rFonts w:ascii="Arial" w:hAnsi="Arial" w:cs="Arial"/>
                <w:color w:val="000000"/>
                <w:sz w:val="20"/>
                <w:szCs w:val="20"/>
              </w:rPr>
              <w:t>100%</w:t>
            </w:r>
          </w:p>
        </w:tc>
        <w:tc>
          <w:tcPr>
            <w:tcW w:w="1424" w:type="dxa"/>
            <w:gridSpan w:val="2"/>
            <w:tcBorders>
              <w:top w:val="nil"/>
              <w:left w:val="single" w:sz="4" w:space="0" w:color="auto"/>
              <w:bottom w:val="single" w:sz="4" w:space="0" w:color="auto"/>
              <w:right w:val="single" w:sz="4" w:space="0" w:color="auto"/>
            </w:tcBorders>
            <w:shd w:val="clear" w:color="auto" w:fill="auto"/>
            <w:vAlign w:val="center"/>
          </w:tcPr>
          <w:p w14:paraId="4AA80172" w14:textId="77777777" w:rsidR="00E65679" w:rsidRPr="004518B9" w:rsidRDefault="00E65679" w:rsidP="004518B9">
            <w:pPr>
              <w:jc w:val="center"/>
              <w:rPr>
                <w:rFonts w:ascii="Arial" w:hAnsi="Arial" w:cs="Arial"/>
                <w:sz w:val="20"/>
                <w:szCs w:val="20"/>
              </w:rPr>
            </w:pPr>
            <w:r w:rsidRPr="004518B9">
              <w:rPr>
                <w:rFonts w:ascii="Arial" w:hAnsi="Arial" w:cs="Arial"/>
                <w:color w:val="000000"/>
                <w:sz w:val="20"/>
                <w:szCs w:val="20"/>
              </w:rPr>
              <w:t>100%</w:t>
            </w:r>
          </w:p>
        </w:tc>
        <w:tc>
          <w:tcPr>
            <w:tcW w:w="1426" w:type="dxa"/>
            <w:tcBorders>
              <w:top w:val="nil"/>
              <w:left w:val="single" w:sz="4" w:space="0" w:color="auto"/>
              <w:bottom w:val="single" w:sz="4" w:space="0" w:color="auto"/>
              <w:right w:val="single" w:sz="4" w:space="0" w:color="auto"/>
            </w:tcBorders>
            <w:shd w:val="clear" w:color="auto" w:fill="auto"/>
            <w:vAlign w:val="center"/>
          </w:tcPr>
          <w:p w14:paraId="2A4C510D" w14:textId="77777777" w:rsidR="00E65679" w:rsidRPr="004518B9" w:rsidRDefault="00E65679" w:rsidP="004518B9">
            <w:pPr>
              <w:jc w:val="center"/>
              <w:rPr>
                <w:rFonts w:ascii="Arial" w:hAnsi="Arial" w:cs="Arial"/>
                <w:sz w:val="20"/>
                <w:szCs w:val="20"/>
              </w:rPr>
            </w:pPr>
            <w:r w:rsidRPr="004518B9">
              <w:rPr>
                <w:rFonts w:ascii="Arial" w:hAnsi="Arial" w:cs="Arial"/>
                <w:color w:val="000000"/>
                <w:sz w:val="20"/>
                <w:szCs w:val="20"/>
              </w:rPr>
              <w:t>100%</w:t>
            </w:r>
          </w:p>
        </w:tc>
      </w:tr>
      <w:tr w:rsidR="00CE02F1" w:rsidRPr="004802DE" w14:paraId="13BEC139" w14:textId="77777777" w:rsidTr="004518B9">
        <w:tblPrEx>
          <w:jc w:val="left"/>
        </w:tblPrEx>
        <w:trPr>
          <w:trHeight w:val="270"/>
        </w:trPr>
        <w:tc>
          <w:tcPr>
            <w:tcW w:w="2451" w:type="dxa"/>
            <w:gridSpan w:val="2"/>
            <w:tcBorders>
              <w:top w:val="nil"/>
              <w:left w:val="nil"/>
              <w:bottom w:val="nil"/>
              <w:right w:val="nil"/>
            </w:tcBorders>
            <w:shd w:val="clear" w:color="auto" w:fill="auto"/>
            <w:vAlign w:val="center"/>
            <w:hideMark/>
          </w:tcPr>
          <w:p w14:paraId="2A8F1DC7" w14:textId="77777777" w:rsidR="004518B9" w:rsidRDefault="004518B9" w:rsidP="00CE02F1">
            <w:pPr>
              <w:jc w:val="center"/>
              <w:rPr>
                <w:rFonts w:ascii="Arial" w:hAnsi="Arial" w:cs="Arial"/>
                <w:bCs/>
                <w:color w:val="000000"/>
                <w:sz w:val="20"/>
                <w:szCs w:val="20"/>
              </w:rPr>
            </w:pPr>
          </w:p>
          <w:p w14:paraId="010177A5" w14:textId="77777777" w:rsidR="004518B9" w:rsidRDefault="004518B9" w:rsidP="00CE02F1">
            <w:pPr>
              <w:jc w:val="center"/>
              <w:rPr>
                <w:rFonts w:ascii="Arial" w:hAnsi="Arial" w:cs="Arial"/>
                <w:bCs/>
                <w:color w:val="000000"/>
                <w:sz w:val="20"/>
                <w:szCs w:val="20"/>
              </w:rPr>
            </w:pPr>
          </w:p>
          <w:p w14:paraId="0281BAB5" w14:textId="4F761B48" w:rsidR="00CE02F1" w:rsidRPr="004802DE" w:rsidRDefault="00CE02F1" w:rsidP="00CE02F1">
            <w:pPr>
              <w:jc w:val="center"/>
              <w:rPr>
                <w:rFonts w:ascii="Arial" w:hAnsi="Arial" w:cs="Arial"/>
                <w:bCs/>
                <w:color w:val="000000"/>
                <w:sz w:val="20"/>
                <w:szCs w:val="20"/>
              </w:rPr>
            </w:pPr>
            <w:r w:rsidRPr="004802DE">
              <w:rPr>
                <w:rFonts w:ascii="Arial" w:hAnsi="Arial" w:cs="Arial"/>
                <w:bCs/>
                <w:color w:val="000000"/>
                <w:sz w:val="20"/>
                <w:szCs w:val="20"/>
              </w:rPr>
              <w:t>Chỉ tiêu</w:t>
            </w:r>
          </w:p>
        </w:tc>
        <w:tc>
          <w:tcPr>
            <w:tcW w:w="2301" w:type="dxa"/>
            <w:tcBorders>
              <w:top w:val="nil"/>
              <w:left w:val="nil"/>
              <w:bottom w:val="single" w:sz="8" w:space="0" w:color="auto"/>
              <w:right w:val="nil"/>
            </w:tcBorders>
            <w:shd w:val="clear" w:color="auto" w:fill="auto"/>
            <w:vAlign w:val="center"/>
            <w:hideMark/>
          </w:tcPr>
          <w:p w14:paraId="45E46F45" w14:textId="77777777" w:rsidR="00CE02F1" w:rsidRPr="004802DE" w:rsidRDefault="00CE02F1" w:rsidP="00CE02F1">
            <w:pPr>
              <w:jc w:val="center"/>
              <w:rPr>
                <w:rFonts w:ascii="Arial" w:hAnsi="Arial" w:cs="Arial"/>
                <w:bCs/>
                <w:color w:val="000000"/>
                <w:sz w:val="20"/>
                <w:szCs w:val="20"/>
              </w:rPr>
            </w:pPr>
            <w:r w:rsidRPr="004802DE">
              <w:rPr>
                <w:rFonts w:ascii="Arial" w:hAnsi="Arial" w:cs="Arial"/>
                <w:bCs/>
                <w:color w:val="000000"/>
                <w:sz w:val="20"/>
                <w:szCs w:val="20"/>
              </w:rPr>
              <w:t>31/12/21</w:t>
            </w:r>
          </w:p>
        </w:tc>
        <w:tc>
          <w:tcPr>
            <w:tcW w:w="2301" w:type="dxa"/>
            <w:gridSpan w:val="3"/>
            <w:tcBorders>
              <w:top w:val="nil"/>
              <w:left w:val="nil"/>
              <w:bottom w:val="single" w:sz="8" w:space="0" w:color="auto"/>
              <w:right w:val="nil"/>
            </w:tcBorders>
            <w:shd w:val="clear" w:color="auto" w:fill="auto"/>
            <w:vAlign w:val="center"/>
            <w:hideMark/>
          </w:tcPr>
          <w:p w14:paraId="678D88C7" w14:textId="77777777" w:rsidR="00CE02F1" w:rsidRPr="004802DE" w:rsidRDefault="00CE02F1" w:rsidP="00CE02F1">
            <w:pPr>
              <w:jc w:val="center"/>
              <w:rPr>
                <w:rFonts w:ascii="Arial" w:hAnsi="Arial" w:cs="Arial"/>
                <w:bCs/>
                <w:color w:val="000000"/>
                <w:sz w:val="20"/>
                <w:szCs w:val="20"/>
              </w:rPr>
            </w:pPr>
            <w:r w:rsidRPr="004802DE">
              <w:rPr>
                <w:rFonts w:ascii="Arial" w:hAnsi="Arial" w:cs="Arial"/>
                <w:bCs/>
                <w:color w:val="000000"/>
                <w:sz w:val="20"/>
                <w:szCs w:val="20"/>
              </w:rPr>
              <w:t>31/12/20</w:t>
            </w:r>
          </w:p>
        </w:tc>
        <w:tc>
          <w:tcPr>
            <w:tcW w:w="2301" w:type="dxa"/>
            <w:gridSpan w:val="2"/>
            <w:tcBorders>
              <w:top w:val="nil"/>
              <w:left w:val="nil"/>
              <w:bottom w:val="single" w:sz="8" w:space="0" w:color="auto"/>
              <w:right w:val="nil"/>
            </w:tcBorders>
            <w:shd w:val="clear" w:color="auto" w:fill="auto"/>
            <w:vAlign w:val="center"/>
            <w:hideMark/>
          </w:tcPr>
          <w:p w14:paraId="3BC51B8D" w14:textId="77777777" w:rsidR="00CE02F1" w:rsidRPr="004802DE" w:rsidRDefault="00CE02F1" w:rsidP="00CE02F1">
            <w:pPr>
              <w:jc w:val="center"/>
              <w:rPr>
                <w:rFonts w:ascii="Arial" w:hAnsi="Arial" w:cs="Arial"/>
                <w:bCs/>
                <w:color w:val="000000"/>
                <w:sz w:val="20"/>
                <w:szCs w:val="20"/>
              </w:rPr>
            </w:pPr>
            <w:r w:rsidRPr="004802DE">
              <w:rPr>
                <w:rFonts w:ascii="Arial" w:hAnsi="Arial" w:cs="Arial"/>
                <w:bCs/>
                <w:color w:val="000000"/>
                <w:sz w:val="20"/>
                <w:szCs w:val="20"/>
              </w:rPr>
              <w:t>31/12/19</w:t>
            </w:r>
          </w:p>
        </w:tc>
      </w:tr>
      <w:tr w:rsidR="00CE02F1" w:rsidRPr="004802DE" w14:paraId="4923AE99" w14:textId="77777777" w:rsidTr="004518B9">
        <w:tblPrEx>
          <w:jc w:val="left"/>
        </w:tblPrEx>
        <w:trPr>
          <w:trHeight w:val="260"/>
        </w:trPr>
        <w:tc>
          <w:tcPr>
            <w:tcW w:w="2451" w:type="dxa"/>
            <w:gridSpan w:val="2"/>
            <w:tcBorders>
              <w:top w:val="nil"/>
              <w:left w:val="nil"/>
              <w:bottom w:val="nil"/>
              <w:right w:val="nil"/>
            </w:tcBorders>
            <w:shd w:val="clear" w:color="auto" w:fill="auto"/>
            <w:vAlign w:val="center"/>
            <w:hideMark/>
          </w:tcPr>
          <w:p w14:paraId="180768BF" w14:textId="77777777" w:rsidR="00CE02F1" w:rsidRPr="004802DE" w:rsidRDefault="00CE02F1" w:rsidP="00CE02F1">
            <w:pPr>
              <w:jc w:val="center"/>
              <w:rPr>
                <w:rFonts w:ascii="Arial" w:hAnsi="Arial" w:cs="Arial"/>
                <w:bCs/>
                <w:color w:val="000000"/>
                <w:sz w:val="20"/>
                <w:szCs w:val="20"/>
              </w:rPr>
            </w:pPr>
          </w:p>
        </w:tc>
        <w:tc>
          <w:tcPr>
            <w:tcW w:w="2301" w:type="dxa"/>
            <w:tcBorders>
              <w:top w:val="nil"/>
              <w:left w:val="nil"/>
              <w:bottom w:val="nil"/>
              <w:right w:val="nil"/>
            </w:tcBorders>
            <w:shd w:val="clear" w:color="auto" w:fill="auto"/>
            <w:vAlign w:val="center"/>
            <w:hideMark/>
          </w:tcPr>
          <w:p w14:paraId="6F4A3456" w14:textId="77777777" w:rsidR="00CE02F1" w:rsidRPr="004802DE" w:rsidRDefault="00CE02F1" w:rsidP="00CE02F1">
            <w:pPr>
              <w:jc w:val="center"/>
              <w:rPr>
                <w:b w:val="0"/>
                <w:sz w:val="20"/>
                <w:szCs w:val="20"/>
              </w:rPr>
            </w:pPr>
          </w:p>
        </w:tc>
        <w:tc>
          <w:tcPr>
            <w:tcW w:w="2301" w:type="dxa"/>
            <w:gridSpan w:val="3"/>
            <w:tcBorders>
              <w:top w:val="nil"/>
              <w:left w:val="nil"/>
              <w:bottom w:val="nil"/>
              <w:right w:val="nil"/>
            </w:tcBorders>
            <w:shd w:val="clear" w:color="auto" w:fill="auto"/>
            <w:vAlign w:val="center"/>
            <w:hideMark/>
          </w:tcPr>
          <w:p w14:paraId="0CC6B5FD" w14:textId="77777777" w:rsidR="00CE02F1" w:rsidRPr="004802DE" w:rsidRDefault="00CE02F1" w:rsidP="00CE02F1">
            <w:pPr>
              <w:jc w:val="center"/>
              <w:rPr>
                <w:b w:val="0"/>
                <w:sz w:val="20"/>
                <w:szCs w:val="20"/>
              </w:rPr>
            </w:pPr>
          </w:p>
        </w:tc>
        <w:tc>
          <w:tcPr>
            <w:tcW w:w="2301" w:type="dxa"/>
            <w:gridSpan w:val="2"/>
            <w:tcBorders>
              <w:top w:val="nil"/>
              <w:left w:val="nil"/>
              <w:bottom w:val="nil"/>
              <w:right w:val="nil"/>
            </w:tcBorders>
            <w:shd w:val="clear" w:color="auto" w:fill="auto"/>
            <w:vAlign w:val="center"/>
            <w:hideMark/>
          </w:tcPr>
          <w:p w14:paraId="3E40705E" w14:textId="77777777" w:rsidR="00CE02F1" w:rsidRPr="004802DE" w:rsidRDefault="00CE02F1" w:rsidP="00CE02F1">
            <w:pPr>
              <w:jc w:val="center"/>
              <w:rPr>
                <w:b w:val="0"/>
                <w:sz w:val="20"/>
                <w:szCs w:val="20"/>
              </w:rPr>
            </w:pPr>
          </w:p>
        </w:tc>
      </w:tr>
      <w:tr w:rsidR="00CE02F1" w:rsidRPr="004802DE" w14:paraId="5DAFD4FB" w14:textId="77777777" w:rsidTr="004518B9">
        <w:tblPrEx>
          <w:jc w:val="left"/>
        </w:tblPrEx>
        <w:trPr>
          <w:trHeight w:val="250"/>
        </w:trPr>
        <w:tc>
          <w:tcPr>
            <w:tcW w:w="2451" w:type="dxa"/>
            <w:gridSpan w:val="2"/>
            <w:tcBorders>
              <w:top w:val="nil"/>
              <w:left w:val="nil"/>
              <w:bottom w:val="nil"/>
              <w:right w:val="nil"/>
            </w:tcBorders>
            <w:shd w:val="clear" w:color="auto" w:fill="auto"/>
            <w:vAlign w:val="center"/>
            <w:hideMark/>
          </w:tcPr>
          <w:p w14:paraId="78EE055C" w14:textId="77777777" w:rsidR="00CE02F1" w:rsidRPr="004802DE" w:rsidRDefault="00CE02F1" w:rsidP="00CE02F1">
            <w:pPr>
              <w:jc w:val="center"/>
              <w:rPr>
                <w:b w:val="0"/>
                <w:sz w:val="20"/>
                <w:szCs w:val="20"/>
              </w:rPr>
            </w:pPr>
          </w:p>
        </w:tc>
        <w:tc>
          <w:tcPr>
            <w:tcW w:w="2301" w:type="dxa"/>
            <w:tcBorders>
              <w:top w:val="nil"/>
              <w:left w:val="nil"/>
              <w:bottom w:val="nil"/>
              <w:right w:val="nil"/>
            </w:tcBorders>
            <w:shd w:val="clear" w:color="auto" w:fill="auto"/>
            <w:vAlign w:val="center"/>
            <w:hideMark/>
          </w:tcPr>
          <w:p w14:paraId="5E509C32" w14:textId="77777777" w:rsidR="00CE02F1" w:rsidRPr="004802DE" w:rsidRDefault="00CE02F1" w:rsidP="00CE02F1">
            <w:pPr>
              <w:rPr>
                <w:b w:val="0"/>
                <w:sz w:val="20"/>
                <w:szCs w:val="20"/>
              </w:rPr>
            </w:pPr>
          </w:p>
        </w:tc>
        <w:tc>
          <w:tcPr>
            <w:tcW w:w="2301" w:type="dxa"/>
            <w:gridSpan w:val="3"/>
            <w:tcBorders>
              <w:top w:val="nil"/>
              <w:left w:val="nil"/>
              <w:bottom w:val="nil"/>
              <w:right w:val="nil"/>
            </w:tcBorders>
            <w:shd w:val="clear" w:color="auto" w:fill="auto"/>
            <w:vAlign w:val="center"/>
            <w:hideMark/>
          </w:tcPr>
          <w:p w14:paraId="55851B14" w14:textId="77777777" w:rsidR="00CE02F1" w:rsidRPr="004802DE" w:rsidRDefault="00CE02F1" w:rsidP="00CE02F1">
            <w:pPr>
              <w:jc w:val="right"/>
              <w:rPr>
                <w:b w:val="0"/>
                <w:sz w:val="20"/>
                <w:szCs w:val="20"/>
              </w:rPr>
            </w:pPr>
          </w:p>
        </w:tc>
        <w:tc>
          <w:tcPr>
            <w:tcW w:w="2301" w:type="dxa"/>
            <w:gridSpan w:val="2"/>
            <w:tcBorders>
              <w:top w:val="nil"/>
              <w:left w:val="nil"/>
              <w:bottom w:val="nil"/>
              <w:right w:val="nil"/>
            </w:tcBorders>
            <w:shd w:val="clear" w:color="auto" w:fill="auto"/>
            <w:vAlign w:val="center"/>
            <w:hideMark/>
          </w:tcPr>
          <w:p w14:paraId="6E6CC433" w14:textId="77777777" w:rsidR="00CE02F1" w:rsidRPr="004802DE" w:rsidRDefault="00CE02F1" w:rsidP="00CE02F1">
            <w:pPr>
              <w:jc w:val="right"/>
              <w:rPr>
                <w:b w:val="0"/>
                <w:sz w:val="20"/>
                <w:szCs w:val="20"/>
              </w:rPr>
            </w:pPr>
          </w:p>
        </w:tc>
      </w:tr>
      <w:tr w:rsidR="000641EF" w:rsidRPr="004802DE" w14:paraId="6912B42C" w14:textId="77777777" w:rsidTr="004518B9">
        <w:tblPrEx>
          <w:jc w:val="left"/>
        </w:tblPrEx>
        <w:trPr>
          <w:trHeight w:val="500"/>
        </w:trPr>
        <w:tc>
          <w:tcPr>
            <w:tcW w:w="2451" w:type="dxa"/>
            <w:gridSpan w:val="2"/>
            <w:tcBorders>
              <w:top w:val="nil"/>
              <w:left w:val="nil"/>
              <w:bottom w:val="nil"/>
              <w:right w:val="nil"/>
            </w:tcBorders>
            <w:shd w:val="clear" w:color="auto" w:fill="auto"/>
            <w:vAlign w:val="center"/>
            <w:hideMark/>
          </w:tcPr>
          <w:p w14:paraId="3D8A9626" w14:textId="77777777" w:rsidR="000641EF" w:rsidRPr="004802DE" w:rsidRDefault="000641EF" w:rsidP="000641EF">
            <w:pPr>
              <w:rPr>
                <w:rFonts w:ascii="Arial" w:hAnsi="Arial" w:cs="Arial"/>
                <w:b w:val="0"/>
                <w:color w:val="000000"/>
                <w:sz w:val="20"/>
                <w:szCs w:val="20"/>
              </w:rPr>
            </w:pPr>
            <w:r w:rsidRPr="004802DE">
              <w:rPr>
                <w:rFonts w:ascii="Arial" w:hAnsi="Arial" w:cs="Arial"/>
                <w:b w:val="0"/>
                <w:color w:val="000000"/>
                <w:sz w:val="20"/>
                <w:szCs w:val="20"/>
              </w:rPr>
              <w:t>Giá trị tài sản ròng của Quỹ (VND)</w:t>
            </w:r>
          </w:p>
        </w:tc>
        <w:tc>
          <w:tcPr>
            <w:tcW w:w="2301" w:type="dxa"/>
            <w:tcBorders>
              <w:top w:val="nil"/>
              <w:left w:val="nil"/>
              <w:bottom w:val="nil"/>
              <w:right w:val="nil"/>
            </w:tcBorders>
            <w:shd w:val="clear" w:color="auto" w:fill="auto"/>
            <w:hideMark/>
          </w:tcPr>
          <w:p w14:paraId="08AEF80A" w14:textId="3F2088DF" w:rsidR="000641EF" w:rsidRPr="004802DE" w:rsidRDefault="000641EF" w:rsidP="000641EF">
            <w:pPr>
              <w:jc w:val="right"/>
              <w:rPr>
                <w:rFonts w:ascii="Arial" w:hAnsi="Arial" w:cs="Arial"/>
                <w:b w:val="0"/>
                <w:bCs/>
                <w:sz w:val="20"/>
                <w:szCs w:val="20"/>
              </w:rPr>
            </w:pPr>
            <w:r w:rsidRPr="004802DE">
              <w:rPr>
                <w:rFonts w:ascii="Arial" w:hAnsi="Arial" w:cs="Arial"/>
                <w:b w:val="0"/>
                <w:bCs/>
                <w:sz w:val="20"/>
                <w:szCs w:val="20"/>
              </w:rPr>
              <w:t>293</w:t>
            </w:r>
            <w:r w:rsidR="00F97762">
              <w:rPr>
                <w:rFonts w:ascii="Arial" w:hAnsi="Arial" w:cs="Arial"/>
                <w:b w:val="0"/>
                <w:bCs/>
                <w:sz w:val="20"/>
                <w:szCs w:val="20"/>
              </w:rPr>
              <w:t>.</w:t>
            </w:r>
            <w:r w:rsidRPr="004802DE">
              <w:rPr>
                <w:rFonts w:ascii="Arial" w:hAnsi="Arial" w:cs="Arial"/>
                <w:b w:val="0"/>
                <w:bCs/>
                <w:sz w:val="20"/>
                <w:szCs w:val="20"/>
              </w:rPr>
              <w:t>802</w:t>
            </w:r>
            <w:r w:rsidR="00F97762">
              <w:rPr>
                <w:rFonts w:ascii="Arial" w:hAnsi="Arial" w:cs="Arial"/>
                <w:b w:val="0"/>
                <w:bCs/>
                <w:sz w:val="20"/>
                <w:szCs w:val="20"/>
              </w:rPr>
              <w:t>.</w:t>
            </w:r>
            <w:r w:rsidRPr="004802DE">
              <w:rPr>
                <w:rFonts w:ascii="Arial" w:hAnsi="Arial" w:cs="Arial"/>
                <w:b w:val="0"/>
                <w:bCs/>
                <w:sz w:val="20"/>
                <w:szCs w:val="20"/>
              </w:rPr>
              <w:t>572</w:t>
            </w:r>
            <w:r w:rsidR="00F97762">
              <w:rPr>
                <w:rFonts w:ascii="Arial" w:hAnsi="Arial" w:cs="Arial"/>
                <w:b w:val="0"/>
                <w:bCs/>
                <w:sz w:val="20"/>
                <w:szCs w:val="20"/>
              </w:rPr>
              <w:t>.</w:t>
            </w:r>
            <w:r w:rsidRPr="004802DE">
              <w:rPr>
                <w:rFonts w:ascii="Arial" w:hAnsi="Arial" w:cs="Arial"/>
                <w:b w:val="0"/>
                <w:bCs/>
                <w:sz w:val="20"/>
                <w:szCs w:val="20"/>
              </w:rPr>
              <w:t>052</w:t>
            </w:r>
          </w:p>
        </w:tc>
        <w:tc>
          <w:tcPr>
            <w:tcW w:w="2301" w:type="dxa"/>
            <w:gridSpan w:val="3"/>
            <w:tcBorders>
              <w:top w:val="nil"/>
              <w:left w:val="nil"/>
              <w:bottom w:val="nil"/>
              <w:right w:val="nil"/>
            </w:tcBorders>
            <w:shd w:val="clear" w:color="auto" w:fill="auto"/>
            <w:hideMark/>
          </w:tcPr>
          <w:p w14:paraId="3B6E4F01" w14:textId="4A920FBE" w:rsidR="000641EF" w:rsidRPr="004802DE" w:rsidRDefault="000641EF" w:rsidP="000641EF">
            <w:pPr>
              <w:jc w:val="right"/>
              <w:rPr>
                <w:rFonts w:ascii="Arial" w:hAnsi="Arial" w:cs="Arial"/>
                <w:b w:val="0"/>
                <w:bCs/>
                <w:sz w:val="20"/>
                <w:szCs w:val="20"/>
              </w:rPr>
            </w:pPr>
            <w:r w:rsidRPr="004802DE">
              <w:rPr>
                <w:rFonts w:ascii="Arial" w:hAnsi="Arial" w:cs="Arial"/>
                <w:b w:val="0"/>
                <w:bCs/>
                <w:sz w:val="20"/>
                <w:szCs w:val="20"/>
              </w:rPr>
              <w:t>271</w:t>
            </w:r>
            <w:r w:rsidR="00F97762">
              <w:rPr>
                <w:rFonts w:ascii="Arial" w:hAnsi="Arial" w:cs="Arial"/>
                <w:b w:val="0"/>
                <w:bCs/>
                <w:sz w:val="20"/>
                <w:szCs w:val="20"/>
              </w:rPr>
              <w:t>.</w:t>
            </w:r>
            <w:r w:rsidRPr="004802DE">
              <w:rPr>
                <w:rFonts w:ascii="Arial" w:hAnsi="Arial" w:cs="Arial"/>
                <w:b w:val="0"/>
                <w:bCs/>
                <w:sz w:val="20"/>
                <w:szCs w:val="20"/>
              </w:rPr>
              <w:t>332</w:t>
            </w:r>
            <w:r w:rsidR="00F97762">
              <w:rPr>
                <w:rFonts w:ascii="Arial" w:hAnsi="Arial" w:cs="Arial"/>
                <w:b w:val="0"/>
                <w:bCs/>
                <w:sz w:val="20"/>
                <w:szCs w:val="20"/>
              </w:rPr>
              <w:t>.</w:t>
            </w:r>
            <w:r w:rsidRPr="004802DE">
              <w:rPr>
                <w:rFonts w:ascii="Arial" w:hAnsi="Arial" w:cs="Arial"/>
                <w:b w:val="0"/>
                <w:bCs/>
                <w:sz w:val="20"/>
                <w:szCs w:val="20"/>
              </w:rPr>
              <w:t>225</w:t>
            </w:r>
            <w:r w:rsidR="00F97762">
              <w:rPr>
                <w:rFonts w:ascii="Arial" w:hAnsi="Arial" w:cs="Arial"/>
                <w:b w:val="0"/>
                <w:bCs/>
                <w:sz w:val="20"/>
                <w:szCs w:val="20"/>
              </w:rPr>
              <w:t>.</w:t>
            </w:r>
            <w:r w:rsidRPr="004802DE">
              <w:rPr>
                <w:rFonts w:ascii="Arial" w:hAnsi="Arial" w:cs="Arial"/>
                <w:b w:val="0"/>
                <w:bCs/>
                <w:sz w:val="20"/>
                <w:szCs w:val="20"/>
              </w:rPr>
              <w:t>925</w:t>
            </w:r>
          </w:p>
        </w:tc>
        <w:tc>
          <w:tcPr>
            <w:tcW w:w="2301" w:type="dxa"/>
            <w:gridSpan w:val="2"/>
            <w:tcBorders>
              <w:top w:val="nil"/>
              <w:left w:val="nil"/>
              <w:bottom w:val="nil"/>
              <w:right w:val="nil"/>
            </w:tcBorders>
            <w:shd w:val="clear" w:color="auto" w:fill="auto"/>
            <w:hideMark/>
          </w:tcPr>
          <w:p w14:paraId="11D9BC1F" w14:textId="4B3B427B" w:rsidR="000641EF" w:rsidRPr="004802DE" w:rsidRDefault="000641EF" w:rsidP="000641EF">
            <w:pPr>
              <w:jc w:val="right"/>
              <w:rPr>
                <w:rFonts w:ascii="Arial" w:hAnsi="Arial" w:cs="Arial"/>
                <w:b w:val="0"/>
                <w:bCs/>
                <w:sz w:val="20"/>
                <w:szCs w:val="20"/>
              </w:rPr>
            </w:pPr>
            <w:r w:rsidRPr="004802DE">
              <w:rPr>
                <w:rFonts w:ascii="Arial" w:hAnsi="Arial" w:cs="Arial"/>
                <w:b w:val="0"/>
                <w:bCs/>
                <w:sz w:val="20"/>
                <w:szCs w:val="20"/>
              </w:rPr>
              <w:t>11</w:t>
            </w:r>
            <w:r w:rsidR="00F97762">
              <w:rPr>
                <w:rFonts w:ascii="Arial" w:hAnsi="Arial" w:cs="Arial"/>
                <w:b w:val="0"/>
                <w:bCs/>
                <w:sz w:val="20"/>
                <w:szCs w:val="20"/>
              </w:rPr>
              <w:t>.</w:t>
            </w:r>
            <w:r w:rsidRPr="004802DE">
              <w:rPr>
                <w:rFonts w:ascii="Arial" w:hAnsi="Arial" w:cs="Arial"/>
                <w:b w:val="0"/>
                <w:bCs/>
                <w:sz w:val="20"/>
                <w:szCs w:val="20"/>
              </w:rPr>
              <w:t>810</w:t>
            </w:r>
            <w:r w:rsidR="00F97762">
              <w:rPr>
                <w:rFonts w:ascii="Arial" w:hAnsi="Arial" w:cs="Arial"/>
                <w:b w:val="0"/>
                <w:bCs/>
                <w:sz w:val="20"/>
                <w:szCs w:val="20"/>
              </w:rPr>
              <w:t>.</w:t>
            </w:r>
            <w:r w:rsidRPr="004802DE">
              <w:rPr>
                <w:rFonts w:ascii="Arial" w:hAnsi="Arial" w:cs="Arial"/>
                <w:b w:val="0"/>
                <w:bCs/>
                <w:sz w:val="20"/>
                <w:szCs w:val="20"/>
              </w:rPr>
              <w:t>841</w:t>
            </w:r>
            <w:r w:rsidR="00F97762">
              <w:rPr>
                <w:rFonts w:ascii="Arial" w:hAnsi="Arial" w:cs="Arial"/>
                <w:b w:val="0"/>
                <w:bCs/>
                <w:sz w:val="20"/>
                <w:szCs w:val="20"/>
              </w:rPr>
              <w:t>.</w:t>
            </w:r>
            <w:r w:rsidRPr="004802DE">
              <w:rPr>
                <w:rFonts w:ascii="Arial" w:hAnsi="Arial" w:cs="Arial"/>
                <w:b w:val="0"/>
                <w:bCs/>
                <w:sz w:val="20"/>
                <w:szCs w:val="20"/>
              </w:rPr>
              <w:t>053</w:t>
            </w:r>
          </w:p>
        </w:tc>
      </w:tr>
      <w:tr w:rsidR="000641EF" w:rsidRPr="004802DE" w14:paraId="0C5EDA73" w14:textId="77777777" w:rsidTr="004518B9">
        <w:tblPrEx>
          <w:jc w:val="left"/>
        </w:tblPrEx>
        <w:trPr>
          <w:trHeight w:val="500"/>
        </w:trPr>
        <w:tc>
          <w:tcPr>
            <w:tcW w:w="2451" w:type="dxa"/>
            <w:gridSpan w:val="2"/>
            <w:tcBorders>
              <w:top w:val="nil"/>
              <w:left w:val="nil"/>
              <w:bottom w:val="nil"/>
              <w:right w:val="nil"/>
            </w:tcBorders>
            <w:shd w:val="clear" w:color="auto" w:fill="auto"/>
            <w:vAlign w:val="center"/>
            <w:hideMark/>
          </w:tcPr>
          <w:p w14:paraId="0D96DDB2" w14:textId="77777777" w:rsidR="000641EF" w:rsidRPr="004802DE" w:rsidRDefault="000641EF" w:rsidP="000641EF">
            <w:pPr>
              <w:rPr>
                <w:rFonts w:ascii="Arial" w:hAnsi="Arial" w:cs="Arial"/>
                <w:b w:val="0"/>
                <w:color w:val="000000"/>
                <w:sz w:val="20"/>
                <w:szCs w:val="20"/>
              </w:rPr>
            </w:pPr>
            <w:r w:rsidRPr="004802DE">
              <w:rPr>
                <w:rFonts w:ascii="Arial" w:hAnsi="Arial" w:cs="Arial"/>
                <w:b w:val="0"/>
                <w:color w:val="000000"/>
                <w:sz w:val="20"/>
                <w:szCs w:val="20"/>
              </w:rPr>
              <w:t>Tổng số chứng chỉ quỹ đang lưu hành (VND)</w:t>
            </w:r>
          </w:p>
        </w:tc>
        <w:tc>
          <w:tcPr>
            <w:tcW w:w="2301" w:type="dxa"/>
            <w:tcBorders>
              <w:top w:val="nil"/>
              <w:left w:val="nil"/>
              <w:bottom w:val="nil"/>
              <w:right w:val="nil"/>
            </w:tcBorders>
            <w:shd w:val="clear" w:color="auto" w:fill="auto"/>
            <w:hideMark/>
          </w:tcPr>
          <w:p w14:paraId="6FC3A3BE" w14:textId="4C6FE45A"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 xml:space="preserve"> 29</w:t>
            </w:r>
            <w:r w:rsidR="00F97762">
              <w:rPr>
                <w:rFonts w:ascii="Arial" w:hAnsi="Arial" w:cs="Arial"/>
                <w:b w:val="0"/>
                <w:bCs/>
                <w:sz w:val="20"/>
                <w:szCs w:val="20"/>
              </w:rPr>
              <w:t>.</w:t>
            </w:r>
            <w:r w:rsidRPr="004802DE">
              <w:rPr>
                <w:rFonts w:ascii="Arial" w:hAnsi="Arial" w:cs="Arial"/>
                <w:b w:val="0"/>
                <w:bCs/>
                <w:sz w:val="20"/>
                <w:szCs w:val="20"/>
              </w:rPr>
              <w:t>527</w:t>
            </w:r>
            <w:r w:rsidR="00F97762">
              <w:rPr>
                <w:rFonts w:ascii="Arial" w:hAnsi="Arial" w:cs="Arial"/>
                <w:b w:val="0"/>
                <w:bCs/>
                <w:sz w:val="20"/>
                <w:szCs w:val="20"/>
              </w:rPr>
              <w:t>.</w:t>
            </w:r>
            <w:r w:rsidRPr="004802DE">
              <w:rPr>
                <w:rFonts w:ascii="Arial" w:hAnsi="Arial" w:cs="Arial"/>
                <w:b w:val="0"/>
                <w:bCs/>
                <w:sz w:val="20"/>
                <w:szCs w:val="20"/>
              </w:rPr>
              <w:t>770</w:t>
            </w:r>
            <w:r w:rsidR="00F97762">
              <w:rPr>
                <w:rFonts w:ascii="Arial" w:hAnsi="Arial" w:cs="Arial"/>
                <w:b w:val="0"/>
                <w:bCs/>
                <w:sz w:val="20"/>
                <w:szCs w:val="20"/>
              </w:rPr>
              <w:t>,</w:t>
            </w:r>
            <w:r w:rsidRPr="004802DE">
              <w:rPr>
                <w:rFonts w:ascii="Arial" w:hAnsi="Arial" w:cs="Arial"/>
                <w:b w:val="0"/>
                <w:bCs/>
                <w:sz w:val="20"/>
                <w:szCs w:val="20"/>
              </w:rPr>
              <w:t xml:space="preserve">31 </w:t>
            </w:r>
          </w:p>
        </w:tc>
        <w:tc>
          <w:tcPr>
            <w:tcW w:w="2301" w:type="dxa"/>
            <w:gridSpan w:val="3"/>
            <w:tcBorders>
              <w:top w:val="nil"/>
              <w:left w:val="nil"/>
              <w:bottom w:val="nil"/>
              <w:right w:val="nil"/>
            </w:tcBorders>
            <w:shd w:val="clear" w:color="auto" w:fill="auto"/>
            <w:hideMark/>
          </w:tcPr>
          <w:p w14:paraId="3F6DA510" w14:textId="3709F346"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 xml:space="preserve"> 28</w:t>
            </w:r>
            <w:r w:rsidR="00F97762">
              <w:rPr>
                <w:rFonts w:ascii="Arial" w:hAnsi="Arial" w:cs="Arial"/>
                <w:b w:val="0"/>
                <w:bCs/>
                <w:sz w:val="20"/>
                <w:szCs w:val="20"/>
              </w:rPr>
              <w:t>.</w:t>
            </w:r>
            <w:r w:rsidRPr="004802DE">
              <w:rPr>
                <w:rFonts w:ascii="Arial" w:hAnsi="Arial" w:cs="Arial"/>
                <w:b w:val="0"/>
                <w:bCs/>
                <w:sz w:val="20"/>
                <w:szCs w:val="20"/>
              </w:rPr>
              <w:t>078</w:t>
            </w:r>
            <w:r w:rsidR="00F97762">
              <w:rPr>
                <w:rFonts w:ascii="Arial" w:hAnsi="Arial" w:cs="Arial"/>
                <w:b w:val="0"/>
                <w:bCs/>
                <w:sz w:val="20"/>
                <w:szCs w:val="20"/>
              </w:rPr>
              <w:t>.</w:t>
            </w:r>
            <w:r w:rsidRPr="004802DE">
              <w:rPr>
                <w:rFonts w:ascii="Arial" w:hAnsi="Arial" w:cs="Arial"/>
                <w:b w:val="0"/>
                <w:bCs/>
                <w:sz w:val="20"/>
                <w:szCs w:val="20"/>
              </w:rPr>
              <w:t>292</w:t>
            </w:r>
            <w:r w:rsidR="00F97762">
              <w:rPr>
                <w:rFonts w:ascii="Arial" w:hAnsi="Arial" w:cs="Arial"/>
                <w:b w:val="0"/>
                <w:bCs/>
                <w:sz w:val="20"/>
                <w:szCs w:val="20"/>
              </w:rPr>
              <w:t>,</w:t>
            </w:r>
            <w:r w:rsidRPr="004802DE">
              <w:rPr>
                <w:rFonts w:ascii="Arial" w:hAnsi="Arial" w:cs="Arial"/>
                <w:b w:val="0"/>
                <w:bCs/>
                <w:sz w:val="20"/>
                <w:szCs w:val="20"/>
              </w:rPr>
              <w:t xml:space="preserve">71 </w:t>
            </w:r>
          </w:p>
        </w:tc>
        <w:tc>
          <w:tcPr>
            <w:tcW w:w="2301" w:type="dxa"/>
            <w:gridSpan w:val="2"/>
            <w:tcBorders>
              <w:top w:val="nil"/>
              <w:left w:val="nil"/>
              <w:bottom w:val="nil"/>
              <w:right w:val="nil"/>
            </w:tcBorders>
            <w:shd w:val="clear" w:color="auto" w:fill="auto"/>
            <w:hideMark/>
          </w:tcPr>
          <w:p w14:paraId="6C622629" w14:textId="0DEC7DF7"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 xml:space="preserve"> 1</w:t>
            </w:r>
            <w:r w:rsidR="00F97762">
              <w:rPr>
                <w:rFonts w:ascii="Arial" w:hAnsi="Arial" w:cs="Arial"/>
                <w:b w:val="0"/>
                <w:bCs/>
                <w:sz w:val="20"/>
                <w:szCs w:val="20"/>
              </w:rPr>
              <w:t>.</w:t>
            </w:r>
            <w:r w:rsidRPr="004802DE">
              <w:rPr>
                <w:rFonts w:ascii="Arial" w:hAnsi="Arial" w:cs="Arial"/>
                <w:b w:val="0"/>
                <w:bCs/>
                <w:sz w:val="20"/>
                <w:szCs w:val="20"/>
              </w:rPr>
              <w:t>220</w:t>
            </w:r>
            <w:r w:rsidR="00F97762">
              <w:rPr>
                <w:rFonts w:ascii="Arial" w:hAnsi="Arial" w:cs="Arial"/>
                <w:b w:val="0"/>
                <w:bCs/>
                <w:sz w:val="20"/>
                <w:szCs w:val="20"/>
              </w:rPr>
              <w:t>.</w:t>
            </w:r>
            <w:r w:rsidRPr="004802DE">
              <w:rPr>
                <w:rFonts w:ascii="Arial" w:hAnsi="Arial" w:cs="Arial"/>
                <w:b w:val="0"/>
                <w:bCs/>
                <w:sz w:val="20"/>
                <w:szCs w:val="20"/>
              </w:rPr>
              <w:t>904</w:t>
            </w:r>
            <w:r w:rsidR="00F97762">
              <w:rPr>
                <w:rFonts w:ascii="Arial" w:hAnsi="Arial" w:cs="Arial"/>
                <w:b w:val="0"/>
                <w:bCs/>
                <w:sz w:val="20"/>
                <w:szCs w:val="20"/>
              </w:rPr>
              <w:t>,</w:t>
            </w:r>
            <w:r w:rsidRPr="004802DE">
              <w:rPr>
                <w:rFonts w:ascii="Arial" w:hAnsi="Arial" w:cs="Arial"/>
                <w:b w:val="0"/>
                <w:bCs/>
                <w:sz w:val="20"/>
                <w:szCs w:val="20"/>
              </w:rPr>
              <w:t xml:space="preserve">02 </w:t>
            </w:r>
          </w:p>
        </w:tc>
      </w:tr>
      <w:tr w:rsidR="000641EF" w:rsidRPr="004802DE" w14:paraId="219D11AC" w14:textId="77777777" w:rsidTr="004518B9">
        <w:tblPrEx>
          <w:jc w:val="left"/>
        </w:tblPrEx>
        <w:trPr>
          <w:trHeight w:val="750"/>
        </w:trPr>
        <w:tc>
          <w:tcPr>
            <w:tcW w:w="2451" w:type="dxa"/>
            <w:gridSpan w:val="2"/>
            <w:tcBorders>
              <w:top w:val="nil"/>
              <w:left w:val="nil"/>
              <w:bottom w:val="nil"/>
              <w:right w:val="nil"/>
            </w:tcBorders>
            <w:shd w:val="clear" w:color="auto" w:fill="auto"/>
            <w:vAlign w:val="center"/>
            <w:hideMark/>
          </w:tcPr>
          <w:p w14:paraId="2DEF2274" w14:textId="77777777" w:rsidR="000641EF" w:rsidRPr="004802DE" w:rsidRDefault="000641EF" w:rsidP="000641EF">
            <w:pPr>
              <w:rPr>
                <w:rFonts w:ascii="Arial" w:hAnsi="Arial" w:cs="Arial"/>
                <w:b w:val="0"/>
                <w:color w:val="000000"/>
                <w:sz w:val="20"/>
                <w:szCs w:val="20"/>
              </w:rPr>
            </w:pPr>
            <w:r w:rsidRPr="004802DE">
              <w:rPr>
                <w:rFonts w:ascii="Arial" w:hAnsi="Arial" w:cs="Arial"/>
                <w:b w:val="0"/>
                <w:color w:val="000000"/>
                <w:sz w:val="20"/>
                <w:szCs w:val="20"/>
              </w:rPr>
              <w:t>Giá trị tài sản ròng của một đơn vị Chứng chỉ quỹ (CCQ) (VND)</w:t>
            </w:r>
          </w:p>
        </w:tc>
        <w:tc>
          <w:tcPr>
            <w:tcW w:w="2301" w:type="dxa"/>
            <w:tcBorders>
              <w:top w:val="nil"/>
              <w:left w:val="nil"/>
              <w:bottom w:val="nil"/>
              <w:right w:val="nil"/>
            </w:tcBorders>
            <w:shd w:val="clear" w:color="auto" w:fill="auto"/>
            <w:hideMark/>
          </w:tcPr>
          <w:p w14:paraId="4A098A37" w14:textId="2B38D152"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9</w:t>
            </w:r>
            <w:r w:rsidR="00F97762">
              <w:rPr>
                <w:rFonts w:ascii="Arial" w:hAnsi="Arial" w:cs="Arial"/>
                <w:b w:val="0"/>
                <w:bCs/>
                <w:sz w:val="20"/>
                <w:szCs w:val="20"/>
              </w:rPr>
              <w:t>.</w:t>
            </w:r>
            <w:r w:rsidRPr="004802DE">
              <w:rPr>
                <w:rFonts w:ascii="Arial" w:hAnsi="Arial" w:cs="Arial"/>
                <w:b w:val="0"/>
                <w:bCs/>
                <w:sz w:val="20"/>
                <w:szCs w:val="20"/>
              </w:rPr>
              <w:t>950</w:t>
            </w:r>
            <w:r w:rsidR="00F97762">
              <w:rPr>
                <w:rFonts w:ascii="Arial" w:hAnsi="Arial" w:cs="Arial"/>
                <w:b w:val="0"/>
                <w:bCs/>
                <w:sz w:val="20"/>
                <w:szCs w:val="20"/>
              </w:rPr>
              <w:t>,</w:t>
            </w:r>
            <w:r w:rsidRPr="004802DE">
              <w:rPr>
                <w:rFonts w:ascii="Arial" w:hAnsi="Arial" w:cs="Arial"/>
                <w:b w:val="0"/>
                <w:bCs/>
                <w:sz w:val="20"/>
                <w:szCs w:val="20"/>
              </w:rPr>
              <w:t>04</w:t>
            </w:r>
          </w:p>
        </w:tc>
        <w:tc>
          <w:tcPr>
            <w:tcW w:w="2301" w:type="dxa"/>
            <w:gridSpan w:val="3"/>
            <w:tcBorders>
              <w:top w:val="nil"/>
              <w:left w:val="nil"/>
              <w:bottom w:val="nil"/>
              <w:right w:val="nil"/>
            </w:tcBorders>
            <w:shd w:val="clear" w:color="auto" w:fill="auto"/>
            <w:hideMark/>
          </w:tcPr>
          <w:p w14:paraId="6B084428" w14:textId="342856A4"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9</w:t>
            </w:r>
            <w:r w:rsidR="00F97762">
              <w:rPr>
                <w:rFonts w:ascii="Arial" w:hAnsi="Arial" w:cs="Arial"/>
                <w:b w:val="0"/>
                <w:bCs/>
                <w:sz w:val="20"/>
                <w:szCs w:val="20"/>
              </w:rPr>
              <w:t>.</w:t>
            </w:r>
            <w:r w:rsidRPr="004802DE">
              <w:rPr>
                <w:rFonts w:ascii="Arial" w:hAnsi="Arial" w:cs="Arial"/>
                <w:b w:val="0"/>
                <w:bCs/>
                <w:sz w:val="20"/>
                <w:szCs w:val="20"/>
              </w:rPr>
              <w:t>663</w:t>
            </w:r>
            <w:r w:rsidR="00F97762">
              <w:rPr>
                <w:rFonts w:ascii="Arial" w:hAnsi="Arial" w:cs="Arial"/>
                <w:b w:val="0"/>
                <w:bCs/>
                <w:sz w:val="20"/>
                <w:szCs w:val="20"/>
              </w:rPr>
              <w:t>,</w:t>
            </w:r>
            <w:r w:rsidRPr="004802DE">
              <w:rPr>
                <w:rFonts w:ascii="Arial" w:hAnsi="Arial" w:cs="Arial"/>
                <w:b w:val="0"/>
                <w:bCs/>
                <w:sz w:val="20"/>
                <w:szCs w:val="20"/>
              </w:rPr>
              <w:t>41</w:t>
            </w:r>
          </w:p>
        </w:tc>
        <w:tc>
          <w:tcPr>
            <w:tcW w:w="2301" w:type="dxa"/>
            <w:gridSpan w:val="2"/>
            <w:tcBorders>
              <w:top w:val="nil"/>
              <w:left w:val="nil"/>
              <w:bottom w:val="nil"/>
              <w:right w:val="nil"/>
            </w:tcBorders>
            <w:shd w:val="clear" w:color="auto" w:fill="auto"/>
            <w:hideMark/>
          </w:tcPr>
          <w:p w14:paraId="372BAD1D" w14:textId="7F52AF8B"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9</w:t>
            </w:r>
            <w:r w:rsidR="00F97762">
              <w:rPr>
                <w:rFonts w:ascii="Arial" w:hAnsi="Arial" w:cs="Arial"/>
                <w:b w:val="0"/>
                <w:bCs/>
                <w:sz w:val="20"/>
                <w:szCs w:val="20"/>
              </w:rPr>
              <w:t>.</w:t>
            </w:r>
            <w:r w:rsidRPr="004802DE">
              <w:rPr>
                <w:rFonts w:ascii="Arial" w:hAnsi="Arial" w:cs="Arial"/>
                <w:b w:val="0"/>
                <w:bCs/>
                <w:sz w:val="20"/>
                <w:szCs w:val="20"/>
              </w:rPr>
              <w:t>673</w:t>
            </w:r>
            <w:r w:rsidR="00F97762">
              <w:rPr>
                <w:rFonts w:ascii="Arial" w:hAnsi="Arial" w:cs="Arial"/>
                <w:b w:val="0"/>
                <w:bCs/>
                <w:sz w:val="20"/>
                <w:szCs w:val="20"/>
              </w:rPr>
              <w:t>,</w:t>
            </w:r>
            <w:r w:rsidRPr="004802DE">
              <w:rPr>
                <w:rFonts w:ascii="Arial" w:hAnsi="Arial" w:cs="Arial"/>
                <w:b w:val="0"/>
                <w:bCs/>
                <w:sz w:val="20"/>
                <w:szCs w:val="20"/>
              </w:rPr>
              <w:t>84</w:t>
            </w:r>
          </w:p>
        </w:tc>
      </w:tr>
      <w:tr w:rsidR="000641EF" w:rsidRPr="004802DE" w14:paraId="2CE7F106" w14:textId="77777777" w:rsidTr="004518B9">
        <w:tblPrEx>
          <w:jc w:val="left"/>
        </w:tblPrEx>
        <w:trPr>
          <w:trHeight w:val="750"/>
        </w:trPr>
        <w:tc>
          <w:tcPr>
            <w:tcW w:w="2451" w:type="dxa"/>
            <w:gridSpan w:val="2"/>
            <w:tcBorders>
              <w:top w:val="nil"/>
              <w:left w:val="nil"/>
              <w:bottom w:val="nil"/>
              <w:right w:val="nil"/>
            </w:tcBorders>
            <w:shd w:val="clear" w:color="auto" w:fill="auto"/>
            <w:vAlign w:val="center"/>
            <w:hideMark/>
          </w:tcPr>
          <w:p w14:paraId="21BBA8B0" w14:textId="77777777" w:rsidR="000641EF" w:rsidRPr="004802DE" w:rsidRDefault="000641EF" w:rsidP="000641EF">
            <w:pPr>
              <w:rPr>
                <w:rFonts w:ascii="Arial" w:hAnsi="Arial" w:cs="Arial"/>
                <w:b w:val="0"/>
                <w:color w:val="000000"/>
                <w:sz w:val="20"/>
                <w:szCs w:val="20"/>
              </w:rPr>
            </w:pPr>
            <w:r w:rsidRPr="004802DE">
              <w:rPr>
                <w:rFonts w:ascii="Arial" w:hAnsi="Arial" w:cs="Arial"/>
                <w:b w:val="0"/>
                <w:color w:val="000000"/>
                <w:sz w:val="20"/>
                <w:szCs w:val="20"/>
              </w:rPr>
              <w:t>Giá trị tài sản ròng cao nhất của 1 đơn vị CCQ trong kỳ báo cáo (VND)</w:t>
            </w:r>
          </w:p>
        </w:tc>
        <w:tc>
          <w:tcPr>
            <w:tcW w:w="2301" w:type="dxa"/>
            <w:tcBorders>
              <w:top w:val="nil"/>
              <w:left w:val="nil"/>
              <w:bottom w:val="nil"/>
              <w:right w:val="nil"/>
            </w:tcBorders>
            <w:shd w:val="clear" w:color="auto" w:fill="auto"/>
            <w:hideMark/>
          </w:tcPr>
          <w:p w14:paraId="37431A11" w14:textId="3B018B00"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10</w:t>
            </w:r>
            <w:r w:rsidR="00F97762">
              <w:rPr>
                <w:rFonts w:ascii="Arial" w:hAnsi="Arial" w:cs="Arial"/>
                <w:b w:val="0"/>
                <w:bCs/>
                <w:sz w:val="20"/>
                <w:szCs w:val="20"/>
              </w:rPr>
              <w:t>.</w:t>
            </w:r>
            <w:r w:rsidRPr="004802DE">
              <w:rPr>
                <w:rFonts w:ascii="Arial" w:hAnsi="Arial" w:cs="Arial"/>
                <w:b w:val="0"/>
                <w:bCs/>
                <w:sz w:val="20"/>
                <w:szCs w:val="20"/>
              </w:rPr>
              <w:t>182</w:t>
            </w:r>
            <w:r w:rsidR="00F97762">
              <w:rPr>
                <w:rFonts w:ascii="Arial" w:hAnsi="Arial" w:cs="Arial"/>
                <w:b w:val="0"/>
                <w:bCs/>
                <w:sz w:val="20"/>
                <w:szCs w:val="20"/>
              </w:rPr>
              <w:t>,</w:t>
            </w:r>
            <w:r w:rsidRPr="004802DE">
              <w:rPr>
                <w:rFonts w:ascii="Arial" w:hAnsi="Arial" w:cs="Arial"/>
                <w:b w:val="0"/>
                <w:bCs/>
                <w:sz w:val="20"/>
                <w:szCs w:val="20"/>
              </w:rPr>
              <w:t>26</w:t>
            </w:r>
          </w:p>
        </w:tc>
        <w:tc>
          <w:tcPr>
            <w:tcW w:w="2301" w:type="dxa"/>
            <w:gridSpan w:val="3"/>
            <w:tcBorders>
              <w:top w:val="nil"/>
              <w:left w:val="nil"/>
              <w:bottom w:val="nil"/>
              <w:right w:val="nil"/>
            </w:tcBorders>
            <w:shd w:val="clear" w:color="auto" w:fill="auto"/>
            <w:hideMark/>
          </w:tcPr>
          <w:p w14:paraId="244BC582" w14:textId="30A07FC0"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9</w:t>
            </w:r>
            <w:r w:rsidR="00F97762">
              <w:rPr>
                <w:rFonts w:ascii="Arial" w:hAnsi="Arial" w:cs="Arial"/>
                <w:b w:val="0"/>
                <w:bCs/>
                <w:sz w:val="20"/>
                <w:szCs w:val="20"/>
              </w:rPr>
              <w:t>.</w:t>
            </w:r>
            <w:r w:rsidRPr="004802DE">
              <w:rPr>
                <w:rFonts w:ascii="Arial" w:hAnsi="Arial" w:cs="Arial"/>
                <w:b w:val="0"/>
                <w:bCs/>
                <w:sz w:val="20"/>
                <w:szCs w:val="20"/>
              </w:rPr>
              <w:t>664</w:t>
            </w:r>
            <w:r w:rsidR="00F97762">
              <w:rPr>
                <w:rFonts w:ascii="Arial" w:hAnsi="Arial" w:cs="Arial"/>
                <w:b w:val="0"/>
                <w:bCs/>
                <w:sz w:val="20"/>
                <w:szCs w:val="20"/>
              </w:rPr>
              <w:t>,</w:t>
            </w:r>
            <w:r w:rsidRPr="004802DE">
              <w:rPr>
                <w:rFonts w:ascii="Arial" w:hAnsi="Arial" w:cs="Arial"/>
                <w:b w:val="0"/>
                <w:bCs/>
                <w:sz w:val="20"/>
                <w:szCs w:val="20"/>
              </w:rPr>
              <w:t>14</w:t>
            </w:r>
          </w:p>
        </w:tc>
        <w:tc>
          <w:tcPr>
            <w:tcW w:w="2301" w:type="dxa"/>
            <w:gridSpan w:val="2"/>
            <w:tcBorders>
              <w:top w:val="nil"/>
              <w:left w:val="nil"/>
              <w:bottom w:val="nil"/>
              <w:right w:val="nil"/>
            </w:tcBorders>
            <w:shd w:val="clear" w:color="auto" w:fill="auto"/>
            <w:hideMark/>
          </w:tcPr>
          <w:p w14:paraId="09E4E312" w14:textId="62F17A6E"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10</w:t>
            </w:r>
            <w:r w:rsidR="00F97762">
              <w:rPr>
                <w:rFonts w:ascii="Arial" w:hAnsi="Arial" w:cs="Arial"/>
                <w:b w:val="0"/>
                <w:bCs/>
                <w:sz w:val="20"/>
                <w:szCs w:val="20"/>
              </w:rPr>
              <w:t>.</w:t>
            </w:r>
            <w:r w:rsidRPr="004802DE">
              <w:rPr>
                <w:rFonts w:ascii="Arial" w:hAnsi="Arial" w:cs="Arial"/>
                <w:b w:val="0"/>
                <w:bCs/>
                <w:sz w:val="20"/>
                <w:szCs w:val="20"/>
              </w:rPr>
              <w:t>487</w:t>
            </w:r>
            <w:r w:rsidR="00F97762">
              <w:rPr>
                <w:rFonts w:ascii="Arial" w:hAnsi="Arial" w:cs="Arial"/>
                <w:b w:val="0"/>
                <w:bCs/>
                <w:sz w:val="20"/>
                <w:szCs w:val="20"/>
              </w:rPr>
              <w:t>,</w:t>
            </w:r>
            <w:r w:rsidRPr="004802DE">
              <w:rPr>
                <w:rFonts w:ascii="Arial" w:hAnsi="Arial" w:cs="Arial"/>
                <w:b w:val="0"/>
                <w:bCs/>
                <w:sz w:val="20"/>
                <w:szCs w:val="20"/>
              </w:rPr>
              <w:t>49</w:t>
            </w:r>
          </w:p>
        </w:tc>
      </w:tr>
      <w:tr w:rsidR="000641EF" w:rsidRPr="004802DE" w14:paraId="75B249B9" w14:textId="77777777" w:rsidTr="004518B9">
        <w:tblPrEx>
          <w:jc w:val="left"/>
        </w:tblPrEx>
        <w:trPr>
          <w:trHeight w:val="750"/>
        </w:trPr>
        <w:tc>
          <w:tcPr>
            <w:tcW w:w="2451" w:type="dxa"/>
            <w:gridSpan w:val="2"/>
            <w:tcBorders>
              <w:top w:val="nil"/>
              <w:left w:val="nil"/>
              <w:bottom w:val="nil"/>
              <w:right w:val="nil"/>
            </w:tcBorders>
            <w:shd w:val="clear" w:color="auto" w:fill="auto"/>
            <w:vAlign w:val="center"/>
            <w:hideMark/>
          </w:tcPr>
          <w:p w14:paraId="59163198" w14:textId="77777777" w:rsidR="000641EF" w:rsidRPr="004802DE" w:rsidRDefault="000641EF" w:rsidP="000641EF">
            <w:pPr>
              <w:rPr>
                <w:rFonts w:ascii="Arial" w:hAnsi="Arial" w:cs="Arial"/>
                <w:b w:val="0"/>
                <w:color w:val="000000"/>
                <w:sz w:val="20"/>
                <w:szCs w:val="20"/>
              </w:rPr>
            </w:pPr>
            <w:r w:rsidRPr="004802DE">
              <w:rPr>
                <w:rFonts w:ascii="Arial" w:hAnsi="Arial" w:cs="Arial"/>
                <w:b w:val="0"/>
                <w:color w:val="000000"/>
                <w:sz w:val="20"/>
                <w:szCs w:val="20"/>
              </w:rPr>
              <w:t>Giá trị tài sản ròng thấp nhất của 1 đơn vị CCQ trong kỳ báo cáo (VND)</w:t>
            </w:r>
          </w:p>
        </w:tc>
        <w:tc>
          <w:tcPr>
            <w:tcW w:w="2301" w:type="dxa"/>
            <w:tcBorders>
              <w:top w:val="nil"/>
              <w:left w:val="nil"/>
              <w:bottom w:val="nil"/>
              <w:right w:val="nil"/>
            </w:tcBorders>
            <w:shd w:val="clear" w:color="auto" w:fill="auto"/>
            <w:hideMark/>
          </w:tcPr>
          <w:p w14:paraId="437979D2" w14:textId="7C310C2A"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9</w:t>
            </w:r>
            <w:r w:rsidR="00F97762">
              <w:rPr>
                <w:rFonts w:ascii="Arial" w:hAnsi="Arial" w:cs="Arial"/>
                <w:b w:val="0"/>
                <w:bCs/>
                <w:sz w:val="20"/>
                <w:szCs w:val="20"/>
              </w:rPr>
              <w:t>.</w:t>
            </w:r>
            <w:r w:rsidRPr="004802DE">
              <w:rPr>
                <w:rFonts w:ascii="Arial" w:hAnsi="Arial" w:cs="Arial"/>
                <w:b w:val="0"/>
                <w:bCs/>
                <w:sz w:val="20"/>
                <w:szCs w:val="20"/>
              </w:rPr>
              <w:t>663</w:t>
            </w:r>
            <w:r w:rsidR="00F97762">
              <w:rPr>
                <w:rFonts w:ascii="Arial" w:hAnsi="Arial" w:cs="Arial"/>
                <w:b w:val="0"/>
                <w:bCs/>
                <w:sz w:val="20"/>
                <w:szCs w:val="20"/>
              </w:rPr>
              <w:t>,</w:t>
            </w:r>
            <w:r w:rsidRPr="004802DE">
              <w:rPr>
                <w:rFonts w:ascii="Arial" w:hAnsi="Arial" w:cs="Arial"/>
                <w:b w:val="0"/>
                <w:bCs/>
                <w:sz w:val="20"/>
                <w:szCs w:val="20"/>
              </w:rPr>
              <w:t>54</w:t>
            </w:r>
          </w:p>
        </w:tc>
        <w:tc>
          <w:tcPr>
            <w:tcW w:w="2301" w:type="dxa"/>
            <w:gridSpan w:val="3"/>
            <w:tcBorders>
              <w:top w:val="nil"/>
              <w:left w:val="nil"/>
              <w:bottom w:val="nil"/>
              <w:right w:val="nil"/>
            </w:tcBorders>
            <w:shd w:val="clear" w:color="auto" w:fill="auto"/>
            <w:hideMark/>
          </w:tcPr>
          <w:p w14:paraId="264352D2" w14:textId="7446C9FB"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9</w:t>
            </w:r>
            <w:r w:rsidR="00F97762">
              <w:rPr>
                <w:rFonts w:ascii="Arial" w:hAnsi="Arial" w:cs="Arial"/>
                <w:b w:val="0"/>
                <w:bCs/>
                <w:sz w:val="20"/>
                <w:szCs w:val="20"/>
              </w:rPr>
              <w:t>.</w:t>
            </w:r>
            <w:r w:rsidRPr="004802DE">
              <w:rPr>
                <w:rFonts w:ascii="Arial" w:hAnsi="Arial" w:cs="Arial"/>
                <w:b w:val="0"/>
                <w:bCs/>
                <w:sz w:val="20"/>
                <w:szCs w:val="20"/>
              </w:rPr>
              <w:t>283</w:t>
            </w:r>
            <w:r w:rsidR="00F97762">
              <w:rPr>
                <w:rFonts w:ascii="Arial" w:hAnsi="Arial" w:cs="Arial"/>
                <w:b w:val="0"/>
                <w:bCs/>
                <w:sz w:val="20"/>
                <w:szCs w:val="20"/>
              </w:rPr>
              <w:t>,</w:t>
            </w:r>
            <w:r w:rsidRPr="004802DE">
              <w:rPr>
                <w:rFonts w:ascii="Arial" w:hAnsi="Arial" w:cs="Arial"/>
                <w:b w:val="0"/>
                <w:bCs/>
                <w:sz w:val="20"/>
                <w:szCs w:val="20"/>
              </w:rPr>
              <w:t>89</w:t>
            </w:r>
          </w:p>
        </w:tc>
        <w:tc>
          <w:tcPr>
            <w:tcW w:w="2301" w:type="dxa"/>
            <w:gridSpan w:val="2"/>
            <w:tcBorders>
              <w:top w:val="nil"/>
              <w:left w:val="nil"/>
              <w:bottom w:val="nil"/>
              <w:right w:val="nil"/>
            </w:tcBorders>
            <w:shd w:val="clear" w:color="auto" w:fill="auto"/>
            <w:hideMark/>
          </w:tcPr>
          <w:p w14:paraId="7FCCFA7B" w14:textId="0FB7CBAF"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9</w:t>
            </w:r>
            <w:r w:rsidR="00F97762">
              <w:rPr>
                <w:rFonts w:ascii="Arial" w:hAnsi="Arial" w:cs="Arial"/>
                <w:b w:val="0"/>
                <w:bCs/>
                <w:sz w:val="20"/>
                <w:szCs w:val="20"/>
              </w:rPr>
              <w:t>.</w:t>
            </w:r>
            <w:r w:rsidRPr="004802DE">
              <w:rPr>
                <w:rFonts w:ascii="Arial" w:hAnsi="Arial" w:cs="Arial"/>
                <w:b w:val="0"/>
                <w:bCs/>
                <w:sz w:val="20"/>
                <w:szCs w:val="20"/>
              </w:rPr>
              <w:t>481</w:t>
            </w:r>
            <w:r w:rsidR="00F97762">
              <w:rPr>
                <w:rFonts w:ascii="Arial" w:hAnsi="Arial" w:cs="Arial"/>
                <w:b w:val="0"/>
                <w:bCs/>
                <w:sz w:val="20"/>
                <w:szCs w:val="20"/>
              </w:rPr>
              <w:t>,</w:t>
            </w:r>
            <w:r w:rsidRPr="004802DE">
              <w:rPr>
                <w:rFonts w:ascii="Arial" w:hAnsi="Arial" w:cs="Arial"/>
                <w:b w:val="0"/>
                <w:bCs/>
                <w:sz w:val="20"/>
                <w:szCs w:val="20"/>
              </w:rPr>
              <w:t>85</w:t>
            </w:r>
          </w:p>
        </w:tc>
      </w:tr>
      <w:tr w:rsidR="000641EF" w:rsidRPr="004802DE" w14:paraId="6162B9C3" w14:textId="77777777" w:rsidTr="004518B9">
        <w:tblPrEx>
          <w:jc w:val="left"/>
        </w:tblPrEx>
        <w:trPr>
          <w:trHeight w:val="250"/>
        </w:trPr>
        <w:tc>
          <w:tcPr>
            <w:tcW w:w="2451" w:type="dxa"/>
            <w:gridSpan w:val="2"/>
            <w:tcBorders>
              <w:top w:val="nil"/>
              <w:left w:val="nil"/>
              <w:bottom w:val="nil"/>
              <w:right w:val="nil"/>
            </w:tcBorders>
            <w:shd w:val="clear" w:color="auto" w:fill="auto"/>
            <w:vAlign w:val="center"/>
            <w:hideMark/>
          </w:tcPr>
          <w:p w14:paraId="53C346F3" w14:textId="77777777" w:rsidR="000641EF" w:rsidRPr="004802DE" w:rsidRDefault="000641EF" w:rsidP="000641EF">
            <w:pPr>
              <w:jc w:val="right"/>
              <w:rPr>
                <w:rFonts w:ascii="Arial" w:hAnsi="Arial" w:cs="Arial"/>
                <w:b w:val="0"/>
                <w:color w:val="000000"/>
                <w:sz w:val="20"/>
                <w:szCs w:val="20"/>
              </w:rPr>
            </w:pPr>
          </w:p>
        </w:tc>
        <w:tc>
          <w:tcPr>
            <w:tcW w:w="2301" w:type="dxa"/>
            <w:tcBorders>
              <w:top w:val="nil"/>
              <w:left w:val="nil"/>
              <w:bottom w:val="nil"/>
              <w:right w:val="nil"/>
            </w:tcBorders>
            <w:shd w:val="clear" w:color="auto" w:fill="auto"/>
            <w:hideMark/>
          </w:tcPr>
          <w:p w14:paraId="0585C527" w14:textId="77777777" w:rsidR="000641EF" w:rsidRPr="004802DE" w:rsidRDefault="000641EF" w:rsidP="000641EF">
            <w:pPr>
              <w:rPr>
                <w:rFonts w:ascii="Arial" w:hAnsi="Arial" w:cs="Arial"/>
                <w:b w:val="0"/>
                <w:bCs/>
                <w:sz w:val="20"/>
                <w:szCs w:val="20"/>
              </w:rPr>
            </w:pPr>
          </w:p>
        </w:tc>
        <w:tc>
          <w:tcPr>
            <w:tcW w:w="2301" w:type="dxa"/>
            <w:gridSpan w:val="3"/>
            <w:tcBorders>
              <w:top w:val="nil"/>
              <w:left w:val="nil"/>
              <w:bottom w:val="nil"/>
              <w:right w:val="nil"/>
            </w:tcBorders>
            <w:shd w:val="clear" w:color="auto" w:fill="auto"/>
            <w:hideMark/>
          </w:tcPr>
          <w:p w14:paraId="77E919B8" w14:textId="77777777" w:rsidR="000641EF" w:rsidRPr="004802DE" w:rsidRDefault="000641EF" w:rsidP="000641EF">
            <w:pPr>
              <w:jc w:val="right"/>
              <w:rPr>
                <w:rFonts w:ascii="Arial" w:hAnsi="Arial" w:cs="Arial"/>
                <w:b w:val="0"/>
                <w:bCs/>
                <w:sz w:val="20"/>
                <w:szCs w:val="20"/>
              </w:rPr>
            </w:pPr>
          </w:p>
        </w:tc>
        <w:tc>
          <w:tcPr>
            <w:tcW w:w="2301" w:type="dxa"/>
            <w:gridSpan w:val="2"/>
            <w:tcBorders>
              <w:top w:val="nil"/>
              <w:left w:val="nil"/>
              <w:bottom w:val="nil"/>
              <w:right w:val="nil"/>
            </w:tcBorders>
            <w:shd w:val="clear" w:color="auto" w:fill="auto"/>
            <w:hideMark/>
          </w:tcPr>
          <w:p w14:paraId="448C9CA8" w14:textId="77777777" w:rsidR="000641EF" w:rsidRPr="004802DE" w:rsidRDefault="000641EF" w:rsidP="000641EF">
            <w:pPr>
              <w:jc w:val="right"/>
              <w:rPr>
                <w:rFonts w:ascii="Arial" w:hAnsi="Arial" w:cs="Arial"/>
                <w:b w:val="0"/>
                <w:bCs/>
                <w:sz w:val="20"/>
                <w:szCs w:val="20"/>
              </w:rPr>
            </w:pPr>
          </w:p>
        </w:tc>
      </w:tr>
      <w:tr w:rsidR="000641EF" w:rsidRPr="004802DE" w14:paraId="38695CD9" w14:textId="77777777" w:rsidTr="004518B9">
        <w:tblPrEx>
          <w:jc w:val="left"/>
        </w:tblPrEx>
        <w:trPr>
          <w:trHeight w:val="750"/>
        </w:trPr>
        <w:tc>
          <w:tcPr>
            <w:tcW w:w="2451" w:type="dxa"/>
            <w:gridSpan w:val="2"/>
            <w:tcBorders>
              <w:top w:val="nil"/>
              <w:left w:val="nil"/>
              <w:bottom w:val="nil"/>
              <w:right w:val="nil"/>
            </w:tcBorders>
            <w:shd w:val="clear" w:color="auto" w:fill="auto"/>
            <w:vAlign w:val="center"/>
            <w:hideMark/>
          </w:tcPr>
          <w:p w14:paraId="237D5ACA" w14:textId="77777777" w:rsidR="000641EF" w:rsidRPr="004802DE" w:rsidRDefault="000641EF" w:rsidP="000641EF">
            <w:pPr>
              <w:rPr>
                <w:rFonts w:ascii="Arial" w:hAnsi="Arial" w:cs="Arial"/>
                <w:b w:val="0"/>
                <w:color w:val="000000"/>
                <w:sz w:val="20"/>
                <w:szCs w:val="20"/>
              </w:rPr>
            </w:pPr>
            <w:r w:rsidRPr="004802DE">
              <w:rPr>
                <w:rFonts w:ascii="Arial" w:hAnsi="Arial" w:cs="Arial"/>
                <w:b w:val="0"/>
                <w:color w:val="000000"/>
                <w:sz w:val="20"/>
                <w:szCs w:val="20"/>
              </w:rPr>
              <w:t>Giá cuối ngày của 1 đơn vị CCQ tại ngày báo cáo (VND)</w:t>
            </w:r>
          </w:p>
        </w:tc>
        <w:tc>
          <w:tcPr>
            <w:tcW w:w="2301" w:type="dxa"/>
            <w:tcBorders>
              <w:top w:val="nil"/>
              <w:left w:val="nil"/>
              <w:bottom w:val="nil"/>
              <w:right w:val="nil"/>
            </w:tcBorders>
            <w:shd w:val="clear" w:color="auto" w:fill="auto"/>
            <w:hideMark/>
          </w:tcPr>
          <w:p w14:paraId="1B10AEE8" w14:textId="661642C6"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N/A</w:t>
            </w:r>
          </w:p>
        </w:tc>
        <w:tc>
          <w:tcPr>
            <w:tcW w:w="2301" w:type="dxa"/>
            <w:gridSpan w:val="3"/>
            <w:tcBorders>
              <w:top w:val="nil"/>
              <w:left w:val="nil"/>
              <w:bottom w:val="nil"/>
              <w:right w:val="nil"/>
            </w:tcBorders>
            <w:shd w:val="clear" w:color="auto" w:fill="auto"/>
            <w:hideMark/>
          </w:tcPr>
          <w:p w14:paraId="6A12C49C" w14:textId="2082783A"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N/A</w:t>
            </w:r>
          </w:p>
        </w:tc>
        <w:tc>
          <w:tcPr>
            <w:tcW w:w="2301" w:type="dxa"/>
            <w:gridSpan w:val="2"/>
            <w:tcBorders>
              <w:top w:val="nil"/>
              <w:left w:val="nil"/>
              <w:bottom w:val="nil"/>
              <w:right w:val="nil"/>
            </w:tcBorders>
            <w:shd w:val="clear" w:color="auto" w:fill="auto"/>
            <w:hideMark/>
          </w:tcPr>
          <w:p w14:paraId="6D0D75B4" w14:textId="0405E7A6"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N/A</w:t>
            </w:r>
          </w:p>
        </w:tc>
      </w:tr>
      <w:tr w:rsidR="000641EF" w:rsidRPr="004802DE" w14:paraId="3F08E07A" w14:textId="77777777" w:rsidTr="004518B9">
        <w:tblPrEx>
          <w:jc w:val="left"/>
        </w:tblPrEx>
        <w:trPr>
          <w:trHeight w:val="750"/>
        </w:trPr>
        <w:tc>
          <w:tcPr>
            <w:tcW w:w="2451" w:type="dxa"/>
            <w:gridSpan w:val="2"/>
            <w:tcBorders>
              <w:top w:val="nil"/>
              <w:left w:val="nil"/>
              <w:bottom w:val="nil"/>
              <w:right w:val="nil"/>
            </w:tcBorders>
            <w:shd w:val="clear" w:color="auto" w:fill="auto"/>
            <w:vAlign w:val="center"/>
            <w:hideMark/>
          </w:tcPr>
          <w:p w14:paraId="3D1BBE62" w14:textId="77777777" w:rsidR="000641EF" w:rsidRPr="004802DE" w:rsidRDefault="000641EF" w:rsidP="000641EF">
            <w:pPr>
              <w:rPr>
                <w:rFonts w:ascii="Arial" w:hAnsi="Arial" w:cs="Arial"/>
                <w:b w:val="0"/>
                <w:color w:val="000000"/>
                <w:sz w:val="20"/>
                <w:szCs w:val="20"/>
              </w:rPr>
            </w:pPr>
            <w:r w:rsidRPr="004802DE">
              <w:rPr>
                <w:rFonts w:ascii="Arial" w:hAnsi="Arial" w:cs="Arial"/>
                <w:b w:val="0"/>
                <w:color w:val="000000"/>
                <w:sz w:val="20"/>
                <w:szCs w:val="20"/>
              </w:rPr>
              <w:lastRenderedPageBreak/>
              <w:t>Giá cuối ngày cao nhất của 1 đơn vị CCQ trong kỳ báo cáo (VND)</w:t>
            </w:r>
          </w:p>
        </w:tc>
        <w:tc>
          <w:tcPr>
            <w:tcW w:w="2301" w:type="dxa"/>
            <w:tcBorders>
              <w:top w:val="nil"/>
              <w:left w:val="nil"/>
              <w:bottom w:val="nil"/>
              <w:right w:val="nil"/>
            </w:tcBorders>
            <w:shd w:val="clear" w:color="auto" w:fill="auto"/>
            <w:hideMark/>
          </w:tcPr>
          <w:p w14:paraId="6C638F5D" w14:textId="6B03F6FA"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N/A</w:t>
            </w:r>
          </w:p>
        </w:tc>
        <w:tc>
          <w:tcPr>
            <w:tcW w:w="2301" w:type="dxa"/>
            <w:gridSpan w:val="3"/>
            <w:tcBorders>
              <w:top w:val="nil"/>
              <w:left w:val="nil"/>
              <w:bottom w:val="nil"/>
              <w:right w:val="nil"/>
            </w:tcBorders>
            <w:shd w:val="clear" w:color="auto" w:fill="auto"/>
            <w:hideMark/>
          </w:tcPr>
          <w:p w14:paraId="427FD3DA" w14:textId="766B1D10"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N/A</w:t>
            </w:r>
          </w:p>
        </w:tc>
        <w:tc>
          <w:tcPr>
            <w:tcW w:w="2301" w:type="dxa"/>
            <w:gridSpan w:val="2"/>
            <w:tcBorders>
              <w:top w:val="nil"/>
              <w:left w:val="nil"/>
              <w:bottom w:val="nil"/>
              <w:right w:val="nil"/>
            </w:tcBorders>
            <w:shd w:val="clear" w:color="auto" w:fill="auto"/>
            <w:hideMark/>
          </w:tcPr>
          <w:p w14:paraId="3CEF2FC8" w14:textId="680A7844"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N/A</w:t>
            </w:r>
          </w:p>
        </w:tc>
      </w:tr>
      <w:tr w:rsidR="000641EF" w:rsidRPr="004802DE" w14:paraId="09B02CDA" w14:textId="77777777" w:rsidTr="004518B9">
        <w:tblPrEx>
          <w:jc w:val="left"/>
        </w:tblPrEx>
        <w:trPr>
          <w:trHeight w:val="750"/>
        </w:trPr>
        <w:tc>
          <w:tcPr>
            <w:tcW w:w="2451" w:type="dxa"/>
            <w:gridSpan w:val="2"/>
            <w:tcBorders>
              <w:top w:val="nil"/>
              <w:left w:val="nil"/>
              <w:bottom w:val="nil"/>
              <w:right w:val="nil"/>
            </w:tcBorders>
            <w:shd w:val="clear" w:color="auto" w:fill="auto"/>
            <w:vAlign w:val="center"/>
            <w:hideMark/>
          </w:tcPr>
          <w:p w14:paraId="52987379" w14:textId="77777777" w:rsidR="000641EF" w:rsidRPr="004802DE" w:rsidRDefault="000641EF" w:rsidP="000641EF">
            <w:pPr>
              <w:rPr>
                <w:rFonts w:ascii="Arial" w:hAnsi="Arial" w:cs="Arial"/>
                <w:b w:val="0"/>
                <w:color w:val="000000"/>
                <w:sz w:val="20"/>
                <w:szCs w:val="20"/>
              </w:rPr>
            </w:pPr>
            <w:r w:rsidRPr="004802DE">
              <w:rPr>
                <w:rFonts w:ascii="Arial" w:hAnsi="Arial" w:cs="Arial"/>
                <w:b w:val="0"/>
                <w:color w:val="000000"/>
                <w:sz w:val="20"/>
                <w:szCs w:val="20"/>
              </w:rPr>
              <w:t>Giá cuối ngày thấp nhất của 1 đơn vị CCQ trong kỳ báo cáo (VND)</w:t>
            </w:r>
          </w:p>
        </w:tc>
        <w:tc>
          <w:tcPr>
            <w:tcW w:w="2301" w:type="dxa"/>
            <w:tcBorders>
              <w:top w:val="nil"/>
              <w:left w:val="nil"/>
              <w:bottom w:val="nil"/>
              <w:right w:val="nil"/>
            </w:tcBorders>
            <w:shd w:val="clear" w:color="auto" w:fill="auto"/>
            <w:hideMark/>
          </w:tcPr>
          <w:p w14:paraId="3D92C9EA" w14:textId="5638E1B4"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N/A</w:t>
            </w:r>
          </w:p>
        </w:tc>
        <w:tc>
          <w:tcPr>
            <w:tcW w:w="2301" w:type="dxa"/>
            <w:gridSpan w:val="3"/>
            <w:tcBorders>
              <w:top w:val="nil"/>
              <w:left w:val="nil"/>
              <w:bottom w:val="nil"/>
              <w:right w:val="nil"/>
            </w:tcBorders>
            <w:shd w:val="clear" w:color="auto" w:fill="auto"/>
            <w:hideMark/>
          </w:tcPr>
          <w:p w14:paraId="4358F17F" w14:textId="7240321E"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N/A</w:t>
            </w:r>
          </w:p>
        </w:tc>
        <w:tc>
          <w:tcPr>
            <w:tcW w:w="2301" w:type="dxa"/>
            <w:gridSpan w:val="2"/>
            <w:tcBorders>
              <w:top w:val="nil"/>
              <w:left w:val="nil"/>
              <w:bottom w:val="nil"/>
              <w:right w:val="nil"/>
            </w:tcBorders>
            <w:shd w:val="clear" w:color="auto" w:fill="auto"/>
            <w:hideMark/>
          </w:tcPr>
          <w:p w14:paraId="463566A9" w14:textId="71AB0FC6"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N/A</w:t>
            </w:r>
          </w:p>
        </w:tc>
      </w:tr>
      <w:tr w:rsidR="000641EF" w:rsidRPr="004802DE" w14:paraId="7318AD83" w14:textId="77777777" w:rsidTr="004518B9">
        <w:tblPrEx>
          <w:jc w:val="left"/>
        </w:tblPrEx>
        <w:trPr>
          <w:trHeight w:val="500"/>
        </w:trPr>
        <w:tc>
          <w:tcPr>
            <w:tcW w:w="2451" w:type="dxa"/>
            <w:gridSpan w:val="2"/>
            <w:tcBorders>
              <w:top w:val="nil"/>
              <w:left w:val="nil"/>
              <w:bottom w:val="nil"/>
              <w:right w:val="nil"/>
            </w:tcBorders>
            <w:shd w:val="clear" w:color="auto" w:fill="auto"/>
            <w:vAlign w:val="center"/>
            <w:hideMark/>
          </w:tcPr>
          <w:p w14:paraId="46B5574D" w14:textId="77777777" w:rsidR="000641EF" w:rsidRPr="004802DE" w:rsidRDefault="000641EF" w:rsidP="000641EF">
            <w:pPr>
              <w:rPr>
                <w:rFonts w:ascii="Arial" w:hAnsi="Arial" w:cs="Arial"/>
                <w:b w:val="0"/>
                <w:color w:val="000000"/>
                <w:sz w:val="20"/>
                <w:szCs w:val="20"/>
              </w:rPr>
            </w:pPr>
            <w:r w:rsidRPr="004802DE">
              <w:rPr>
                <w:rFonts w:ascii="Arial" w:hAnsi="Arial" w:cs="Arial"/>
                <w:b w:val="0"/>
                <w:color w:val="000000"/>
                <w:sz w:val="20"/>
                <w:szCs w:val="20"/>
              </w:rPr>
              <w:t>Tổng tăng trưởng (%)/1 đơn vị CCQ</w:t>
            </w:r>
          </w:p>
        </w:tc>
        <w:tc>
          <w:tcPr>
            <w:tcW w:w="2301" w:type="dxa"/>
            <w:tcBorders>
              <w:top w:val="nil"/>
              <w:left w:val="nil"/>
              <w:bottom w:val="nil"/>
              <w:right w:val="nil"/>
            </w:tcBorders>
            <w:shd w:val="clear" w:color="auto" w:fill="auto"/>
            <w:hideMark/>
          </w:tcPr>
          <w:p w14:paraId="35E2EFFA" w14:textId="0BCEC273"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2</w:t>
            </w:r>
            <w:r w:rsidR="00F97762">
              <w:rPr>
                <w:rFonts w:ascii="Arial" w:hAnsi="Arial" w:cs="Arial"/>
                <w:b w:val="0"/>
                <w:bCs/>
                <w:sz w:val="20"/>
                <w:szCs w:val="20"/>
              </w:rPr>
              <w:t>,</w:t>
            </w:r>
            <w:r w:rsidRPr="004802DE">
              <w:rPr>
                <w:rFonts w:ascii="Arial" w:hAnsi="Arial" w:cs="Arial"/>
                <w:b w:val="0"/>
                <w:bCs/>
                <w:sz w:val="20"/>
                <w:szCs w:val="20"/>
              </w:rPr>
              <w:t>97%</w:t>
            </w:r>
          </w:p>
        </w:tc>
        <w:tc>
          <w:tcPr>
            <w:tcW w:w="2301" w:type="dxa"/>
            <w:gridSpan w:val="3"/>
            <w:tcBorders>
              <w:top w:val="nil"/>
              <w:left w:val="nil"/>
              <w:bottom w:val="nil"/>
              <w:right w:val="nil"/>
            </w:tcBorders>
            <w:shd w:val="clear" w:color="auto" w:fill="auto"/>
            <w:hideMark/>
          </w:tcPr>
          <w:p w14:paraId="5E1D1CD7" w14:textId="34B27CF7" w:rsidR="000641EF" w:rsidRPr="004802DE" w:rsidRDefault="00337C8B" w:rsidP="000641EF">
            <w:pPr>
              <w:jc w:val="right"/>
              <w:rPr>
                <w:rFonts w:ascii="Arial" w:hAnsi="Arial" w:cs="Arial"/>
                <w:b w:val="0"/>
                <w:bCs/>
                <w:color w:val="000000"/>
                <w:sz w:val="20"/>
                <w:szCs w:val="20"/>
              </w:rPr>
            </w:pPr>
            <w:r w:rsidRPr="004802DE">
              <w:rPr>
                <w:rFonts w:ascii="Arial" w:hAnsi="Arial" w:cs="Arial"/>
                <w:b w:val="0"/>
                <w:bCs/>
                <w:sz w:val="20"/>
                <w:szCs w:val="20"/>
              </w:rPr>
              <w:t>(</w:t>
            </w:r>
            <w:r w:rsidR="000641EF" w:rsidRPr="004802DE">
              <w:rPr>
                <w:rFonts w:ascii="Arial" w:hAnsi="Arial" w:cs="Arial"/>
                <w:b w:val="0"/>
                <w:bCs/>
                <w:sz w:val="20"/>
                <w:szCs w:val="20"/>
              </w:rPr>
              <w:t>0</w:t>
            </w:r>
            <w:r w:rsidR="00F97762">
              <w:rPr>
                <w:rFonts w:ascii="Arial" w:hAnsi="Arial" w:cs="Arial"/>
                <w:b w:val="0"/>
                <w:bCs/>
                <w:sz w:val="20"/>
                <w:szCs w:val="20"/>
              </w:rPr>
              <w:t>,</w:t>
            </w:r>
            <w:r w:rsidR="000641EF" w:rsidRPr="004802DE">
              <w:rPr>
                <w:rFonts w:ascii="Arial" w:hAnsi="Arial" w:cs="Arial"/>
                <w:b w:val="0"/>
                <w:bCs/>
                <w:sz w:val="20"/>
                <w:szCs w:val="20"/>
              </w:rPr>
              <w:t>11%</w:t>
            </w:r>
            <w:r w:rsidRPr="004802DE">
              <w:rPr>
                <w:rFonts w:ascii="Arial" w:hAnsi="Arial" w:cs="Arial"/>
                <w:b w:val="0"/>
                <w:bCs/>
                <w:sz w:val="20"/>
                <w:szCs w:val="20"/>
              </w:rPr>
              <w:t>)</w:t>
            </w:r>
          </w:p>
        </w:tc>
        <w:tc>
          <w:tcPr>
            <w:tcW w:w="2301" w:type="dxa"/>
            <w:gridSpan w:val="2"/>
            <w:tcBorders>
              <w:top w:val="nil"/>
              <w:left w:val="nil"/>
              <w:bottom w:val="nil"/>
              <w:right w:val="nil"/>
            </w:tcBorders>
            <w:shd w:val="clear" w:color="auto" w:fill="auto"/>
            <w:hideMark/>
          </w:tcPr>
          <w:p w14:paraId="1DE847D6" w14:textId="3EBBE74E" w:rsidR="000641EF" w:rsidRPr="004802DE" w:rsidRDefault="00337C8B" w:rsidP="000641EF">
            <w:pPr>
              <w:jc w:val="right"/>
              <w:rPr>
                <w:rFonts w:ascii="Arial" w:hAnsi="Arial" w:cs="Arial"/>
                <w:b w:val="0"/>
                <w:bCs/>
                <w:color w:val="000000"/>
                <w:sz w:val="20"/>
                <w:szCs w:val="20"/>
              </w:rPr>
            </w:pPr>
            <w:r w:rsidRPr="004802DE">
              <w:rPr>
                <w:rFonts w:ascii="Arial" w:hAnsi="Arial" w:cs="Arial"/>
                <w:b w:val="0"/>
                <w:bCs/>
                <w:sz w:val="20"/>
                <w:szCs w:val="20"/>
              </w:rPr>
              <w:t>(</w:t>
            </w:r>
            <w:r w:rsidR="000641EF" w:rsidRPr="004802DE">
              <w:rPr>
                <w:rFonts w:ascii="Arial" w:hAnsi="Arial" w:cs="Arial"/>
                <w:b w:val="0"/>
                <w:bCs/>
                <w:sz w:val="20"/>
                <w:szCs w:val="20"/>
              </w:rPr>
              <w:t>6</w:t>
            </w:r>
            <w:r w:rsidR="00F97762">
              <w:rPr>
                <w:rFonts w:ascii="Arial" w:hAnsi="Arial" w:cs="Arial"/>
                <w:b w:val="0"/>
                <w:bCs/>
                <w:sz w:val="20"/>
                <w:szCs w:val="20"/>
              </w:rPr>
              <w:t>,</w:t>
            </w:r>
            <w:r w:rsidR="000641EF" w:rsidRPr="004802DE">
              <w:rPr>
                <w:rFonts w:ascii="Arial" w:hAnsi="Arial" w:cs="Arial"/>
                <w:b w:val="0"/>
                <w:bCs/>
                <w:sz w:val="20"/>
                <w:szCs w:val="20"/>
              </w:rPr>
              <w:t>26%</w:t>
            </w:r>
            <w:r w:rsidRPr="004802DE">
              <w:rPr>
                <w:rFonts w:ascii="Arial" w:hAnsi="Arial" w:cs="Arial"/>
                <w:b w:val="0"/>
                <w:bCs/>
                <w:sz w:val="20"/>
                <w:szCs w:val="20"/>
              </w:rPr>
              <w:t>)</w:t>
            </w:r>
          </w:p>
        </w:tc>
      </w:tr>
      <w:tr w:rsidR="000641EF" w:rsidRPr="004802DE" w14:paraId="4A8F1978" w14:textId="77777777" w:rsidTr="004518B9">
        <w:tblPrEx>
          <w:jc w:val="left"/>
        </w:tblPrEx>
        <w:trPr>
          <w:trHeight w:val="780"/>
        </w:trPr>
        <w:tc>
          <w:tcPr>
            <w:tcW w:w="2451" w:type="dxa"/>
            <w:gridSpan w:val="2"/>
            <w:tcBorders>
              <w:top w:val="nil"/>
              <w:left w:val="nil"/>
              <w:bottom w:val="nil"/>
              <w:right w:val="nil"/>
            </w:tcBorders>
            <w:shd w:val="clear" w:color="auto" w:fill="auto"/>
            <w:vAlign w:val="center"/>
            <w:hideMark/>
          </w:tcPr>
          <w:p w14:paraId="14C57374" w14:textId="77777777" w:rsidR="000641EF" w:rsidRPr="004802DE" w:rsidRDefault="000641EF" w:rsidP="000641EF">
            <w:pPr>
              <w:ind w:firstLineChars="200" w:firstLine="400"/>
              <w:rPr>
                <w:rFonts w:ascii="Arial" w:hAnsi="Arial" w:cs="Arial"/>
                <w:b w:val="0"/>
                <w:i/>
                <w:iCs/>
                <w:color w:val="000000"/>
                <w:sz w:val="20"/>
                <w:szCs w:val="20"/>
              </w:rPr>
            </w:pPr>
            <w:r w:rsidRPr="004802DE">
              <w:rPr>
                <w:rFonts w:ascii="Arial" w:hAnsi="Arial" w:cs="Arial"/>
                <w:b w:val="0"/>
                <w:i/>
                <w:iCs/>
                <w:color w:val="000000"/>
                <w:sz w:val="20"/>
                <w:szCs w:val="20"/>
              </w:rPr>
              <w:t>Tăng trưởng vốn (%)/1 đơn vị CCQ (Thay đổi do biến động giá)</w:t>
            </w:r>
          </w:p>
        </w:tc>
        <w:tc>
          <w:tcPr>
            <w:tcW w:w="2301" w:type="dxa"/>
            <w:tcBorders>
              <w:top w:val="nil"/>
              <w:left w:val="nil"/>
              <w:bottom w:val="nil"/>
              <w:right w:val="nil"/>
            </w:tcBorders>
            <w:shd w:val="clear" w:color="auto" w:fill="auto"/>
            <w:hideMark/>
          </w:tcPr>
          <w:p w14:paraId="75EADC2A" w14:textId="0E73DAA0" w:rsidR="000641EF" w:rsidRPr="004802DE" w:rsidRDefault="00337C8B" w:rsidP="000641EF">
            <w:pPr>
              <w:jc w:val="right"/>
              <w:rPr>
                <w:rFonts w:ascii="Arial" w:hAnsi="Arial" w:cs="Arial"/>
                <w:b w:val="0"/>
                <w:bCs/>
                <w:color w:val="000000"/>
                <w:sz w:val="20"/>
                <w:szCs w:val="20"/>
              </w:rPr>
            </w:pPr>
            <w:r w:rsidRPr="004802DE">
              <w:rPr>
                <w:rFonts w:ascii="Arial" w:hAnsi="Arial" w:cs="Arial"/>
                <w:b w:val="0"/>
                <w:bCs/>
                <w:sz w:val="20"/>
                <w:szCs w:val="20"/>
              </w:rPr>
              <w:t>(</w:t>
            </w:r>
            <w:r w:rsidR="000641EF" w:rsidRPr="004802DE">
              <w:rPr>
                <w:rFonts w:ascii="Arial" w:hAnsi="Arial" w:cs="Arial"/>
                <w:b w:val="0"/>
                <w:bCs/>
                <w:sz w:val="20"/>
                <w:szCs w:val="20"/>
              </w:rPr>
              <w:t>1</w:t>
            </w:r>
            <w:r w:rsidR="00F97762">
              <w:rPr>
                <w:rFonts w:ascii="Arial" w:hAnsi="Arial" w:cs="Arial"/>
                <w:b w:val="0"/>
                <w:bCs/>
                <w:sz w:val="20"/>
                <w:szCs w:val="20"/>
              </w:rPr>
              <w:t>,</w:t>
            </w:r>
            <w:r w:rsidR="000641EF" w:rsidRPr="004802DE">
              <w:rPr>
                <w:rFonts w:ascii="Arial" w:hAnsi="Arial" w:cs="Arial"/>
                <w:b w:val="0"/>
                <w:bCs/>
                <w:sz w:val="20"/>
                <w:szCs w:val="20"/>
              </w:rPr>
              <w:t>95%</w:t>
            </w:r>
            <w:r w:rsidRPr="004802DE">
              <w:rPr>
                <w:rFonts w:ascii="Arial" w:hAnsi="Arial" w:cs="Arial"/>
                <w:b w:val="0"/>
                <w:bCs/>
                <w:sz w:val="20"/>
                <w:szCs w:val="20"/>
              </w:rPr>
              <w:t>)</w:t>
            </w:r>
          </w:p>
        </w:tc>
        <w:tc>
          <w:tcPr>
            <w:tcW w:w="2301" w:type="dxa"/>
            <w:gridSpan w:val="3"/>
            <w:tcBorders>
              <w:top w:val="nil"/>
              <w:left w:val="nil"/>
              <w:bottom w:val="nil"/>
              <w:right w:val="nil"/>
            </w:tcBorders>
            <w:shd w:val="clear" w:color="auto" w:fill="auto"/>
            <w:hideMark/>
          </w:tcPr>
          <w:p w14:paraId="4E0D2BD8" w14:textId="717FB7EE" w:rsidR="000641EF" w:rsidRPr="004802DE" w:rsidRDefault="00337C8B" w:rsidP="000641EF">
            <w:pPr>
              <w:jc w:val="right"/>
              <w:rPr>
                <w:rFonts w:ascii="Arial" w:hAnsi="Arial" w:cs="Arial"/>
                <w:b w:val="0"/>
                <w:bCs/>
                <w:color w:val="000000"/>
                <w:sz w:val="20"/>
                <w:szCs w:val="20"/>
              </w:rPr>
            </w:pPr>
            <w:r w:rsidRPr="004802DE">
              <w:rPr>
                <w:rFonts w:ascii="Arial" w:hAnsi="Arial" w:cs="Arial"/>
                <w:b w:val="0"/>
                <w:bCs/>
                <w:sz w:val="20"/>
                <w:szCs w:val="20"/>
              </w:rPr>
              <w:t>(</w:t>
            </w:r>
            <w:r w:rsidR="000641EF" w:rsidRPr="004802DE">
              <w:rPr>
                <w:rFonts w:ascii="Arial" w:hAnsi="Arial" w:cs="Arial"/>
                <w:b w:val="0"/>
                <w:bCs/>
                <w:sz w:val="20"/>
                <w:szCs w:val="20"/>
              </w:rPr>
              <w:t>3</w:t>
            </w:r>
            <w:r w:rsidR="00F97762">
              <w:rPr>
                <w:rFonts w:ascii="Arial" w:hAnsi="Arial" w:cs="Arial"/>
                <w:b w:val="0"/>
                <w:bCs/>
                <w:sz w:val="20"/>
                <w:szCs w:val="20"/>
              </w:rPr>
              <w:t>,</w:t>
            </w:r>
            <w:r w:rsidR="000641EF" w:rsidRPr="004802DE">
              <w:rPr>
                <w:rFonts w:ascii="Arial" w:hAnsi="Arial" w:cs="Arial"/>
                <w:b w:val="0"/>
                <w:bCs/>
                <w:sz w:val="20"/>
                <w:szCs w:val="20"/>
              </w:rPr>
              <w:t>59%</w:t>
            </w:r>
            <w:r w:rsidRPr="004802DE">
              <w:rPr>
                <w:rFonts w:ascii="Arial" w:hAnsi="Arial" w:cs="Arial"/>
                <w:b w:val="0"/>
                <w:bCs/>
                <w:sz w:val="20"/>
                <w:szCs w:val="20"/>
              </w:rPr>
              <w:t>)</w:t>
            </w:r>
          </w:p>
        </w:tc>
        <w:tc>
          <w:tcPr>
            <w:tcW w:w="2301" w:type="dxa"/>
            <w:gridSpan w:val="2"/>
            <w:tcBorders>
              <w:top w:val="nil"/>
              <w:left w:val="nil"/>
              <w:bottom w:val="nil"/>
              <w:right w:val="nil"/>
            </w:tcBorders>
            <w:shd w:val="clear" w:color="auto" w:fill="auto"/>
            <w:hideMark/>
          </w:tcPr>
          <w:p w14:paraId="6A57EF95" w14:textId="6C678730"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28</w:t>
            </w:r>
            <w:r w:rsidR="00F97762">
              <w:rPr>
                <w:rFonts w:ascii="Arial" w:hAnsi="Arial" w:cs="Arial"/>
                <w:b w:val="0"/>
                <w:bCs/>
                <w:sz w:val="20"/>
                <w:szCs w:val="20"/>
              </w:rPr>
              <w:t>,</w:t>
            </w:r>
            <w:r w:rsidRPr="004802DE">
              <w:rPr>
                <w:rFonts w:ascii="Arial" w:hAnsi="Arial" w:cs="Arial"/>
                <w:b w:val="0"/>
                <w:bCs/>
                <w:sz w:val="20"/>
                <w:szCs w:val="20"/>
              </w:rPr>
              <w:t>81%</w:t>
            </w:r>
          </w:p>
        </w:tc>
      </w:tr>
      <w:tr w:rsidR="000641EF" w:rsidRPr="004802DE" w14:paraId="03A57102" w14:textId="77777777" w:rsidTr="004518B9">
        <w:tblPrEx>
          <w:jc w:val="left"/>
        </w:tblPrEx>
        <w:trPr>
          <w:trHeight w:val="1040"/>
        </w:trPr>
        <w:tc>
          <w:tcPr>
            <w:tcW w:w="2451" w:type="dxa"/>
            <w:gridSpan w:val="2"/>
            <w:tcBorders>
              <w:top w:val="nil"/>
              <w:left w:val="nil"/>
              <w:bottom w:val="nil"/>
              <w:right w:val="nil"/>
            </w:tcBorders>
            <w:shd w:val="clear" w:color="auto" w:fill="auto"/>
            <w:vAlign w:val="center"/>
            <w:hideMark/>
          </w:tcPr>
          <w:p w14:paraId="6ED0F179" w14:textId="77777777" w:rsidR="000641EF" w:rsidRPr="004802DE" w:rsidRDefault="000641EF" w:rsidP="000641EF">
            <w:pPr>
              <w:ind w:firstLineChars="200" w:firstLine="400"/>
              <w:rPr>
                <w:rFonts w:ascii="Arial" w:hAnsi="Arial" w:cs="Arial"/>
                <w:b w:val="0"/>
                <w:i/>
                <w:iCs/>
                <w:color w:val="000000"/>
                <w:sz w:val="20"/>
                <w:szCs w:val="20"/>
              </w:rPr>
            </w:pPr>
            <w:r w:rsidRPr="004802DE">
              <w:rPr>
                <w:rFonts w:ascii="Arial" w:hAnsi="Arial" w:cs="Arial"/>
                <w:b w:val="0"/>
                <w:i/>
                <w:iCs/>
                <w:color w:val="000000"/>
                <w:sz w:val="20"/>
                <w:szCs w:val="20"/>
              </w:rPr>
              <w:t>Tăng trưởng thu nhập (%)/1 đơn vị CCQ (Tính trên thu nhập đã thực hiện)</w:t>
            </w:r>
          </w:p>
        </w:tc>
        <w:tc>
          <w:tcPr>
            <w:tcW w:w="2301" w:type="dxa"/>
            <w:tcBorders>
              <w:top w:val="nil"/>
              <w:left w:val="nil"/>
              <w:bottom w:val="nil"/>
              <w:right w:val="nil"/>
            </w:tcBorders>
            <w:shd w:val="clear" w:color="auto" w:fill="auto"/>
            <w:hideMark/>
          </w:tcPr>
          <w:p w14:paraId="60CCA9D6" w14:textId="263253EB"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4</w:t>
            </w:r>
            <w:r w:rsidR="00F97762">
              <w:rPr>
                <w:rFonts w:ascii="Arial" w:hAnsi="Arial" w:cs="Arial"/>
                <w:b w:val="0"/>
                <w:bCs/>
                <w:sz w:val="20"/>
                <w:szCs w:val="20"/>
              </w:rPr>
              <w:t>,</w:t>
            </w:r>
            <w:r w:rsidRPr="004802DE">
              <w:rPr>
                <w:rFonts w:ascii="Arial" w:hAnsi="Arial" w:cs="Arial"/>
                <w:b w:val="0"/>
                <w:bCs/>
                <w:sz w:val="20"/>
                <w:szCs w:val="20"/>
              </w:rPr>
              <w:t>92%</w:t>
            </w:r>
          </w:p>
        </w:tc>
        <w:tc>
          <w:tcPr>
            <w:tcW w:w="2301" w:type="dxa"/>
            <w:gridSpan w:val="3"/>
            <w:tcBorders>
              <w:top w:val="nil"/>
              <w:left w:val="nil"/>
              <w:bottom w:val="nil"/>
              <w:right w:val="nil"/>
            </w:tcBorders>
            <w:shd w:val="clear" w:color="auto" w:fill="auto"/>
            <w:hideMark/>
          </w:tcPr>
          <w:p w14:paraId="269C72C0" w14:textId="2AFE994A"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3</w:t>
            </w:r>
            <w:r w:rsidR="00F97762">
              <w:rPr>
                <w:rFonts w:ascii="Arial" w:hAnsi="Arial" w:cs="Arial"/>
                <w:b w:val="0"/>
                <w:bCs/>
                <w:sz w:val="20"/>
                <w:szCs w:val="20"/>
              </w:rPr>
              <w:t>,</w:t>
            </w:r>
            <w:r w:rsidRPr="004802DE">
              <w:rPr>
                <w:rFonts w:ascii="Arial" w:hAnsi="Arial" w:cs="Arial"/>
                <w:b w:val="0"/>
                <w:bCs/>
                <w:sz w:val="20"/>
                <w:szCs w:val="20"/>
              </w:rPr>
              <w:t>48%</w:t>
            </w:r>
          </w:p>
        </w:tc>
        <w:tc>
          <w:tcPr>
            <w:tcW w:w="2301" w:type="dxa"/>
            <w:gridSpan w:val="2"/>
            <w:tcBorders>
              <w:top w:val="nil"/>
              <w:left w:val="nil"/>
              <w:bottom w:val="nil"/>
              <w:right w:val="nil"/>
            </w:tcBorders>
            <w:shd w:val="clear" w:color="auto" w:fill="auto"/>
            <w:hideMark/>
          </w:tcPr>
          <w:p w14:paraId="5AEAFAD4" w14:textId="5D7BBCBA" w:rsidR="000641EF" w:rsidRPr="004802DE" w:rsidRDefault="00337C8B" w:rsidP="000641EF">
            <w:pPr>
              <w:jc w:val="right"/>
              <w:rPr>
                <w:rFonts w:ascii="Arial" w:hAnsi="Arial" w:cs="Arial"/>
                <w:b w:val="0"/>
                <w:bCs/>
                <w:color w:val="000000"/>
                <w:sz w:val="20"/>
                <w:szCs w:val="20"/>
              </w:rPr>
            </w:pPr>
            <w:r w:rsidRPr="004802DE">
              <w:rPr>
                <w:rFonts w:ascii="Arial" w:hAnsi="Arial" w:cs="Arial"/>
                <w:b w:val="0"/>
                <w:bCs/>
                <w:sz w:val="20"/>
                <w:szCs w:val="20"/>
              </w:rPr>
              <w:t>(</w:t>
            </w:r>
            <w:r w:rsidR="000641EF" w:rsidRPr="004802DE">
              <w:rPr>
                <w:rFonts w:ascii="Arial" w:hAnsi="Arial" w:cs="Arial"/>
                <w:b w:val="0"/>
                <w:bCs/>
                <w:sz w:val="20"/>
                <w:szCs w:val="20"/>
              </w:rPr>
              <w:t>35</w:t>
            </w:r>
            <w:r w:rsidR="00F97762">
              <w:rPr>
                <w:rFonts w:ascii="Arial" w:hAnsi="Arial" w:cs="Arial"/>
                <w:b w:val="0"/>
                <w:bCs/>
                <w:sz w:val="20"/>
                <w:szCs w:val="20"/>
              </w:rPr>
              <w:t>,</w:t>
            </w:r>
            <w:r w:rsidR="000641EF" w:rsidRPr="004802DE">
              <w:rPr>
                <w:rFonts w:ascii="Arial" w:hAnsi="Arial" w:cs="Arial"/>
                <w:b w:val="0"/>
                <w:bCs/>
                <w:sz w:val="20"/>
                <w:szCs w:val="20"/>
              </w:rPr>
              <w:t>07%</w:t>
            </w:r>
            <w:r w:rsidRPr="004802DE">
              <w:rPr>
                <w:rFonts w:ascii="Arial" w:hAnsi="Arial" w:cs="Arial"/>
                <w:b w:val="0"/>
                <w:bCs/>
                <w:sz w:val="20"/>
                <w:szCs w:val="20"/>
              </w:rPr>
              <w:t>)</w:t>
            </w:r>
          </w:p>
        </w:tc>
      </w:tr>
      <w:tr w:rsidR="000641EF" w:rsidRPr="004802DE" w14:paraId="0B53339C" w14:textId="77777777" w:rsidTr="004518B9">
        <w:tblPrEx>
          <w:jc w:val="left"/>
        </w:tblPrEx>
        <w:trPr>
          <w:trHeight w:val="500"/>
        </w:trPr>
        <w:tc>
          <w:tcPr>
            <w:tcW w:w="2451" w:type="dxa"/>
            <w:gridSpan w:val="2"/>
            <w:tcBorders>
              <w:top w:val="nil"/>
              <w:left w:val="nil"/>
              <w:bottom w:val="nil"/>
              <w:right w:val="nil"/>
            </w:tcBorders>
            <w:shd w:val="clear" w:color="auto" w:fill="auto"/>
            <w:vAlign w:val="center"/>
            <w:hideMark/>
          </w:tcPr>
          <w:p w14:paraId="7CED12F8" w14:textId="77777777" w:rsidR="000641EF" w:rsidRPr="004802DE" w:rsidRDefault="000641EF" w:rsidP="000641EF">
            <w:pPr>
              <w:rPr>
                <w:rFonts w:ascii="Arial" w:hAnsi="Arial" w:cs="Arial"/>
                <w:b w:val="0"/>
                <w:color w:val="000000"/>
                <w:sz w:val="20"/>
                <w:szCs w:val="20"/>
              </w:rPr>
            </w:pPr>
            <w:r w:rsidRPr="004802DE">
              <w:rPr>
                <w:rFonts w:ascii="Arial" w:hAnsi="Arial" w:cs="Arial"/>
                <w:b w:val="0"/>
                <w:color w:val="000000"/>
                <w:sz w:val="20"/>
                <w:szCs w:val="20"/>
              </w:rPr>
              <w:t>Phân phối gộp trên 1 đơn vị CCQ (VND)</w:t>
            </w:r>
          </w:p>
        </w:tc>
        <w:tc>
          <w:tcPr>
            <w:tcW w:w="2301" w:type="dxa"/>
            <w:tcBorders>
              <w:top w:val="nil"/>
              <w:left w:val="nil"/>
              <w:bottom w:val="nil"/>
              <w:right w:val="nil"/>
            </w:tcBorders>
            <w:shd w:val="clear" w:color="auto" w:fill="auto"/>
            <w:hideMark/>
          </w:tcPr>
          <w:p w14:paraId="2DFDAB9B" w14:textId="09185561"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 xml:space="preserve">         Không có</w:t>
            </w:r>
          </w:p>
        </w:tc>
        <w:tc>
          <w:tcPr>
            <w:tcW w:w="2301" w:type="dxa"/>
            <w:gridSpan w:val="3"/>
            <w:tcBorders>
              <w:top w:val="nil"/>
              <w:left w:val="nil"/>
              <w:bottom w:val="nil"/>
              <w:right w:val="nil"/>
            </w:tcBorders>
            <w:shd w:val="clear" w:color="auto" w:fill="auto"/>
            <w:hideMark/>
          </w:tcPr>
          <w:p w14:paraId="77AD285B" w14:textId="07A246B2"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 xml:space="preserve">          Không có</w:t>
            </w:r>
          </w:p>
        </w:tc>
        <w:tc>
          <w:tcPr>
            <w:tcW w:w="2301" w:type="dxa"/>
            <w:gridSpan w:val="2"/>
            <w:tcBorders>
              <w:top w:val="nil"/>
              <w:left w:val="nil"/>
              <w:bottom w:val="nil"/>
              <w:right w:val="nil"/>
            </w:tcBorders>
            <w:shd w:val="clear" w:color="auto" w:fill="auto"/>
            <w:hideMark/>
          </w:tcPr>
          <w:p w14:paraId="48F21D19" w14:textId="56DC6B11"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 xml:space="preserve">               Không có</w:t>
            </w:r>
          </w:p>
        </w:tc>
      </w:tr>
      <w:tr w:rsidR="000641EF" w:rsidRPr="004802DE" w14:paraId="1EE95A69" w14:textId="77777777" w:rsidTr="004518B9">
        <w:tblPrEx>
          <w:jc w:val="left"/>
        </w:tblPrEx>
        <w:trPr>
          <w:trHeight w:val="300"/>
        </w:trPr>
        <w:tc>
          <w:tcPr>
            <w:tcW w:w="2451" w:type="dxa"/>
            <w:gridSpan w:val="2"/>
            <w:vMerge w:val="restart"/>
            <w:tcBorders>
              <w:top w:val="nil"/>
              <w:left w:val="nil"/>
              <w:bottom w:val="nil"/>
              <w:right w:val="nil"/>
            </w:tcBorders>
            <w:shd w:val="clear" w:color="auto" w:fill="auto"/>
            <w:vAlign w:val="center"/>
            <w:hideMark/>
          </w:tcPr>
          <w:p w14:paraId="11EF8DE3" w14:textId="77777777" w:rsidR="000641EF" w:rsidRPr="004802DE" w:rsidRDefault="000641EF" w:rsidP="000641EF">
            <w:pPr>
              <w:rPr>
                <w:rFonts w:ascii="Arial" w:hAnsi="Arial" w:cs="Arial"/>
                <w:b w:val="0"/>
                <w:color w:val="000000"/>
                <w:sz w:val="20"/>
                <w:szCs w:val="20"/>
              </w:rPr>
            </w:pPr>
            <w:r w:rsidRPr="004802DE">
              <w:rPr>
                <w:rFonts w:ascii="Arial" w:hAnsi="Arial" w:cs="Arial"/>
                <w:b w:val="0"/>
                <w:color w:val="000000"/>
                <w:sz w:val="20"/>
                <w:szCs w:val="20"/>
              </w:rPr>
              <w:t>Phân phối ròng trên 1 đơn vị CCQ (VND)</w:t>
            </w:r>
          </w:p>
        </w:tc>
        <w:tc>
          <w:tcPr>
            <w:tcW w:w="2301" w:type="dxa"/>
            <w:tcBorders>
              <w:top w:val="nil"/>
              <w:left w:val="nil"/>
              <w:bottom w:val="nil"/>
              <w:right w:val="nil"/>
            </w:tcBorders>
            <w:shd w:val="clear" w:color="auto" w:fill="auto"/>
            <w:hideMark/>
          </w:tcPr>
          <w:p w14:paraId="2E23095E" w14:textId="7F4254CE"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 xml:space="preserve">        </w:t>
            </w:r>
          </w:p>
        </w:tc>
        <w:tc>
          <w:tcPr>
            <w:tcW w:w="2301" w:type="dxa"/>
            <w:gridSpan w:val="3"/>
            <w:tcBorders>
              <w:top w:val="nil"/>
              <w:left w:val="nil"/>
              <w:bottom w:val="nil"/>
              <w:right w:val="nil"/>
            </w:tcBorders>
            <w:shd w:val="clear" w:color="auto" w:fill="auto"/>
            <w:hideMark/>
          </w:tcPr>
          <w:p w14:paraId="112B3511" w14:textId="77777777" w:rsidR="000641EF" w:rsidRPr="004802DE" w:rsidRDefault="000641EF" w:rsidP="000641EF">
            <w:pPr>
              <w:jc w:val="right"/>
              <w:rPr>
                <w:rFonts w:ascii="Arial" w:hAnsi="Arial" w:cs="Arial"/>
                <w:b w:val="0"/>
                <w:bCs/>
                <w:color w:val="000000"/>
                <w:sz w:val="20"/>
                <w:szCs w:val="20"/>
              </w:rPr>
            </w:pPr>
          </w:p>
        </w:tc>
        <w:tc>
          <w:tcPr>
            <w:tcW w:w="2301" w:type="dxa"/>
            <w:gridSpan w:val="2"/>
            <w:tcBorders>
              <w:top w:val="nil"/>
              <w:left w:val="nil"/>
              <w:bottom w:val="nil"/>
              <w:right w:val="nil"/>
            </w:tcBorders>
            <w:shd w:val="clear" w:color="auto" w:fill="auto"/>
            <w:hideMark/>
          </w:tcPr>
          <w:p w14:paraId="419F7F74" w14:textId="77777777" w:rsidR="000641EF" w:rsidRPr="004802DE" w:rsidRDefault="000641EF" w:rsidP="000641EF">
            <w:pPr>
              <w:jc w:val="right"/>
              <w:rPr>
                <w:rFonts w:ascii="Arial" w:hAnsi="Arial" w:cs="Arial"/>
                <w:b w:val="0"/>
                <w:bCs/>
                <w:sz w:val="20"/>
                <w:szCs w:val="20"/>
              </w:rPr>
            </w:pPr>
          </w:p>
        </w:tc>
      </w:tr>
      <w:tr w:rsidR="000641EF" w:rsidRPr="004802DE" w14:paraId="66654615" w14:textId="77777777" w:rsidTr="004518B9">
        <w:tblPrEx>
          <w:jc w:val="left"/>
        </w:tblPrEx>
        <w:trPr>
          <w:trHeight w:val="250"/>
        </w:trPr>
        <w:tc>
          <w:tcPr>
            <w:tcW w:w="2451" w:type="dxa"/>
            <w:gridSpan w:val="2"/>
            <w:vMerge/>
            <w:tcBorders>
              <w:top w:val="nil"/>
              <w:left w:val="nil"/>
              <w:bottom w:val="nil"/>
              <w:right w:val="nil"/>
            </w:tcBorders>
            <w:vAlign w:val="center"/>
            <w:hideMark/>
          </w:tcPr>
          <w:p w14:paraId="793E3CBE" w14:textId="77777777" w:rsidR="000641EF" w:rsidRPr="004802DE" w:rsidRDefault="000641EF" w:rsidP="000641EF">
            <w:pPr>
              <w:rPr>
                <w:rFonts w:ascii="Arial" w:hAnsi="Arial" w:cs="Arial"/>
                <w:b w:val="0"/>
                <w:color w:val="000000"/>
                <w:sz w:val="20"/>
                <w:szCs w:val="20"/>
              </w:rPr>
            </w:pPr>
          </w:p>
        </w:tc>
        <w:tc>
          <w:tcPr>
            <w:tcW w:w="2301" w:type="dxa"/>
            <w:tcBorders>
              <w:top w:val="nil"/>
              <w:left w:val="nil"/>
              <w:bottom w:val="nil"/>
              <w:right w:val="nil"/>
            </w:tcBorders>
            <w:shd w:val="clear" w:color="auto" w:fill="auto"/>
            <w:hideMark/>
          </w:tcPr>
          <w:p w14:paraId="63AD339E" w14:textId="0E18F266"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 xml:space="preserve">          Không có</w:t>
            </w:r>
          </w:p>
        </w:tc>
        <w:tc>
          <w:tcPr>
            <w:tcW w:w="2301" w:type="dxa"/>
            <w:gridSpan w:val="3"/>
            <w:tcBorders>
              <w:top w:val="nil"/>
              <w:left w:val="nil"/>
              <w:bottom w:val="nil"/>
              <w:right w:val="nil"/>
            </w:tcBorders>
            <w:shd w:val="clear" w:color="auto" w:fill="auto"/>
            <w:hideMark/>
          </w:tcPr>
          <w:p w14:paraId="06A21223" w14:textId="256CA729"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 xml:space="preserve">          Không có</w:t>
            </w:r>
          </w:p>
        </w:tc>
        <w:tc>
          <w:tcPr>
            <w:tcW w:w="2301" w:type="dxa"/>
            <w:gridSpan w:val="2"/>
            <w:tcBorders>
              <w:top w:val="nil"/>
              <w:left w:val="nil"/>
              <w:bottom w:val="nil"/>
              <w:right w:val="nil"/>
            </w:tcBorders>
            <w:shd w:val="clear" w:color="auto" w:fill="auto"/>
            <w:hideMark/>
          </w:tcPr>
          <w:p w14:paraId="129E851C" w14:textId="6FD72298"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 xml:space="preserve">               Không có</w:t>
            </w:r>
          </w:p>
        </w:tc>
      </w:tr>
      <w:tr w:rsidR="000641EF" w:rsidRPr="004802DE" w14:paraId="0A4F4B6A" w14:textId="77777777" w:rsidTr="004518B9">
        <w:tblPrEx>
          <w:jc w:val="left"/>
        </w:tblPrEx>
        <w:trPr>
          <w:trHeight w:val="300"/>
        </w:trPr>
        <w:tc>
          <w:tcPr>
            <w:tcW w:w="2451" w:type="dxa"/>
            <w:gridSpan w:val="2"/>
            <w:vMerge w:val="restart"/>
            <w:tcBorders>
              <w:top w:val="nil"/>
              <w:left w:val="nil"/>
              <w:bottom w:val="nil"/>
              <w:right w:val="nil"/>
            </w:tcBorders>
            <w:shd w:val="clear" w:color="auto" w:fill="auto"/>
            <w:vAlign w:val="center"/>
            <w:hideMark/>
          </w:tcPr>
          <w:p w14:paraId="563E7556" w14:textId="77777777" w:rsidR="000641EF" w:rsidRPr="004802DE" w:rsidRDefault="000641EF" w:rsidP="000641EF">
            <w:pPr>
              <w:rPr>
                <w:rFonts w:ascii="Arial" w:hAnsi="Arial" w:cs="Arial"/>
                <w:b w:val="0"/>
                <w:color w:val="000000"/>
                <w:sz w:val="20"/>
                <w:szCs w:val="20"/>
              </w:rPr>
            </w:pPr>
            <w:r w:rsidRPr="004802DE">
              <w:rPr>
                <w:rFonts w:ascii="Arial" w:hAnsi="Arial" w:cs="Arial"/>
                <w:b w:val="0"/>
                <w:color w:val="000000"/>
                <w:sz w:val="20"/>
                <w:szCs w:val="20"/>
              </w:rPr>
              <w:t>Ngày chốt quyền (Ex-date of distribution)</w:t>
            </w:r>
          </w:p>
        </w:tc>
        <w:tc>
          <w:tcPr>
            <w:tcW w:w="2301" w:type="dxa"/>
            <w:tcBorders>
              <w:top w:val="nil"/>
              <w:left w:val="nil"/>
              <w:bottom w:val="nil"/>
              <w:right w:val="nil"/>
            </w:tcBorders>
            <w:shd w:val="clear" w:color="auto" w:fill="auto"/>
            <w:hideMark/>
          </w:tcPr>
          <w:p w14:paraId="352838B0" w14:textId="47BE4896"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 xml:space="preserve">        </w:t>
            </w:r>
          </w:p>
        </w:tc>
        <w:tc>
          <w:tcPr>
            <w:tcW w:w="2301" w:type="dxa"/>
            <w:gridSpan w:val="3"/>
            <w:tcBorders>
              <w:top w:val="nil"/>
              <w:left w:val="nil"/>
              <w:bottom w:val="nil"/>
              <w:right w:val="nil"/>
            </w:tcBorders>
            <w:shd w:val="clear" w:color="auto" w:fill="auto"/>
            <w:hideMark/>
          </w:tcPr>
          <w:p w14:paraId="6313869C" w14:textId="77777777" w:rsidR="000641EF" w:rsidRPr="004802DE" w:rsidRDefault="000641EF" w:rsidP="000641EF">
            <w:pPr>
              <w:jc w:val="right"/>
              <w:rPr>
                <w:rFonts w:ascii="Arial" w:hAnsi="Arial" w:cs="Arial"/>
                <w:b w:val="0"/>
                <w:bCs/>
                <w:color w:val="000000"/>
                <w:sz w:val="20"/>
                <w:szCs w:val="20"/>
              </w:rPr>
            </w:pPr>
          </w:p>
        </w:tc>
        <w:tc>
          <w:tcPr>
            <w:tcW w:w="2301" w:type="dxa"/>
            <w:gridSpan w:val="2"/>
            <w:tcBorders>
              <w:top w:val="nil"/>
              <w:left w:val="nil"/>
              <w:bottom w:val="nil"/>
              <w:right w:val="nil"/>
            </w:tcBorders>
            <w:shd w:val="clear" w:color="auto" w:fill="auto"/>
            <w:hideMark/>
          </w:tcPr>
          <w:p w14:paraId="7F20043B" w14:textId="77777777" w:rsidR="000641EF" w:rsidRPr="004802DE" w:rsidRDefault="000641EF" w:rsidP="000641EF">
            <w:pPr>
              <w:jc w:val="right"/>
              <w:rPr>
                <w:rFonts w:ascii="Arial" w:hAnsi="Arial" w:cs="Arial"/>
                <w:b w:val="0"/>
                <w:bCs/>
                <w:sz w:val="20"/>
                <w:szCs w:val="20"/>
              </w:rPr>
            </w:pPr>
          </w:p>
        </w:tc>
      </w:tr>
      <w:tr w:rsidR="000641EF" w:rsidRPr="004802DE" w14:paraId="16E7E631" w14:textId="77777777" w:rsidTr="004518B9">
        <w:tblPrEx>
          <w:jc w:val="left"/>
        </w:tblPrEx>
        <w:trPr>
          <w:trHeight w:val="250"/>
        </w:trPr>
        <w:tc>
          <w:tcPr>
            <w:tcW w:w="2451" w:type="dxa"/>
            <w:gridSpan w:val="2"/>
            <w:vMerge/>
            <w:tcBorders>
              <w:top w:val="nil"/>
              <w:left w:val="nil"/>
              <w:bottom w:val="nil"/>
              <w:right w:val="nil"/>
            </w:tcBorders>
            <w:vAlign w:val="center"/>
            <w:hideMark/>
          </w:tcPr>
          <w:p w14:paraId="1F0CDE47" w14:textId="77777777" w:rsidR="000641EF" w:rsidRPr="004802DE" w:rsidRDefault="000641EF" w:rsidP="000641EF">
            <w:pPr>
              <w:rPr>
                <w:rFonts w:ascii="Arial" w:hAnsi="Arial" w:cs="Arial"/>
                <w:b w:val="0"/>
                <w:color w:val="000000"/>
                <w:sz w:val="20"/>
                <w:szCs w:val="20"/>
              </w:rPr>
            </w:pPr>
          </w:p>
        </w:tc>
        <w:tc>
          <w:tcPr>
            <w:tcW w:w="2301" w:type="dxa"/>
            <w:tcBorders>
              <w:top w:val="nil"/>
              <w:left w:val="nil"/>
              <w:bottom w:val="nil"/>
              <w:right w:val="nil"/>
            </w:tcBorders>
            <w:shd w:val="clear" w:color="auto" w:fill="auto"/>
            <w:hideMark/>
          </w:tcPr>
          <w:p w14:paraId="4BB8092F" w14:textId="3CD5FBF9"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 xml:space="preserve">         Không có</w:t>
            </w:r>
          </w:p>
        </w:tc>
        <w:tc>
          <w:tcPr>
            <w:tcW w:w="2301" w:type="dxa"/>
            <w:gridSpan w:val="3"/>
            <w:tcBorders>
              <w:top w:val="nil"/>
              <w:left w:val="nil"/>
              <w:bottom w:val="nil"/>
              <w:right w:val="nil"/>
            </w:tcBorders>
            <w:shd w:val="clear" w:color="auto" w:fill="auto"/>
            <w:hideMark/>
          </w:tcPr>
          <w:p w14:paraId="6E451D2C" w14:textId="72D89F07"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 xml:space="preserve">         Không có</w:t>
            </w:r>
          </w:p>
        </w:tc>
        <w:tc>
          <w:tcPr>
            <w:tcW w:w="2301" w:type="dxa"/>
            <w:gridSpan w:val="2"/>
            <w:tcBorders>
              <w:top w:val="nil"/>
              <w:left w:val="nil"/>
              <w:bottom w:val="nil"/>
              <w:right w:val="nil"/>
            </w:tcBorders>
            <w:shd w:val="clear" w:color="auto" w:fill="auto"/>
            <w:hideMark/>
          </w:tcPr>
          <w:p w14:paraId="6C7D1DAA" w14:textId="3D787BAC"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 xml:space="preserve">               Không có</w:t>
            </w:r>
          </w:p>
        </w:tc>
      </w:tr>
      <w:tr w:rsidR="000641EF" w:rsidRPr="004802DE" w14:paraId="5AC3D60B" w14:textId="77777777" w:rsidTr="004518B9">
        <w:tblPrEx>
          <w:jc w:val="left"/>
        </w:tblPrEx>
        <w:trPr>
          <w:trHeight w:val="500"/>
        </w:trPr>
        <w:tc>
          <w:tcPr>
            <w:tcW w:w="2451" w:type="dxa"/>
            <w:gridSpan w:val="2"/>
            <w:tcBorders>
              <w:top w:val="nil"/>
              <w:left w:val="nil"/>
              <w:bottom w:val="nil"/>
              <w:right w:val="nil"/>
            </w:tcBorders>
            <w:shd w:val="clear" w:color="auto" w:fill="auto"/>
            <w:vAlign w:val="center"/>
            <w:hideMark/>
          </w:tcPr>
          <w:p w14:paraId="59769AC6" w14:textId="77777777" w:rsidR="000641EF" w:rsidRPr="004802DE" w:rsidRDefault="000641EF" w:rsidP="000641EF">
            <w:pPr>
              <w:rPr>
                <w:rFonts w:ascii="Arial" w:hAnsi="Arial" w:cs="Arial"/>
                <w:b w:val="0"/>
                <w:color w:val="000000"/>
                <w:sz w:val="20"/>
                <w:szCs w:val="20"/>
              </w:rPr>
            </w:pPr>
            <w:r w:rsidRPr="004802DE">
              <w:rPr>
                <w:rFonts w:ascii="Arial" w:hAnsi="Arial" w:cs="Arial"/>
                <w:b w:val="0"/>
                <w:color w:val="000000"/>
                <w:sz w:val="20"/>
                <w:szCs w:val="20"/>
              </w:rPr>
              <w:t>Tỷ lệ chi phí hoạt động của quỹ (%)</w:t>
            </w:r>
          </w:p>
        </w:tc>
        <w:tc>
          <w:tcPr>
            <w:tcW w:w="2301" w:type="dxa"/>
            <w:tcBorders>
              <w:top w:val="nil"/>
              <w:left w:val="nil"/>
              <w:bottom w:val="nil"/>
              <w:right w:val="nil"/>
            </w:tcBorders>
            <w:shd w:val="clear" w:color="auto" w:fill="auto"/>
            <w:hideMark/>
          </w:tcPr>
          <w:p w14:paraId="361C87E1" w14:textId="09E2CCB7"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1</w:t>
            </w:r>
            <w:r w:rsidR="00F97762">
              <w:rPr>
                <w:rFonts w:ascii="Arial" w:hAnsi="Arial" w:cs="Arial"/>
                <w:b w:val="0"/>
                <w:bCs/>
                <w:sz w:val="20"/>
                <w:szCs w:val="20"/>
              </w:rPr>
              <w:t>,</w:t>
            </w:r>
            <w:r w:rsidRPr="004802DE">
              <w:rPr>
                <w:rFonts w:ascii="Arial" w:hAnsi="Arial" w:cs="Arial"/>
                <w:b w:val="0"/>
                <w:bCs/>
                <w:sz w:val="20"/>
                <w:szCs w:val="20"/>
              </w:rPr>
              <w:t>60%</w:t>
            </w:r>
          </w:p>
        </w:tc>
        <w:tc>
          <w:tcPr>
            <w:tcW w:w="2301" w:type="dxa"/>
            <w:gridSpan w:val="3"/>
            <w:tcBorders>
              <w:top w:val="nil"/>
              <w:left w:val="nil"/>
              <w:bottom w:val="nil"/>
              <w:right w:val="nil"/>
            </w:tcBorders>
            <w:shd w:val="clear" w:color="auto" w:fill="auto"/>
            <w:hideMark/>
          </w:tcPr>
          <w:p w14:paraId="7F95966E" w14:textId="0CF14A86"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2</w:t>
            </w:r>
            <w:r w:rsidR="00F97762">
              <w:rPr>
                <w:rFonts w:ascii="Arial" w:hAnsi="Arial" w:cs="Arial"/>
                <w:b w:val="0"/>
                <w:bCs/>
                <w:sz w:val="20"/>
                <w:szCs w:val="20"/>
              </w:rPr>
              <w:t>,</w:t>
            </w:r>
            <w:r w:rsidRPr="004802DE">
              <w:rPr>
                <w:rFonts w:ascii="Arial" w:hAnsi="Arial" w:cs="Arial"/>
                <w:b w:val="0"/>
                <w:bCs/>
                <w:sz w:val="20"/>
                <w:szCs w:val="20"/>
              </w:rPr>
              <w:t>04%</w:t>
            </w:r>
          </w:p>
        </w:tc>
        <w:tc>
          <w:tcPr>
            <w:tcW w:w="2301" w:type="dxa"/>
            <w:gridSpan w:val="2"/>
            <w:tcBorders>
              <w:top w:val="nil"/>
              <w:left w:val="nil"/>
              <w:bottom w:val="nil"/>
              <w:right w:val="nil"/>
            </w:tcBorders>
            <w:shd w:val="clear" w:color="auto" w:fill="auto"/>
            <w:hideMark/>
          </w:tcPr>
          <w:p w14:paraId="28B8F60B" w14:textId="23E17D5A"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3</w:t>
            </w:r>
            <w:r w:rsidR="00F97762">
              <w:rPr>
                <w:rFonts w:ascii="Arial" w:hAnsi="Arial" w:cs="Arial"/>
                <w:b w:val="0"/>
                <w:bCs/>
                <w:sz w:val="20"/>
                <w:szCs w:val="20"/>
              </w:rPr>
              <w:t>,</w:t>
            </w:r>
            <w:r w:rsidRPr="004802DE">
              <w:rPr>
                <w:rFonts w:ascii="Arial" w:hAnsi="Arial" w:cs="Arial"/>
                <w:b w:val="0"/>
                <w:bCs/>
                <w:sz w:val="20"/>
                <w:szCs w:val="20"/>
              </w:rPr>
              <w:t>54%</w:t>
            </w:r>
          </w:p>
        </w:tc>
      </w:tr>
      <w:tr w:rsidR="000641EF" w:rsidRPr="004802DE" w14:paraId="6F824DD9" w14:textId="77777777" w:rsidTr="004518B9">
        <w:tblPrEx>
          <w:jc w:val="left"/>
        </w:tblPrEx>
        <w:trPr>
          <w:trHeight w:val="500"/>
        </w:trPr>
        <w:tc>
          <w:tcPr>
            <w:tcW w:w="2451" w:type="dxa"/>
            <w:gridSpan w:val="2"/>
            <w:tcBorders>
              <w:top w:val="nil"/>
              <w:left w:val="nil"/>
              <w:bottom w:val="nil"/>
              <w:right w:val="nil"/>
            </w:tcBorders>
            <w:shd w:val="clear" w:color="auto" w:fill="auto"/>
            <w:vAlign w:val="center"/>
            <w:hideMark/>
          </w:tcPr>
          <w:p w14:paraId="3E1079A1" w14:textId="77777777" w:rsidR="000641EF" w:rsidRPr="004802DE" w:rsidRDefault="000641EF" w:rsidP="000641EF">
            <w:pPr>
              <w:rPr>
                <w:rFonts w:ascii="Arial" w:hAnsi="Arial" w:cs="Arial"/>
                <w:b w:val="0"/>
                <w:color w:val="000000"/>
                <w:sz w:val="20"/>
                <w:szCs w:val="20"/>
              </w:rPr>
            </w:pPr>
            <w:r w:rsidRPr="004802DE">
              <w:rPr>
                <w:rFonts w:ascii="Arial" w:hAnsi="Arial" w:cs="Arial"/>
                <w:b w:val="0"/>
                <w:color w:val="000000"/>
                <w:sz w:val="20"/>
                <w:szCs w:val="20"/>
              </w:rPr>
              <w:t>Tốc độ vòng quay danh mục (%)</w:t>
            </w:r>
          </w:p>
          <w:p w14:paraId="1E898AF8" w14:textId="77777777" w:rsidR="009B36C4" w:rsidRPr="004802DE" w:rsidRDefault="009B36C4" w:rsidP="000641EF">
            <w:pPr>
              <w:rPr>
                <w:rFonts w:ascii="Arial" w:hAnsi="Arial" w:cs="Arial"/>
                <w:b w:val="0"/>
                <w:color w:val="000000"/>
                <w:sz w:val="20"/>
                <w:szCs w:val="20"/>
              </w:rPr>
            </w:pPr>
          </w:p>
          <w:p w14:paraId="25F739DE" w14:textId="1916E630" w:rsidR="009B36C4" w:rsidRPr="004802DE" w:rsidRDefault="009B36C4" w:rsidP="000641EF">
            <w:pPr>
              <w:rPr>
                <w:rFonts w:ascii="Arial" w:hAnsi="Arial" w:cs="Arial"/>
                <w:b w:val="0"/>
                <w:color w:val="000000"/>
                <w:sz w:val="20"/>
                <w:szCs w:val="20"/>
              </w:rPr>
            </w:pPr>
          </w:p>
        </w:tc>
        <w:tc>
          <w:tcPr>
            <w:tcW w:w="2301" w:type="dxa"/>
            <w:tcBorders>
              <w:top w:val="nil"/>
              <w:left w:val="nil"/>
              <w:bottom w:val="nil"/>
              <w:right w:val="nil"/>
            </w:tcBorders>
            <w:shd w:val="clear" w:color="auto" w:fill="auto"/>
            <w:hideMark/>
          </w:tcPr>
          <w:p w14:paraId="1873B345" w14:textId="54C7FAC7"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207</w:t>
            </w:r>
            <w:r w:rsidR="00F97762">
              <w:rPr>
                <w:rFonts w:ascii="Arial" w:hAnsi="Arial" w:cs="Arial"/>
                <w:b w:val="0"/>
                <w:bCs/>
                <w:sz w:val="20"/>
                <w:szCs w:val="20"/>
              </w:rPr>
              <w:t>,</w:t>
            </w:r>
            <w:r w:rsidRPr="004802DE">
              <w:rPr>
                <w:rFonts w:ascii="Arial" w:hAnsi="Arial" w:cs="Arial"/>
                <w:b w:val="0"/>
                <w:bCs/>
                <w:sz w:val="20"/>
                <w:szCs w:val="20"/>
              </w:rPr>
              <w:t>93%</w:t>
            </w:r>
          </w:p>
        </w:tc>
        <w:tc>
          <w:tcPr>
            <w:tcW w:w="2301" w:type="dxa"/>
            <w:gridSpan w:val="3"/>
            <w:tcBorders>
              <w:top w:val="nil"/>
              <w:left w:val="nil"/>
              <w:bottom w:val="nil"/>
              <w:right w:val="nil"/>
            </w:tcBorders>
            <w:shd w:val="clear" w:color="auto" w:fill="auto"/>
            <w:hideMark/>
          </w:tcPr>
          <w:p w14:paraId="29B12BB2" w14:textId="55CF1D11"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125</w:t>
            </w:r>
            <w:r w:rsidR="00F97762">
              <w:rPr>
                <w:rFonts w:ascii="Arial" w:hAnsi="Arial" w:cs="Arial"/>
                <w:b w:val="0"/>
                <w:bCs/>
                <w:sz w:val="20"/>
                <w:szCs w:val="20"/>
              </w:rPr>
              <w:t>,</w:t>
            </w:r>
            <w:r w:rsidRPr="004802DE">
              <w:rPr>
                <w:rFonts w:ascii="Arial" w:hAnsi="Arial" w:cs="Arial"/>
                <w:b w:val="0"/>
                <w:bCs/>
                <w:sz w:val="20"/>
                <w:szCs w:val="20"/>
              </w:rPr>
              <w:t>73%</w:t>
            </w:r>
          </w:p>
        </w:tc>
        <w:tc>
          <w:tcPr>
            <w:tcW w:w="2301" w:type="dxa"/>
            <w:gridSpan w:val="2"/>
            <w:tcBorders>
              <w:top w:val="nil"/>
              <w:left w:val="nil"/>
              <w:bottom w:val="nil"/>
              <w:right w:val="nil"/>
            </w:tcBorders>
            <w:shd w:val="clear" w:color="auto" w:fill="auto"/>
            <w:hideMark/>
          </w:tcPr>
          <w:p w14:paraId="0CE60609" w14:textId="4104E7E5" w:rsidR="000641EF" w:rsidRPr="004802DE" w:rsidRDefault="000641EF" w:rsidP="000641EF">
            <w:pPr>
              <w:jc w:val="right"/>
              <w:rPr>
                <w:rFonts w:ascii="Arial" w:hAnsi="Arial" w:cs="Arial"/>
                <w:b w:val="0"/>
                <w:bCs/>
                <w:color w:val="000000"/>
                <w:sz w:val="20"/>
                <w:szCs w:val="20"/>
              </w:rPr>
            </w:pPr>
            <w:r w:rsidRPr="004802DE">
              <w:rPr>
                <w:rFonts w:ascii="Arial" w:hAnsi="Arial" w:cs="Arial"/>
                <w:b w:val="0"/>
                <w:bCs/>
                <w:sz w:val="20"/>
                <w:szCs w:val="20"/>
              </w:rPr>
              <w:t>67</w:t>
            </w:r>
            <w:r w:rsidR="00F97762">
              <w:rPr>
                <w:rFonts w:ascii="Arial" w:hAnsi="Arial" w:cs="Arial"/>
                <w:b w:val="0"/>
                <w:bCs/>
                <w:sz w:val="20"/>
                <w:szCs w:val="20"/>
              </w:rPr>
              <w:t>,</w:t>
            </w:r>
            <w:r w:rsidRPr="004802DE">
              <w:rPr>
                <w:rFonts w:ascii="Arial" w:hAnsi="Arial" w:cs="Arial"/>
                <w:b w:val="0"/>
                <w:bCs/>
                <w:sz w:val="20"/>
                <w:szCs w:val="20"/>
              </w:rPr>
              <w:t>22%</w:t>
            </w:r>
          </w:p>
        </w:tc>
      </w:tr>
    </w:tbl>
    <w:p w14:paraId="11B0F2D3" w14:textId="47E683D3" w:rsidR="00AC7BE0" w:rsidRPr="004802DE" w:rsidRDefault="00AC7BE0" w:rsidP="00BF052D">
      <w:pPr>
        <w:pStyle w:val="ListParagraph"/>
        <w:numPr>
          <w:ilvl w:val="0"/>
          <w:numId w:val="13"/>
        </w:numPr>
        <w:spacing w:after="240" w:line="360" w:lineRule="auto"/>
        <w:ind w:left="450" w:hanging="450"/>
        <w:jc w:val="both"/>
        <w:rPr>
          <w:b w:val="0"/>
          <w:lang w:val="nl-NL"/>
        </w:rPr>
      </w:pPr>
      <w:r w:rsidRPr="004802DE">
        <w:rPr>
          <w:b w:val="0"/>
          <w:lang w:val="nl-NL"/>
        </w:rPr>
        <w:t>Tổng lợi nhuận của quỹ</w:t>
      </w:r>
      <w:r w:rsidR="00CE02F1" w:rsidRPr="004802DE">
        <w:rPr>
          <w:b w:val="0"/>
          <w:lang w:val="nl-NL"/>
        </w:rPr>
        <w:t xml:space="preserve"> :</w:t>
      </w:r>
    </w:p>
    <w:tbl>
      <w:tblPr>
        <w:tblW w:w="9900" w:type="dxa"/>
        <w:tblLook w:val="04A0" w:firstRow="1" w:lastRow="0" w:firstColumn="1" w:lastColumn="0" w:noHBand="0" w:noVBand="1"/>
      </w:tblPr>
      <w:tblGrid>
        <w:gridCol w:w="670"/>
        <w:gridCol w:w="7080"/>
        <w:gridCol w:w="2150"/>
      </w:tblGrid>
      <w:tr w:rsidR="00C736D3" w:rsidRPr="004802DE" w14:paraId="49A5EA1C" w14:textId="77777777" w:rsidTr="006864E2">
        <w:trPr>
          <w:trHeight w:val="760"/>
        </w:trPr>
        <w:tc>
          <w:tcPr>
            <w:tcW w:w="670" w:type="dxa"/>
            <w:tcBorders>
              <w:top w:val="single" w:sz="8" w:space="0" w:color="auto"/>
              <w:left w:val="single" w:sz="8" w:space="0" w:color="auto"/>
              <w:bottom w:val="single" w:sz="8" w:space="0" w:color="auto"/>
              <w:right w:val="single" w:sz="8" w:space="0" w:color="auto"/>
            </w:tcBorders>
            <w:shd w:val="clear" w:color="auto" w:fill="FFC000"/>
            <w:noWrap/>
            <w:vAlign w:val="center"/>
            <w:hideMark/>
          </w:tcPr>
          <w:p w14:paraId="33AA1EF0" w14:textId="77777777" w:rsidR="00C736D3" w:rsidRPr="004802DE" w:rsidRDefault="00C736D3" w:rsidP="00C736D3">
            <w:pPr>
              <w:jc w:val="center"/>
              <w:rPr>
                <w:bCs/>
                <w:color w:val="000000"/>
              </w:rPr>
            </w:pPr>
            <w:r w:rsidRPr="004802DE">
              <w:rPr>
                <w:bCs/>
                <w:color w:val="000000"/>
              </w:rPr>
              <w:t>STT</w:t>
            </w:r>
          </w:p>
        </w:tc>
        <w:tc>
          <w:tcPr>
            <w:tcW w:w="7080" w:type="dxa"/>
            <w:tcBorders>
              <w:top w:val="single" w:sz="8" w:space="0" w:color="auto"/>
              <w:left w:val="nil"/>
              <w:bottom w:val="single" w:sz="8" w:space="0" w:color="auto"/>
              <w:right w:val="single" w:sz="8" w:space="0" w:color="auto"/>
            </w:tcBorders>
            <w:shd w:val="clear" w:color="auto" w:fill="FFC000"/>
            <w:noWrap/>
            <w:vAlign w:val="center"/>
            <w:hideMark/>
          </w:tcPr>
          <w:p w14:paraId="2071A2A6" w14:textId="77777777" w:rsidR="00C736D3" w:rsidRPr="004802DE" w:rsidRDefault="00C736D3" w:rsidP="00C736D3">
            <w:pPr>
              <w:jc w:val="center"/>
              <w:rPr>
                <w:bCs/>
                <w:color w:val="000000"/>
              </w:rPr>
            </w:pPr>
            <w:r w:rsidRPr="004802DE">
              <w:rPr>
                <w:bCs/>
              </w:rPr>
              <w:t>Chỉ tiêu</w:t>
            </w:r>
          </w:p>
        </w:tc>
        <w:tc>
          <w:tcPr>
            <w:tcW w:w="2150" w:type="dxa"/>
            <w:tcBorders>
              <w:top w:val="single" w:sz="8" w:space="0" w:color="auto"/>
              <w:left w:val="nil"/>
              <w:bottom w:val="single" w:sz="8" w:space="0" w:color="auto"/>
              <w:right w:val="single" w:sz="8" w:space="0" w:color="auto"/>
            </w:tcBorders>
            <w:shd w:val="clear" w:color="auto" w:fill="FFC000"/>
            <w:noWrap/>
            <w:vAlign w:val="center"/>
            <w:hideMark/>
          </w:tcPr>
          <w:p w14:paraId="42797C64" w14:textId="77777777" w:rsidR="00C736D3" w:rsidRPr="004802DE" w:rsidRDefault="00C736D3" w:rsidP="00C736D3">
            <w:pPr>
              <w:jc w:val="center"/>
              <w:rPr>
                <w:bCs/>
                <w:color w:val="000000"/>
              </w:rPr>
            </w:pPr>
            <w:r w:rsidRPr="004802DE">
              <w:rPr>
                <w:bCs/>
              </w:rPr>
              <w:t xml:space="preserve"> Số liệu </w:t>
            </w:r>
          </w:p>
        </w:tc>
      </w:tr>
      <w:tr w:rsidR="006864E2" w:rsidRPr="004802DE" w14:paraId="203D4DCA" w14:textId="77777777" w:rsidTr="006864E2">
        <w:trPr>
          <w:trHeight w:val="404"/>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7D130F95" w14:textId="77777777" w:rsidR="006864E2" w:rsidRPr="004802DE" w:rsidRDefault="006864E2" w:rsidP="006864E2">
            <w:pPr>
              <w:jc w:val="right"/>
              <w:rPr>
                <w:b w:val="0"/>
                <w:color w:val="000000"/>
              </w:rPr>
            </w:pPr>
            <w:r w:rsidRPr="004802DE">
              <w:rPr>
                <w:b w:val="0"/>
                <w:color w:val="000000"/>
              </w:rPr>
              <w:t>1</w:t>
            </w:r>
          </w:p>
        </w:tc>
        <w:tc>
          <w:tcPr>
            <w:tcW w:w="7080" w:type="dxa"/>
            <w:tcBorders>
              <w:top w:val="nil"/>
              <w:left w:val="nil"/>
              <w:bottom w:val="single" w:sz="8" w:space="0" w:color="auto"/>
              <w:right w:val="single" w:sz="8" w:space="0" w:color="auto"/>
            </w:tcBorders>
            <w:shd w:val="clear" w:color="auto" w:fill="auto"/>
            <w:vAlign w:val="center"/>
            <w:hideMark/>
          </w:tcPr>
          <w:p w14:paraId="5F49B80B" w14:textId="77777777" w:rsidR="006864E2" w:rsidRPr="004802DE" w:rsidRDefault="006864E2" w:rsidP="006864E2">
            <w:pPr>
              <w:rPr>
                <w:b w:val="0"/>
                <w:color w:val="000000"/>
              </w:rPr>
            </w:pPr>
            <w:r w:rsidRPr="004802DE">
              <w:rPr>
                <w:b w:val="0"/>
                <w:color w:val="000000"/>
              </w:rPr>
              <w:t>Lợi nhuận thu được từ sự tăng trưởng giá chứng khoán (giá trị lãi vốn)</w:t>
            </w:r>
          </w:p>
        </w:tc>
        <w:tc>
          <w:tcPr>
            <w:tcW w:w="2150" w:type="dxa"/>
            <w:tcBorders>
              <w:top w:val="nil"/>
              <w:left w:val="nil"/>
              <w:bottom w:val="single" w:sz="8" w:space="0" w:color="auto"/>
              <w:right w:val="single" w:sz="8" w:space="0" w:color="auto"/>
            </w:tcBorders>
            <w:shd w:val="clear" w:color="auto" w:fill="auto"/>
            <w:noWrap/>
            <w:hideMark/>
          </w:tcPr>
          <w:p w14:paraId="2A267403" w14:textId="0E41C1DC" w:rsidR="006864E2" w:rsidRPr="004802DE" w:rsidRDefault="006864E2" w:rsidP="006864E2">
            <w:pPr>
              <w:jc w:val="right"/>
              <w:rPr>
                <w:b w:val="0"/>
                <w:bCs/>
                <w:color w:val="000000"/>
              </w:rPr>
            </w:pPr>
            <w:r w:rsidRPr="004802DE">
              <w:rPr>
                <w:b w:val="0"/>
                <w:bCs/>
              </w:rPr>
              <w:t>(252</w:t>
            </w:r>
            <w:r w:rsidR="00B707C6">
              <w:rPr>
                <w:b w:val="0"/>
                <w:bCs/>
              </w:rPr>
              <w:t>.</w:t>
            </w:r>
            <w:r w:rsidRPr="004802DE">
              <w:rPr>
                <w:b w:val="0"/>
                <w:bCs/>
              </w:rPr>
              <w:t>546</w:t>
            </w:r>
            <w:r w:rsidR="00B707C6">
              <w:rPr>
                <w:b w:val="0"/>
                <w:bCs/>
              </w:rPr>
              <w:t>.</w:t>
            </w:r>
            <w:r w:rsidRPr="004802DE">
              <w:rPr>
                <w:b w:val="0"/>
                <w:bCs/>
              </w:rPr>
              <w:t>096)</w:t>
            </w:r>
          </w:p>
        </w:tc>
      </w:tr>
      <w:tr w:rsidR="006864E2" w:rsidRPr="004802DE" w14:paraId="6B02B2F1" w14:textId="77777777" w:rsidTr="006864E2">
        <w:trPr>
          <w:trHeight w:val="630"/>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6ADE08C9" w14:textId="77777777" w:rsidR="006864E2" w:rsidRPr="004802DE" w:rsidRDefault="006864E2" w:rsidP="006864E2">
            <w:pPr>
              <w:jc w:val="right"/>
              <w:rPr>
                <w:b w:val="0"/>
                <w:color w:val="000000"/>
              </w:rPr>
            </w:pPr>
            <w:r w:rsidRPr="004802DE">
              <w:rPr>
                <w:b w:val="0"/>
                <w:color w:val="000000"/>
              </w:rPr>
              <w:t>2</w:t>
            </w:r>
          </w:p>
        </w:tc>
        <w:tc>
          <w:tcPr>
            <w:tcW w:w="7080" w:type="dxa"/>
            <w:tcBorders>
              <w:top w:val="nil"/>
              <w:left w:val="nil"/>
              <w:bottom w:val="single" w:sz="8" w:space="0" w:color="auto"/>
              <w:right w:val="single" w:sz="8" w:space="0" w:color="auto"/>
            </w:tcBorders>
            <w:shd w:val="clear" w:color="auto" w:fill="auto"/>
            <w:vAlign w:val="center"/>
            <w:hideMark/>
          </w:tcPr>
          <w:p w14:paraId="6303EF05" w14:textId="77777777" w:rsidR="006864E2" w:rsidRPr="004802DE" w:rsidRDefault="006864E2" w:rsidP="006864E2">
            <w:pPr>
              <w:rPr>
                <w:b w:val="0"/>
                <w:color w:val="000000"/>
              </w:rPr>
            </w:pPr>
            <w:r w:rsidRPr="004802DE">
              <w:rPr>
                <w:b w:val="0"/>
                <w:color w:val="000000"/>
              </w:rPr>
              <w:t>Lợi nhuận thu được từ lợi tức chứng khoán (cổ tức, chứng chỉ tiền gửi, lãi suất tiền gửi)</w:t>
            </w:r>
          </w:p>
        </w:tc>
        <w:tc>
          <w:tcPr>
            <w:tcW w:w="2150" w:type="dxa"/>
            <w:tcBorders>
              <w:top w:val="nil"/>
              <w:left w:val="nil"/>
              <w:bottom w:val="single" w:sz="8" w:space="0" w:color="auto"/>
              <w:right w:val="single" w:sz="8" w:space="0" w:color="auto"/>
            </w:tcBorders>
            <w:shd w:val="clear" w:color="auto" w:fill="auto"/>
            <w:noWrap/>
            <w:hideMark/>
          </w:tcPr>
          <w:p w14:paraId="28F57127" w14:textId="2EDB71E9" w:rsidR="006864E2" w:rsidRPr="004802DE" w:rsidRDefault="006864E2" w:rsidP="006864E2">
            <w:pPr>
              <w:jc w:val="right"/>
              <w:rPr>
                <w:b w:val="0"/>
                <w:bCs/>
                <w:color w:val="000000"/>
              </w:rPr>
            </w:pPr>
            <w:r w:rsidRPr="004802DE">
              <w:rPr>
                <w:b w:val="0"/>
                <w:bCs/>
              </w:rPr>
              <w:t>35</w:t>
            </w:r>
            <w:r w:rsidR="00B707C6">
              <w:rPr>
                <w:b w:val="0"/>
                <w:bCs/>
              </w:rPr>
              <w:t>.</w:t>
            </w:r>
            <w:r w:rsidRPr="004802DE">
              <w:rPr>
                <w:b w:val="0"/>
                <w:bCs/>
              </w:rPr>
              <w:t>848</w:t>
            </w:r>
            <w:r w:rsidR="00B707C6">
              <w:rPr>
                <w:b w:val="0"/>
                <w:bCs/>
              </w:rPr>
              <w:t>.</w:t>
            </w:r>
            <w:r w:rsidRPr="004802DE">
              <w:rPr>
                <w:b w:val="0"/>
                <w:bCs/>
              </w:rPr>
              <w:t>379</w:t>
            </w:r>
            <w:r w:rsidR="00B707C6">
              <w:rPr>
                <w:b w:val="0"/>
                <w:bCs/>
              </w:rPr>
              <w:t>.</w:t>
            </w:r>
            <w:r w:rsidRPr="004802DE">
              <w:rPr>
                <w:b w:val="0"/>
                <w:bCs/>
              </w:rPr>
              <w:t>872</w:t>
            </w:r>
          </w:p>
        </w:tc>
      </w:tr>
      <w:tr w:rsidR="006864E2" w:rsidRPr="004802DE" w14:paraId="6CCB04D0" w14:textId="77777777" w:rsidTr="006864E2">
        <w:trPr>
          <w:trHeight w:val="413"/>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6197B638" w14:textId="77777777" w:rsidR="006864E2" w:rsidRPr="004802DE" w:rsidRDefault="006864E2" w:rsidP="006864E2">
            <w:pPr>
              <w:jc w:val="right"/>
              <w:rPr>
                <w:b w:val="0"/>
                <w:color w:val="000000"/>
              </w:rPr>
            </w:pPr>
            <w:r w:rsidRPr="004802DE">
              <w:rPr>
                <w:b w:val="0"/>
                <w:color w:val="000000"/>
              </w:rPr>
              <w:t>3</w:t>
            </w:r>
          </w:p>
        </w:tc>
        <w:tc>
          <w:tcPr>
            <w:tcW w:w="7080" w:type="dxa"/>
            <w:tcBorders>
              <w:top w:val="nil"/>
              <w:left w:val="nil"/>
              <w:bottom w:val="single" w:sz="8" w:space="0" w:color="auto"/>
              <w:right w:val="single" w:sz="8" w:space="0" w:color="auto"/>
            </w:tcBorders>
            <w:shd w:val="clear" w:color="auto" w:fill="auto"/>
            <w:noWrap/>
            <w:vAlign w:val="center"/>
            <w:hideMark/>
          </w:tcPr>
          <w:p w14:paraId="14366720" w14:textId="77777777" w:rsidR="006864E2" w:rsidRPr="004802DE" w:rsidRDefault="006864E2" w:rsidP="006864E2">
            <w:pPr>
              <w:rPr>
                <w:b w:val="0"/>
                <w:color w:val="000000"/>
              </w:rPr>
            </w:pPr>
            <w:r w:rsidRPr="004802DE">
              <w:rPr>
                <w:b w:val="0"/>
                <w:color w:val="000000"/>
              </w:rPr>
              <w:t>Lợi nhuận thu được từ bán cổ phiếu</w:t>
            </w:r>
          </w:p>
        </w:tc>
        <w:tc>
          <w:tcPr>
            <w:tcW w:w="2150" w:type="dxa"/>
            <w:tcBorders>
              <w:top w:val="nil"/>
              <w:left w:val="nil"/>
              <w:bottom w:val="single" w:sz="8" w:space="0" w:color="auto"/>
              <w:right w:val="single" w:sz="8" w:space="0" w:color="auto"/>
            </w:tcBorders>
            <w:shd w:val="clear" w:color="auto" w:fill="auto"/>
            <w:noWrap/>
            <w:hideMark/>
          </w:tcPr>
          <w:p w14:paraId="061EF5DE" w14:textId="1B894FA9" w:rsidR="006864E2" w:rsidRPr="004802DE" w:rsidRDefault="006864E2" w:rsidP="006864E2">
            <w:pPr>
              <w:jc w:val="right"/>
              <w:rPr>
                <w:b w:val="0"/>
                <w:bCs/>
                <w:color w:val="000000"/>
              </w:rPr>
            </w:pPr>
            <w:r w:rsidRPr="004802DE">
              <w:rPr>
                <w:b w:val="0"/>
                <w:bCs/>
              </w:rPr>
              <w:t>(14</w:t>
            </w:r>
            <w:r w:rsidR="00B707C6">
              <w:rPr>
                <w:b w:val="0"/>
                <w:bCs/>
              </w:rPr>
              <w:t>.</w:t>
            </w:r>
            <w:r w:rsidRPr="004802DE">
              <w:rPr>
                <w:b w:val="0"/>
                <w:bCs/>
              </w:rPr>
              <w:t>538</w:t>
            </w:r>
            <w:r w:rsidR="00B707C6">
              <w:rPr>
                <w:b w:val="0"/>
                <w:bCs/>
              </w:rPr>
              <w:t>.</w:t>
            </w:r>
            <w:r w:rsidRPr="004802DE">
              <w:rPr>
                <w:b w:val="0"/>
                <w:bCs/>
              </w:rPr>
              <w:t>312</w:t>
            </w:r>
            <w:r w:rsidR="00B707C6">
              <w:rPr>
                <w:b w:val="0"/>
                <w:bCs/>
              </w:rPr>
              <w:t>.</w:t>
            </w:r>
            <w:r w:rsidRPr="004802DE">
              <w:rPr>
                <w:b w:val="0"/>
                <w:bCs/>
              </w:rPr>
              <w:t>925)</w:t>
            </w:r>
          </w:p>
        </w:tc>
      </w:tr>
      <w:tr w:rsidR="006864E2" w:rsidRPr="004802DE" w14:paraId="36D5A32B" w14:textId="77777777" w:rsidTr="006864E2">
        <w:trPr>
          <w:trHeight w:val="440"/>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43847E1F" w14:textId="77777777" w:rsidR="006864E2" w:rsidRPr="004802DE" w:rsidRDefault="006864E2" w:rsidP="006864E2">
            <w:pPr>
              <w:jc w:val="right"/>
              <w:rPr>
                <w:b w:val="0"/>
                <w:color w:val="000000"/>
              </w:rPr>
            </w:pPr>
            <w:r w:rsidRPr="004802DE">
              <w:rPr>
                <w:b w:val="0"/>
                <w:color w:val="000000"/>
              </w:rPr>
              <w:t>4</w:t>
            </w:r>
          </w:p>
        </w:tc>
        <w:tc>
          <w:tcPr>
            <w:tcW w:w="7080" w:type="dxa"/>
            <w:tcBorders>
              <w:top w:val="nil"/>
              <w:left w:val="nil"/>
              <w:bottom w:val="single" w:sz="8" w:space="0" w:color="auto"/>
              <w:right w:val="single" w:sz="8" w:space="0" w:color="auto"/>
            </w:tcBorders>
            <w:shd w:val="clear" w:color="auto" w:fill="auto"/>
            <w:noWrap/>
            <w:vAlign w:val="center"/>
            <w:hideMark/>
          </w:tcPr>
          <w:p w14:paraId="4CE74E17" w14:textId="77777777" w:rsidR="006864E2" w:rsidRPr="004802DE" w:rsidRDefault="006864E2" w:rsidP="006864E2">
            <w:pPr>
              <w:rPr>
                <w:b w:val="0"/>
                <w:color w:val="000000"/>
              </w:rPr>
            </w:pPr>
            <w:r w:rsidRPr="004802DE">
              <w:rPr>
                <w:b w:val="0"/>
                <w:color w:val="000000"/>
              </w:rPr>
              <w:t>Tổng chi phí</w:t>
            </w:r>
          </w:p>
        </w:tc>
        <w:tc>
          <w:tcPr>
            <w:tcW w:w="2150" w:type="dxa"/>
            <w:tcBorders>
              <w:top w:val="nil"/>
              <w:left w:val="nil"/>
              <w:bottom w:val="single" w:sz="8" w:space="0" w:color="auto"/>
              <w:right w:val="single" w:sz="8" w:space="0" w:color="auto"/>
            </w:tcBorders>
            <w:shd w:val="clear" w:color="auto" w:fill="auto"/>
            <w:noWrap/>
            <w:hideMark/>
          </w:tcPr>
          <w:p w14:paraId="60ABB899" w14:textId="13DF1E93" w:rsidR="006864E2" w:rsidRPr="004802DE" w:rsidRDefault="006864E2" w:rsidP="006864E2">
            <w:pPr>
              <w:jc w:val="right"/>
              <w:rPr>
                <w:b w:val="0"/>
                <w:bCs/>
                <w:color w:val="000000"/>
              </w:rPr>
            </w:pPr>
            <w:r w:rsidRPr="004802DE">
              <w:rPr>
                <w:b w:val="0"/>
                <w:bCs/>
              </w:rPr>
              <w:t>(7</w:t>
            </w:r>
            <w:r w:rsidR="00B707C6">
              <w:rPr>
                <w:b w:val="0"/>
                <w:bCs/>
              </w:rPr>
              <w:t>.</w:t>
            </w:r>
            <w:r w:rsidRPr="004802DE">
              <w:rPr>
                <w:b w:val="0"/>
                <w:bCs/>
              </w:rPr>
              <w:t>270</w:t>
            </w:r>
            <w:r w:rsidR="00B707C6">
              <w:rPr>
                <w:b w:val="0"/>
                <w:bCs/>
              </w:rPr>
              <w:t>.</w:t>
            </w:r>
            <w:r w:rsidRPr="004802DE">
              <w:rPr>
                <w:b w:val="0"/>
                <w:bCs/>
              </w:rPr>
              <w:t>490</w:t>
            </w:r>
            <w:r w:rsidR="00B707C6">
              <w:rPr>
                <w:b w:val="0"/>
                <w:bCs/>
              </w:rPr>
              <w:t>.</w:t>
            </w:r>
            <w:r w:rsidRPr="004802DE">
              <w:rPr>
                <w:b w:val="0"/>
                <w:bCs/>
              </w:rPr>
              <w:t>900)</w:t>
            </w:r>
          </w:p>
        </w:tc>
      </w:tr>
      <w:tr w:rsidR="006864E2" w:rsidRPr="004802DE" w14:paraId="66C9FA51" w14:textId="77777777" w:rsidTr="006864E2">
        <w:trPr>
          <w:trHeight w:val="413"/>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3CE17D71" w14:textId="77777777" w:rsidR="006864E2" w:rsidRPr="004802DE" w:rsidRDefault="006864E2" w:rsidP="006864E2">
            <w:pPr>
              <w:jc w:val="right"/>
              <w:rPr>
                <w:b w:val="0"/>
                <w:color w:val="000000"/>
              </w:rPr>
            </w:pPr>
            <w:r w:rsidRPr="004802DE">
              <w:rPr>
                <w:b w:val="0"/>
                <w:color w:val="000000"/>
              </w:rPr>
              <w:t>5</w:t>
            </w:r>
          </w:p>
        </w:tc>
        <w:tc>
          <w:tcPr>
            <w:tcW w:w="7080" w:type="dxa"/>
            <w:tcBorders>
              <w:top w:val="nil"/>
              <w:left w:val="nil"/>
              <w:bottom w:val="single" w:sz="8" w:space="0" w:color="auto"/>
              <w:right w:val="single" w:sz="8" w:space="0" w:color="auto"/>
            </w:tcBorders>
            <w:shd w:val="clear" w:color="auto" w:fill="auto"/>
            <w:noWrap/>
            <w:vAlign w:val="center"/>
            <w:hideMark/>
          </w:tcPr>
          <w:p w14:paraId="31962334" w14:textId="77777777" w:rsidR="006864E2" w:rsidRPr="004802DE" w:rsidRDefault="006864E2" w:rsidP="006864E2">
            <w:pPr>
              <w:rPr>
                <w:b w:val="0"/>
                <w:color w:val="000000"/>
              </w:rPr>
            </w:pPr>
            <w:r w:rsidRPr="004802DE">
              <w:rPr>
                <w:b w:val="0"/>
                <w:color w:val="000000"/>
              </w:rPr>
              <w:t>Lợi nhuận khác</w:t>
            </w:r>
          </w:p>
        </w:tc>
        <w:tc>
          <w:tcPr>
            <w:tcW w:w="2150" w:type="dxa"/>
            <w:tcBorders>
              <w:top w:val="nil"/>
              <w:left w:val="nil"/>
              <w:bottom w:val="single" w:sz="8" w:space="0" w:color="auto"/>
              <w:right w:val="single" w:sz="8" w:space="0" w:color="auto"/>
            </w:tcBorders>
            <w:shd w:val="clear" w:color="auto" w:fill="auto"/>
            <w:noWrap/>
            <w:hideMark/>
          </w:tcPr>
          <w:p w14:paraId="67D162D9" w14:textId="35FA9249" w:rsidR="006864E2" w:rsidRPr="004802DE" w:rsidRDefault="00AD5560" w:rsidP="006864E2">
            <w:pPr>
              <w:jc w:val="right"/>
              <w:rPr>
                <w:b w:val="0"/>
                <w:bCs/>
                <w:color w:val="000000"/>
              </w:rPr>
            </w:pPr>
            <w:r>
              <w:rPr>
                <w:b w:val="0"/>
                <w:bCs/>
                <w:color w:val="000000"/>
              </w:rPr>
              <w:t>-</w:t>
            </w:r>
          </w:p>
        </w:tc>
      </w:tr>
      <w:tr w:rsidR="006864E2" w:rsidRPr="004802DE" w14:paraId="6B9AE91B" w14:textId="77777777" w:rsidTr="006864E2">
        <w:trPr>
          <w:trHeight w:val="341"/>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6D94ED4F" w14:textId="77777777" w:rsidR="006864E2" w:rsidRPr="004802DE" w:rsidRDefault="006864E2" w:rsidP="006864E2">
            <w:pPr>
              <w:jc w:val="right"/>
              <w:rPr>
                <w:b w:val="0"/>
                <w:color w:val="000000"/>
              </w:rPr>
            </w:pPr>
            <w:r w:rsidRPr="004802DE">
              <w:rPr>
                <w:b w:val="0"/>
                <w:color w:val="000000"/>
              </w:rPr>
              <w:t>6</w:t>
            </w:r>
          </w:p>
        </w:tc>
        <w:tc>
          <w:tcPr>
            <w:tcW w:w="7080" w:type="dxa"/>
            <w:tcBorders>
              <w:top w:val="nil"/>
              <w:left w:val="nil"/>
              <w:bottom w:val="single" w:sz="8" w:space="0" w:color="auto"/>
              <w:right w:val="single" w:sz="8" w:space="0" w:color="auto"/>
            </w:tcBorders>
            <w:shd w:val="clear" w:color="auto" w:fill="auto"/>
            <w:noWrap/>
            <w:vAlign w:val="center"/>
            <w:hideMark/>
          </w:tcPr>
          <w:p w14:paraId="0560E185" w14:textId="77777777" w:rsidR="006864E2" w:rsidRPr="004802DE" w:rsidRDefault="006864E2" w:rsidP="006864E2">
            <w:pPr>
              <w:rPr>
                <w:b w:val="0"/>
                <w:color w:val="000000"/>
              </w:rPr>
            </w:pPr>
            <w:r w:rsidRPr="004802DE">
              <w:rPr>
                <w:b w:val="0"/>
                <w:color w:val="000000"/>
              </w:rPr>
              <w:t>Chi phí khác</w:t>
            </w:r>
          </w:p>
        </w:tc>
        <w:tc>
          <w:tcPr>
            <w:tcW w:w="2150" w:type="dxa"/>
            <w:tcBorders>
              <w:top w:val="nil"/>
              <w:left w:val="nil"/>
              <w:bottom w:val="single" w:sz="8" w:space="0" w:color="auto"/>
              <w:right w:val="single" w:sz="8" w:space="0" w:color="auto"/>
            </w:tcBorders>
            <w:shd w:val="clear" w:color="auto" w:fill="auto"/>
            <w:noWrap/>
            <w:hideMark/>
          </w:tcPr>
          <w:p w14:paraId="70B85B7E" w14:textId="650A7F6D" w:rsidR="006864E2" w:rsidRPr="004802DE" w:rsidRDefault="006864E2" w:rsidP="006864E2">
            <w:pPr>
              <w:jc w:val="right"/>
              <w:rPr>
                <w:b w:val="0"/>
                <w:color w:val="000000"/>
              </w:rPr>
            </w:pPr>
            <w:r w:rsidRPr="004802DE">
              <w:t xml:space="preserve">                                  -   </w:t>
            </w:r>
          </w:p>
        </w:tc>
      </w:tr>
      <w:tr w:rsidR="006864E2" w:rsidRPr="004802DE" w14:paraId="19EE555B" w14:textId="77777777" w:rsidTr="006864E2">
        <w:trPr>
          <w:trHeight w:val="510"/>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30EDA639" w14:textId="77777777" w:rsidR="006864E2" w:rsidRPr="004802DE" w:rsidRDefault="006864E2" w:rsidP="006864E2">
            <w:pPr>
              <w:rPr>
                <w:b w:val="0"/>
                <w:color w:val="000000"/>
              </w:rPr>
            </w:pPr>
            <w:r w:rsidRPr="004802DE">
              <w:rPr>
                <w:b w:val="0"/>
                <w:color w:val="000000"/>
              </w:rPr>
              <w:t> </w:t>
            </w:r>
          </w:p>
        </w:tc>
        <w:tc>
          <w:tcPr>
            <w:tcW w:w="7080" w:type="dxa"/>
            <w:tcBorders>
              <w:top w:val="nil"/>
              <w:left w:val="nil"/>
              <w:bottom w:val="single" w:sz="8" w:space="0" w:color="auto"/>
              <w:right w:val="single" w:sz="8" w:space="0" w:color="auto"/>
            </w:tcBorders>
            <w:shd w:val="clear" w:color="auto" w:fill="auto"/>
            <w:noWrap/>
            <w:vAlign w:val="center"/>
            <w:hideMark/>
          </w:tcPr>
          <w:p w14:paraId="280EA476" w14:textId="77777777" w:rsidR="006864E2" w:rsidRPr="004802DE" w:rsidRDefault="006864E2" w:rsidP="006864E2">
            <w:pPr>
              <w:rPr>
                <w:bCs/>
                <w:color w:val="000000"/>
              </w:rPr>
            </w:pPr>
            <w:r w:rsidRPr="004802DE">
              <w:rPr>
                <w:bCs/>
                <w:color w:val="000000"/>
              </w:rPr>
              <w:t>Tổng lợi nhuận của quỹ</w:t>
            </w:r>
          </w:p>
        </w:tc>
        <w:tc>
          <w:tcPr>
            <w:tcW w:w="2150" w:type="dxa"/>
            <w:tcBorders>
              <w:top w:val="nil"/>
              <w:left w:val="nil"/>
              <w:bottom w:val="single" w:sz="8" w:space="0" w:color="auto"/>
              <w:right w:val="single" w:sz="8" w:space="0" w:color="auto"/>
            </w:tcBorders>
            <w:shd w:val="clear" w:color="auto" w:fill="auto"/>
            <w:noWrap/>
            <w:hideMark/>
          </w:tcPr>
          <w:p w14:paraId="54C80ED8" w14:textId="4C871E53" w:rsidR="006864E2" w:rsidRPr="004802DE" w:rsidRDefault="006864E2" w:rsidP="006864E2">
            <w:pPr>
              <w:jc w:val="right"/>
              <w:rPr>
                <w:bCs/>
                <w:color w:val="000000"/>
              </w:rPr>
            </w:pPr>
            <w:r w:rsidRPr="004802DE">
              <w:t>13</w:t>
            </w:r>
            <w:r w:rsidR="00B707C6">
              <w:t>.</w:t>
            </w:r>
            <w:r w:rsidRPr="004802DE">
              <w:t>787</w:t>
            </w:r>
            <w:r w:rsidR="00B707C6">
              <w:t>.</w:t>
            </w:r>
            <w:r w:rsidRPr="004802DE">
              <w:t>029</w:t>
            </w:r>
            <w:r w:rsidR="00B707C6">
              <w:t>.</w:t>
            </w:r>
            <w:r w:rsidRPr="004802DE">
              <w:t>951</w:t>
            </w:r>
          </w:p>
        </w:tc>
      </w:tr>
    </w:tbl>
    <w:p w14:paraId="293D2B8A" w14:textId="77777777" w:rsidR="00C736D3" w:rsidRPr="004802DE" w:rsidRDefault="00C736D3" w:rsidP="00C736D3">
      <w:pPr>
        <w:spacing w:after="240" w:line="360" w:lineRule="auto"/>
        <w:jc w:val="both"/>
        <w:rPr>
          <w:b w:val="0"/>
          <w:lang w:val="nl-NL"/>
        </w:rPr>
      </w:pPr>
    </w:p>
    <w:p w14:paraId="358904E0" w14:textId="77777777" w:rsidR="008B68C6" w:rsidRPr="004802DE" w:rsidRDefault="008B68C6" w:rsidP="00345D38">
      <w:pPr>
        <w:pStyle w:val="ListParagraph"/>
        <w:numPr>
          <w:ilvl w:val="0"/>
          <w:numId w:val="15"/>
        </w:numPr>
        <w:spacing w:after="240" w:line="360" w:lineRule="auto"/>
        <w:ind w:left="360"/>
        <w:jc w:val="both"/>
        <w:rPr>
          <w:b w:val="0"/>
          <w:lang w:val="nl-NL"/>
        </w:rPr>
      </w:pPr>
      <w:r w:rsidRPr="004802DE">
        <w:rPr>
          <w:b w:val="0"/>
          <w:lang w:val="nl-NL"/>
        </w:rPr>
        <w:t xml:space="preserve">Lợi nhuận đã phân phối trên một </w:t>
      </w:r>
      <w:r w:rsidR="00D74FBD" w:rsidRPr="004802DE">
        <w:rPr>
          <w:b w:val="0"/>
          <w:lang w:val="nl-NL"/>
        </w:rPr>
        <w:t>đơn vị quỹ</w:t>
      </w:r>
      <w:r w:rsidRPr="004802DE">
        <w:rPr>
          <w:b w:val="0"/>
          <w:lang w:val="nl-NL"/>
        </w:rPr>
        <w:t xml:space="preserve"> (giá trị thuần và giá trị gộp) trong kỳ báo cáo, kể cả trong trường hợp chi trả bằng tiền mặt hoặc chi trả bằng </w:t>
      </w:r>
      <w:r w:rsidR="00D74FBD" w:rsidRPr="004802DE">
        <w:rPr>
          <w:b w:val="0"/>
          <w:lang w:val="nl-NL"/>
        </w:rPr>
        <w:t>đơn vị quỹ</w:t>
      </w:r>
      <w:r w:rsidRPr="004802DE">
        <w:rPr>
          <w:b w:val="0"/>
          <w:lang w:val="nl-NL"/>
        </w:rPr>
        <w:t xml:space="preserve">; thời điểm phân chia lợi </w:t>
      </w:r>
      <w:r w:rsidRPr="004802DE">
        <w:rPr>
          <w:b w:val="0"/>
          <w:lang w:val="nl-NL"/>
        </w:rPr>
        <w:lastRenderedPageBreak/>
        <w:t xml:space="preserve">nhuận; giá trị tài sản ròng trên một </w:t>
      </w:r>
      <w:r w:rsidR="00D74FBD" w:rsidRPr="004802DE">
        <w:rPr>
          <w:b w:val="0"/>
          <w:lang w:val="nl-NL"/>
        </w:rPr>
        <w:t>đơn vị quỹ</w:t>
      </w:r>
      <w:r w:rsidRPr="004802DE">
        <w:rPr>
          <w:b w:val="0"/>
          <w:lang w:val="nl-NL"/>
        </w:rPr>
        <w:t xml:space="preserve"> trước và sa</w:t>
      </w:r>
      <w:r w:rsidR="009F3259" w:rsidRPr="004802DE">
        <w:rPr>
          <w:b w:val="0"/>
          <w:lang w:val="nl-NL"/>
        </w:rPr>
        <w:t>u thời điểm phân chia lợi nhuận: không có</w:t>
      </w:r>
    </w:p>
    <w:p w14:paraId="7C45E3EE" w14:textId="72D20DD4" w:rsidR="00D74FBD" w:rsidRPr="004802DE" w:rsidRDefault="00D74FBD" w:rsidP="00345D38">
      <w:pPr>
        <w:autoSpaceDE w:val="0"/>
        <w:autoSpaceDN w:val="0"/>
        <w:adjustRightInd w:val="0"/>
        <w:spacing w:after="240" w:line="360" w:lineRule="auto"/>
        <w:jc w:val="both"/>
        <w:rPr>
          <w:b w:val="0"/>
          <w:lang w:val="nl-NL"/>
        </w:rPr>
      </w:pPr>
      <w:r w:rsidRPr="004802DE">
        <w:rPr>
          <w:b w:val="0"/>
          <w:lang w:val="nl-NL"/>
        </w:rPr>
        <w:t>b) Chỉ tiêu về lợi nhuận của quỹ:</w:t>
      </w:r>
    </w:p>
    <w:tbl>
      <w:tblPr>
        <w:tblW w:w="9220" w:type="dxa"/>
        <w:tblLook w:val="04A0" w:firstRow="1" w:lastRow="0" w:firstColumn="1" w:lastColumn="0" w:noHBand="0" w:noVBand="1"/>
      </w:tblPr>
      <w:tblGrid>
        <w:gridCol w:w="6748"/>
        <w:gridCol w:w="2472"/>
      </w:tblGrid>
      <w:tr w:rsidR="004E18C5" w:rsidRPr="004802DE" w14:paraId="46C5CFD0" w14:textId="77777777" w:rsidTr="00B20A15">
        <w:trPr>
          <w:trHeight w:val="510"/>
        </w:trPr>
        <w:tc>
          <w:tcPr>
            <w:tcW w:w="9220" w:type="dxa"/>
            <w:gridSpan w:val="2"/>
            <w:tcBorders>
              <w:top w:val="single" w:sz="8" w:space="0" w:color="auto"/>
              <w:left w:val="single" w:sz="8" w:space="0" w:color="auto"/>
              <w:bottom w:val="single" w:sz="8" w:space="0" w:color="auto"/>
              <w:right w:val="single" w:sz="8" w:space="0" w:color="000000"/>
            </w:tcBorders>
            <w:shd w:val="clear" w:color="auto" w:fill="FFC000"/>
            <w:noWrap/>
            <w:vAlign w:val="center"/>
            <w:hideMark/>
          </w:tcPr>
          <w:p w14:paraId="479C0056" w14:textId="77777777" w:rsidR="004E18C5" w:rsidRPr="004802DE" w:rsidRDefault="004E18C5" w:rsidP="004E18C5">
            <w:pPr>
              <w:rPr>
                <w:bCs/>
                <w:color w:val="000000"/>
              </w:rPr>
            </w:pPr>
            <w:r w:rsidRPr="004802DE">
              <w:rPr>
                <w:bCs/>
                <w:color w:val="000000"/>
              </w:rPr>
              <w:t xml:space="preserve">Tổng lợi nhuận bình quân năm của quỹ phát sinh trong kỳ báo cáo xác định: </w:t>
            </w:r>
          </w:p>
        </w:tc>
      </w:tr>
      <w:tr w:rsidR="00B6390F" w:rsidRPr="004802DE" w14:paraId="4097A7B4" w14:textId="77777777" w:rsidTr="00A35BCD">
        <w:trPr>
          <w:trHeight w:val="512"/>
        </w:trPr>
        <w:tc>
          <w:tcPr>
            <w:tcW w:w="6748" w:type="dxa"/>
            <w:tcBorders>
              <w:top w:val="nil"/>
              <w:left w:val="single" w:sz="8" w:space="0" w:color="auto"/>
              <w:bottom w:val="single" w:sz="8" w:space="0" w:color="auto"/>
              <w:right w:val="single" w:sz="8" w:space="0" w:color="auto"/>
            </w:tcBorders>
            <w:shd w:val="clear" w:color="auto" w:fill="auto"/>
            <w:noWrap/>
            <w:vAlign w:val="center"/>
            <w:hideMark/>
          </w:tcPr>
          <w:p w14:paraId="2DC23FF9" w14:textId="77777777" w:rsidR="00B6390F" w:rsidRPr="004802DE" w:rsidRDefault="00B6390F" w:rsidP="00B6390F">
            <w:pPr>
              <w:rPr>
                <w:b w:val="0"/>
                <w:color w:val="000000"/>
              </w:rPr>
            </w:pPr>
            <w:r w:rsidRPr="004802DE">
              <w:rPr>
                <w:b w:val="0"/>
                <w:color w:val="000000"/>
              </w:rPr>
              <w:t>(i)trong thời hạn 12 tháng (1 năm)</w:t>
            </w:r>
          </w:p>
        </w:tc>
        <w:tc>
          <w:tcPr>
            <w:tcW w:w="2472" w:type="dxa"/>
            <w:tcBorders>
              <w:top w:val="nil"/>
              <w:left w:val="nil"/>
              <w:bottom w:val="single" w:sz="8" w:space="0" w:color="auto"/>
              <w:right w:val="single" w:sz="8" w:space="0" w:color="auto"/>
            </w:tcBorders>
            <w:shd w:val="clear" w:color="auto" w:fill="auto"/>
            <w:noWrap/>
            <w:hideMark/>
          </w:tcPr>
          <w:p w14:paraId="101CEC08" w14:textId="04FFDC11" w:rsidR="00B6390F" w:rsidRPr="004802DE" w:rsidRDefault="00B6390F" w:rsidP="00B6390F">
            <w:pPr>
              <w:jc w:val="right"/>
              <w:rPr>
                <w:b w:val="0"/>
                <w:bCs/>
                <w:color w:val="000000"/>
              </w:rPr>
            </w:pPr>
            <w:r w:rsidRPr="004802DE">
              <w:rPr>
                <w:b w:val="0"/>
                <w:bCs/>
              </w:rPr>
              <w:t>13</w:t>
            </w:r>
            <w:r w:rsidR="00B707C6">
              <w:rPr>
                <w:b w:val="0"/>
                <w:bCs/>
              </w:rPr>
              <w:t>.</w:t>
            </w:r>
            <w:r w:rsidRPr="004802DE">
              <w:rPr>
                <w:b w:val="0"/>
                <w:bCs/>
              </w:rPr>
              <w:t>787</w:t>
            </w:r>
            <w:r w:rsidR="00B707C6">
              <w:rPr>
                <w:b w:val="0"/>
                <w:bCs/>
              </w:rPr>
              <w:t>.</w:t>
            </w:r>
            <w:r w:rsidRPr="004802DE">
              <w:rPr>
                <w:b w:val="0"/>
                <w:bCs/>
              </w:rPr>
              <w:t>029</w:t>
            </w:r>
            <w:r w:rsidR="00B707C6">
              <w:rPr>
                <w:b w:val="0"/>
                <w:bCs/>
              </w:rPr>
              <w:t>.</w:t>
            </w:r>
            <w:r w:rsidRPr="004802DE">
              <w:rPr>
                <w:b w:val="0"/>
                <w:bCs/>
              </w:rPr>
              <w:t>951</w:t>
            </w:r>
          </w:p>
        </w:tc>
      </w:tr>
      <w:tr w:rsidR="00B6390F" w:rsidRPr="004802DE" w14:paraId="68F035E9" w14:textId="77777777" w:rsidTr="00A35BCD">
        <w:trPr>
          <w:trHeight w:val="548"/>
        </w:trPr>
        <w:tc>
          <w:tcPr>
            <w:tcW w:w="6748" w:type="dxa"/>
            <w:tcBorders>
              <w:top w:val="nil"/>
              <w:left w:val="single" w:sz="8" w:space="0" w:color="auto"/>
              <w:bottom w:val="single" w:sz="8" w:space="0" w:color="auto"/>
              <w:right w:val="single" w:sz="8" w:space="0" w:color="auto"/>
            </w:tcBorders>
            <w:shd w:val="clear" w:color="auto" w:fill="auto"/>
            <w:noWrap/>
            <w:vAlign w:val="center"/>
            <w:hideMark/>
          </w:tcPr>
          <w:p w14:paraId="15097218" w14:textId="77777777" w:rsidR="00B6390F" w:rsidRPr="004802DE" w:rsidRDefault="00B6390F" w:rsidP="00B6390F">
            <w:pPr>
              <w:rPr>
                <w:b w:val="0"/>
                <w:color w:val="000000"/>
              </w:rPr>
            </w:pPr>
            <w:r w:rsidRPr="004802DE">
              <w:rPr>
                <w:b w:val="0"/>
                <w:color w:val="000000"/>
              </w:rPr>
              <w:t>(ii)trong thời hạn 36 tháng (3 năm) (*)</w:t>
            </w:r>
          </w:p>
        </w:tc>
        <w:tc>
          <w:tcPr>
            <w:tcW w:w="2472" w:type="dxa"/>
            <w:tcBorders>
              <w:top w:val="nil"/>
              <w:left w:val="nil"/>
              <w:bottom w:val="single" w:sz="8" w:space="0" w:color="auto"/>
              <w:right w:val="single" w:sz="8" w:space="0" w:color="auto"/>
            </w:tcBorders>
            <w:shd w:val="clear" w:color="auto" w:fill="auto"/>
            <w:noWrap/>
            <w:hideMark/>
          </w:tcPr>
          <w:p w14:paraId="266AC40F" w14:textId="1F30A33A" w:rsidR="00B6390F" w:rsidRPr="004802DE" w:rsidRDefault="00B6390F" w:rsidP="00B6390F">
            <w:pPr>
              <w:jc w:val="right"/>
              <w:rPr>
                <w:b w:val="0"/>
                <w:bCs/>
                <w:color w:val="000000"/>
              </w:rPr>
            </w:pPr>
            <w:r w:rsidRPr="004802DE">
              <w:rPr>
                <w:b w:val="0"/>
                <w:bCs/>
              </w:rPr>
              <w:t>6</w:t>
            </w:r>
            <w:r w:rsidR="00B707C6">
              <w:rPr>
                <w:b w:val="0"/>
                <w:bCs/>
              </w:rPr>
              <w:t>.</w:t>
            </w:r>
            <w:r w:rsidRPr="004802DE">
              <w:rPr>
                <w:b w:val="0"/>
                <w:bCs/>
              </w:rPr>
              <w:t>386</w:t>
            </w:r>
            <w:r w:rsidR="00B707C6">
              <w:rPr>
                <w:b w:val="0"/>
                <w:bCs/>
              </w:rPr>
              <w:t>.</w:t>
            </w:r>
            <w:r w:rsidRPr="004802DE">
              <w:rPr>
                <w:b w:val="0"/>
                <w:bCs/>
              </w:rPr>
              <w:t>884</w:t>
            </w:r>
            <w:r w:rsidR="00B707C6">
              <w:rPr>
                <w:b w:val="0"/>
                <w:bCs/>
              </w:rPr>
              <w:t>.</w:t>
            </w:r>
            <w:r w:rsidRPr="004802DE">
              <w:rPr>
                <w:b w:val="0"/>
                <w:bCs/>
              </w:rPr>
              <w:t>519</w:t>
            </w:r>
          </w:p>
        </w:tc>
      </w:tr>
      <w:tr w:rsidR="00B6390F" w:rsidRPr="004802DE" w14:paraId="463CCEC8" w14:textId="77777777" w:rsidTr="00D206DF">
        <w:trPr>
          <w:trHeight w:val="320"/>
        </w:trPr>
        <w:tc>
          <w:tcPr>
            <w:tcW w:w="6748" w:type="dxa"/>
            <w:tcBorders>
              <w:top w:val="nil"/>
              <w:left w:val="single" w:sz="8" w:space="0" w:color="auto"/>
              <w:bottom w:val="single" w:sz="8" w:space="0" w:color="auto"/>
              <w:right w:val="single" w:sz="8" w:space="0" w:color="auto"/>
            </w:tcBorders>
            <w:shd w:val="clear" w:color="auto" w:fill="auto"/>
            <w:noWrap/>
            <w:vAlign w:val="center"/>
            <w:hideMark/>
          </w:tcPr>
          <w:p w14:paraId="625109E7" w14:textId="77777777" w:rsidR="00B6390F" w:rsidRPr="004802DE" w:rsidRDefault="00B6390F" w:rsidP="00B6390F">
            <w:pPr>
              <w:rPr>
                <w:b w:val="0"/>
                <w:color w:val="000000"/>
              </w:rPr>
            </w:pPr>
            <w:r w:rsidRPr="004802DE">
              <w:rPr>
                <w:b w:val="0"/>
                <w:color w:val="000000"/>
              </w:rPr>
              <w:t>(iii) trong thời hạn 60 tháng (5 năm) (*)</w:t>
            </w:r>
          </w:p>
        </w:tc>
        <w:tc>
          <w:tcPr>
            <w:tcW w:w="2472" w:type="dxa"/>
            <w:tcBorders>
              <w:top w:val="nil"/>
              <w:left w:val="nil"/>
              <w:bottom w:val="single" w:sz="8" w:space="0" w:color="auto"/>
              <w:right w:val="single" w:sz="8" w:space="0" w:color="auto"/>
            </w:tcBorders>
            <w:shd w:val="clear" w:color="auto" w:fill="auto"/>
            <w:noWrap/>
            <w:hideMark/>
          </w:tcPr>
          <w:p w14:paraId="59F5D016" w14:textId="6CC8D711" w:rsidR="00B6390F" w:rsidRPr="004802DE" w:rsidRDefault="00B6390F" w:rsidP="00B6390F">
            <w:pPr>
              <w:jc w:val="right"/>
              <w:rPr>
                <w:b w:val="0"/>
                <w:bCs/>
                <w:color w:val="000000"/>
              </w:rPr>
            </w:pPr>
            <w:r w:rsidRPr="004802DE">
              <w:rPr>
                <w:b w:val="0"/>
                <w:bCs/>
              </w:rPr>
              <w:t>5</w:t>
            </w:r>
            <w:r w:rsidR="00B707C6">
              <w:rPr>
                <w:b w:val="0"/>
                <w:bCs/>
              </w:rPr>
              <w:t>.</w:t>
            </w:r>
            <w:r w:rsidRPr="004802DE">
              <w:rPr>
                <w:b w:val="0"/>
                <w:bCs/>
              </w:rPr>
              <w:t>628</w:t>
            </w:r>
            <w:r w:rsidR="00B707C6">
              <w:rPr>
                <w:b w:val="0"/>
                <w:bCs/>
              </w:rPr>
              <w:t>.</w:t>
            </w:r>
            <w:r w:rsidRPr="004802DE">
              <w:rPr>
                <w:b w:val="0"/>
                <w:bCs/>
              </w:rPr>
              <w:t>855</w:t>
            </w:r>
            <w:r w:rsidR="00B707C6">
              <w:rPr>
                <w:b w:val="0"/>
                <w:bCs/>
              </w:rPr>
              <w:t>.</w:t>
            </w:r>
            <w:r w:rsidRPr="004802DE">
              <w:rPr>
                <w:b w:val="0"/>
                <w:bCs/>
              </w:rPr>
              <w:t>834</w:t>
            </w:r>
          </w:p>
        </w:tc>
      </w:tr>
    </w:tbl>
    <w:p w14:paraId="3EB5C064" w14:textId="483E8448" w:rsidR="000D0FE8" w:rsidRPr="004802DE" w:rsidRDefault="00CA08B6" w:rsidP="004E18C5">
      <w:pPr>
        <w:autoSpaceDE w:val="0"/>
        <w:autoSpaceDN w:val="0"/>
        <w:adjustRightInd w:val="0"/>
        <w:spacing w:line="360" w:lineRule="auto"/>
        <w:jc w:val="both"/>
        <w:rPr>
          <w:b w:val="0"/>
          <w:i/>
          <w:iCs/>
          <w:lang w:val="nl-NL"/>
        </w:rPr>
      </w:pPr>
      <w:r w:rsidRPr="004802DE">
        <w:rPr>
          <w:b w:val="0"/>
          <w:i/>
          <w:iCs/>
          <w:lang w:val="nl-NL"/>
        </w:rPr>
        <w:t>(*) Quỹ thành lập từ 03/04/2019</w:t>
      </w:r>
    </w:p>
    <w:p w14:paraId="21659A78" w14:textId="77777777" w:rsidR="004E18C5" w:rsidRPr="004802DE" w:rsidRDefault="004E18C5" w:rsidP="00CA08B6">
      <w:pPr>
        <w:autoSpaceDE w:val="0"/>
        <w:autoSpaceDN w:val="0"/>
        <w:adjustRightInd w:val="0"/>
        <w:spacing w:line="360" w:lineRule="auto"/>
        <w:ind w:firstLine="720"/>
        <w:jc w:val="both"/>
        <w:rPr>
          <w:b w:val="0"/>
          <w:lang w:val="nl-NL"/>
        </w:rPr>
      </w:pPr>
    </w:p>
    <w:p w14:paraId="75DA0719" w14:textId="48B0B8FE" w:rsidR="00D74FBD" w:rsidRPr="004802DE" w:rsidRDefault="00D74FBD" w:rsidP="000D0FE8">
      <w:pPr>
        <w:autoSpaceDE w:val="0"/>
        <w:autoSpaceDN w:val="0"/>
        <w:adjustRightInd w:val="0"/>
        <w:spacing w:line="360" w:lineRule="auto"/>
        <w:jc w:val="both"/>
        <w:rPr>
          <w:b w:val="0"/>
          <w:lang w:val="nl-NL"/>
        </w:rPr>
      </w:pPr>
      <w:r w:rsidRPr="004802DE">
        <w:rPr>
          <w:b w:val="0"/>
          <w:lang w:val="nl-NL"/>
        </w:rPr>
        <w:t>c) Các chỉ tiêu so sánh khác, bảo đảm tuân thủ nguyên tắc:</w:t>
      </w:r>
    </w:p>
    <w:p w14:paraId="484F475D" w14:textId="77777777" w:rsidR="00D74FBD" w:rsidRPr="004802DE" w:rsidRDefault="00D74FBD" w:rsidP="000D0FE8">
      <w:pPr>
        <w:pStyle w:val="ListParagraph"/>
        <w:numPr>
          <w:ilvl w:val="0"/>
          <w:numId w:val="22"/>
        </w:numPr>
        <w:autoSpaceDE w:val="0"/>
        <w:autoSpaceDN w:val="0"/>
        <w:adjustRightInd w:val="0"/>
        <w:spacing w:line="360" w:lineRule="auto"/>
        <w:ind w:left="360"/>
        <w:jc w:val="both"/>
        <w:rPr>
          <w:b w:val="0"/>
          <w:lang w:val="nl-NL"/>
        </w:rPr>
      </w:pPr>
      <w:r w:rsidRPr="004802DE">
        <w:rPr>
          <w:b w:val="0"/>
          <w:lang w:val="nl-NL"/>
        </w:rPr>
        <w:t>Phương thức, nguyên tắc xác định giá trị tài sản, giá trị lợi nhuận là thống nhất, đã</w:t>
      </w:r>
      <w:r w:rsidR="004006FD" w:rsidRPr="004802DE">
        <w:rPr>
          <w:b w:val="0"/>
          <w:lang w:val="nl-NL"/>
        </w:rPr>
        <w:t xml:space="preserve"> </w:t>
      </w:r>
      <w:r w:rsidRPr="004802DE">
        <w:rPr>
          <w:b w:val="0"/>
          <w:lang w:val="nl-NL"/>
        </w:rPr>
        <w:t>được công bố và được thẩm định bởi một tổ chức độc lập khác;</w:t>
      </w:r>
    </w:p>
    <w:p w14:paraId="2471893D" w14:textId="77777777" w:rsidR="00D74FBD" w:rsidRPr="004802DE" w:rsidRDefault="00D74FBD" w:rsidP="00345D38">
      <w:pPr>
        <w:pStyle w:val="ListParagraph"/>
        <w:numPr>
          <w:ilvl w:val="0"/>
          <w:numId w:val="22"/>
        </w:numPr>
        <w:autoSpaceDE w:val="0"/>
        <w:autoSpaceDN w:val="0"/>
        <w:adjustRightInd w:val="0"/>
        <w:spacing w:after="240" w:line="360" w:lineRule="auto"/>
        <w:ind w:left="360"/>
        <w:jc w:val="both"/>
        <w:rPr>
          <w:b w:val="0"/>
          <w:lang w:val="nl-NL"/>
        </w:rPr>
      </w:pPr>
      <w:r w:rsidRPr="004802DE">
        <w:rPr>
          <w:b w:val="0"/>
          <w:lang w:val="nl-NL"/>
        </w:rPr>
        <w:t>Dữ liệu được cung cấp bởi một tổ chức độc lập.</w:t>
      </w:r>
    </w:p>
    <w:p w14:paraId="32AAA375" w14:textId="2A80725A" w:rsidR="00D74FBD" w:rsidRPr="004802DE" w:rsidRDefault="00D74FBD" w:rsidP="00345D38">
      <w:pPr>
        <w:autoSpaceDE w:val="0"/>
        <w:autoSpaceDN w:val="0"/>
        <w:adjustRightInd w:val="0"/>
        <w:spacing w:after="240" w:line="360" w:lineRule="auto"/>
        <w:jc w:val="both"/>
        <w:rPr>
          <w:b w:val="0"/>
          <w:lang w:val="nl-NL"/>
        </w:rPr>
      </w:pPr>
      <w:r w:rsidRPr="004802DE">
        <w:rPr>
          <w:b w:val="0"/>
          <w:lang w:val="nl-NL"/>
        </w:rPr>
        <w:t xml:space="preserve">d) </w:t>
      </w:r>
      <w:r w:rsidR="00FB627A" w:rsidRPr="004802DE">
        <w:rPr>
          <w:b w:val="0"/>
          <w:lang w:val="nl-NL"/>
        </w:rPr>
        <w:t>T</w:t>
      </w:r>
      <w:r w:rsidRPr="004802DE">
        <w:rPr>
          <w:b w:val="0"/>
          <w:lang w:val="nl-NL"/>
        </w:rPr>
        <w:t>hông tin về kết quả hoạt động của quỹ</w:t>
      </w:r>
      <w:r w:rsidR="004006FD" w:rsidRPr="004802DE">
        <w:rPr>
          <w:b w:val="0"/>
          <w:lang w:val="nl-NL"/>
        </w:rPr>
        <w:t xml:space="preserve"> </w:t>
      </w:r>
      <w:r w:rsidR="002356CD" w:rsidRPr="004802DE">
        <w:rPr>
          <w:b w:val="0"/>
          <w:lang w:val="nl-NL"/>
        </w:rPr>
        <w:t xml:space="preserve"> </w:t>
      </w:r>
      <w:r w:rsidRPr="004802DE">
        <w:rPr>
          <w:b w:val="0"/>
          <w:lang w:val="nl-NL"/>
        </w:rPr>
        <w:t>chỉ mang tính tham khảo và không có nghĩa là việc đầu tư sẽ bảo đảm khả</w:t>
      </w:r>
      <w:r w:rsidR="004006FD" w:rsidRPr="004802DE">
        <w:rPr>
          <w:b w:val="0"/>
          <w:lang w:val="nl-NL"/>
        </w:rPr>
        <w:t xml:space="preserve"> </w:t>
      </w:r>
      <w:r w:rsidRPr="004802DE">
        <w:rPr>
          <w:b w:val="0"/>
          <w:lang w:val="nl-NL"/>
        </w:rPr>
        <w:t>năng sinh lời cho nhà đầu tư.</w:t>
      </w:r>
    </w:p>
    <w:p w14:paraId="662E71F9" w14:textId="09B0ECD5" w:rsidR="00B62277" w:rsidRPr="004802DE" w:rsidRDefault="00B62277" w:rsidP="00922F16">
      <w:pPr>
        <w:pStyle w:val="ListParagraph"/>
        <w:numPr>
          <w:ilvl w:val="0"/>
          <w:numId w:val="34"/>
        </w:numPr>
        <w:tabs>
          <w:tab w:val="left" w:pos="360"/>
        </w:tabs>
        <w:spacing w:after="240" w:line="360" w:lineRule="auto"/>
        <w:jc w:val="both"/>
        <w:rPr>
          <w:lang w:val="nl-NL"/>
        </w:rPr>
      </w:pPr>
      <w:r w:rsidRPr="004802DE">
        <w:rPr>
          <w:lang w:val="nl-NL"/>
        </w:rPr>
        <w:t>Báo cáo về hoạt động quản lý tài sản của Công ty quản lý quỹ</w:t>
      </w:r>
    </w:p>
    <w:p w14:paraId="4940AA88" w14:textId="533575F9" w:rsidR="00791393" w:rsidRPr="004518B9" w:rsidRDefault="00791393" w:rsidP="00791393">
      <w:pPr>
        <w:pStyle w:val="ListParagraph"/>
        <w:spacing w:after="240" w:line="360" w:lineRule="auto"/>
        <w:ind w:left="0"/>
        <w:jc w:val="both"/>
        <w:rPr>
          <w:b w:val="0"/>
          <w:spacing w:val="-4"/>
          <w:lang w:val="nl-NL"/>
        </w:rPr>
      </w:pPr>
      <w:r w:rsidRPr="004518B9">
        <w:rPr>
          <w:b w:val="0"/>
          <w:spacing w:val="-4"/>
          <w:lang w:val="nl-NL"/>
        </w:rPr>
        <w:t>Báo cáo về hoạt động quản lý tài sản của Công ty quản lý quỹ phải bao gồm các nội dung sau:</w:t>
      </w:r>
    </w:p>
    <w:p w14:paraId="37A608A5" w14:textId="77777777" w:rsidR="00854D4E" w:rsidRPr="004518B9" w:rsidRDefault="00854D4E" w:rsidP="00854D4E">
      <w:pPr>
        <w:pStyle w:val="ListParagraph"/>
        <w:spacing w:after="240" w:line="360" w:lineRule="auto"/>
        <w:ind w:left="0"/>
        <w:jc w:val="both"/>
        <w:rPr>
          <w:b w:val="0"/>
          <w:lang w:val="nl-NL"/>
        </w:rPr>
      </w:pPr>
      <w:r w:rsidRPr="004518B9">
        <w:rPr>
          <w:b w:val="0"/>
          <w:lang w:val="nl-NL"/>
        </w:rPr>
        <w:t xml:space="preserve">a) Thuyết minh về việc thay đổi công ty quản lý quỹ (nếu có): </w:t>
      </w:r>
      <w:r w:rsidRPr="004518B9">
        <w:rPr>
          <w:bCs/>
          <w:lang w:val="nl-NL"/>
        </w:rPr>
        <w:t>không có</w:t>
      </w:r>
    </w:p>
    <w:p w14:paraId="007DEDD3" w14:textId="77777777" w:rsidR="00B41150" w:rsidRPr="004518B9" w:rsidRDefault="00B41150" w:rsidP="00B41150">
      <w:pPr>
        <w:pStyle w:val="ListParagraph"/>
        <w:spacing w:after="240" w:line="360" w:lineRule="auto"/>
        <w:ind w:left="0"/>
        <w:jc w:val="both"/>
        <w:rPr>
          <w:b w:val="0"/>
          <w:lang w:val="nl-NL"/>
        </w:rPr>
      </w:pPr>
      <w:r w:rsidRPr="004518B9">
        <w:rPr>
          <w:b w:val="0"/>
          <w:lang w:val="nl-NL"/>
        </w:rPr>
        <w:t>b) Thuyết minh về việc quỹ có đạt được các mục tiêu đầu tư (thuyết minh này chỉ cần thiết tại báo cáo hàng năm của quỹ):</w:t>
      </w:r>
    </w:p>
    <w:p w14:paraId="7A197757" w14:textId="77777777" w:rsidR="00B41150" w:rsidRPr="004518B9" w:rsidRDefault="00B41150" w:rsidP="00B41150">
      <w:pPr>
        <w:pStyle w:val="ListParagraph"/>
        <w:spacing w:after="240" w:line="360" w:lineRule="auto"/>
        <w:ind w:left="0"/>
        <w:jc w:val="both"/>
        <w:rPr>
          <w:b w:val="0"/>
          <w:i/>
          <w:iCs/>
          <w:lang w:val="nl-NL"/>
        </w:rPr>
      </w:pPr>
      <w:r w:rsidRPr="004518B9">
        <w:rPr>
          <w:b w:val="0"/>
          <w:lang w:val="nl-NL"/>
        </w:rPr>
        <w:t>Vào thời điểm 31 tháng 12 năm 2022, giá trị tài sản ròng của quỹ DCIP là 9.950,04 đồng/ CCQ, tăng 0,58% so với cuối tháng 11 năm 2022 và 2,97% so với đầu năm. Trong năm 2022, thị trường trái phiếu có nhiều biến động, với những sự kiện liên quan đến trái phiếu như trường hợp của Tân Hoàng Minh và Vạn Thịnh Phát. Những biến động này gây ra xu hướng rút ròng mạnh mẽ của nhà đầu tư và ảnh hưởng đến hoạt động của quỹ. Tuy nhiên, quỹ vẫn đáp ứng thanh khoản cho nhu cầu rút vốn của nhà đầu tư, và mức tăng trưởng 2,97% so với đầu năm vẫn là kết quả khả quan. Bên cạnh đó, với việc kiểm soát danh mục với những doanh nghiệp có tiềm lực cùng chất lượng tài sản tốt, danh mục quỹ có tính thanh khoản cao và không có tài sản liên quan đến các trường hợp của Tân Hoàng Minh và Vạn Thịnh Phát như trên.</w:t>
      </w:r>
    </w:p>
    <w:p w14:paraId="3E043914" w14:textId="77777777" w:rsidR="00B41150" w:rsidRPr="004518B9" w:rsidRDefault="00B41150" w:rsidP="00B41150">
      <w:pPr>
        <w:pStyle w:val="ListParagraph"/>
        <w:spacing w:after="240" w:line="360" w:lineRule="auto"/>
        <w:ind w:left="0"/>
        <w:jc w:val="both"/>
        <w:rPr>
          <w:b w:val="0"/>
          <w:bCs/>
          <w:i/>
          <w:lang w:val="nl-NL"/>
        </w:rPr>
      </w:pPr>
      <w:r w:rsidRPr="004518B9">
        <w:rPr>
          <w:b w:val="0"/>
          <w:lang w:val="nl-NL"/>
        </w:rPr>
        <w:lastRenderedPageBreak/>
        <w:t xml:space="preserve">c) So sánh kết quả lợi nhuận của quỹ với kết quả lợi nhuận của danh mục tham chiếu, chỉ số cơ sở công bố tại bản cáo bạch trong cùng kỳ báo cáo (bằng đồ thị): </w:t>
      </w:r>
      <w:r w:rsidRPr="004518B9">
        <w:rPr>
          <w:b w:val="0"/>
          <w:bCs/>
          <w:i/>
          <w:lang w:val="nl-NL"/>
        </w:rPr>
        <w:t>Quỹ không áp dụng danh mục tham chiếu, chỉ số tham chiếu</w:t>
      </w:r>
      <w:r w:rsidRPr="004518B9">
        <w:rPr>
          <w:b w:val="0"/>
          <w:bCs/>
          <w:iCs/>
          <w:lang w:val="nl-NL"/>
        </w:rPr>
        <w:t>.</w:t>
      </w:r>
    </w:p>
    <w:p w14:paraId="430E9825" w14:textId="77777777" w:rsidR="00B41150" w:rsidRPr="004518B9" w:rsidRDefault="00B41150" w:rsidP="00B41150">
      <w:pPr>
        <w:pStyle w:val="ListParagraph"/>
        <w:spacing w:after="240" w:line="360" w:lineRule="auto"/>
        <w:ind w:left="0"/>
        <w:jc w:val="both"/>
        <w:rPr>
          <w:b w:val="0"/>
          <w:lang w:val="nl-NL"/>
        </w:rPr>
      </w:pPr>
      <w:r w:rsidRPr="004518B9">
        <w:rPr>
          <w:b w:val="0"/>
          <w:lang w:val="nl-NL"/>
        </w:rPr>
        <w:t xml:space="preserve">d) So sánh kết quả lợi nhuận của quỹ với kết quả lợi nhuận của danh mục tham chiếu, chỉ số cơ sở công bố tại bản cáo bạch trong khoảng thời gian năm (05) năm gần nhất, tính tới ngày báo cáo (bằng đồ thị): </w:t>
      </w:r>
      <w:r w:rsidRPr="004518B9">
        <w:rPr>
          <w:b w:val="0"/>
          <w:bCs/>
          <w:i/>
          <w:lang w:val="nl-NL"/>
        </w:rPr>
        <w:t>Quỹ không áp dụng danh mục tham chiếu, chỉ số tham chiếu.</w:t>
      </w:r>
      <w:r w:rsidRPr="004518B9">
        <w:rPr>
          <w:b w:val="0"/>
          <w:lang w:val="nl-NL"/>
        </w:rPr>
        <w:t xml:space="preserve"> </w:t>
      </w:r>
    </w:p>
    <w:p w14:paraId="21EFA227" w14:textId="77777777" w:rsidR="00B41150" w:rsidRPr="004518B9" w:rsidRDefault="00B41150" w:rsidP="00B41150">
      <w:pPr>
        <w:pStyle w:val="ListParagraph"/>
        <w:spacing w:after="240" w:line="360" w:lineRule="auto"/>
        <w:ind w:left="0"/>
        <w:jc w:val="both"/>
        <w:rPr>
          <w:b w:val="0"/>
          <w:lang w:val="nl-NL"/>
        </w:rPr>
      </w:pPr>
      <w:r w:rsidRPr="004518B9">
        <w:rPr>
          <w:b w:val="0"/>
          <w:lang w:val="nl-NL"/>
        </w:rPr>
        <w:t xml:space="preserve">e) Mô tả chiến lược, chiến thuật đầu tư mà quỹ đã sử dụng trong kỳ báo cáo. Trường hợp có sự khác biệt giữa chiến lược, chiến thuật đầu tư thực hiện trong kỳ so với chiến lược, chiến thuật đầu tư đã công bố tại bản cáo bạch, thì phải bổ sung thuyết minh và đánh giá ưu, nhược điểm của chiến lược, chiến thuật đầu tư đã thực hiện trong kỳ: </w:t>
      </w:r>
      <w:r w:rsidRPr="004518B9">
        <w:rPr>
          <w:b w:val="0"/>
          <w:bCs/>
          <w:i/>
          <w:lang w:val="nl-NL"/>
        </w:rPr>
        <w:t xml:space="preserve">Trong kỳ quỹ áp dụng chính xác các chiến lược, chiến thuật đầu tư như đã được công bố trong Bản cáo bạch </w:t>
      </w:r>
    </w:p>
    <w:p w14:paraId="012C7C6D" w14:textId="77777777" w:rsidR="00B41150" w:rsidRPr="004518B9" w:rsidRDefault="00B41150" w:rsidP="00B41150">
      <w:pPr>
        <w:pStyle w:val="ListParagraph"/>
        <w:spacing w:after="240" w:line="360" w:lineRule="auto"/>
        <w:ind w:left="0"/>
        <w:jc w:val="both"/>
        <w:rPr>
          <w:b w:val="0"/>
          <w:lang w:val="nl-NL"/>
        </w:rPr>
      </w:pPr>
      <w:r w:rsidRPr="004518B9">
        <w:rPr>
          <w:b w:val="0"/>
          <w:lang w:val="nl-NL"/>
        </w:rPr>
        <w:t>Trong năm 2022, đặc biệt là quý 4, quỹ DCIP đã thực hiện cơ cấu lại danh mục đầu tư, cụ thể là tăng  lượng tiền mặt và tiền gửi ngắn hạn ở các ngân hàng nhằm đáp ứng thanh khoản cho nhà đầu tư. Bên cạnh đó, về mặt thẩm định đầu tư, các trái phiếu trong danh mục của Quỹ được lựa chọn dựa trên các tiêu chí chặt chẽ về việc lựa chọn tổ chức phát hành cũng như rà soát hồ sơ trái phiếu. Các tổ chức phát hành đều là doanh nghiệp niêm yết, có năng lực cũng như khả năng quản trị tài chính tốt. Hồ sơ trái phiếu được xem xét kỹ lưỡng và kiểm soát chặt chẽ trước khi đầu tư.</w:t>
      </w:r>
    </w:p>
    <w:p w14:paraId="22AE154D" w14:textId="77777777" w:rsidR="00B41150" w:rsidRPr="004518B9" w:rsidRDefault="00B41150" w:rsidP="00B41150">
      <w:pPr>
        <w:pStyle w:val="ListParagraph"/>
        <w:spacing w:after="240" w:line="360" w:lineRule="auto"/>
        <w:ind w:left="0"/>
        <w:jc w:val="both"/>
        <w:rPr>
          <w:b w:val="0"/>
          <w:lang w:val="nl-NL"/>
        </w:rPr>
      </w:pPr>
      <w:r w:rsidRPr="004518B9">
        <w:rPr>
          <w:b w:val="0"/>
          <w:lang w:val="nl-NL"/>
        </w:rPr>
        <w:t>f) Mô tả sự khác biệt về cơ cấu danh mục đầu tư của quỹ tại thời điểm báo cáo, so với danh mục đầu tư của quỹ năm liền kề năm báo cáo:</w:t>
      </w:r>
    </w:p>
    <w:p w14:paraId="0B73EB31" w14:textId="77777777" w:rsidR="00B41150" w:rsidRPr="004518B9" w:rsidRDefault="00B41150" w:rsidP="00B41150">
      <w:pPr>
        <w:pStyle w:val="ListParagraph"/>
        <w:spacing w:after="240" w:line="360" w:lineRule="auto"/>
        <w:ind w:left="0"/>
        <w:jc w:val="both"/>
        <w:rPr>
          <w:b w:val="0"/>
          <w:lang w:val="nl-NL"/>
        </w:rPr>
      </w:pPr>
      <w:r w:rsidRPr="004518B9">
        <w:rPr>
          <w:b w:val="0"/>
          <w:lang w:val="nl-NL"/>
        </w:rPr>
        <w:t>Tại 31/12/2022, tỷ trọng danh mục DCIP cuối tháng 12 gồm 86% là trái phiếu doanh nghiệp, 14% là tiền gửi ngắn hạn và tiền mặt. So với cùng kỳ năng trước, tại thời điểm báo cáo, quỹ luôn duy trì tỷ trọng cao đối với tiền và các khoản tương đương tiền. Bên cạnh đó, quỹ cũng tăng mức phân bổ lớn vào các trái phiếu doanh nghiệp có thanh khoản tốt, đồng thời giảm tương ứng tỷ lệ đầu tư vào chứng chỉ tiền gửi. Ưu tiên hàng đầu của quỹ là duy trì và đảm bảo tính thanh khoản cao của danh mục đầu tư đồng thời mang lại lợi nhuận tương đối tốt cho dòng tiền ngắn hạn.</w:t>
      </w:r>
    </w:p>
    <w:p w14:paraId="791268F6" w14:textId="77777777" w:rsidR="00B41150" w:rsidRPr="004518B9" w:rsidRDefault="00B41150" w:rsidP="00B41150">
      <w:pPr>
        <w:pStyle w:val="ListParagraph"/>
        <w:spacing w:after="240" w:line="360" w:lineRule="auto"/>
        <w:ind w:left="0"/>
        <w:jc w:val="both"/>
        <w:rPr>
          <w:b w:val="0"/>
          <w:lang w:val="nl-NL"/>
        </w:rPr>
      </w:pPr>
      <w:r w:rsidRPr="004518B9">
        <w:rPr>
          <w:b w:val="0"/>
          <w:lang w:val="nl-NL"/>
        </w:rPr>
        <w:t>g) Phân tích kết quả hoạt động của quỹ dựa trên việc so sánh giá trị tài sản ròng trên một đơn vị quỹ (sau khi đã điều chỉnh phần lợi nhuận đã phân phối, nếu có) tại kỳ báo cáo này tại kỳ báo cáo gần nhất:</w:t>
      </w:r>
    </w:p>
    <w:p w14:paraId="5251A9BA" w14:textId="77777777" w:rsidR="00B41150" w:rsidRPr="004518B9" w:rsidRDefault="00B41150" w:rsidP="00B41150">
      <w:pPr>
        <w:pStyle w:val="ListParagraph"/>
        <w:spacing w:after="240" w:line="360" w:lineRule="auto"/>
        <w:ind w:left="0"/>
        <w:jc w:val="both"/>
        <w:rPr>
          <w:b w:val="0"/>
          <w:lang w:val="nl-NL"/>
        </w:rPr>
      </w:pPr>
      <w:r w:rsidRPr="004518B9">
        <w:rPr>
          <w:b w:val="0"/>
          <w:lang w:val="nl-NL"/>
        </w:rPr>
        <w:t xml:space="preserve">Trong giai đoạn 31/12/2021– 31/12/2022, NAV/ccq của DCIP tăng 2,97%, từ 9.663,41đ/CCQ lên 9.950,04đ/CCQ. Năm 2022, tình hình thị trường tài chính nói chung và thị trường trái phiếu nói riêng có nhiều biến động, đặc biệt là những sự kiện liên quan đến trái phiếu trong quý 4 năm 2022. Những biến động này tạo ra xu thế rút ròng của nhà đầu tư. Vì vậy, quỹ phải bán trái phiếu với </w:t>
      </w:r>
      <w:r w:rsidRPr="004518B9">
        <w:rPr>
          <w:b w:val="0"/>
          <w:lang w:val="nl-NL"/>
        </w:rPr>
        <w:lastRenderedPageBreak/>
        <w:t xml:space="preserve">mức chiết khấu cao nhằm đáp ứng thanh khoản cho việc rút tiền của nhà đầu tư. Điều này ảnh hưởng đến kết quả hoạt động của quỹ trong năm 2022. </w:t>
      </w:r>
    </w:p>
    <w:p w14:paraId="21E92CA6" w14:textId="77777777" w:rsidR="00B41150" w:rsidRPr="004518B9" w:rsidRDefault="00B41150" w:rsidP="00B41150">
      <w:pPr>
        <w:pStyle w:val="ListParagraph"/>
        <w:spacing w:after="240" w:line="360" w:lineRule="auto"/>
        <w:ind w:left="0"/>
        <w:jc w:val="both"/>
        <w:rPr>
          <w:b w:val="0"/>
          <w:lang w:val="nl-NL"/>
        </w:rPr>
      </w:pPr>
      <w:r w:rsidRPr="004518B9">
        <w:rPr>
          <w:b w:val="0"/>
          <w:lang w:val="nl-NL"/>
        </w:rPr>
        <w:t>h) Đánh giá biến động của các thị trường trong kỳ báo cáo, kể cả thị trường nước ngoài, mà quỹ được phép đầu tư vào, thông tin về lợi nhuận đầu tư đối với từng loại tài sản:</w:t>
      </w:r>
    </w:p>
    <w:p w14:paraId="09629B40" w14:textId="77777777" w:rsidR="00B41150" w:rsidRPr="004518B9" w:rsidRDefault="00B41150" w:rsidP="00B41150">
      <w:pPr>
        <w:pStyle w:val="ListParagraph"/>
        <w:spacing w:after="240" w:line="360" w:lineRule="auto"/>
        <w:ind w:left="0"/>
        <w:jc w:val="both"/>
        <w:rPr>
          <w:b w:val="0"/>
          <w:lang w:val="nl-NL"/>
        </w:rPr>
      </w:pPr>
      <w:r w:rsidRPr="004518B9">
        <w:rPr>
          <w:b w:val="0"/>
          <w:lang w:val="nl-NL"/>
        </w:rPr>
        <w:t>Tháng 12 đã khép lại năm 2022 với những chỉ số tích cực về kinh tế vĩ mô. GDP tăng trưởng 8% so với cùng kì, vượt xa mức tăng trưởng 2,58% của năm 2021 – giai đoạn phong tỏa bởi Covid. Chỉ số lạm phát CPI chạm mức 4,55% so với cùng kì năm trước; trong đó, lạm phát cơ bản cả năm xoay quanh mức 4,99%. Số liệu này cao hơn mức 1,84% của năm 2021; tuy nhiên, đây là kết quả khả quan so với các nước trong khu vực, điển hình là Indonesia và Thái Lan – 2 quốc gia đều có mức lạm phát cả năm xấp xỉ 5,5%.</w:t>
      </w:r>
    </w:p>
    <w:p w14:paraId="26EA898B" w14:textId="77777777" w:rsidR="00B41150" w:rsidRPr="004518B9" w:rsidRDefault="00B41150" w:rsidP="00B41150">
      <w:pPr>
        <w:spacing w:after="240" w:line="360" w:lineRule="auto"/>
        <w:jc w:val="both"/>
        <w:rPr>
          <w:b w:val="0"/>
          <w:lang w:val="nl-NL"/>
        </w:rPr>
      </w:pPr>
      <w:r w:rsidRPr="004518B9">
        <w:rPr>
          <w:b w:val="0"/>
          <w:lang w:val="nl-NL"/>
        </w:rPr>
        <w:t xml:space="preserve">Tình hình thị trường nhìn chung đã có nhiều biến động tiêu cực trong năm 2022. Ngay từ tháng 2/2022, sau khi cuộc chiến tranh giữa Nga và Ukraine xảy ra, áp lực từ thị trường hàng hóa và tỷ giá chung toàn cầu đã đe dọa trực tiếp đến chỉ tiêu tăng trưởng và lạm phát tại Việt Nam. Các cơ quan quản lý đã phải sử dụng nhiều biện pháp linh hoạt nhằm tiết chế các tác động tiêu cực đến thị trường trong nước. Thêm vào đó, các sự kiện liên quan đến trái phiếu doanh nghiệp (TPDN) đã là tâm điểm, gây ra nhiều biến động chưa từng có đối với thị trường trái phiếu nói riêng và thị trường tài chính nói chung. Các nhà đầu tư, đặc biệt là nhà đầu tư trái phiếu đã trải qua giai đoạn khủng hoảng lòng tin khi các trái phiếu họ đang nắm giữ trở nên mất thanh khoản và rất khó có thể thu hồi. Sau sự kiện trái phiếu Tân Hoàng Minh, và sự kiện thao túng giá cổ phiếu FLC…, Chính phủ đã thi hành các biện pháp nhằm chấn chỉnh thị trường trái phiếu, tập trung vào việc giải quyết một số vấn đề quan trọng bao gồm giao dịch nội gián, phát hành riêng lẻ và gần đây nhất là bảo vệ các nhà đầu tư. Vào ngày 16/9, Nghị định 65/2022 bổ sung và thay đổi Nghị định 153/2020 về phát hành trái phiếu riêng lẻ đã được gấp rút ban hành. Các quy định mới tập trung vào việc quản lý mục đích phát hành của trái phiếu, trách nhiệm cụ thể đối với tổ chức phát hành và các bên liên quan, đồng thời quy định chặt chẽ, rõ ràng hơn về tiêu chuẩn đối với nhà đầu tư chứng khoán chuyên nghiệp. Các quy định này sẽ mang lại lợi ích về dài hạn, giúp bảo vệ nhà đầu tư, đặc biệt là các nhà đầu tư cá nhân. Chiến dịch thúc đẩy tính minh bạch, thể chế hóa và tăng cao tính chuyên nghiệp này có thể giúp mở ra một giai đoạn phát triển kế tiếp cho thị trường. Tuy nhiên, việc áp dụng nghị định 65/2022 trong thời gian ngắn cộng với sự kiện trái phiếu Vạn Thịnh Phát vào đầu tháng 10/2022 đã khiến thị trường thực sự rơi vào khủng hoảng. Giai đoạn từ tháng 10-11/2022 có thể xem là một giai đoạn khác thường, chưa có tiền lệ của thị trường TPDN. Các trái </w:t>
      </w:r>
      <w:r w:rsidRPr="004518B9">
        <w:rPr>
          <w:b w:val="0"/>
          <w:lang w:val="nl-NL"/>
        </w:rPr>
        <w:lastRenderedPageBreak/>
        <w:t xml:space="preserve">phiếu được bảo đảm bởi cổ phiếu đã chịu áp lực quá lớn, khiến tình trạng vỡ nợ kỹ thuật đã xảy ra trên diện rộng. Tình hình thanh khoản căng thẳng đẩy đến tình huống tháo chạy tín dụng khi nhà đầu tư không còn đủ kiên nhẫn với các trái phiếu mà mình đang nắm giữ. Tình trạng thiếu thanh khoản không chỉ xảy ra với trái phiếu OTC, vốn luôn trong tình trạng không có giao dịch, mà ngay cả các trái phiếu được phát hành bởi các tổ chức phát hành tốt cũng đã được đẩy bán với mức lãi suất rất cao. Tình hình căng thẳng còn lan rộng đến các trái phiếu đến hạn thanh toán trong quý 4, tổng cộng khoảng 40,7 nghìn tỷ. Trong tháng 11, đã xảy ra tình trạng rút ròng lớn tại các quỹ mở trái phiếu. Trong vòng chỉ hơn 1 tuần từ 8-17/11, tổng quy mô các quỹ mở đã giảm hơn 30%. Nhiều công ty quản lý quỹ phải bán trái phiếu niêm yết để phục vụ thanh khoản. Giá trị tài sản ròng trên một CCQ của nhiều quỹ đã giảm trong biên độ từ 3 đến 22%, là điều chưa có tiền lệ tại các quỹ trái phiếu ở Việt Nam. So với ngày 7/10/2022, quy mô các quỹ mở trái phiếu đã giảm hơn 50%. </w:t>
      </w:r>
    </w:p>
    <w:p w14:paraId="0EAB622E" w14:textId="77777777" w:rsidR="00B41150" w:rsidRPr="004518B9" w:rsidRDefault="00B41150" w:rsidP="00B41150">
      <w:pPr>
        <w:spacing w:after="240" w:line="360" w:lineRule="auto"/>
        <w:jc w:val="both"/>
        <w:rPr>
          <w:b w:val="0"/>
          <w:lang w:val="nl-NL"/>
        </w:rPr>
      </w:pPr>
      <w:r w:rsidRPr="004518B9">
        <w:rPr>
          <w:b w:val="0"/>
          <w:lang w:val="nl-NL"/>
        </w:rPr>
        <w:t xml:space="preserve">Sang tuần đầu tiên của tháng 12, Ngân hàng Nhà nước thông báo mức tăng trưởng tín dụng cả năm cho toàn hệ thống được nới thêm từ 1,5% đến 2%; điều này đồng nghĩa với việc thanh khoản được tăng thêm xấp xỉ 200 nghìn tỷ trong tháng cuối cùng của năm, qua đó đem lại nhiều tác động tích cực cho hệ thống ngân hàng. Thanh khoản thông qua kênh tín dụng ngân hàng bị sụt giảm đáng kể từ đầu quý 3/2022 đã được phần nào được xoa dịu. Lãi suất trên thị trường liên ngân hàng liên tục tăng. </w:t>
      </w:r>
    </w:p>
    <w:p w14:paraId="5FE23987" w14:textId="77777777" w:rsidR="00B41150" w:rsidRPr="004518B9" w:rsidRDefault="00B41150" w:rsidP="00B41150">
      <w:pPr>
        <w:spacing w:after="240" w:line="360" w:lineRule="auto"/>
        <w:jc w:val="both"/>
        <w:rPr>
          <w:b w:val="0"/>
          <w:lang w:val="nl-NL"/>
        </w:rPr>
      </w:pPr>
      <w:r w:rsidRPr="004518B9">
        <w:rPr>
          <w:b w:val="0"/>
          <w:lang w:val="nl-NL"/>
        </w:rPr>
        <w:t>Cùng lúc đó, sự suy yếu của đồng USD và sự dồi dào thanh khoản của những ngân hàng có tiềm lực tốt, còn nhiều dư địa cho tăng trưởng tín dụng, giúp mức lãi suất được điều chỉnh thấp hơn so với mặt bằng tháng 11. Mặt khác, Giá trị đồng VND gần như không đổi trong tháng 12, sau khi phục hồi 0.8% trong tháng 11. Kết năm 2022, đồng VND mất giá khoản 3,5%, trong khi thị trường tiền tệ chứng kiến mức lãi suất tăng từ 3% - 6% cho tất cả mọi kỳ hạn; cũng như lãi suất huy động tăng trong khoảng 3% - 4%.</w:t>
      </w:r>
    </w:p>
    <w:p w14:paraId="04C5E070" w14:textId="77777777" w:rsidR="00B41150" w:rsidRPr="004518B9" w:rsidRDefault="00B41150" w:rsidP="00B41150">
      <w:pPr>
        <w:spacing w:after="240" w:line="360" w:lineRule="auto"/>
        <w:jc w:val="both"/>
        <w:rPr>
          <w:b w:val="0"/>
          <w:lang w:val="nl-NL"/>
        </w:rPr>
      </w:pPr>
      <w:r w:rsidRPr="004518B9">
        <w:rPr>
          <w:b w:val="0"/>
          <w:lang w:val="nl-NL"/>
        </w:rPr>
        <w:t xml:space="preserve">Đối với Trái phiếu Chính phủ, kế hoạch phát hành sơ cấp qua đấu thầu cho cả năm 2022 là 400 nghìn tỷ đồng. Trong đó, kế hoạch cho Quý 1 là 105 nghìn tỷ đồng, Quý 2 là 120 nghìn tỷ đồng, Quý 3 là 85 nghìn tỷ đồng và cho Quý 4 là 100 nghìn tỷ đồng, tập trung vào các kì hạn 10 năm và 15 năm. Trong tháng 12, 8 đợt đấu thầu đã được tổ chức với tổng khối lượng phát hành là 32,5 nghìn tỉ  đồng. Khối lượng phát hành trong tháng 12 thể hiện mức tăng 5% so với tháng 11, và gần 3 lần giá trị phát hành trung bình hàng tháng trong 9 tháng đầu năm 2022. Tính đến cuối năm 2022, </w:t>
      </w:r>
      <w:r w:rsidRPr="004518B9">
        <w:rPr>
          <w:b w:val="0"/>
          <w:lang w:val="nl-NL"/>
        </w:rPr>
        <w:lastRenderedPageBreak/>
        <w:t>tổng khối lượng Trái phiếu Chính phủ đã phát hành là 214 nghìn tỷ đồng, tương ứng 53,6% kế hoạch ban đầu, trong đó khối lượng phát hành của Quý 4 chiếm tỷ trọng 20,8% cả năm.</w:t>
      </w:r>
    </w:p>
    <w:p w14:paraId="363FEDD9" w14:textId="77777777" w:rsidR="00B41150" w:rsidRPr="004518B9" w:rsidRDefault="00B41150" w:rsidP="00B41150">
      <w:pPr>
        <w:spacing w:after="240" w:line="360" w:lineRule="auto"/>
        <w:jc w:val="both"/>
        <w:rPr>
          <w:b w:val="0"/>
          <w:lang w:val="nl-NL"/>
        </w:rPr>
      </w:pPr>
      <w:r w:rsidRPr="004518B9">
        <w:rPr>
          <w:b w:val="0"/>
          <w:lang w:val="nl-NL"/>
        </w:rPr>
        <w:t>So với cùng kỳ năm trước, lãi suất TPCP tăng trong biên độ từ 2,7-4,3%, với mức tăng cao hơn cho kỳ hạn ngắn. Đến cuối năm 2022, đường cong lợi suất ở thị trường sơ cấp tiếp tục được duy trì ở trạng thái phẳng cho tất cả các kì hạn, dao động trong khoảng lãi suất hẹp từ 4,5% – 5,2%. Mức chênh lãi suất giữa thị trường sơ cấp và thứ cấp đã giãn rộng trong quý 3 và 4, đạt đỉnh điểm ở mức 1,7% trong Quý 3. Tuy nhiên, mức chênh này đã được xoa dịu khi Kho Bạc Nhà Nước – Bộ Tài Chính nâng mức lãi suất trúng thầu lên tiệm cận với lãi suất thứ cấp. Đến cuối năm 2022, mức chênh lãi suất giữa hai thị trường chỉ còn ở mức 0,4-0,5%.</w:t>
      </w:r>
    </w:p>
    <w:p w14:paraId="4D946A69" w14:textId="637D7F90" w:rsidR="00B41150" w:rsidRPr="004518B9" w:rsidRDefault="00B41150" w:rsidP="00B41150">
      <w:pPr>
        <w:spacing w:after="240" w:line="360" w:lineRule="auto"/>
        <w:jc w:val="both"/>
        <w:rPr>
          <w:b w:val="0"/>
          <w:lang w:val="nl-NL"/>
        </w:rPr>
      </w:pPr>
      <w:r w:rsidRPr="004518B9">
        <w:rPr>
          <w:b w:val="0"/>
          <w:lang w:val="nl-NL"/>
        </w:rPr>
        <w:t>Về tính thanh khoản, khối lượng giao dịch thỏa thuận bình quân hàng ngày trong năm 2022 giảm 43% so với năm 2021 (3,95 nghìn tỷ/ ngày so với 6,87 nghìn tỷ/ngày). Thanh khoản sụt giảm rõ nhất từ tháng 8/2022. Tuy nhiên, giai đoạn cuối năm, đặc biệt trong tháng 12, thanh khoản có sự cải thiện với mức tăng 85% so với tháng 11, phá vỡ xu hướng sụt giảm thanh khoản. Đây là tín hiệu thể hiện sự cải thiện đáng kể trong mối quan hệ giữa cung – cầu đối với trái phiếu chính phủ. Tổng khối lượng giao dịch thỏa thuận trên thị trường thứ cấp của quý 4 vào khoảng 119 nghìn tỷ đồng giảm khoảng 30% so với tổng khối lượng giao dịch trong quý 3.  Khối lượng giao dịch REPOs trong quý 4 cũng giảm đáng kể so với quý 3 khi giảm từ 183 nghìn tỷ đồng xuống mức 28 nghìn tỷ đồng, thể hiện sự hạn chế thanh khoản ngắn hạn trên thị trường tiền tệ. Kỳ hạn từ 10 năm trở lên là kỳ hạn được giao dịch nhiều nhất.</w:t>
      </w:r>
    </w:p>
    <w:p w14:paraId="53B90A28" w14:textId="47A7596A" w:rsidR="00316DB4" w:rsidRPr="004802DE" w:rsidRDefault="00316DB4" w:rsidP="00B41150">
      <w:pPr>
        <w:spacing w:after="240" w:line="360" w:lineRule="auto"/>
        <w:jc w:val="both"/>
        <w:rPr>
          <w:b w:val="0"/>
          <w:lang w:val="nl-NL"/>
        </w:rPr>
      </w:pPr>
    </w:p>
    <w:p w14:paraId="51C30A0C" w14:textId="1A63670F" w:rsidR="00B41150" w:rsidRPr="004518B9" w:rsidRDefault="00316DB4" w:rsidP="00B41150">
      <w:pPr>
        <w:spacing w:after="240" w:line="360" w:lineRule="auto"/>
        <w:jc w:val="both"/>
        <w:rPr>
          <w:b w:val="0"/>
          <w:lang w:val="nl-NL"/>
        </w:rPr>
      </w:pPr>
      <w:r w:rsidRPr="004518B9">
        <w:rPr>
          <w:rFonts w:ascii="Arial" w:hAnsi="Arial" w:cs="Arial"/>
          <w:noProof/>
          <w:lang w:val="vi-VN"/>
        </w:rPr>
        <w:drawing>
          <wp:anchor distT="0" distB="0" distL="114300" distR="114300" simplePos="0" relativeHeight="251662336" behindDoc="0" locked="0" layoutInCell="1" allowOverlap="1" wp14:anchorId="1A67C4CD" wp14:editId="11919DE7">
            <wp:simplePos x="0" y="0"/>
            <wp:positionH relativeFrom="margin">
              <wp:posOffset>-158750</wp:posOffset>
            </wp:positionH>
            <wp:positionV relativeFrom="paragraph">
              <wp:posOffset>0</wp:posOffset>
            </wp:positionV>
            <wp:extent cx="6347460" cy="2037715"/>
            <wp:effectExtent l="0" t="0" r="0" b="635"/>
            <wp:wrapTopAndBottom/>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7460" cy="2037715"/>
                    </a:xfrm>
                    <a:prstGeom prst="rect">
                      <a:avLst/>
                    </a:prstGeom>
                    <a:noFill/>
                  </pic:spPr>
                </pic:pic>
              </a:graphicData>
            </a:graphic>
            <wp14:sizeRelH relativeFrom="margin">
              <wp14:pctWidth>0</wp14:pctWidth>
            </wp14:sizeRelH>
            <wp14:sizeRelV relativeFrom="margin">
              <wp14:pctHeight>0</wp14:pctHeight>
            </wp14:sizeRelV>
          </wp:anchor>
        </w:drawing>
      </w:r>
      <w:r w:rsidR="00B41150" w:rsidRPr="004518B9">
        <w:rPr>
          <w:b w:val="0"/>
          <w:lang w:val="nl-NL"/>
        </w:rPr>
        <w:t xml:space="preserve">Thị trường Trái phiếu Doanh nghiệp đã dần vượt qua thời điểm khó khăn đỉnh điểm của tháng 11, với những thay đổi tích cực từ định hướng của Chính phủ về việc tái cơ cấu trái phiếu. Chính phủ </w:t>
      </w:r>
      <w:r w:rsidR="00B41150" w:rsidRPr="004518B9">
        <w:rPr>
          <w:b w:val="0"/>
          <w:lang w:val="nl-NL"/>
        </w:rPr>
        <w:lastRenderedPageBreak/>
        <w:t>đã và đang soạn thảo văn bản về hướng dẫn việc áp dụng Nghị định 65 đối với phát hành trái phiếu riêng lẻ (được ban hành vào tháng 9 năm 2022). Các điểm quan trọng đang được thảo luận bao gồm việc gia hạn thời điểm hiệu lực của Nghị định 65 thêm 1 năm đồng thời tạo điều kiện cho trái phiếu được tái cấu trúc theo hướng gia hạn kỳ hạn thêm tối đa 2 năm. Điều này giúp các trái chủ có cơ sở để cân nhắc kĩ lưỡng hơn về các phương án tái cấu trúc trái phiếu, thay vì tập trung vào việc tạo áp lực, có thể đẩy các tổ chức phát hành vào tình trạng vỡ nợ, đặc biệt là vỡ nợ kĩ thuật.</w:t>
      </w:r>
    </w:p>
    <w:p w14:paraId="42654846" w14:textId="77777777" w:rsidR="00B41150" w:rsidRPr="004518B9" w:rsidRDefault="00B41150" w:rsidP="00B41150">
      <w:pPr>
        <w:spacing w:after="240" w:line="360" w:lineRule="auto"/>
        <w:jc w:val="both"/>
        <w:rPr>
          <w:b w:val="0"/>
          <w:lang w:val="nl-NL"/>
        </w:rPr>
      </w:pPr>
      <w:r w:rsidRPr="004518B9">
        <w:rPr>
          <w:b w:val="0"/>
          <w:lang w:val="nl-NL"/>
        </w:rPr>
        <w:t>Trong quý 4 đã có tổng cộng 19 đợt phát hành TPDN mới với tổng khối lượng phát hành 3,969 nghìn tỷ đồng. Trong cả năm 2022, đã có 452 đợt phát hành mới, trong đó 19 đợt được thực hiện theo phương thức phát hành ra công chúng, 431 đợt được phát hành riêng lẻ, và 2 đợt được phát hành tên thị trường quốc tế. Tổng khối lượng phát hành là 269,7 nghìn tỷ đồng, tương đương 41,5% khối lượng cả năm 2021. Trong đó, nhóm ngân hàng là nhóm tổ chức phát hành chiếm tỷ trọng lớn nhất với tổng khối lượng 136,7 nghìn tỷ đồng, tương ứng 50,7% tổng khối lượng phát hành. Bất động sản và xây dựng vẫn là ngành có tỷ trọng phát hành lớn thứ 2 với tổng khối lượng 88 nghìn tỷ đồng, tương ứng 32,6%. Nhóm các công ty tài chính xếp thứ 3, với tỷ trọng chiếm 3,7% tổng khối lượng phát hành. Tỷ lệ 13% khối lượng phát hành còn lại được đóng góp bởi các tổ chức phát hành từ nhiều ngành khác nhau. Thêm vào đó, xu hướng mua lại trước hạn, hoặc hoán đổi với mục đích tái cơ cấu cũng được kích hoạt trong thời gian vừa qua, với khối lượng khoảng 100 – 150 tỷ đồng.</w:t>
      </w:r>
    </w:p>
    <w:p w14:paraId="42927E12" w14:textId="77777777" w:rsidR="00B41150" w:rsidRPr="004518B9" w:rsidRDefault="00B41150" w:rsidP="00B41150">
      <w:pPr>
        <w:spacing w:after="240" w:line="360" w:lineRule="auto"/>
        <w:jc w:val="both"/>
        <w:rPr>
          <w:b w:val="0"/>
          <w:lang w:val="nl-NL"/>
        </w:rPr>
      </w:pPr>
      <w:r w:rsidRPr="004518B9">
        <w:rPr>
          <w:b w:val="0"/>
          <w:lang w:val="nl-NL"/>
        </w:rPr>
        <w:t>Nhìn chung, thị trường tài chính nói chung, thị trường trái phiếu nói riêng đã có nhiều bước thăng trầm trong năm 2022. Mặc dù các cơ quan quản lý nhà nước đang tập trung soạn thảo nhiều giải pháp nhằm giúp giảm bớt áp lực cho thị trường trái phiếu (cho phép gia hạn hoặc tái cấu trúc trái phiếu), tuy nhiên với niềm tin đang bị tổn thương và mặt bằng lãi suất chung ở mức cao, thị trường trái phiếu doanh nghiệp sẽ cần mất thêm thời gian để có thể quay lại giai đoạn “bùng nổ” như những năm 2020-2021. Song song đó, thị trường TPCP cũng sẽ khó lấy lại mức lãi suất thấp trên dưới 1% như đã từng thấy trong năm 2021.</w:t>
      </w:r>
    </w:p>
    <w:p w14:paraId="08FB4DD0" w14:textId="77777777" w:rsidR="00B41150" w:rsidRPr="004802DE" w:rsidRDefault="00B41150" w:rsidP="00B41150">
      <w:pPr>
        <w:spacing w:after="240" w:line="360" w:lineRule="auto"/>
        <w:jc w:val="both"/>
        <w:rPr>
          <w:b w:val="0"/>
          <w:lang w:val="nl-NL"/>
        </w:rPr>
      </w:pPr>
      <w:r w:rsidRPr="004802DE">
        <w:rPr>
          <w:rFonts w:ascii="Arial" w:hAnsi="Arial" w:cs="Arial"/>
          <w:b w:val="0"/>
          <w:noProof/>
          <w:lang w:val="nl-NL"/>
        </w:rPr>
        <w:lastRenderedPageBreak/>
        <w:drawing>
          <wp:anchor distT="0" distB="0" distL="114300" distR="114300" simplePos="0" relativeHeight="251660288" behindDoc="0" locked="0" layoutInCell="1" allowOverlap="1" wp14:anchorId="04358321" wp14:editId="13F44562">
            <wp:simplePos x="0" y="0"/>
            <wp:positionH relativeFrom="column">
              <wp:posOffset>0</wp:posOffset>
            </wp:positionH>
            <wp:positionV relativeFrom="paragraph">
              <wp:posOffset>483</wp:posOffset>
            </wp:positionV>
            <wp:extent cx="5943600" cy="2395855"/>
            <wp:effectExtent l="0" t="0" r="0" b="4445"/>
            <wp:wrapTopAndBottom/>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2395855"/>
                    </a:xfrm>
                    <a:prstGeom prst="rect">
                      <a:avLst/>
                    </a:prstGeom>
                  </pic:spPr>
                </pic:pic>
              </a:graphicData>
            </a:graphic>
            <wp14:sizeRelH relativeFrom="page">
              <wp14:pctWidth>0</wp14:pctWidth>
            </wp14:sizeRelH>
            <wp14:sizeRelV relativeFrom="page">
              <wp14:pctHeight>0</wp14:pctHeight>
            </wp14:sizeRelV>
          </wp:anchor>
        </w:drawing>
      </w:r>
    </w:p>
    <w:p w14:paraId="4C625D7B" w14:textId="00A2CC22" w:rsidR="00854D4E" w:rsidRPr="004802DE" w:rsidRDefault="00854D4E" w:rsidP="00854D4E">
      <w:pPr>
        <w:pStyle w:val="ListParagraph"/>
        <w:spacing w:after="240" w:line="360" w:lineRule="auto"/>
        <w:ind w:left="0"/>
        <w:jc w:val="both"/>
        <w:rPr>
          <w:b w:val="0"/>
          <w:lang w:val="nl-NL"/>
        </w:rPr>
      </w:pPr>
    </w:p>
    <w:p w14:paraId="74A925E6" w14:textId="77777777" w:rsidR="00854D4E" w:rsidRPr="004802DE" w:rsidRDefault="00854D4E" w:rsidP="00854D4E">
      <w:pPr>
        <w:pStyle w:val="ListParagraph"/>
        <w:spacing w:after="240" w:line="360" w:lineRule="auto"/>
        <w:ind w:left="0"/>
        <w:jc w:val="both"/>
        <w:rPr>
          <w:lang w:val="nl-NL"/>
        </w:rPr>
      </w:pPr>
      <w:r w:rsidRPr="004802DE">
        <w:rPr>
          <w:b w:val="0"/>
          <w:lang w:val="nl-NL"/>
        </w:rPr>
        <w:t xml:space="preserve">i) Thông tin về việc chia, tách đơn vị quỹ trong kỳ(nếu có); ảnh hưởng của việc chia tách </w:t>
      </w:r>
      <w:r w:rsidRPr="004802DE">
        <w:rPr>
          <w:b w:val="0"/>
          <w:spacing w:val="-4"/>
          <w:lang w:val="nl-NL"/>
        </w:rPr>
        <w:t xml:space="preserve">đơn vị quỹ và giá trị tài sản ròng trên từng đơn vị quỹ (trước và sau khi chia, tách): </w:t>
      </w:r>
      <w:r w:rsidRPr="004802DE">
        <w:rPr>
          <w:spacing w:val="-4"/>
          <w:lang w:val="nl-NL"/>
        </w:rPr>
        <w:t>không có</w:t>
      </w:r>
    </w:p>
    <w:p w14:paraId="181FF02D" w14:textId="77777777" w:rsidR="00854D4E" w:rsidRPr="004802DE" w:rsidRDefault="00854D4E" w:rsidP="00854D4E">
      <w:pPr>
        <w:pStyle w:val="ListParagraph"/>
        <w:spacing w:after="240" w:line="360" w:lineRule="auto"/>
        <w:ind w:left="0"/>
        <w:jc w:val="both"/>
        <w:rPr>
          <w:b w:val="0"/>
          <w:lang w:val="nl-NL"/>
        </w:rPr>
      </w:pPr>
      <w:r w:rsidRPr="004802DE">
        <w:rPr>
          <w:b w:val="0"/>
          <w:lang w:val="nl-NL"/>
        </w:rPr>
        <w:t xml:space="preserve">k) </w:t>
      </w:r>
      <w:r w:rsidRPr="004802DE">
        <w:rPr>
          <w:b w:val="0"/>
          <w:spacing w:val="-4"/>
          <w:lang w:val="nl-NL"/>
        </w:rPr>
        <w:t xml:space="preserve">Các trường hợp có ảnh hưởng tới quyền lợi của cổ đông nắm giữ chứng chỉ quỹ: </w:t>
      </w:r>
      <w:r w:rsidRPr="004802DE">
        <w:rPr>
          <w:spacing w:val="-4"/>
          <w:lang w:val="nl-NL"/>
        </w:rPr>
        <w:t>không có</w:t>
      </w:r>
    </w:p>
    <w:p w14:paraId="44FBB99B" w14:textId="10F1A230" w:rsidR="00854D4E" w:rsidRPr="004802DE" w:rsidRDefault="00854D4E" w:rsidP="00791393">
      <w:pPr>
        <w:pStyle w:val="ListParagraph"/>
        <w:spacing w:after="240" w:line="360" w:lineRule="auto"/>
        <w:ind w:left="0"/>
        <w:jc w:val="both"/>
        <w:rPr>
          <w:b w:val="0"/>
          <w:lang w:val="nl-NL"/>
        </w:rPr>
      </w:pPr>
      <w:r w:rsidRPr="004802DE">
        <w:rPr>
          <w:b w:val="0"/>
          <w:lang w:val="nl-NL"/>
        </w:rPr>
        <w:t>m) Thông tin về các giao dịch với người có quyền lợi liên quan (nếu có).</w:t>
      </w:r>
    </w:p>
    <w:p w14:paraId="79C49EDA" w14:textId="55BCD4FB" w:rsidR="008B68C6" w:rsidRPr="004802DE" w:rsidRDefault="008B68C6" w:rsidP="00922F16">
      <w:pPr>
        <w:pStyle w:val="ListParagraph"/>
        <w:numPr>
          <w:ilvl w:val="0"/>
          <w:numId w:val="34"/>
        </w:numPr>
        <w:spacing w:after="240" w:line="360" w:lineRule="auto"/>
        <w:jc w:val="both"/>
        <w:rPr>
          <w:lang w:val="nl-NL"/>
        </w:rPr>
      </w:pPr>
      <w:r w:rsidRPr="004802DE">
        <w:rPr>
          <w:lang w:val="nl-NL"/>
        </w:rPr>
        <w:t>Báo cáo về hoạt động giám sát của ngân hàng giám sát</w:t>
      </w:r>
    </w:p>
    <w:p w14:paraId="597E0581" w14:textId="77777777" w:rsidR="00666EF0" w:rsidRPr="004802DE" w:rsidRDefault="00666EF0" w:rsidP="00666EF0">
      <w:pPr>
        <w:pStyle w:val="ListParagraph"/>
        <w:shd w:val="clear" w:color="auto" w:fill="FFFFFF"/>
        <w:spacing w:line="360" w:lineRule="auto"/>
        <w:ind w:left="0"/>
        <w:contextualSpacing w:val="0"/>
        <w:jc w:val="both"/>
        <w:rPr>
          <w:b w:val="0"/>
          <w:lang w:val="nl-NL"/>
        </w:rPr>
      </w:pPr>
      <w:r w:rsidRPr="004802DE">
        <w:rPr>
          <w:b w:val="0"/>
          <w:lang w:val="nl-NL"/>
        </w:rPr>
        <w:t>Ngân hàng giám sát phải đưa ra ý kiến về sự tuân thủ quy định pháp luật, quy định tại Điều lệ quỹ, Bản cáo bạch của Công ty Cổ phần Quản Lý Quỹ Đầu tư Dragon Capital Việt Nam trong quá trình vận hành và quản lý Quỹ đầu tư Trái phiếu gia tăng thu nhập cố định DC (tiền thân là “Quỹ Đầu Tư Định Hướng Bảo Toàn Vốn Việt Nam”) (“DCIP” hoặc “Quỹ”) đối với các nội dung sau:</w:t>
      </w:r>
    </w:p>
    <w:p w14:paraId="09BFCCFB" w14:textId="77777777" w:rsidR="00D22BA0" w:rsidRPr="004802DE" w:rsidRDefault="00D22BA0" w:rsidP="00D22BA0">
      <w:pPr>
        <w:pStyle w:val="ListParagraph"/>
        <w:shd w:val="clear" w:color="auto" w:fill="FFFFFF"/>
        <w:spacing w:line="360" w:lineRule="auto"/>
        <w:ind w:left="0"/>
        <w:jc w:val="both"/>
        <w:rPr>
          <w:b w:val="0"/>
          <w:lang w:val="nl-NL"/>
        </w:rPr>
      </w:pPr>
      <w:r w:rsidRPr="004802DE">
        <w:rPr>
          <w:b w:val="0"/>
          <w:lang w:val="nl-NL"/>
        </w:rPr>
        <w:t>a) Thuyết minh về việc thay đổi ngân hàng giám sát (nếu có): từ ngày 01 tháng 01 năm 2022 đến ngày 31 tháng 12 năm 2022, Quỹ không thay đổi Ngân hàng giám sát.</w:t>
      </w:r>
    </w:p>
    <w:p w14:paraId="1E2774C1" w14:textId="77777777" w:rsidR="00D22BA0" w:rsidRPr="004802DE" w:rsidRDefault="00D22BA0" w:rsidP="00D22BA0">
      <w:pPr>
        <w:pStyle w:val="ListParagraph"/>
        <w:shd w:val="clear" w:color="auto" w:fill="FFFFFF"/>
        <w:spacing w:line="360" w:lineRule="auto"/>
        <w:ind w:left="0"/>
        <w:jc w:val="both"/>
        <w:rPr>
          <w:b w:val="0"/>
          <w:lang w:val="nl-NL"/>
        </w:rPr>
      </w:pPr>
      <w:r w:rsidRPr="004802DE">
        <w:rPr>
          <w:b w:val="0"/>
          <w:lang w:val="nl-NL"/>
        </w:rPr>
        <w:t>b) Việc lưu ký tài sản của quỹ: từ ngày 01 tháng 01 năm 2022 đến ngày 31 tháng 12 năm 2022, Quỹ đã thực hiện lưu ký tài sản theo các quy định pháp luật hiện hành.</w:t>
      </w:r>
    </w:p>
    <w:p w14:paraId="6AB6D319" w14:textId="77777777" w:rsidR="00D22BA0" w:rsidRPr="004802DE" w:rsidRDefault="00D22BA0" w:rsidP="00D22BA0">
      <w:pPr>
        <w:pStyle w:val="ListParagraph"/>
        <w:shd w:val="clear" w:color="auto" w:fill="FFFFFF"/>
        <w:spacing w:line="360" w:lineRule="auto"/>
        <w:ind w:left="0"/>
        <w:jc w:val="both"/>
        <w:rPr>
          <w:b w:val="0"/>
          <w:lang w:val="nl-NL"/>
        </w:rPr>
      </w:pPr>
      <w:r w:rsidRPr="004802DE">
        <w:rPr>
          <w:b w:val="0"/>
          <w:lang w:val="nl-NL"/>
        </w:rPr>
        <w:t>c) Việc đầu tư tuân thủ các hạn chế về đầu tư, hạn chế về vay theo quy định pháp luật, quy định tại Điều lệ quỹ, Bản cáo bạch;</w:t>
      </w:r>
    </w:p>
    <w:p w14:paraId="02CD4EC3" w14:textId="77777777" w:rsidR="00D22BA0" w:rsidRPr="004802DE" w:rsidRDefault="00D22BA0" w:rsidP="00D22BA0">
      <w:pPr>
        <w:pStyle w:val="ListParagraph"/>
        <w:shd w:val="clear" w:color="auto" w:fill="FFFFFF"/>
        <w:spacing w:line="360" w:lineRule="auto"/>
        <w:ind w:left="0"/>
        <w:jc w:val="both"/>
        <w:rPr>
          <w:b w:val="0"/>
          <w:lang w:val="nl-NL"/>
        </w:rPr>
      </w:pPr>
      <w:r w:rsidRPr="004802DE">
        <w:rPr>
          <w:b w:val="0"/>
          <w:lang w:val="nl-NL"/>
        </w:rPr>
        <w:t xml:space="preserve">Trong quá trình giám sát hoạt động đầu tư và các giao dịch tài sản của Quỹ cho giai đoạn từ ngày 01 tháng 01 năm 2022 đến ngày 31 tháng 12 năm 2022, hạn mức đầu tư của Quỹ đã phát sinh sai lệch so với các quy định tại các văn bản pháp luật chứng khoán hiện hành về quỹ mở, Điều lệ Quỹ, Bản cáo bạch của Quỹ và văn bản pháp luật liên quan, cụ thể như sau: </w:t>
      </w:r>
    </w:p>
    <w:p w14:paraId="195338CD" w14:textId="2A40E48C" w:rsidR="00D22BA0" w:rsidRPr="004802DE" w:rsidRDefault="00D22BA0" w:rsidP="00D22BA0">
      <w:pPr>
        <w:pStyle w:val="ListParagraph"/>
        <w:numPr>
          <w:ilvl w:val="0"/>
          <w:numId w:val="41"/>
        </w:numPr>
        <w:shd w:val="clear" w:color="auto" w:fill="FFFFFF"/>
        <w:spacing w:line="360" w:lineRule="auto"/>
        <w:jc w:val="both"/>
        <w:rPr>
          <w:b w:val="0"/>
          <w:lang w:val="nl-NL"/>
        </w:rPr>
      </w:pPr>
      <w:r w:rsidRPr="004802DE">
        <w:rPr>
          <w:b w:val="0"/>
          <w:lang w:val="nl-NL"/>
        </w:rPr>
        <w:lastRenderedPageBreak/>
        <w:t>Theo Điểm c, Khoản 4, Điều 35, Thông tư 98/2020/TT-BTC ngày 16 tháng 11 năm 2020 hướng dẫn hoạt động và quản lý quỹ đầu tư chứng khoán (“Thông tư 98”) và Điều 11, Điều lệ Quỹ quy định cơ cấu danh mục đầu tư của quỹ mở phải đảm bảo: “Không được đầu tư quá 20% tổng giá trị tài sản của quỹ vào chứng khoán đang lưu hành; tiền gửi tại các ngân hàng thương mại theo quy định của pháp luật ngân hàng; và công cụ thị trường tiền tệ bao gồm giấy tờ có giá, công cụ chuyển nhượng theo quy định của pháp luật (nếu có) của một tổ chức phát hành, trừ công cụ nợ của Chính phủ.’’ Trường hợp phát sinh sai lệch, Công ty Quản lý Quỹ có nghĩa vụ điều chỉnh lại cơ cấu danh mục đầu tư của Quỹ cho phù hợp với quy định trong thời gian cho phép.</w:t>
      </w:r>
    </w:p>
    <w:p w14:paraId="28B6DF87" w14:textId="77777777" w:rsidR="00D22BA0" w:rsidRPr="004802DE" w:rsidRDefault="00D22BA0" w:rsidP="00D22BA0">
      <w:pPr>
        <w:pStyle w:val="ListParagraph"/>
        <w:shd w:val="clear" w:color="auto" w:fill="FFFFFF"/>
        <w:spacing w:line="360" w:lineRule="auto"/>
        <w:jc w:val="both"/>
        <w:rPr>
          <w:b w:val="0"/>
          <w:lang w:val="nl-NL"/>
        </w:rPr>
      </w:pPr>
      <w:r w:rsidRPr="004802DE">
        <w:rPr>
          <w:b w:val="0"/>
          <w:lang w:val="nl-NL"/>
        </w:rPr>
        <w:t>Tại một số kỳ định giá trong giai đoạn từ ngày 01 tháng 01 năm 2022 đến ngày 31 tháng 12 năm 2022, tỷ lệ đầu tư của Quỹ vào một tổ chức phát hành đã phát sinh sai lệch so với hạn mức 20% tổng giá trị tài sản của Quỹ.</w:t>
      </w:r>
    </w:p>
    <w:p w14:paraId="0AA9FA5D" w14:textId="77777777" w:rsidR="00D22BA0" w:rsidRPr="004802DE" w:rsidRDefault="00D22BA0" w:rsidP="00D22BA0">
      <w:pPr>
        <w:pStyle w:val="ListParagraph"/>
        <w:shd w:val="clear" w:color="auto" w:fill="FFFFFF"/>
        <w:spacing w:line="360" w:lineRule="auto"/>
        <w:jc w:val="both"/>
        <w:rPr>
          <w:b w:val="0"/>
          <w:lang w:val="nl-NL"/>
        </w:rPr>
      </w:pPr>
      <w:r w:rsidRPr="004802DE">
        <w:rPr>
          <w:b w:val="0"/>
          <w:lang w:val="nl-NL"/>
        </w:rPr>
        <w:t>Công ty Quản lý Quỹ có trách nhiệm điều chỉnh lại cơ cấu danh mục đầu tư của Quỹ cho phù hợp với quy định chậm nhất vào ngày 26 tháng 01 năm 2023.</w:t>
      </w:r>
    </w:p>
    <w:p w14:paraId="35F67DBB" w14:textId="2B0305CA" w:rsidR="00D22BA0" w:rsidRPr="004802DE" w:rsidRDefault="00D22BA0" w:rsidP="00D22BA0">
      <w:pPr>
        <w:pStyle w:val="ListParagraph"/>
        <w:numPr>
          <w:ilvl w:val="0"/>
          <w:numId w:val="41"/>
        </w:numPr>
        <w:shd w:val="clear" w:color="auto" w:fill="FFFFFF"/>
        <w:spacing w:line="360" w:lineRule="auto"/>
        <w:jc w:val="both"/>
        <w:rPr>
          <w:b w:val="0"/>
          <w:lang w:val="nl-NL"/>
        </w:rPr>
      </w:pPr>
      <w:r w:rsidRPr="004802DE">
        <w:rPr>
          <w:b w:val="0"/>
          <w:lang w:val="nl-NL"/>
        </w:rPr>
        <w:t xml:space="preserve">Theo Điểm d, Khoản 4, Điều 35, Thông tư 98 và Điều 11, Điều lệ Quỹ quy định cơ cấu danh mục đầu tư của quỹ mở phải đảm bảo: “Không được đầu tư quá 30% tổng giá trị tài sản của quỹ vào tiền gửi tại các ngân hàng thương mại theo quy định của pháp luật ngân hàng; công cụ thị trường tiền tệ bao gồm giấy tờ có giá, công cụ chuyển nhượng theo quy định của pháp luật; cổ phiếu niêm yết, cổ phiếu đăng ký giao dịch, trái phiếu niêm yết trên Sở giao dịch chứng khoán, chứng chỉ quỹ đại chúng; cổ phiếu chào bán lần đầu ra công chúng, trái phiếu chào bán ra công chúng; trái phiếu doanh nghiệp phát hành riêng lẻ bởi tổ chức niêm yết có bảo lãnh thanh toán của tổ chức tín dụng hoặc cam kết mua lại của tổ chức phát hành tối thiểu 1 lần trong 12 tháng và mỗi lần cam kết mua lại tối thiểu 30% giá trị đợt phát hành; chứng khoán phái sinh niêm yết giao dịch tại Sở giao dịch chứng khoán và chỉ nhằm mục tiêu phòng ngừa rủi ro cho chứng khoán cơ sở mà quỹ đang nắm giữ; phát hành bởi các công ty trong cùng một nhóm công ty có quan hệ sở hữu với nhau thuộc các trường hợp sau đây: công ty mẹ, công ty con; các công ty sở hữu trên 35% cổ phần, phần vốn góp của nhau; nhóm công ty con có cùng một công ty mẹ.” Trường hợp phát sinh sai lệch, Công ty Quản lý Quỹ có nghĩa vụ điều chỉnh lại cơ cấu danh mục đầu tư của Quỹ cho phù hợp với quy định trong thời gian cho phép. </w:t>
      </w:r>
    </w:p>
    <w:p w14:paraId="4C422E66" w14:textId="77777777" w:rsidR="00D22BA0" w:rsidRPr="004802DE" w:rsidRDefault="00D22BA0" w:rsidP="00D22BA0">
      <w:pPr>
        <w:pStyle w:val="ListParagraph"/>
        <w:shd w:val="clear" w:color="auto" w:fill="FFFFFF"/>
        <w:spacing w:line="360" w:lineRule="auto"/>
        <w:jc w:val="both"/>
        <w:rPr>
          <w:b w:val="0"/>
          <w:lang w:val="nl-NL"/>
        </w:rPr>
      </w:pPr>
      <w:r w:rsidRPr="004802DE">
        <w:rPr>
          <w:b w:val="0"/>
          <w:lang w:val="nl-NL"/>
        </w:rPr>
        <w:t xml:space="preserve">Tại một số kỳ định giá trong giai đoạn từ ngày 01 tháng 01 năm 2022 đến ngày 31 tháng 12 năm 2022, tỷ lệ đầu tư của Quỹ vào các tài sản được phát hành bởi các công ty trong </w:t>
      </w:r>
      <w:r w:rsidRPr="004802DE">
        <w:rPr>
          <w:b w:val="0"/>
          <w:lang w:val="nl-NL"/>
        </w:rPr>
        <w:lastRenderedPageBreak/>
        <w:t>cùng một nhóm công ty có quan hệ sở hữu với nhau đã phát sinh sai lệch so với hạn mức 30% tổng giá trị tài sản của Quỹ.</w:t>
      </w:r>
    </w:p>
    <w:p w14:paraId="21FAD320" w14:textId="77777777" w:rsidR="00D22BA0" w:rsidRPr="004802DE" w:rsidRDefault="00D22BA0" w:rsidP="00D22BA0">
      <w:pPr>
        <w:pStyle w:val="ListParagraph"/>
        <w:shd w:val="clear" w:color="auto" w:fill="FFFFFF"/>
        <w:spacing w:line="360" w:lineRule="auto"/>
        <w:jc w:val="both"/>
        <w:rPr>
          <w:b w:val="0"/>
          <w:lang w:val="nl-NL"/>
        </w:rPr>
      </w:pPr>
      <w:r w:rsidRPr="004802DE">
        <w:rPr>
          <w:b w:val="0"/>
          <w:lang w:val="nl-NL"/>
        </w:rPr>
        <w:t>Công ty Quản lý Quỹ có trách nhiệm điều chỉnh lại cơ cấu danh mục đầu tư của Quỹ cho phù hợp với quy định chậm nhất vào ngày 31 tháng 03 năm 2023.</w:t>
      </w:r>
    </w:p>
    <w:p w14:paraId="2E8244D3" w14:textId="1A6C97C3" w:rsidR="00D22BA0" w:rsidRPr="004802DE" w:rsidRDefault="00D22BA0" w:rsidP="00D22BA0">
      <w:pPr>
        <w:pStyle w:val="ListParagraph"/>
        <w:numPr>
          <w:ilvl w:val="0"/>
          <w:numId w:val="41"/>
        </w:numPr>
        <w:shd w:val="clear" w:color="auto" w:fill="FFFFFF"/>
        <w:spacing w:line="360" w:lineRule="auto"/>
        <w:jc w:val="both"/>
        <w:rPr>
          <w:b w:val="0"/>
          <w:lang w:val="nl-NL"/>
        </w:rPr>
      </w:pPr>
      <w:r w:rsidRPr="004802DE">
        <w:rPr>
          <w:b w:val="0"/>
          <w:lang w:val="nl-NL"/>
        </w:rPr>
        <w:t xml:space="preserve">Theo Điểm đ, Khoản 4, Điều 35, Thông tư 98 và Điều 11, Điều lệ Quỹ quy định cơ cấu danh mục đầu tư của quỹ mở phải đảm bảo: “Không được đầu tư quá 10% tổng giá trị tài sản của quỹ vào cổ phiếu chào bán lần đầu ra công chúng, trái phiếu chào bán ra công chúng; trái phiếu doanh nghiệp phát hành riêng lẻ bởi tổ chức niêm yết có bảo lãnh thanh toán của tổ chức tín dụng hoặc cam kết mua lại của tổ chức phát hành tối thiểu 1 lần trong 12 tháng và mỗi lần cam kết mua lại tối thiểu 30% giá trị đợt phát hành.” Trường hợp phát sinh sai lệch, Công ty Quản lý Quỹ có nghĩa vụ điều chỉnh lại cơ cấu danh mục đầu tư của Quỹ cho phù hợp với quy định trong thời gian cho phép. </w:t>
      </w:r>
    </w:p>
    <w:p w14:paraId="56971018" w14:textId="77777777" w:rsidR="00D22BA0" w:rsidRPr="004802DE" w:rsidRDefault="00D22BA0" w:rsidP="00316DB4">
      <w:pPr>
        <w:pStyle w:val="ListParagraph"/>
        <w:shd w:val="clear" w:color="auto" w:fill="FFFFFF"/>
        <w:spacing w:line="360" w:lineRule="auto"/>
        <w:jc w:val="both"/>
        <w:rPr>
          <w:b w:val="0"/>
          <w:lang w:val="nl-NL"/>
        </w:rPr>
      </w:pPr>
      <w:r w:rsidRPr="004802DE">
        <w:rPr>
          <w:b w:val="0"/>
          <w:lang w:val="nl-NL"/>
        </w:rPr>
        <w:t>Tại một số kỳ định giá trong giai đoạn từ ngày 01 tháng 01 năm 2022 đến ngày 31 tháng 12 năm 2022, tỷ lệ đầu tư của Quỹ vào trái phiếu doanh nghiệp chưa niêm yết đã phát sinh sai lệch so với hạn mức 10% tổng giá trị tài sản của Quỹ.</w:t>
      </w:r>
    </w:p>
    <w:p w14:paraId="7C514075" w14:textId="77777777" w:rsidR="00D22BA0" w:rsidRPr="004802DE" w:rsidRDefault="00D22BA0" w:rsidP="00316DB4">
      <w:pPr>
        <w:pStyle w:val="ListParagraph"/>
        <w:shd w:val="clear" w:color="auto" w:fill="FFFFFF"/>
        <w:spacing w:line="360" w:lineRule="auto"/>
        <w:jc w:val="both"/>
        <w:rPr>
          <w:b w:val="0"/>
          <w:lang w:val="nl-NL"/>
        </w:rPr>
      </w:pPr>
      <w:r w:rsidRPr="004802DE">
        <w:rPr>
          <w:b w:val="0"/>
          <w:lang w:val="nl-NL"/>
        </w:rPr>
        <w:t>Công ty Quản lý Quỹ có trách nhiệm điều chỉnh lại cơ cấu danh mục đầu tư của Quỹ cho phù hợp với quy định chậm nhất vào ngày 12 tháng 01 năm 2023.</w:t>
      </w:r>
    </w:p>
    <w:p w14:paraId="5422BD3E" w14:textId="77777777" w:rsidR="00D22BA0" w:rsidRPr="004802DE" w:rsidRDefault="00D22BA0" w:rsidP="00D22BA0">
      <w:pPr>
        <w:pStyle w:val="ListParagraph"/>
        <w:shd w:val="clear" w:color="auto" w:fill="FFFFFF"/>
        <w:spacing w:line="360" w:lineRule="auto"/>
        <w:ind w:left="0"/>
        <w:jc w:val="both"/>
        <w:rPr>
          <w:b w:val="0"/>
          <w:lang w:val="nl-NL"/>
        </w:rPr>
      </w:pPr>
      <w:r w:rsidRPr="004802DE">
        <w:rPr>
          <w:b w:val="0"/>
          <w:lang w:val="nl-NL"/>
        </w:rPr>
        <w:t>Từ ngày 01 tháng 01 năm 2022 đến ngày 31 tháng 12 năm 2022, Quỹ không có bất kỳ hợp đồng vay và cho vay.</w:t>
      </w:r>
    </w:p>
    <w:p w14:paraId="53C2CD5D" w14:textId="77777777" w:rsidR="00D22BA0" w:rsidRPr="004802DE" w:rsidRDefault="00D22BA0" w:rsidP="00D22BA0">
      <w:pPr>
        <w:pStyle w:val="ListParagraph"/>
        <w:shd w:val="clear" w:color="auto" w:fill="FFFFFF"/>
        <w:spacing w:line="360" w:lineRule="auto"/>
        <w:ind w:left="0"/>
        <w:jc w:val="both"/>
        <w:rPr>
          <w:b w:val="0"/>
          <w:lang w:val="nl-NL"/>
        </w:rPr>
      </w:pPr>
      <w:r w:rsidRPr="004802DE">
        <w:rPr>
          <w:b w:val="0"/>
          <w:lang w:val="nl-NL"/>
        </w:rPr>
        <w:t>d) Việc xác định giá trị tài sản ròng theo quy định pháp luật, quy định tại Điều lệ quỹ, Bản cáo bạch: việc xác định giá trị tài sản ròng của Quỹ đã tuân thủ theo quy định pháp luật, quy định tại Điều lệ Quỹ, Bản cáo bạch và các văn bản pháp luật có liên quan.</w:t>
      </w:r>
    </w:p>
    <w:p w14:paraId="734D3A74" w14:textId="77777777" w:rsidR="00D22BA0" w:rsidRPr="004802DE" w:rsidRDefault="00D22BA0" w:rsidP="00D22BA0">
      <w:pPr>
        <w:pStyle w:val="ListParagraph"/>
        <w:shd w:val="clear" w:color="auto" w:fill="FFFFFF"/>
        <w:spacing w:line="360" w:lineRule="auto"/>
        <w:ind w:left="0"/>
        <w:jc w:val="both"/>
        <w:rPr>
          <w:b w:val="0"/>
          <w:lang w:val="nl-NL"/>
        </w:rPr>
      </w:pPr>
      <w:r w:rsidRPr="004802DE">
        <w:rPr>
          <w:b w:val="0"/>
          <w:lang w:val="nl-NL"/>
        </w:rPr>
        <w:t xml:space="preserve">e) Việc phát hành bổ sung chứng chỉ quỹ, mua lại chứng chỉ quỹ theo quy định pháp luật, quy định tại Điều lệ quỹ, Bản cáo bạch: việc phát hành bổ sung chứng chỉ quỹ, mua lại chứng chỉ quỹ được tuân thủ theo quy định pháp luật liên quan hiện hành, quy định tại Điều lệ Quỹ, Bản cáo bạch. </w:t>
      </w:r>
    </w:p>
    <w:p w14:paraId="74C873E4" w14:textId="77777777" w:rsidR="00D22BA0" w:rsidRPr="004802DE" w:rsidRDefault="00D22BA0" w:rsidP="00D22BA0">
      <w:pPr>
        <w:pStyle w:val="ListParagraph"/>
        <w:shd w:val="clear" w:color="auto" w:fill="FFFFFF"/>
        <w:spacing w:line="360" w:lineRule="auto"/>
        <w:ind w:left="0"/>
        <w:jc w:val="both"/>
        <w:rPr>
          <w:b w:val="0"/>
          <w:lang w:val="nl-NL"/>
        </w:rPr>
      </w:pPr>
      <w:r w:rsidRPr="004802DE">
        <w:rPr>
          <w:b w:val="0"/>
          <w:lang w:val="nl-NL"/>
        </w:rPr>
        <w:t>Từ ngày 01 tháng 01 năm 2022 đến ngày 31 tháng 12 năm 2022, Quỹ đã thực hiện:</w:t>
      </w:r>
    </w:p>
    <w:p w14:paraId="4912E67E" w14:textId="77777777" w:rsidR="00D22BA0" w:rsidRPr="004802DE" w:rsidRDefault="00D22BA0" w:rsidP="00D22BA0">
      <w:pPr>
        <w:pStyle w:val="ListParagraph"/>
        <w:shd w:val="clear" w:color="auto" w:fill="FFFFFF"/>
        <w:spacing w:line="360" w:lineRule="auto"/>
        <w:ind w:left="0"/>
        <w:jc w:val="both"/>
        <w:rPr>
          <w:b w:val="0"/>
          <w:lang w:val="nl-NL"/>
        </w:rPr>
      </w:pPr>
      <w:r w:rsidRPr="004802DE">
        <w:rPr>
          <w:b w:val="0"/>
          <w:lang w:val="nl-NL"/>
        </w:rPr>
        <w:t>•</w:t>
      </w:r>
      <w:r w:rsidRPr="004802DE">
        <w:rPr>
          <w:b w:val="0"/>
          <w:lang w:val="nl-NL"/>
        </w:rPr>
        <w:tab/>
        <w:t>Phát hành thêm chứng chỉ Quỹ: phát hành thêm 120.426.929,21 chứng chỉ Quỹ tương ứng với tổng giá trị phát hành theo mệnh giá là 1.204.269.292.100 đồng.</w:t>
      </w:r>
    </w:p>
    <w:p w14:paraId="75214291" w14:textId="77777777" w:rsidR="00D22BA0" w:rsidRPr="004802DE" w:rsidRDefault="00D22BA0" w:rsidP="00D22BA0">
      <w:pPr>
        <w:pStyle w:val="ListParagraph"/>
        <w:shd w:val="clear" w:color="auto" w:fill="FFFFFF"/>
        <w:spacing w:line="360" w:lineRule="auto"/>
        <w:ind w:left="0"/>
        <w:jc w:val="both"/>
        <w:rPr>
          <w:b w:val="0"/>
          <w:lang w:val="nl-NL"/>
        </w:rPr>
      </w:pPr>
      <w:r w:rsidRPr="004802DE">
        <w:rPr>
          <w:b w:val="0"/>
          <w:lang w:val="nl-NL"/>
        </w:rPr>
        <w:t>•</w:t>
      </w:r>
      <w:r w:rsidRPr="004802DE">
        <w:rPr>
          <w:b w:val="0"/>
          <w:lang w:val="nl-NL"/>
        </w:rPr>
        <w:tab/>
        <w:t>Mua lại chứng chỉ Quỹ: mua lại 118.977.451,61 chứng chỉ Quỹ tương ứng với tổng giá trị mua lại theo mệnh giá là 1.189.774.516.100 đồng.</w:t>
      </w:r>
    </w:p>
    <w:p w14:paraId="48A2E2DF" w14:textId="77777777" w:rsidR="00D22BA0" w:rsidRPr="004802DE" w:rsidRDefault="00D22BA0" w:rsidP="00D22BA0">
      <w:pPr>
        <w:pStyle w:val="ListParagraph"/>
        <w:shd w:val="clear" w:color="auto" w:fill="FFFFFF"/>
        <w:spacing w:line="360" w:lineRule="auto"/>
        <w:ind w:left="0"/>
        <w:contextualSpacing w:val="0"/>
        <w:jc w:val="both"/>
        <w:rPr>
          <w:b w:val="0"/>
          <w:lang w:val="nl-NL"/>
        </w:rPr>
      </w:pPr>
      <w:r w:rsidRPr="004802DE">
        <w:rPr>
          <w:b w:val="0"/>
          <w:lang w:val="nl-NL"/>
        </w:rPr>
        <w:t>e) Việc phân chia lợi nhuận của quỹ: từ ngày 01 tháng 01 năm 2022 đến ngày 31 tháng 12 năm 2022, Quỹ không thực hiện phân phối lợi nhuận cho nhà đầu tư.</w:t>
      </w:r>
    </w:p>
    <w:p w14:paraId="01149277" w14:textId="77777777" w:rsidR="008B68C6" w:rsidRPr="004802DE" w:rsidRDefault="008B68C6" w:rsidP="00345D38">
      <w:pPr>
        <w:pStyle w:val="ListParagraph"/>
        <w:tabs>
          <w:tab w:val="left" w:pos="540"/>
          <w:tab w:val="left" w:pos="1134"/>
        </w:tabs>
        <w:spacing w:after="240" w:line="360" w:lineRule="auto"/>
        <w:ind w:left="0"/>
        <w:jc w:val="both"/>
        <w:rPr>
          <w:lang w:val="nl-NL"/>
        </w:rPr>
      </w:pPr>
      <w:r w:rsidRPr="004802DE">
        <w:rPr>
          <w:lang w:val="nl-NL"/>
        </w:rPr>
        <w:lastRenderedPageBreak/>
        <w:t>5.</w:t>
      </w:r>
      <w:r w:rsidRPr="004802DE">
        <w:rPr>
          <w:b w:val="0"/>
          <w:lang w:val="nl-NL"/>
        </w:rPr>
        <w:t xml:space="preserve"> </w:t>
      </w:r>
      <w:r w:rsidRPr="004802DE">
        <w:rPr>
          <w:lang w:val="nl-NL"/>
        </w:rPr>
        <w:t>Báo cáo về hoạt động ủy quyền (nếu có)</w:t>
      </w:r>
    </w:p>
    <w:p w14:paraId="0D438F6A" w14:textId="77777777" w:rsidR="00BB6938" w:rsidRPr="004802DE" w:rsidRDefault="00BB6938" w:rsidP="00345D38">
      <w:pPr>
        <w:pStyle w:val="ListParagraph"/>
        <w:tabs>
          <w:tab w:val="left" w:pos="540"/>
          <w:tab w:val="left" w:pos="1134"/>
        </w:tabs>
        <w:spacing w:after="240" w:line="360" w:lineRule="auto"/>
        <w:ind w:left="0"/>
        <w:jc w:val="both"/>
        <w:rPr>
          <w:b w:val="0"/>
          <w:lang w:val="nl-NL"/>
        </w:rPr>
      </w:pPr>
      <w:r w:rsidRPr="004802DE">
        <w:rPr>
          <w:b w:val="0"/>
          <w:lang w:val="nl-NL"/>
        </w:rPr>
        <w:t>Công ty quản lý quỹ phải lập váo cáo đánh giá chất lượng dịch vụ cung cấp bởi các tổ chức khác (bên nhận ủy quyền), như dịch vụ đại lý chuyển nhượng, dịch vụ quản trị quỹ, dịch vụ xác định giá trị tài sản ròng... với các nội dung sau:</w:t>
      </w:r>
    </w:p>
    <w:p w14:paraId="6713F06C" w14:textId="6C66C83C" w:rsidR="00BB6938" w:rsidRDefault="00BB6938" w:rsidP="00A9550E">
      <w:pPr>
        <w:pStyle w:val="ListParagraph"/>
        <w:numPr>
          <w:ilvl w:val="0"/>
          <w:numId w:val="31"/>
        </w:numPr>
        <w:tabs>
          <w:tab w:val="left" w:pos="540"/>
          <w:tab w:val="left" w:pos="1134"/>
        </w:tabs>
        <w:spacing w:after="200" w:line="276" w:lineRule="auto"/>
        <w:jc w:val="both"/>
        <w:rPr>
          <w:b w:val="0"/>
          <w:lang w:val="nl-NL"/>
        </w:rPr>
      </w:pPr>
      <w:r w:rsidRPr="004802DE">
        <w:rPr>
          <w:b w:val="0"/>
          <w:lang w:val="nl-NL"/>
        </w:rPr>
        <w:t>Chi phí phải trả cho bên nhận ủy quyền so với lợi nhuận, thu nhập,</w:t>
      </w:r>
      <w:r w:rsidR="00137B45" w:rsidRPr="004802DE">
        <w:rPr>
          <w:b w:val="0"/>
          <w:lang w:val="nl-NL"/>
        </w:rPr>
        <w:t xml:space="preserve"> tổng chi phí hoạt động của quỹ :</w:t>
      </w:r>
    </w:p>
    <w:tbl>
      <w:tblPr>
        <w:tblW w:w="9310" w:type="dxa"/>
        <w:tblInd w:w="93" w:type="dxa"/>
        <w:tblLook w:val="04A0" w:firstRow="1" w:lastRow="0" w:firstColumn="1" w:lastColumn="0" w:noHBand="0" w:noVBand="1"/>
      </w:tblPr>
      <w:tblGrid>
        <w:gridCol w:w="4111"/>
        <w:gridCol w:w="1675"/>
        <w:gridCol w:w="1955"/>
        <w:gridCol w:w="1569"/>
      </w:tblGrid>
      <w:tr w:rsidR="00A35BCD" w:rsidRPr="009A146C" w14:paraId="226A7867" w14:textId="77777777" w:rsidTr="00B11018">
        <w:trPr>
          <w:trHeight w:val="338"/>
        </w:trPr>
        <w:tc>
          <w:tcPr>
            <w:tcW w:w="411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6889E8D1" w14:textId="77777777" w:rsidR="00A35BCD" w:rsidRPr="009A146C" w:rsidRDefault="00A35BCD" w:rsidP="00B11018">
            <w:pPr>
              <w:jc w:val="both"/>
              <w:rPr>
                <w:rFonts w:ascii="Arial" w:hAnsi="Arial" w:cs="Arial"/>
                <w:b w:val="0"/>
                <w:bCs/>
                <w:color w:val="000000" w:themeColor="text1"/>
                <w:sz w:val="20"/>
                <w:szCs w:val="20"/>
                <w:lang w:val="vi-VN" w:eastAsia="vi-VN"/>
              </w:rPr>
            </w:pPr>
            <w:r w:rsidRPr="009A146C">
              <w:rPr>
                <w:rFonts w:ascii="Arial" w:hAnsi="Arial" w:cs="Arial"/>
                <w:bCs/>
                <w:color w:val="000000" w:themeColor="text1"/>
                <w:sz w:val="20"/>
                <w:szCs w:val="20"/>
                <w:lang w:val="vi-VN" w:eastAsia="vi-VN"/>
              </w:rPr>
              <w:t>Chỉ tiêu</w:t>
            </w:r>
          </w:p>
        </w:tc>
        <w:tc>
          <w:tcPr>
            <w:tcW w:w="1675" w:type="dxa"/>
            <w:tcBorders>
              <w:top w:val="single" w:sz="4" w:space="0" w:color="auto"/>
              <w:left w:val="nil"/>
              <w:bottom w:val="single" w:sz="4" w:space="0" w:color="auto"/>
              <w:right w:val="single" w:sz="4" w:space="0" w:color="auto"/>
            </w:tcBorders>
            <w:shd w:val="clear" w:color="auto" w:fill="FFC000"/>
            <w:noWrap/>
            <w:vAlign w:val="bottom"/>
            <w:hideMark/>
          </w:tcPr>
          <w:p w14:paraId="0DB58347" w14:textId="77777777" w:rsidR="00A35BCD" w:rsidRPr="009A146C" w:rsidRDefault="00A35BCD" w:rsidP="00B11018">
            <w:pPr>
              <w:jc w:val="center"/>
              <w:rPr>
                <w:rFonts w:ascii="Arial" w:hAnsi="Arial" w:cs="Arial"/>
                <w:b w:val="0"/>
                <w:bCs/>
                <w:color w:val="000000" w:themeColor="text1"/>
                <w:sz w:val="20"/>
                <w:szCs w:val="20"/>
                <w:lang w:eastAsia="vi-VN"/>
              </w:rPr>
            </w:pPr>
            <w:r w:rsidRPr="009A146C">
              <w:rPr>
                <w:rFonts w:ascii="Arial" w:hAnsi="Arial" w:cs="Arial"/>
                <w:bCs/>
                <w:color w:val="000000" w:themeColor="text1"/>
                <w:sz w:val="20"/>
                <w:szCs w:val="20"/>
                <w:lang w:val="vi-VN" w:eastAsia="vi-VN"/>
              </w:rPr>
              <w:t>Tỷ lệ</w:t>
            </w:r>
            <w:r w:rsidRPr="009A146C">
              <w:rPr>
                <w:rFonts w:ascii="Arial" w:hAnsi="Arial" w:cs="Arial"/>
                <w:bCs/>
                <w:color w:val="000000" w:themeColor="text1"/>
                <w:sz w:val="20"/>
                <w:szCs w:val="20"/>
                <w:lang w:eastAsia="vi-VN"/>
              </w:rPr>
              <w:t xml:space="preserve"> so với lợi nhuận</w:t>
            </w:r>
          </w:p>
        </w:tc>
        <w:tc>
          <w:tcPr>
            <w:tcW w:w="1955" w:type="dxa"/>
            <w:tcBorders>
              <w:top w:val="single" w:sz="4" w:space="0" w:color="auto"/>
              <w:left w:val="nil"/>
              <w:bottom w:val="single" w:sz="4" w:space="0" w:color="auto"/>
              <w:right w:val="single" w:sz="4" w:space="0" w:color="auto"/>
            </w:tcBorders>
            <w:shd w:val="clear" w:color="auto" w:fill="FFC000"/>
            <w:vAlign w:val="bottom"/>
          </w:tcPr>
          <w:p w14:paraId="0779FD1C" w14:textId="77777777" w:rsidR="00A35BCD" w:rsidRPr="009A146C" w:rsidRDefault="00A35BCD" w:rsidP="00B11018">
            <w:pPr>
              <w:jc w:val="center"/>
              <w:rPr>
                <w:rFonts w:ascii="Arial" w:hAnsi="Arial" w:cs="Arial"/>
                <w:b w:val="0"/>
                <w:bCs/>
                <w:color w:val="000000" w:themeColor="text1"/>
                <w:sz w:val="20"/>
                <w:szCs w:val="20"/>
                <w:lang w:eastAsia="vi-VN"/>
              </w:rPr>
            </w:pPr>
            <w:r w:rsidRPr="009A146C">
              <w:rPr>
                <w:rFonts w:ascii="Arial" w:hAnsi="Arial" w:cs="Arial"/>
                <w:bCs/>
                <w:color w:val="000000" w:themeColor="text1"/>
                <w:sz w:val="20"/>
                <w:szCs w:val="20"/>
                <w:lang w:val="vi-VN" w:eastAsia="vi-VN"/>
              </w:rPr>
              <w:t>Tỷ lệ</w:t>
            </w:r>
            <w:r w:rsidRPr="009A146C">
              <w:rPr>
                <w:rFonts w:ascii="Arial" w:hAnsi="Arial" w:cs="Arial"/>
                <w:bCs/>
                <w:color w:val="000000" w:themeColor="text1"/>
                <w:sz w:val="20"/>
                <w:szCs w:val="20"/>
                <w:lang w:eastAsia="vi-VN"/>
              </w:rPr>
              <w:t xml:space="preserve"> so với chi phí hoạt động</w:t>
            </w:r>
          </w:p>
        </w:tc>
        <w:tc>
          <w:tcPr>
            <w:tcW w:w="1569" w:type="dxa"/>
            <w:tcBorders>
              <w:top w:val="single" w:sz="4" w:space="0" w:color="auto"/>
              <w:left w:val="single" w:sz="4" w:space="0" w:color="auto"/>
              <w:bottom w:val="single" w:sz="4" w:space="0" w:color="auto"/>
              <w:right w:val="single" w:sz="4" w:space="0" w:color="auto"/>
            </w:tcBorders>
            <w:shd w:val="clear" w:color="auto" w:fill="FFC000"/>
          </w:tcPr>
          <w:p w14:paraId="6DEFC521" w14:textId="77777777" w:rsidR="00A35BCD" w:rsidRPr="009A146C" w:rsidRDefault="00A35BCD" w:rsidP="00B11018">
            <w:pPr>
              <w:jc w:val="center"/>
              <w:rPr>
                <w:rFonts w:ascii="Arial" w:hAnsi="Arial" w:cs="Arial"/>
                <w:b w:val="0"/>
                <w:bCs/>
                <w:color w:val="000000" w:themeColor="text1"/>
                <w:sz w:val="20"/>
                <w:szCs w:val="20"/>
                <w:lang w:val="vi-VN" w:eastAsia="vi-VN"/>
              </w:rPr>
            </w:pPr>
            <w:r w:rsidRPr="009A146C">
              <w:rPr>
                <w:rFonts w:ascii="Arial" w:hAnsi="Arial" w:cs="Arial"/>
                <w:bCs/>
                <w:color w:val="000000" w:themeColor="text1"/>
                <w:sz w:val="20"/>
                <w:szCs w:val="20"/>
                <w:lang w:val="vi-VN" w:eastAsia="vi-VN"/>
              </w:rPr>
              <w:t>Tỷ lệ</w:t>
            </w:r>
            <w:r w:rsidRPr="009A146C">
              <w:rPr>
                <w:rFonts w:ascii="Arial" w:hAnsi="Arial" w:cs="Arial"/>
                <w:bCs/>
                <w:color w:val="000000" w:themeColor="text1"/>
                <w:sz w:val="20"/>
                <w:szCs w:val="20"/>
                <w:lang w:eastAsia="vi-VN"/>
              </w:rPr>
              <w:t xml:space="preserve"> so với thu nhập</w:t>
            </w:r>
          </w:p>
        </w:tc>
      </w:tr>
      <w:tr w:rsidR="00A35BCD" w:rsidRPr="009A146C" w14:paraId="5BB89A35" w14:textId="77777777" w:rsidTr="00B11018">
        <w:trPr>
          <w:trHeight w:val="37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999D32B" w14:textId="77777777" w:rsidR="00A35BCD" w:rsidRPr="00D10296" w:rsidRDefault="00A35BCD" w:rsidP="00B11018">
            <w:pPr>
              <w:jc w:val="both"/>
              <w:rPr>
                <w:rFonts w:ascii="Arial" w:hAnsi="Arial" w:cs="Arial"/>
                <w:b w:val="0"/>
                <w:bCs/>
                <w:color w:val="000000" w:themeColor="text1"/>
                <w:sz w:val="20"/>
                <w:szCs w:val="20"/>
                <w:lang w:val="vi-VN" w:eastAsia="vi-VN"/>
              </w:rPr>
            </w:pPr>
            <w:r w:rsidRPr="00D10296">
              <w:rPr>
                <w:rFonts w:ascii="Arial" w:hAnsi="Arial" w:cs="Arial"/>
                <w:b w:val="0"/>
                <w:bCs/>
                <w:color w:val="000000" w:themeColor="text1"/>
                <w:sz w:val="20"/>
                <w:szCs w:val="20"/>
                <w:lang w:val="vi-VN" w:eastAsia="vi-VN"/>
              </w:rPr>
              <w:t xml:space="preserve">Chi phí dịch vụ đại lý chuyển nhượng </w:t>
            </w:r>
          </w:p>
        </w:tc>
        <w:tc>
          <w:tcPr>
            <w:tcW w:w="1675" w:type="dxa"/>
            <w:tcBorders>
              <w:top w:val="nil"/>
              <w:left w:val="nil"/>
              <w:bottom w:val="single" w:sz="4" w:space="0" w:color="auto"/>
              <w:right w:val="single" w:sz="4" w:space="0" w:color="auto"/>
            </w:tcBorders>
            <w:shd w:val="clear" w:color="auto" w:fill="auto"/>
            <w:noWrap/>
            <w:vAlign w:val="center"/>
          </w:tcPr>
          <w:p w14:paraId="4D470AF6" w14:textId="7DAA44BC" w:rsidR="00A35BCD" w:rsidRPr="00D10296" w:rsidRDefault="00A35BCD" w:rsidP="00B11018">
            <w:pPr>
              <w:jc w:val="right"/>
              <w:rPr>
                <w:rFonts w:ascii="Arial" w:hAnsi="Arial" w:cs="Arial"/>
                <w:b w:val="0"/>
                <w:bCs/>
                <w:color w:val="000000" w:themeColor="text1"/>
                <w:sz w:val="20"/>
                <w:szCs w:val="20"/>
                <w:lang w:eastAsia="vi-VN"/>
              </w:rPr>
            </w:pPr>
            <w:r w:rsidRPr="00D10296">
              <w:rPr>
                <w:b w:val="0"/>
                <w:bCs/>
              </w:rPr>
              <w:t>1</w:t>
            </w:r>
            <w:r w:rsidR="00BB71C1">
              <w:rPr>
                <w:b w:val="0"/>
                <w:bCs/>
              </w:rPr>
              <w:t>,</w:t>
            </w:r>
            <w:r w:rsidRPr="00D10296">
              <w:rPr>
                <w:b w:val="0"/>
                <w:bCs/>
              </w:rPr>
              <w:t>05%</w:t>
            </w:r>
          </w:p>
        </w:tc>
        <w:tc>
          <w:tcPr>
            <w:tcW w:w="1955" w:type="dxa"/>
            <w:tcBorders>
              <w:top w:val="nil"/>
              <w:left w:val="nil"/>
              <w:bottom w:val="single" w:sz="4" w:space="0" w:color="auto"/>
              <w:right w:val="single" w:sz="4" w:space="0" w:color="auto"/>
            </w:tcBorders>
            <w:vAlign w:val="center"/>
          </w:tcPr>
          <w:p w14:paraId="397C6040" w14:textId="1B4FA263" w:rsidR="00A35BCD" w:rsidRPr="00D10296" w:rsidRDefault="00A35BCD" w:rsidP="00B11018">
            <w:pPr>
              <w:jc w:val="right"/>
              <w:rPr>
                <w:rFonts w:ascii="Arial" w:hAnsi="Arial" w:cs="Arial"/>
                <w:b w:val="0"/>
                <w:bCs/>
                <w:color w:val="000000"/>
                <w:sz w:val="20"/>
                <w:szCs w:val="20"/>
              </w:rPr>
            </w:pPr>
            <w:r w:rsidRPr="00D10296">
              <w:rPr>
                <w:b w:val="0"/>
                <w:bCs/>
              </w:rPr>
              <w:t>2</w:t>
            </w:r>
            <w:r w:rsidR="00BB71C1">
              <w:rPr>
                <w:b w:val="0"/>
                <w:bCs/>
              </w:rPr>
              <w:t>,</w:t>
            </w:r>
            <w:r w:rsidRPr="00D10296">
              <w:rPr>
                <w:b w:val="0"/>
                <w:bCs/>
              </w:rPr>
              <w:t>08%</w:t>
            </w:r>
          </w:p>
        </w:tc>
        <w:tc>
          <w:tcPr>
            <w:tcW w:w="1569" w:type="dxa"/>
            <w:tcBorders>
              <w:top w:val="single" w:sz="4" w:space="0" w:color="auto"/>
              <w:left w:val="single" w:sz="4" w:space="0" w:color="auto"/>
              <w:bottom w:val="single" w:sz="4" w:space="0" w:color="auto"/>
              <w:right w:val="single" w:sz="4" w:space="0" w:color="auto"/>
            </w:tcBorders>
            <w:vAlign w:val="center"/>
          </w:tcPr>
          <w:p w14:paraId="73854BC4" w14:textId="7EAF333D" w:rsidR="00A35BCD" w:rsidRPr="00D10296" w:rsidRDefault="00A35BCD" w:rsidP="00B11018">
            <w:pPr>
              <w:jc w:val="right"/>
              <w:rPr>
                <w:rFonts w:ascii="Arial" w:hAnsi="Arial" w:cs="Arial"/>
                <w:b w:val="0"/>
                <w:bCs/>
                <w:color w:val="000000"/>
                <w:sz w:val="20"/>
                <w:szCs w:val="20"/>
              </w:rPr>
            </w:pPr>
            <w:r w:rsidRPr="00D10296">
              <w:rPr>
                <w:b w:val="0"/>
                <w:bCs/>
              </w:rPr>
              <w:t>0</w:t>
            </w:r>
            <w:r w:rsidR="00BB71C1">
              <w:rPr>
                <w:b w:val="0"/>
                <w:bCs/>
              </w:rPr>
              <w:t>,</w:t>
            </w:r>
            <w:r w:rsidRPr="00D10296">
              <w:rPr>
                <w:b w:val="0"/>
                <w:bCs/>
              </w:rPr>
              <w:t>69%</w:t>
            </w:r>
          </w:p>
        </w:tc>
      </w:tr>
      <w:tr w:rsidR="00A35BCD" w:rsidRPr="009A146C" w14:paraId="1E8D2FE6" w14:textId="77777777" w:rsidTr="00B11018">
        <w:trPr>
          <w:trHeight w:val="38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400D4C5" w14:textId="77777777" w:rsidR="00A35BCD" w:rsidRPr="00D10296" w:rsidRDefault="00A35BCD" w:rsidP="00B11018">
            <w:pPr>
              <w:jc w:val="both"/>
              <w:rPr>
                <w:rFonts w:ascii="Arial" w:hAnsi="Arial" w:cs="Arial"/>
                <w:b w:val="0"/>
                <w:bCs/>
                <w:color w:val="000000" w:themeColor="text1"/>
                <w:sz w:val="20"/>
                <w:szCs w:val="20"/>
                <w:lang w:val="vi-VN" w:eastAsia="vi-VN"/>
              </w:rPr>
            </w:pPr>
            <w:r w:rsidRPr="00D10296">
              <w:rPr>
                <w:rFonts w:ascii="Arial" w:hAnsi="Arial" w:cs="Arial"/>
                <w:b w:val="0"/>
                <w:bCs/>
                <w:color w:val="000000" w:themeColor="text1"/>
                <w:sz w:val="20"/>
                <w:szCs w:val="20"/>
                <w:lang w:val="vi-VN" w:eastAsia="vi-VN"/>
              </w:rPr>
              <w:t xml:space="preserve">Chi phí dịch vụ Quản trị Quỹ </w:t>
            </w:r>
          </w:p>
        </w:tc>
        <w:tc>
          <w:tcPr>
            <w:tcW w:w="1675" w:type="dxa"/>
            <w:tcBorders>
              <w:top w:val="nil"/>
              <w:left w:val="nil"/>
              <w:bottom w:val="single" w:sz="4" w:space="0" w:color="auto"/>
              <w:right w:val="single" w:sz="4" w:space="0" w:color="auto"/>
            </w:tcBorders>
            <w:shd w:val="clear" w:color="auto" w:fill="auto"/>
            <w:noWrap/>
            <w:vAlign w:val="center"/>
          </w:tcPr>
          <w:p w14:paraId="3EEF6A86" w14:textId="218933CD" w:rsidR="00A35BCD" w:rsidRPr="00D10296" w:rsidRDefault="00A35BCD" w:rsidP="00B11018">
            <w:pPr>
              <w:jc w:val="right"/>
              <w:rPr>
                <w:rFonts w:ascii="Arial" w:hAnsi="Arial" w:cs="Arial"/>
                <w:b w:val="0"/>
                <w:bCs/>
                <w:color w:val="000000" w:themeColor="text1"/>
                <w:sz w:val="20"/>
                <w:szCs w:val="20"/>
                <w:lang w:eastAsia="vi-VN"/>
              </w:rPr>
            </w:pPr>
            <w:r w:rsidRPr="00D10296">
              <w:rPr>
                <w:b w:val="0"/>
                <w:bCs/>
              </w:rPr>
              <w:t>3</w:t>
            </w:r>
            <w:r w:rsidR="00BB71C1">
              <w:rPr>
                <w:b w:val="0"/>
                <w:bCs/>
              </w:rPr>
              <w:t>,</w:t>
            </w:r>
            <w:r w:rsidRPr="00D10296">
              <w:rPr>
                <w:b w:val="0"/>
                <w:bCs/>
              </w:rPr>
              <w:t>29%</w:t>
            </w:r>
          </w:p>
        </w:tc>
        <w:tc>
          <w:tcPr>
            <w:tcW w:w="1955" w:type="dxa"/>
            <w:tcBorders>
              <w:top w:val="nil"/>
              <w:left w:val="nil"/>
              <w:bottom w:val="single" w:sz="4" w:space="0" w:color="auto"/>
              <w:right w:val="single" w:sz="4" w:space="0" w:color="auto"/>
            </w:tcBorders>
            <w:vAlign w:val="center"/>
          </w:tcPr>
          <w:p w14:paraId="01D6722C" w14:textId="2726FA1C" w:rsidR="00A35BCD" w:rsidRPr="00D10296" w:rsidRDefault="00A35BCD" w:rsidP="00B11018">
            <w:pPr>
              <w:jc w:val="right"/>
              <w:rPr>
                <w:rFonts w:ascii="Arial" w:hAnsi="Arial" w:cs="Arial"/>
                <w:b w:val="0"/>
                <w:bCs/>
                <w:color w:val="000000"/>
                <w:sz w:val="20"/>
                <w:szCs w:val="20"/>
              </w:rPr>
            </w:pPr>
            <w:r w:rsidRPr="00D10296">
              <w:rPr>
                <w:b w:val="0"/>
                <w:bCs/>
              </w:rPr>
              <w:t>6</w:t>
            </w:r>
            <w:r w:rsidR="00BB71C1">
              <w:rPr>
                <w:b w:val="0"/>
                <w:bCs/>
              </w:rPr>
              <w:t>,</w:t>
            </w:r>
            <w:r w:rsidRPr="00D10296">
              <w:rPr>
                <w:b w:val="0"/>
                <w:bCs/>
              </w:rPr>
              <w:t>48%</w:t>
            </w:r>
          </w:p>
        </w:tc>
        <w:tc>
          <w:tcPr>
            <w:tcW w:w="1569" w:type="dxa"/>
            <w:tcBorders>
              <w:top w:val="single" w:sz="4" w:space="0" w:color="auto"/>
              <w:left w:val="single" w:sz="4" w:space="0" w:color="auto"/>
              <w:bottom w:val="single" w:sz="4" w:space="0" w:color="auto"/>
              <w:right w:val="single" w:sz="4" w:space="0" w:color="auto"/>
            </w:tcBorders>
            <w:vAlign w:val="center"/>
          </w:tcPr>
          <w:p w14:paraId="1AE6AD25" w14:textId="1677DA32" w:rsidR="00A35BCD" w:rsidRPr="00D10296" w:rsidRDefault="00A35BCD" w:rsidP="00B11018">
            <w:pPr>
              <w:jc w:val="right"/>
              <w:rPr>
                <w:rFonts w:ascii="Arial" w:hAnsi="Arial" w:cs="Arial"/>
                <w:b w:val="0"/>
                <w:bCs/>
                <w:color w:val="000000"/>
                <w:sz w:val="20"/>
                <w:szCs w:val="20"/>
              </w:rPr>
            </w:pPr>
            <w:r w:rsidRPr="00D10296">
              <w:rPr>
                <w:b w:val="0"/>
                <w:bCs/>
              </w:rPr>
              <w:t>2</w:t>
            </w:r>
            <w:r w:rsidR="00BB71C1">
              <w:rPr>
                <w:b w:val="0"/>
                <w:bCs/>
              </w:rPr>
              <w:t>,</w:t>
            </w:r>
            <w:r w:rsidRPr="00D10296">
              <w:rPr>
                <w:b w:val="0"/>
                <w:bCs/>
              </w:rPr>
              <w:t>15%</w:t>
            </w:r>
          </w:p>
        </w:tc>
      </w:tr>
    </w:tbl>
    <w:p w14:paraId="2262DE0B" w14:textId="77777777" w:rsidR="00106891" w:rsidRPr="004802DE" w:rsidRDefault="00106891" w:rsidP="00106891">
      <w:pPr>
        <w:pStyle w:val="ListParagraph"/>
        <w:tabs>
          <w:tab w:val="left" w:pos="540"/>
          <w:tab w:val="left" w:pos="1134"/>
        </w:tabs>
        <w:spacing w:after="240" w:line="360" w:lineRule="auto"/>
        <w:jc w:val="both"/>
        <w:rPr>
          <w:b w:val="0"/>
          <w:lang w:val="nl-NL"/>
        </w:rPr>
      </w:pPr>
    </w:p>
    <w:p w14:paraId="28F36A9B" w14:textId="62D86335" w:rsidR="00137B45" w:rsidRPr="004802DE" w:rsidRDefault="00BB6938" w:rsidP="00137B45">
      <w:pPr>
        <w:pStyle w:val="ListParagraph"/>
        <w:numPr>
          <w:ilvl w:val="0"/>
          <w:numId w:val="31"/>
        </w:numPr>
        <w:tabs>
          <w:tab w:val="left" w:pos="540"/>
          <w:tab w:val="left" w:pos="1134"/>
        </w:tabs>
        <w:spacing w:after="240" w:line="360" w:lineRule="auto"/>
        <w:jc w:val="both"/>
        <w:rPr>
          <w:b w:val="0"/>
          <w:lang w:val="nl-NL"/>
        </w:rPr>
      </w:pPr>
      <w:r w:rsidRPr="004802DE">
        <w:rPr>
          <w:b w:val="0"/>
          <w:lang w:val="nl-NL"/>
        </w:rPr>
        <w:t>Các ảnh hưởng (nếu có) của hoạt động ủy quyền tới l</w:t>
      </w:r>
      <w:r w:rsidR="003C1845" w:rsidRPr="004802DE">
        <w:rPr>
          <w:b w:val="0"/>
          <w:lang w:val="nl-NL"/>
        </w:rPr>
        <w:t>ợi nhuận, mức độ rủi ro của quỹ: không có</w:t>
      </w:r>
    </w:p>
    <w:p w14:paraId="6FD0FDA7" w14:textId="1AE8BE91" w:rsidR="00955146" w:rsidRPr="004802DE" w:rsidRDefault="00BB6938" w:rsidP="00E362CF">
      <w:pPr>
        <w:pStyle w:val="ListParagraph"/>
        <w:numPr>
          <w:ilvl w:val="0"/>
          <w:numId w:val="31"/>
        </w:numPr>
        <w:tabs>
          <w:tab w:val="left" w:pos="540"/>
          <w:tab w:val="left" w:pos="1134"/>
        </w:tabs>
        <w:spacing w:after="240" w:line="360" w:lineRule="auto"/>
        <w:jc w:val="both"/>
        <w:rPr>
          <w:b w:val="0"/>
          <w:lang w:val="nl-NL"/>
        </w:rPr>
      </w:pPr>
      <w:r w:rsidRPr="004802DE">
        <w:rPr>
          <w:b w:val="0"/>
          <w:lang w:val="nl-NL"/>
        </w:rPr>
        <w:t>Tổng chi phí các hoạt động ủy quyền phải trả cho bên nhận ủy quyền (trường hợp bên nhận ủy quyền cung cấp nhiều dị</w:t>
      </w:r>
      <w:r w:rsidR="00292F5E" w:rsidRPr="004802DE">
        <w:rPr>
          <w:b w:val="0"/>
          <w:lang w:val="nl-NL"/>
        </w:rPr>
        <w:t>ch vụ cho c</w:t>
      </w:r>
      <w:r w:rsidR="003C1845" w:rsidRPr="004802DE">
        <w:rPr>
          <w:b w:val="0"/>
          <w:lang w:val="nl-NL"/>
        </w:rPr>
        <w:t>ông ty quản lý quỹ):</w:t>
      </w:r>
    </w:p>
    <w:tbl>
      <w:tblPr>
        <w:tblW w:w="9170" w:type="dxa"/>
        <w:tblLook w:val="04A0" w:firstRow="1" w:lastRow="0" w:firstColumn="1" w:lastColumn="0" w:noHBand="0" w:noVBand="1"/>
      </w:tblPr>
      <w:tblGrid>
        <w:gridCol w:w="670"/>
        <w:gridCol w:w="6430"/>
        <w:gridCol w:w="2070"/>
      </w:tblGrid>
      <w:tr w:rsidR="00955146" w:rsidRPr="004802DE" w14:paraId="63EBDB10" w14:textId="77777777" w:rsidTr="004518B9">
        <w:trPr>
          <w:trHeight w:val="310"/>
        </w:trPr>
        <w:tc>
          <w:tcPr>
            <w:tcW w:w="670" w:type="dxa"/>
            <w:tcBorders>
              <w:top w:val="single" w:sz="8" w:space="0" w:color="auto"/>
              <w:left w:val="single" w:sz="8" w:space="0" w:color="auto"/>
              <w:bottom w:val="single" w:sz="8" w:space="0" w:color="auto"/>
              <w:right w:val="single" w:sz="8" w:space="0" w:color="auto"/>
            </w:tcBorders>
            <w:shd w:val="clear" w:color="auto" w:fill="FFC000"/>
            <w:noWrap/>
            <w:vAlign w:val="center"/>
            <w:hideMark/>
          </w:tcPr>
          <w:p w14:paraId="19636774" w14:textId="77777777" w:rsidR="00955146" w:rsidRPr="004802DE" w:rsidRDefault="00955146" w:rsidP="00955146">
            <w:pPr>
              <w:jc w:val="center"/>
              <w:rPr>
                <w:bCs/>
                <w:color w:val="000000"/>
              </w:rPr>
            </w:pPr>
            <w:r w:rsidRPr="004802DE">
              <w:rPr>
                <w:bCs/>
                <w:color w:val="000000"/>
              </w:rPr>
              <w:t>STT</w:t>
            </w:r>
          </w:p>
        </w:tc>
        <w:tc>
          <w:tcPr>
            <w:tcW w:w="6430" w:type="dxa"/>
            <w:tcBorders>
              <w:top w:val="single" w:sz="8" w:space="0" w:color="auto"/>
              <w:left w:val="nil"/>
              <w:bottom w:val="single" w:sz="8" w:space="0" w:color="auto"/>
              <w:right w:val="single" w:sz="8" w:space="0" w:color="auto"/>
            </w:tcBorders>
            <w:shd w:val="clear" w:color="auto" w:fill="FFC000"/>
            <w:noWrap/>
            <w:vAlign w:val="center"/>
            <w:hideMark/>
          </w:tcPr>
          <w:p w14:paraId="15849932" w14:textId="77777777" w:rsidR="00955146" w:rsidRPr="004802DE" w:rsidRDefault="00955146" w:rsidP="00955146">
            <w:pPr>
              <w:jc w:val="center"/>
              <w:rPr>
                <w:bCs/>
                <w:color w:val="000000"/>
              </w:rPr>
            </w:pPr>
            <w:r w:rsidRPr="004802DE">
              <w:rPr>
                <w:bCs/>
              </w:rPr>
              <w:t>Chỉ tiêu</w:t>
            </w:r>
          </w:p>
        </w:tc>
        <w:tc>
          <w:tcPr>
            <w:tcW w:w="2070" w:type="dxa"/>
            <w:tcBorders>
              <w:top w:val="single" w:sz="8" w:space="0" w:color="auto"/>
              <w:left w:val="nil"/>
              <w:bottom w:val="single" w:sz="8" w:space="0" w:color="auto"/>
              <w:right w:val="single" w:sz="8" w:space="0" w:color="auto"/>
            </w:tcBorders>
            <w:shd w:val="clear" w:color="auto" w:fill="FFC000"/>
            <w:noWrap/>
            <w:vAlign w:val="center"/>
            <w:hideMark/>
          </w:tcPr>
          <w:p w14:paraId="1AF5D4A7" w14:textId="77777777" w:rsidR="00955146" w:rsidRPr="004802DE" w:rsidRDefault="00955146" w:rsidP="00955146">
            <w:pPr>
              <w:jc w:val="center"/>
              <w:rPr>
                <w:bCs/>
                <w:color w:val="000000"/>
              </w:rPr>
            </w:pPr>
            <w:r w:rsidRPr="004802DE">
              <w:rPr>
                <w:bCs/>
              </w:rPr>
              <w:t xml:space="preserve"> Số liệu </w:t>
            </w:r>
          </w:p>
        </w:tc>
      </w:tr>
      <w:tr w:rsidR="00C26365" w:rsidRPr="004802DE" w14:paraId="5AF02A56" w14:textId="77777777" w:rsidTr="004518B9">
        <w:trPr>
          <w:trHeight w:val="510"/>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6A3FF131" w14:textId="77777777" w:rsidR="00C26365" w:rsidRPr="004802DE" w:rsidRDefault="00C26365" w:rsidP="00C26365">
            <w:pPr>
              <w:jc w:val="center"/>
              <w:rPr>
                <w:b w:val="0"/>
                <w:color w:val="000000"/>
              </w:rPr>
            </w:pPr>
            <w:r w:rsidRPr="004802DE">
              <w:rPr>
                <w:b w:val="0"/>
                <w:color w:val="000000"/>
              </w:rPr>
              <w:t>1</w:t>
            </w:r>
          </w:p>
        </w:tc>
        <w:tc>
          <w:tcPr>
            <w:tcW w:w="6430" w:type="dxa"/>
            <w:tcBorders>
              <w:top w:val="nil"/>
              <w:left w:val="nil"/>
              <w:bottom w:val="single" w:sz="8" w:space="0" w:color="auto"/>
              <w:right w:val="single" w:sz="8" w:space="0" w:color="auto"/>
            </w:tcBorders>
            <w:shd w:val="clear" w:color="auto" w:fill="auto"/>
            <w:noWrap/>
            <w:vAlign w:val="center"/>
            <w:hideMark/>
          </w:tcPr>
          <w:p w14:paraId="3214D2B9" w14:textId="77777777" w:rsidR="00C26365" w:rsidRPr="004802DE" w:rsidRDefault="00C26365" w:rsidP="00C26365">
            <w:pPr>
              <w:rPr>
                <w:b w:val="0"/>
                <w:color w:val="000000"/>
              </w:rPr>
            </w:pPr>
            <w:r w:rsidRPr="004802DE">
              <w:rPr>
                <w:b w:val="0"/>
                <w:color w:val="000000"/>
              </w:rPr>
              <w:t>Chi phí dịch vụ Đại lý chuyển nhượng</w:t>
            </w:r>
          </w:p>
        </w:tc>
        <w:tc>
          <w:tcPr>
            <w:tcW w:w="2070" w:type="dxa"/>
            <w:tcBorders>
              <w:top w:val="nil"/>
              <w:left w:val="nil"/>
              <w:bottom w:val="single" w:sz="8" w:space="0" w:color="auto"/>
              <w:right w:val="single" w:sz="8" w:space="0" w:color="auto"/>
            </w:tcBorders>
            <w:shd w:val="clear" w:color="auto" w:fill="auto"/>
            <w:noWrap/>
            <w:vAlign w:val="bottom"/>
            <w:hideMark/>
          </w:tcPr>
          <w:p w14:paraId="63E4C897" w14:textId="2CFBCCD2" w:rsidR="00C26365" w:rsidRPr="004802DE" w:rsidRDefault="00C26365" w:rsidP="00C26365">
            <w:pPr>
              <w:jc w:val="right"/>
              <w:rPr>
                <w:b w:val="0"/>
                <w:bCs/>
                <w:color w:val="000000"/>
              </w:rPr>
            </w:pPr>
            <w:r w:rsidRPr="004802DE">
              <w:rPr>
                <w:b w:val="0"/>
                <w:bCs/>
              </w:rPr>
              <w:t>145</w:t>
            </w:r>
            <w:r w:rsidR="00F12029">
              <w:rPr>
                <w:b w:val="0"/>
                <w:bCs/>
              </w:rPr>
              <w:t>.</w:t>
            </w:r>
            <w:r w:rsidRPr="004802DE">
              <w:rPr>
                <w:b w:val="0"/>
                <w:bCs/>
              </w:rPr>
              <w:t>200</w:t>
            </w:r>
            <w:r w:rsidR="00F12029">
              <w:rPr>
                <w:b w:val="0"/>
                <w:bCs/>
              </w:rPr>
              <w:t>.</w:t>
            </w:r>
            <w:r w:rsidRPr="004802DE">
              <w:rPr>
                <w:b w:val="0"/>
                <w:bCs/>
              </w:rPr>
              <w:t>000</w:t>
            </w:r>
          </w:p>
        </w:tc>
      </w:tr>
      <w:tr w:rsidR="00C26365" w:rsidRPr="004802DE" w14:paraId="7FAC0FA7" w14:textId="77777777" w:rsidTr="004518B9">
        <w:trPr>
          <w:trHeight w:val="476"/>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4A950B25" w14:textId="77777777" w:rsidR="00C26365" w:rsidRPr="004802DE" w:rsidRDefault="00C26365" w:rsidP="00C26365">
            <w:pPr>
              <w:jc w:val="center"/>
              <w:rPr>
                <w:b w:val="0"/>
                <w:color w:val="000000"/>
              </w:rPr>
            </w:pPr>
            <w:r w:rsidRPr="004802DE">
              <w:rPr>
                <w:b w:val="0"/>
                <w:color w:val="000000"/>
              </w:rPr>
              <w:t>2</w:t>
            </w:r>
          </w:p>
        </w:tc>
        <w:tc>
          <w:tcPr>
            <w:tcW w:w="6430" w:type="dxa"/>
            <w:tcBorders>
              <w:top w:val="nil"/>
              <w:left w:val="nil"/>
              <w:bottom w:val="single" w:sz="8" w:space="0" w:color="auto"/>
              <w:right w:val="single" w:sz="8" w:space="0" w:color="auto"/>
            </w:tcBorders>
            <w:shd w:val="clear" w:color="auto" w:fill="auto"/>
            <w:noWrap/>
            <w:vAlign w:val="center"/>
            <w:hideMark/>
          </w:tcPr>
          <w:p w14:paraId="52D9657A" w14:textId="77777777" w:rsidR="00C26365" w:rsidRPr="004802DE" w:rsidRDefault="00C26365" w:rsidP="00C26365">
            <w:pPr>
              <w:rPr>
                <w:b w:val="0"/>
                <w:color w:val="000000"/>
              </w:rPr>
            </w:pPr>
            <w:r w:rsidRPr="004802DE">
              <w:rPr>
                <w:b w:val="0"/>
                <w:color w:val="000000"/>
              </w:rPr>
              <w:t>Chi phí dịch vụ Quản trị Quỹ</w:t>
            </w:r>
          </w:p>
        </w:tc>
        <w:tc>
          <w:tcPr>
            <w:tcW w:w="2070" w:type="dxa"/>
            <w:tcBorders>
              <w:top w:val="nil"/>
              <w:left w:val="nil"/>
              <w:bottom w:val="single" w:sz="8" w:space="0" w:color="auto"/>
              <w:right w:val="single" w:sz="8" w:space="0" w:color="auto"/>
            </w:tcBorders>
            <w:shd w:val="clear" w:color="auto" w:fill="auto"/>
            <w:noWrap/>
            <w:vAlign w:val="bottom"/>
            <w:hideMark/>
          </w:tcPr>
          <w:p w14:paraId="7916EDC1" w14:textId="418C4AB0" w:rsidR="00C26365" w:rsidRPr="004802DE" w:rsidRDefault="00C26365" w:rsidP="00C26365">
            <w:pPr>
              <w:jc w:val="right"/>
              <w:rPr>
                <w:b w:val="0"/>
                <w:bCs/>
                <w:color w:val="000000"/>
              </w:rPr>
            </w:pPr>
            <w:r w:rsidRPr="004802DE">
              <w:rPr>
                <w:b w:val="0"/>
                <w:bCs/>
              </w:rPr>
              <w:t>453</w:t>
            </w:r>
            <w:r w:rsidR="00F12029">
              <w:rPr>
                <w:b w:val="0"/>
                <w:bCs/>
              </w:rPr>
              <w:t>.</w:t>
            </w:r>
            <w:r w:rsidRPr="004802DE">
              <w:rPr>
                <w:b w:val="0"/>
                <w:bCs/>
              </w:rPr>
              <w:t>219</w:t>
            </w:r>
            <w:r w:rsidR="00F12029">
              <w:rPr>
                <w:b w:val="0"/>
                <w:bCs/>
              </w:rPr>
              <w:t>.</w:t>
            </w:r>
            <w:r w:rsidRPr="004802DE">
              <w:rPr>
                <w:b w:val="0"/>
                <w:bCs/>
              </w:rPr>
              <w:t>325</w:t>
            </w:r>
          </w:p>
        </w:tc>
      </w:tr>
      <w:tr w:rsidR="00C26365" w:rsidRPr="004802DE" w14:paraId="00CF0FD9" w14:textId="77777777" w:rsidTr="004518B9">
        <w:trPr>
          <w:trHeight w:val="422"/>
        </w:trPr>
        <w:tc>
          <w:tcPr>
            <w:tcW w:w="670" w:type="dxa"/>
            <w:tcBorders>
              <w:top w:val="nil"/>
              <w:left w:val="single" w:sz="8" w:space="0" w:color="auto"/>
              <w:bottom w:val="single" w:sz="8" w:space="0" w:color="auto"/>
              <w:right w:val="single" w:sz="8" w:space="0" w:color="auto"/>
            </w:tcBorders>
            <w:shd w:val="clear" w:color="auto" w:fill="auto"/>
            <w:noWrap/>
            <w:vAlign w:val="center"/>
            <w:hideMark/>
          </w:tcPr>
          <w:p w14:paraId="06E17454" w14:textId="77777777" w:rsidR="00C26365" w:rsidRPr="004802DE" w:rsidRDefault="00C26365" w:rsidP="00C26365">
            <w:pPr>
              <w:rPr>
                <w:b w:val="0"/>
                <w:color w:val="000000"/>
              </w:rPr>
            </w:pPr>
            <w:r w:rsidRPr="004802DE">
              <w:rPr>
                <w:b w:val="0"/>
                <w:color w:val="000000"/>
              </w:rPr>
              <w:t> </w:t>
            </w:r>
          </w:p>
        </w:tc>
        <w:tc>
          <w:tcPr>
            <w:tcW w:w="6430" w:type="dxa"/>
            <w:tcBorders>
              <w:top w:val="nil"/>
              <w:left w:val="nil"/>
              <w:bottom w:val="single" w:sz="8" w:space="0" w:color="auto"/>
              <w:right w:val="single" w:sz="8" w:space="0" w:color="auto"/>
            </w:tcBorders>
            <w:shd w:val="clear" w:color="auto" w:fill="auto"/>
            <w:noWrap/>
            <w:vAlign w:val="center"/>
            <w:hideMark/>
          </w:tcPr>
          <w:p w14:paraId="12387B55" w14:textId="77777777" w:rsidR="00C26365" w:rsidRPr="004802DE" w:rsidRDefault="00C26365" w:rsidP="00C26365">
            <w:pPr>
              <w:rPr>
                <w:bCs/>
                <w:color w:val="000000"/>
              </w:rPr>
            </w:pPr>
            <w:r w:rsidRPr="004802DE">
              <w:rPr>
                <w:bCs/>
                <w:color w:val="000000"/>
              </w:rPr>
              <w:t>Tổng cộng</w:t>
            </w:r>
          </w:p>
        </w:tc>
        <w:tc>
          <w:tcPr>
            <w:tcW w:w="2070" w:type="dxa"/>
            <w:tcBorders>
              <w:top w:val="nil"/>
              <w:left w:val="nil"/>
              <w:bottom w:val="single" w:sz="8" w:space="0" w:color="auto"/>
              <w:right w:val="single" w:sz="8" w:space="0" w:color="auto"/>
            </w:tcBorders>
            <w:shd w:val="clear" w:color="auto" w:fill="auto"/>
            <w:noWrap/>
            <w:vAlign w:val="bottom"/>
            <w:hideMark/>
          </w:tcPr>
          <w:p w14:paraId="1BE023EE" w14:textId="0EF9DC7B" w:rsidR="00C26365" w:rsidRPr="004802DE" w:rsidRDefault="00C26365" w:rsidP="00C26365">
            <w:pPr>
              <w:jc w:val="right"/>
              <w:rPr>
                <w:bCs/>
                <w:color w:val="000000"/>
              </w:rPr>
            </w:pPr>
            <w:r w:rsidRPr="004802DE">
              <w:t>598</w:t>
            </w:r>
            <w:r w:rsidR="00F12029">
              <w:t>.</w:t>
            </w:r>
            <w:r w:rsidRPr="004802DE">
              <w:t>419</w:t>
            </w:r>
            <w:r w:rsidR="00F12029">
              <w:t>.</w:t>
            </w:r>
            <w:r w:rsidRPr="004802DE">
              <w:t>325</w:t>
            </w:r>
          </w:p>
        </w:tc>
      </w:tr>
    </w:tbl>
    <w:p w14:paraId="55F63EE9" w14:textId="77777777" w:rsidR="00106891" w:rsidRPr="004802DE" w:rsidRDefault="00106891" w:rsidP="00106891">
      <w:pPr>
        <w:pStyle w:val="ListParagraph"/>
        <w:tabs>
          <w:tab w:val="left" w:pos="540"/>
          <w:tab w:val="left" w:pos="1134"/>
        </w:tabs>
        <w:spacing w:after="240" w:line="360" w:lineRule="auto"/>
        <w:ind w:left="0"/>
        <w:jc w:val="both"/>
        <w:rPr>
          <w:b w:val="0"/>
          <w:lang w:val="nl-NL"/>
        </w:rPr>
      </w:pPr>
    </w:p>
    <w:p w14:paraId="6B82D540" w14:textId="555C6E09" w:rsidR="00BB6938" w:rsidRPr="004802DE" w:rsidRDefault="00BB6938" w:rsidP="00137B45">
      <w:pPr>
        <w:pStyle w:val="ListParagraph"/>
        <w:numPr>
          <w:ilvl w:val="0"/>
          <w:numId w:val="31"/>
        </w:numPr>
        <w:tabs>
          <w:tab w:val="left" w:pos="540"/>
          <w:tab w:val="left" w:pos="1134"/>
        </w:tabs>
        <w:spacing w:after="240" w:line="360" w:lineRule="auto"/>
        <w:ind w:left="0" w:firstLine="0"/>
        <w:jc w:val="both"/>
        <w:rPr>
          <w:b w:val="0"/>
          <w:lang w:val="nl-NL"/>
        </w:rPr>
      </w:pPr>
      <w:r w:rsidRPr="004802DE">
        <w:rPr>
          <w:b w:val="0"/>
          <w:lang w:val="nl-NL"/>
        </w:rPr>
        <w:t>Đánh giá khả năng duy trì hệ thống kiểm soát nội bộ, quản trị rủi ro, tính bảo mật, hạ tầng cơ sở vật chất kỹ thuật, hệ thống dự phòng n</w:t>
      </w:r>
      <w:r w:rsidR="001E0DC5" w:rsidRPr="004802DE">
        <w:rPr>
          <w:b w:val="0"/>
          <w:lang w:val="nl-NL"/>
        </w:rPr>
        <w:t>óng, hệ thống dự phòng thảm hoạ</w:t>
      </w:r>
      <w:r w:rsidRPr="004802DE">
        <w:rPr>
          <w:b w:val="0"/>
          <w:lang w:val="nl-NL"/>
        </w:rPr>
        <w:t>.. của bên nhận ủy quyền, bảo đảm hoạt động ủy quyền được thực hiện thông suốt, không gây ảnh hưởng tới hoạt động đầu tư của nhà đầu tư.</w:t>
      </w:r>
    </w:p>
    <w:tbl>
      <w:tblPr>
        <w:tblW w:w="9652" w:type="dxa"/>
        <w:tblInd w:w="108" w:type="dxa"/>
        <w:tblLook w:val="01E0" w:firstRow="1" w:lastRow="1" w:firstColumn="1" w:lastColumn="1" w:noHBand="0" w:noVBand="0"/>
      </w:tblPr>
      <w:tblGrid>
        <w:gridCol w:w="4481"/>
        <w:gridCol w:w="5171"/>
      </w:tblGrid>
      <w:tr w:rsidR="008B68C6" w:rsidRPr="004257DE" w14:paraId="35DA87D7" w14:textId="77777777" w:rsidTr="00522781">
        <w:trPr>
          <w:trHeight w:val="276"/>
        </w:trPr>
        <w:tc>
          <w:tcPr>
            <w:tcW w:w="4481" w:type="dxa"/>
          </w:tcPr>
          <w:p w14:paraId="1F8D6DA9" w14:textId="77777777" w:rsidR="006841F3" w:rsidRDefault="006841F3" w:rsidP="00345D38">
            <w:pPr>
              <w:spacing w:after="240" w:line="360" w:lineRule="auto"/>
              <w:jc w:val="both"/>
              <w:rPr>
                <w:b w:val="0"/>
                <w:lang w:val="nl-NL"/>
              </w:rPr>
            </w:pPr>
          </w:p>
          <w:p w14:paraId="153BE8F2" w14:textId="20C77984" w:rsidR="008B68C6" w:rsidRPr="004802DE" w:rsidRDefault="008B68C6" w:rsidP="00345D38">
            <w:pPr>
              <w:spacing w:after="240" w:line="360" w:lineRule="auto"/>
              <w:jc w:val="both"/>
              <w:rPr>
                <w:b w:val="0"/>
                <w:i/>
                <w:lang w:val="nl-NL"/>
              </w:rPr>
            </w:pPr>
            <w:r w:rsidRPr="004802DE">
              <w:rPr>
                <w:b w:val="0"/>
                <w:lang w:val="nl-NL"/>
              </w:rPr>
              <w:t xml:space="preserve"> </w:t>
            </w:r>
          </w:p>
        </w:tc>
        <w:tc>
          <w:tcPr>
            <w:tcW w:w="5171" w:type="dxa"/>
          </w:tcPr>
          <w:p w14:paraId="36644695" w14:textId="5EDB567A" w:rsidR="008B68C6" w:rsidRDefault="0041001B" w:rsidP="00345D38">
            <w:pPr>
              <w:spacing w:after="240" w:line="360" w:lineRule="auto"/>
              <w:jc w:val="center"/>
              <w:rPr>
                <w:bCs/>
                <w:lang w:val="nl-NL"/>
              </w:rPr>
            </w:pPr>
            <w:r w:rsidRPr="004802DE">
              <w:rPr>
                <w:bCs/>
                <w:lang w:val="nl-NL"/>
              </w:rPr>
              <w:t>Giám đốc điều hành Nghiệp vụ hỗ trợ đầu tư</w:t>
            </w:r>
          </w:p>
          <w:p w14:paraId="2167074A" w14:textId="77777777" w:rsidR="00522781" w:rsidRDefault="00522781" w:rsidP="00345D38">
            <w:pPr>
              <w:spacing w:after="240" w:line="360" w:lineRule="auto"/>
              <w:jc w:val="center"/>
              <w:rPr>
                <w:lang w:val="nl-NL"/>
              </w:rPr>
            </w:pPr>
          </w:p>
          <w:p w14:paraId="77092B99" w14:textId="40C00405" w:rsidR="004B4D34" w:rsidRPr="004257DE" w:rsidRDefault="00922F16" w:rsidP="00345D38">
            <w:pPr>
              <w:spacing w:after="240" w:line="360" w:lineRule="auto"/>
              <w:jc w:val="center"/>
              <w:rPr>
                <w:lang w:val="nl-NL"/>
              </w:rPr>
            </w:pPr>
            <w:r w:rsidRPr="004802DE">
              <w:rPr>
                <w:lang w:val="nl-NL"/>
              </w:rPr>
              <w:t>Nguyễn Minh Đăng Khánh</w:t>
            </w:r>
          </w:p>
        </w:tc>
      </w:tr>
    </w:tbl>
    <w:p w14:paraId="1B9A154E" w14:textId="77777777" w:rsidR="00FA0DE6" w:rsidRPr="004257DE" w:rsidRDefault="00FA0DE6" w:rsidP="00345D38">
      <w:pPr>
        <w:spacing w:after="240" w:line="360" w:lineRule="auto"/>
        <w:jc w:val="both"/>
        <w:rPr>
          <w:lang w:val="nl-NL"/>
        </w:rPr>
      </w:pPr>
    </w:p>
    <w:sectPr w:rsidR="00FA0DE6" w:rsidRPr="004257DE" w:rsidSect="006841F3">
      <w:footerReference w:type="default" r:id="rId12"/>
      <w:pgSz w:w="12240" w:h="15840"/>
      <w:pgMar w:top="1304"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94D5" w14:textId="77777777" w:rsidR="00946F45" w:rsidRDefault="00946F45" w:rsidP="003A6776">
      <w:r>
        <w:separator/>
      </w:r>
    </w:p>
  </w:endnote>
  <w:endnote w:type="continuationSeparator" w:id="0">
    <w:p w14:paraId="3DF3D29C" w14:textId="77777777" w:rsidR="00946F45" w:rsidRDefault="00946F45" w:rsidP="003A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28078"/>
      <w:docPartObj>
        <w:docPartGallery w:val="Page Numbers (Bottom of Page)"/>
        <w:docPartUnique/>
      </w:docPartObj>
    </w:sdtPr>
    <w:sdtEndPr/>
    <w:sdtContent>
      <w:p w14:paraId="2D480571" w14:textId="2B797E07" w:rsidR="005D0EEE" w:rsidRDefault="00026CD0">
        <w:pPr>
          <w:pStyle w:val="Footer"/>
          <w:jc w:val="center"/>
        </w:pPr>
        <w:r w:rsidRPr="00074431">
          <w:rPr>
            <w:b w:val="0"/>
            <w:sz w:val="20"/>
            <w:szCs w:val="20"/>
          </w:rPr>
          <w:fldChar w:fldCharType="begin"/>
        </w:r>
        <w:r w:rsidR="005D0EEE" w:rsidRPr="00074431">
          <w:rPr>
            <w:b w:val="0"/>
            <w:sz w:val="20"/>
            <w:szCs w:val="20"/>
          </w:rPr>
          <w:instrText xml:space="preserve"> PAGE   \* MERGEFORMAT </w:instrText>
        </w:r>
        <w:r w:rsidRPr="00074431">
          <w:rPr>
            <w:b w:val="0"/>
            <w:sz w:val="20"/>
            <w:szCs w:val="20"/>
          </w:rPr>
          <w:fldChar w:fldCharType="separate"/>
        </w:r>
        <w:r w:rsidR="00137B45">
          <w:rPr>
            <w:b w:val="0"/>
            <w:noProof/>
            <w:sz w:val="20"/>
            <w:szCs w:val="20"/>
          </w:rPr>
          <w:t>10</w:t>
        </w:r>
        <w:r w:rsidRPr="00074431">
          <w:rPr>
            <w:b w:val="0"/>
            <w:sz w:val="20"/>
            <w:szCs w:val="20"/>
          </w:rPr>
          <w:fldChar w:fldCharType="end"/>
        </w:r>
      </w:p>
    </w:sdtContent>
  </w:sdt>
  <w:p w14:paraId="3F0598CE" w14:textId="77777777" w:rsidR="005D0EEE" w:rsidRDefault="005D0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417E" w14:textId="77777777" w:rsidR="00946F45" w:rsidRDefault="00946F45" w:rsidP="003A6776">
      <w:r>
        <w:separator/>
      </w:r>
    </w:p>
  </w:footnote>
  <w:footnote w:type="continuationSeparator" w:id="0">
    <w:p w14:paraId="475F3069" w14:textId="77777777" w:rsidR="00946F45" w:rsidRDefault="00946F45" w:rsidP="003A6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B03"/>
    <w:multiLevelType w:val="hybridMultilevel"/>
    <w:tmpl w:val="CBDE79DC"/>
    <w:lvl w:ilvl="0" w:tplc="0809000B">
      <w:start w:val="1"/>
      <w:numFmt w:val="bullet"/>
      <w:lvlText w:val=""/>
      <w:lvlJc w:val="left"/>
      <w:pPr>
        <w:ind w:left="1530" w:hanging="360"/>
      </w:pPr>
      <w:rPr>
        <w:rFonts w:ascii="Wingdings" w:hAnsi="Wingdings"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09D97B86"/>
    <w:multiLevelType w:val="hybridMultilevel"/>
    <w:tmpl w:val="4F56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0CE8"/>
    <w:multiLevelType w:val="hybridMultilevel"/>
    <w:tmpl w:val="8018B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C0D66"/>
    <w:multiLevelType w:val="hybridMultilevel"/>
    <w:tmpl w:val="ACDC11FE"/>
    <w:lvl w:ilvl="0" w:tplc="C2CEF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9244B"/>
    <w:multiLevelType w:val="hybridMultilevel"/>
    <w:tmpl w:val="79D8D9A6"/>
    <w:lvl w:ilvl="0" w:tplc="71DA324C">
      <w:start w:val="3"/>
      <w:numFmt w:val="decimal"/>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5D86"/>
    <w:multiLevelType w:val="hybridMultilevel"/>
    <w:tmpl w:val="B65C5A92"/>
    <w:lvl w:ilvl="0" w:tplc="932EF3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4647F71"/>
    <w:multiLevelType w:val="hybridMultilevel"/>
    <w:tmpl w:val="C046B5D2"/>
    <w:lvl w:ilvl="0" w:tplc="88E89E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C5FD9"/>
    <w:multiLevelType w:val="hybridMultilevel"/>
    <w:tmpl w:val="E7D09C6C"/>
    <w:lvl w:ilvl="0" w:tplc="5364A19E">
      <w:start w:val="1"/>
      <w:numFmt w:val="lowerLetter"/>
      <w:lvlText w:val="%1)"/>
      <w:lvlJc w:val="left"/>
      <w:pPr>
        <w:ind w:left="2700" w:hanging="360"/>
      </w:pPr>
      <w:rPr>
        <w:rFonts w:ascii="Arial" w:hAnsi="Arial" w:cs="Arial" w:hint="default"/>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18A93333"/>
    <w:multiLevelType w:val="hybridMultilevel"/>
    <w:tmpl w:val="B75E1BB8"/>
    <w:lvl w:ilvl="0" w:tplc="04090001">
      <w:start w:val="1"/>
      <w:numFmt w:val="bullet"/>
      <w:lvlText w:val=""/>
      <w:lvlJc w:val="left"/>
      <w:pPr>
        <w:ind w:left="720" w:hanging="360"/>
      </w:pPr>
      <w:rPr>
        <w:rFonts w:ascii="Symbol" w:hAnsi="Symbol" w:hint="default"/>
      </w:rPr>
    </w:lvl>
    <w:lvl w:ilvl="1" w:tplc="CB2835E4">
      <w:start w:val="1"/>
      <w:numFmt w:val="bullet"/>
      <w:lvlText w:val="-"/>
      <w:lvlJc w:val="left"/>
      <w:pPr>
        <w:ind w:left="99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F2168"/>
    <w:multiLevelType w:val="hybridMultilevel"/>
    <w:tmpl w:val="BBFC40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F1482"/>
    <w:multiLevelType w:val="hybridMultilevel"/>
    <w:tmpl w:val="FE6C3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65C40"/>
    <w:multiLevelType w:val="hybridMultilevel"/>
    <w:tmpl w:val="B97A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E36E6"/>
    <w:multiLevelType w:val="hybridMultilevel"/>
    <w:tmpl w:val="9DE835EC"/>
    <w:lvl w:ilvl="0" w:tplc="345ACEDE">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BC15748"/>
    <w:multiLevelType w:val="hybridMultilevel"/>
    <w:tmpl w:val="3ADC8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D1EA7"/>
    <w:multiLevelType w:val="hybridMultilevel"/>
    <w:tmpl w:val="6C86EB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7E3481C"/>
    <w:multiLevelType w:val="hybridMultilevel"/>
    <w:tmpl w:val="4322C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E1255"/>
    <w:multiLevelType w:val="hybridMultilevel"/>
    <w:tmpl w:val="DE82E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F6AF7"/>
    <w:multiLevelType w:val="hybridMultilevel"/>
    <w:tmpl w:val="8DDC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56013"/>
    <w:multiLevelType w:val="hybridMultilevel"/>
    <w:tmpl w:val="0FCE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D520D"/>
    <w:multiLevelType w:val="hybridMultilevel"/>
    <w:tmpl w:val="08C81F4A"/>
    <w:lvl w:ilvl="0" w:tplc="78D03F18">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2C58FE"/>
    <w:multiLevelType w:val="hybridMultilevel"/>
    <w:tmpl w:val="53FC81DC"/>
    <w:lvl w:ilvl="0" w:tplc="2AD69E6E">
      <w:start w:val="2"/>
      <w:numFmt w:val="decimal"/>
      <w:lvlText w:val="%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21" w15:restartNumberingAfterBreak="0">
    <w:nsid w:val="429513BA"/>
    <w:multiLevelType w:val="hybridMultilevel"/>
    <w:tmpl w:val="ECFE8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C63CD"/>
    <w:multiLevelType w:val="hybridMultilevel"/>
    <w:tmpl w:val="ABB26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045AB"/>
    <w:multiLevelType w:val="hybridMultilevel"/>
    <w:tmpl w:val="837A6CE8"/>
    <w:lvl w:ilvl="0" w:tplc="ED9AC2AA">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46CCA"/>
    <w:multiLevelType w:val="hybridMultilevel"/>
    <w:tmpl w:val="11E263D8"/>
    <w:lvl w:ilvl="0" w:tplc="F522A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23711"/>
    <w:multiLevelType w:val="hybridMultilevel"/>
    <w:tmpl w:val="6FFA3176"/>
    <w:lvl w:ilvl="0" w:tplc="DDEC69D0">
      <w:start w:val="1"/>
      <w:numFmt w:val="decimal"/>
      <w:lvlText w:val="%1."/>
      <w:lvlJc w:val="left"/>
      <w:pPr>
        <w:ind w:left="106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0156AE5"/>
    <w:multiLevelType w:val="hybridMultilevel"/>
    <w:tmpl w:val="C59EB80A"/>
    <w:lvl w:ilvl="0" w:tplc="F522A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04455"/>
    <w:multiLevelType w:val="hybridMultilevel"/>
    <w:tmpl w:val="24C892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71B29"/>
    <w:multiLevelType w:val="hybridMultilevel"/>
    <w:tmpl w:val="73F01F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83D6D3E"/>
    <w:multiLevelType w:val="hybridMultilevel"/>
    <w:tmpl w:val="3DD225A2"/>
    <w:lvl w:ilvl="0" w:tplc="0809000D">
      <w:start w:val="1"/>
      <w:numFmt w:val="bullet"/>
      <w:lvlText w:val=""/>
      <w:lvlJc w:val="left"/>
      <w:pPr>
        <w:ind w:left="720" w:hanging="360"/>
      </w:pPr>
      <w:rPr>
        <w:rFonts w:ascii="Wingdings" w:hAnsi="Wingdings" w:hint="default"/>
      </w:rPr>
    </w:lvl>
    <w:lvl w:ilvl="1" w:tplc="30AC9DFA">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73729"/>
    <w:multiLevelType w:val="hybridMultilevel"/>
    <w:tmpl w:val="98022C0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A250288"/>
    <w:multiLevelType w:val="hybridMultilevel"/>
    <w:tmpl w:val="9DF8B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D047B"/>
    <w:multiLevelType w:val="hybridMultilevel"/>
    <w:tmpl w:val="3DA2ECC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3" w15:restartNumberingAfterBreak="0">
    <w:nsid w:val="601E25A4"/>
    <w:multiLevelType w:val="hybridMultilevel"/>
    <w:tmpl w:val="743244C4"/>
    <w:lvl w:ilvl="0" w:tplc="0809000B">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4" w15:restartNumberingAfterBreak="0">
    <w:nsid w:val="60E502ED"/>
    <w:multiLevelType w:val="hybridMultilevel"/>
    <w:tmpl w:val="ECBA4B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359AF"/>
    <w:multiLevelType w:val="hybridMultilevel"/>
    <w:tmpl w:val="39D63A9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4F772BE"/>
    <w:multiLevelType w:val="hybridMultilevel"/>
    <w:tmpl w:val="D714C36A"/>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15:restartNumberingAfterBreak="0">
    <w:nsid w:val="75E63B8E"/>
    <w:multiLevelType w:val="hybridMultilevel"/>
    <w:tmpl w:val="7186A1BE"/>
    <w:lvl w:ilvl="0" w:tplc="45BC91D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89718EA"/>
    <w:multiLevelType w:val="hybridMultilevel"/>
    <w:tmpl w:val="F1F2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8C7901"/>
    <w:multiLevelType w:val="hybridMultilevel"/>
    <w:tmpl w:val="6DB8C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51958"/>
    <w:multiLevelType w:val="hybridMultilevel"/>
    <w:tmpl w:val="083C569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993674259">
    <w:abstractNumId w:val="26"/>
  </w:num>
  <w:num w:numId="2" w16cid:durableId="868177712">
    <w:abstractNumId w:val="16"/>
  </w:num>
  <w:num w:numId="3" w16cid:durableId="671683154">
    <w:abstractNumId w:val="36"/>
  </w:num>
  <w:num w:numId="4" w16cid:durableId="1090004824">
    <w:abstractNumId w:val="23"/>
  </w:num>
  <w:num w:numId="5" w16cid:durableId="1475485075">
    <w:abstractNumId w:val="8"/>
  </w:num>
  <w:num w:numId="6" w16cid:durableId="251281651">
    <w:abstractNumId w:val="20"/>
  </w:num>
  <w:num w:numId="7" w16cid:durableId="1067800145">
    <w:abstractNumId w:val="7"/>
  </w:num>
  <w:num w:numId="8" w16cid:durableId="299460503">
    <w:abstractNumId w:val="4"/>
  </w:num>
  <w:num w:numId="9" w16cid:durableId="1257054871">
    <w:abstractNumId w:val="5"/>
  </w:num>
  <w:num w:numId="10" w16cid:durableId="187060081">
    <w:abstractNumId w:val="25"/>
  </w:num>
  <w:num w:numId="11" w16cid:durableId="1645545380">
    <w:abstractNumId w:val="6"/>
  </w:num>
  <w:num w:numId="12" w16cid:durableId="1461728474">
    <w:abstractNumId w:val="17"/>
  </w:num>
  <w:num w:numId="13" w16cid:durableId="1107038062">
    <w:abstractNumId w:val="38"/>
  </w:num>
  <w:num w:numId="14" w16cid:durableId="913710621">
    <w:abstractNumId w:val="37"/>
  </w:num>
  <w:num w:numId="15" w16cid:durableId="373117728">
    <w:abstractNumId w:val="1"/>
  </w:num>
  <w:num w:numId="16" w16cid:durableId="668750012">
    <w:abstractNumId w:val="12"/>
  </w:num>
  <w:num w:numId="17" w16cid:durableId="1451775381">
    <w:abstractNumId w:val="29"/>
  </w:num>
  <w:num w:numId="18" w16cid:durableId="2075160657">
    <w:abstractNumId w:val="40"/>
  </w:num>
  <w:num w:numId="19" w16cid:durableId="428552788">
    <w:abstractNumId w:val="30"/>
  </w:num>
  <w:num w:numId="20" w16cid:durableId="834225874">
    <w:abstractNumId w:val="10"/>
  </w:num>
  <w:num w:numId="21" w16cid:durableId="1687714168">
    <w:abstractNumId w:val="34"/>
  </w:num>
  <w:num w:numId="22" w16cid:durableId="2124688069">
    <w:abstractNumId w:val="11"/>
  </w:num>
  <w:num w:numId="23" w16cid:durableId="1938437989">
    <w:abstractNumId w:val="13"/>
  </w:num>
  <w:num w:numId="24" w16cid:durableId="170532861">
    <w:abstractNumId w:val="9"/>
  </w:num>
  <w:num w:numId="25" w16cid:durableId="1753500373">
    <w:abstractNumId w:val="14"/>
  </w:num>
  <w:num w:numId="26" w16cid:durableId="1633713263">
    <w:abstractNumId w:val="28"/>
  </w:num>
  <w:num w:numId="27" w16cid:durableId="679627115">
    <w:abstractNumId w:val="32"/>
  </w:num>
  <w:num w:numId="28" w16cid:durableId="908463802">
    <w:abstractNumId w:val="3"/>
  </w:num>
  <w:num w:numId="29" w16cid:durableId="1324167888">
    <w:abstractNumId w:val="27"/>
  </w:num>
  <w:num w:numId="30" w16cid:durableId="1280986694">
    <w:abstractNumId w:val="35"/>
  </w:num>
  <w:num w:numId="31" w16cid:durableId="1564214499">
    <w:abstractNumId w:val="22"/>
  </w:num>
  <w:num w:numId="32" w16cid:durableId="886333303">
    <w:abstractNumId w:val="33"/>
  </w:num>
  <w:num w:numId="33" w16cid:durableId="1017195170">
    <w:abstractNumId w:val="2"/>
  </w:num>
  <w:num w:numId="34" w16cid:durableId="1137072048">
    <w:abstractNumId w:val="24"/>
  </w:num>
  <w:num w:numId="35" w16cid:durableId="771240808">
    <w:abstractNumId w:val="15"/>
  </w:num>
  <w:num w:numId="36" w16cid:durableId="1481926105">
    <w:abstractNumId w:val="0"/>
  </w:num>
  <w:num w:numId="37" w16cid:durableId="376245298">
    <w:abstractNumId w:val="21"/>
  </w:num>
  <w:num w:numId="38" w16cid:durableId="1869566216">
    <w:abstractNumId w:val="18"/>
  </w:num>
  <w:num w:numId="39" w16cid:durableId="214315723">
    <w:abstractNumId w:val="19"/>
  </w:num>
  <w:num w:numId="40" w16cid:durableId="866454360">
    <w:abstractNumId w:val="39"/>
  </w:num>
  <w:num w:numId="41" w16cid:durableId="206799629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C6"/>
    <w:rsid w:val="00000D2F"/>
    <w:rsid w:val="000126F0"/>
    <w:rsid w:val="000177C3"/>
    <w:rsid w:val="00026CD0"/>
    <w:rsid w:val="0003041B"/>
    <w:rsid w:val="000407DF"/>
    <w:rsid w:val="000506E6"/>
    <w:rsid w:val="000561AC"/>
    <w:rsid w:val="000641EF"/>
    <w:rsid w:val="00074320"/>
    <w:rsid w:val="00074431"/>
    <w:rsid w:val="00076C87"/>
    <w:rsid w:val="00077105"/>
    <w:rsid w:val="00086046"/>
    <w:rsid w:val="00096958"/>
    <w:rsid w:val="0009791F"/>
    <w:rsid w:val="000A0059"/>
    <w:rsid w:val="000A481E"/>
    <w:rsid w:val="000B06D9"/>
    <w:rsid w:val="000D0FE8"/>
    <w:rsid w:val="000E1143"/>
    <w:rsid w:val="000E140D"/>
    <w:rsid w:val="000F3C88"/>
    <w:rsid w:val="00106891"/>
    <w:rsid w:val="001110DB"/>
    <w:rsid w:val="001134DD"/>
    <w:rsid w:val="00133914"/>
    <w:rsid w:val="00137B45"/>
    <w:rsid w:val="001443B2"/>
    <w:rsid w:val="0015055E"/>
    <w:rsid w:val="00187EDD"/>
    <w:rsid w:val="00192AEF"/>
    <w:rsid w:val="001C3A4D"/>
    <w:rsid w:val="001E0DC5"/>
    <w:rsid w:val="001E3CAC"/>
    <w:rsid w:val="00230A41"/>
    <w:rsid w:val="002356CD"/>
    <w:rsid w:val="002549EE"/>
    <w:rsid w:val="00256F27"/>
    <w:rsid w:val="002718B8"/>
    <w:rsid w:val="00280F21"/>
    <w:rsid w:val="00283C10"/>
    <w:rsid w:val="00284D1C"/>
    <w:rsid w:val="00286AE9"/>
    <w:rsid w:val="00292F5E"/>
    <w:rsid w:val="002A1F9A"/>
    <w:rsid w:val="002A7738"/>
    <w:rsid w:val="002B1EF3"/>
    <w:rsid w:val="002C072A"/>
    <w:rsid w:val="002C224D"/>
    <w:rsid w:val="002C4A19"/>
    <w:rsid w:val="002F302E"/>
    <w:rsid w:val="002F3D59"/>
    <w:rsid w:val="002F69E6"/>
    <w:rsid w:val="002F6B49"/>
    <w:rsid w:val="0031167C"/>
    <w:rsid w:val="003128F8"/>
    <w:rsid w:val="00315E24"/>
    <w:rsid w:val="00316DB4"/>
    <w:rsid w:val="003245CD"/>
    <w:rsid w:val="00331157"/>
    <w:rsid w:val="00337C8B"/>
    <w:rsid w:val="00341651"/>
    <w:rsid w:val="00341A5E"/>
    <w:rsid w:val="00345D38"/>
    <w:rsid w:val="00345D75"/>
    <w:rsid w:val="00350048"/>
    <w:rsid w:val="0038351C"/>
    <w:rsid w:val="00387D0C"/>
    <w:rsid w:val="00392CF1"/>
    <w:rsid w:val="003A00D7"/>
    <w:rsid w:val="003A06A6"/>
    <w:rsid w:val="003A28AF"/>
    <w:rsid w:val="003A32A6"/>
    <w:rsid w:val="003A4CA3"/>
    <w:rsid w:val="003A6776"/>
    <w:rsid w:val="003C1845"/>
    <w:rsid w:val="003D3DAD"/>
    <w:rsid w:val="003D58D3"/>
    <w:rsid w:val="003E0DA1"/>
    <w:rsid w:val="003F5A65"/>
    <w:rsid w:val="003F7D0C"/>
    <w:rsid w:val="004002C2"/>
    <w:rsid w:val="004006FD"/>
    <w:rsid w:val="00400F0E"/>
    <w:rsid w:val="00407027"/>
    <w:rsid w:val="0041001B"/>
    <w:rsid w:val="0042459B"/>
    <w:rsid w:val="004257DE"/>
    <w:rsid w:val="00430F15"/>
    <w:rsid w:val="00431878"/>
    <w:rsid w:val="00442104"/>
    <w:rsid w:val="0044543F"/>
    <w:rsid w:val="004518B9"/>
    <w:rsid w:val="00460E11"/>
    <w:rsid w:val="00470B39"/>
    <w:rsid w:val="0047498B"/>
    <w:rsid w:val="004802DE"/>
    <w:rsid w:val="00483307"/>
    <w:rsid w:val="00486309"/>
    <w:rsid w:val="00490A2A"/>
    <w:rsid w:val="00494EFA"/>
    <w:rsid w:val="004A08EC"/>
    <w:rsid w:val="004A5E2A"/>
    <w:rsid w:val="004A631C"/>
    <w:rsid w:val="004B1CFA"/>
    <w:rsid w:val="004B1F1D"/>
    <w:rsid w:val="004B4D34"/>
    <w:rsid w:val="004B7A08"/>
    <w:rsid w:val="004D0116"/>
    <w:rsid w:val="004D176C"/>
    <w:rsid w:val="004D46F9"/>
    <w:rsid w:val="004D71CB"/>
    <w:rsid w:val="004E18C5"/>
    <w:rsid w:val="004F06FA"/>
    <w:rsid w:val="004F2F27"/>
    <w:rsid w:val="004F2FF0"/>
    <w:rsid w:val="004F6918"/>
    <w:rsid w:val="0050084D"/>
    <w:rsid w:val="00502787"/>
    <w:rsid w:val="00512FCB"/>
    <w:rsid w:val="00514BAC"/>
    <w:rsid w:val="00521C06"/>
    <w:rsid w:val="00522781"/>
    <w:rsid w:val="005246DB"/>
    <w:rsid w:val="00527A16"/>
    <w:rsid w:val="00564F8B"/>
    <w:rsid w:val="00575E8A"/>
    <w:rsid w:val="005907C2"/>
    <w:rsid w:val="00591566"/>
    <w:rsid w:val="00597D5E"/>
    <w:rsid w:val="005A60EC"/>
    <w:rsid w:val="005C0342"/>
    <w:rsid w:val="005C11C4"/>
    <w:rsid w:val="005D0218"/>
    <w:rsid w:val="005D0EEE"/>
    <w:rsid w:val="005D229F"/>
    <w:rsid w:val="005D3FEC"/>
    <w:rsid w:val="005E0682"/>
    <w:rsid w:val="005E35BC"/>
    <w:rsid w:val="005E7E3D"/>
    <w:rsid w:val="005F342F"/>
    <w:rsid w:val="005F763B"/>
    <w:rsid w:val="00617509"/>
    <w:rsid w:val="00620ED6"/>
    <w:rsid w:val="00624D95"/>
    <w:rsid w:val="006274FD"/>
    <w:rsid w:val="00640DF4"/>
    <w:rsid w:val="00664464"/>
    <w:rsid w:val="00666EF0"/>
    <w:rsid w:val="00671E23"/>
    <w:rsid w:val="006841F3"/>
    <w:rsid w:val="006850E6"/>
    <w:rsid w:val="006864E2"/>
    <w:rsid w:val="00691988"/>
    <w:rsid w:val="006A67CB"/>
    <w:rsid w:val="006B1D05"/>
    <w:rsid w:val="006B3A5C"/>
    <w:rsid w:val="006C2A04"/>
    <w:rsid w:val="006E7584"/>
    <w:rsid w:val="006F076E"/>
    <w:rsid w:val="006F734D"/>
    <w:rsid w:val="007015F3"/>
    <w:rsid w:val="007023D8"/>
    <w:rsid w:val="007027ED"/>
    <w:rsid w:val="00705D6B"/>
    <w:rsid w:val="00707882"/>
    <w:rsid w:val="00710864"/>
    <w:rsid w:val="007117A0"/>
    <w:rsid w:val="00712518"/>
    <w:rsid w:val="0072102D"/>
    <w:rsid w:val="0072719B"/>
    <w:rsid w:val="007279FB"/>
    <w:rsid w:val="0074593F"/>
    <w:rsid w:val="00756AC6"/>
    <w:rsid w:val="00766820"/>
    <w:rsid w:val="00766B89"/>
    <w:rsid w:val="007761CB"/>
    <w:rsid w:val="007829FC"/>
    <w:rsid w:val="00787B50"/>
    <w:rsid w:val="00791393"/>
    <w:rsid w:val="007A41D6"/>
    <w:rsid w:val="007B3EA5"/>
    <w:rsid w:val="007C2A24"/>
    <w:rsid w:val="007F186D"/>
    <w:rsid w:val="007F2964"/>
    <w:rsid w:val="00806EC0"/>
    <w:rsid w:val="00815723"/>
    <w:rsid w:val="00834B1A"/>
    <w:rsid w:val="00846231"/>
    <w:rsid w:val="0085038A"/>
    <w:rsid w:val="00854D4E"/>
    <w:rsid w:val="008561BD"/>
    <w:rsid w:val="008658BF"/>
    <w:rsid w:val="008779C6"/>
    <w:rsid w:val="0088370A"/>
    <w:rsid w:val="00885712"/>
    <w:rsid w:val="008860FF"/>
    <w:rsid w:val="00886F44"/>
    <w:rsid w:val="008928BE"/>
    <w:rsid w:val="008A1A40"/>
    <w:rsid w:val="008A2E7D"/>
    <w:rsid w:val="008A3698"/>
    <w:rsid w:val="008B68C6"/>
    <w:rsid w:val="008B709C"/>
    <w:rsid w:val="008B7528"/>
    <w:rsid w:val="008E0B33"/>
    <w:rsid w:val="008E54FC"/>
    <w:rsid w:val="008E6B8F"/>
    <w:rsid w:val="00911FB2"/>
    <w:rsid w:val="00912496"/>
    <w:rsid w:val="00922F16"/>
    <w:rsid w:val="00923EA6"/>
    <w:rsid w:val="00930553"/>
    <w:rsid w:val="00931067"/>
    <w:rsid w:val="00937D1F"/>
    <w:rsid w:val="0094199F"/>
    <w:rsid w:val="00943EFC"/>
    <w:rsid w:val="00946F45"/>
    <w:rsid w:val="00950428"/>
    <w:rsid w:val="00955146"/>
    <w:rsid w:val="00967A63"/>
    <w:rsid w:val="00975C45"/>
    <w:rsid w:val="00982640"/>
    <w:rsid w:val="00995513"/>
    <w:rsid w:val="009B070B"/>
    <w:rsid w:val="009B1193"/>
    <w:rsid w:val="009B34B3"/>
    <w:rsid w:val="009B36C4"/>
    <w:rsid w:val="009B3797"/>
    <w:rsid w:val="009B43AA"/>
    <w:rsid w:val="009B50C9"/>
    <w:rsid w:val="009B55D2"/>
    <w:rsid w:val="009C0B71"/>
    <w:rsid w:val="009C3186"/>
    <w:rsid w:val="009C6CE5"/>
    <w:rsid w:val="009D112E"/>
    <w:rsid w:val="009D3268"/>
    <w:rsid w:val="009D6979"/>
    <w:rsid w:val="009E529E"/>
    <w:rsid w:val="009E7899"/>
    <w:rsid w:val="009F3259"/>
    <w:rsid w:val="00A00F04"/>
    <w:rsid w:val="00A22050"/>
    <w:rsid w:val="00A31F61"/>
    <w:rsid w:val="00A33684"/>
    <w:rsid w:val="00A35BCD"/>
    <w:rsid w:val="00A455A3"/>
    <w:rsid w:val="00A47728"/>
    <w:rsid w:val="00A5379D"/>
    <w:rsid w:val="00A540BE"/>
    <w:rsid w:val="00A55750"/>
    <w:rsid w:val="00A611FE"/>
    <w:rsid w:val="00A76AD8"/>
    <w:rsid w:val="00A86639"/>
    <w:rsid w:val="00A86D34"/>
    <w:rsid w:val="00A95560"/>
    <w:rsid w:val="00AA576D"/>
    <w:rsid w:val="00AA6063"/>
    <w:rsid w:val="00AA667F"/>
    <w:rsid w:val="00AC2956"/>
    <w:rsid w:val="00AC7BE0"/>
    <w:rsid w:val="00AD5560"/>
    <w:rsid w:val="00AF188C"/>
    <w:rsid w:val="00AF1A44"/>
    <w:rsid w:val="00AF5648"/>
    <w:rsid w:val="00AF6838"/>
    <w:rsid w:val="00B132AA"/>
    <w:rsid w:val="00B160AC"/>
    <w:rsid w:val="00B17AEA"/>
    <w:rsid w:val="00B20A15"/>
    <w:rsid w:val="00B300A3"/>
    <w:rsid w:val="00B31430"/>
    <w:rsid w:val="00B41150"/>
    <w:rsid w:val="00B62277"/>
    <w:rsid w:val="00B6390F"/>
    <w:rsid w:val="00B707C6"/>
    <w:rsid w:val="00B70EA0"/>
    <w:rsid w:val="00B851A7"/>
    <w:rsid w:val="00B86FAE"/>
    <w:rsid w:val="00B94BE2"/>
    <w:rsid w:val="00BA001B"/>
    <w:rsid w:val="00BA0728"/>
    <w:rsid w:val="00BA23EA"/>
    <w:rsid w:val="00BB12C6"/>
    <w:rsid w:val="00BB6938"/>
    <w:rsid w:val="00BB71C1"/>
    <w:rsid w:val="00BD038B"/>
    <w:rsid w:val="00BD2EE3"/>
    <w:rsid w:val="00BD38D9"/>
    <w:rsid w:val="00BE7971"/>
    <w:rsid w:val="00BF0EFE"/>
    <w:rsid w:val="00C01600"/>
    <w:rsid w:val="00C03EE4"/>
    <w:rsid w:val="00C2155D"/>
    <w:rsid w:val="00C22868"/>
    <w:rsid w:val="00C22B57"/>
    <w:rsid w:val="00C26365"/>
    <w:rsid w:val="00C306BF"/>
    <w:rsid w:val="00C31DC1"/>
    <w:rsid w:val="00C44EEA"/>
    <w:rsid w:val="00C63C34"/>
    <w:rsid w:val="00C65FEB"/>
    <w:rsid w:val="00C736D3"/>
    <w:rsid w:val="00C85B09"/>
    <w:rsid w:val="00CA08B6"/>
    <w:rsid w:val="00CA1301"/>
    <w:rsid w:val="00CA443D"/>
    <w:rsid w:val="00CB3D26"/>
    <w:rsid w:val="00CC11C0"/>
    <w:rsid w:val="00CC600A"/>
    <w:rsid w:val="00CE02F1"/>
    <w:rsid w:val="00CF7263"/>
    <w:rsid w:val="00D01A46"/>
    <w:rsid w:val="00D02638"/>
    <w:rsid w:val="00D04F29"/>
    <w:rsid w:val="00D123A4"/>
    <w:rsid w:val="00D1321E"/>
    <w:rsid w:val="00D15447"/>
    <w:rsid w:val="00D208C9"/>
    <w:rsid w:val="00D22BA0"/>
    <w:rsid w:val="00D4196A"/>
    <w:rsid w:val="00D458B3"/>
    <w:rsid w:val="00D74FBD"/>
    <w:rsid w:val="00D77B2F"/>
    <w:rsid w:val="00D90673"/>
    <w:rsid w:val="00D9600E"/>
    <w:rsid w:val="00DA0CF1"/>
    <w:rsid w:val="00DC236A"/>
    <w:rsid w:val="00DC414B"/>
    <w:rsid w:val="00DF146D"/>
    <w:rsid w:val="00DF3865"/>
    <w:rsid w:val="00DF5958"/>
    <w:rsid w:val="00DF7BE5"/>
    <w:rsid w:val="00E05085"/>
    <w:rsid w:val="00E1524A"/>
    <w:rsid w:val="00E314F8"/>
    <w:rsid w:val="00E33E10"/>
    <w:rsid w:val="00E34977"/>
    <w:rsid w:val="00E474A5"/>
    <w:rsid w:val="00E47B3F"/>
    <w:rsid w:val="00E56C2F"/>
    <w:rsid w:val="00E64876"/>
    <w:rsid w:val="00E65679"/>
    <w:rsid w:val="00E71D22"/>
    <w:rsid w:val="00E73F54"/>
    <w:rsid w:val="00E84316"/>
    <w:rsid w:val="00E844F9"/>
    <w:rsid w:val="00EA4FEF"/>
    <w:rsid w:val="00EA7421"/>
    <w:rsid w:val="00EB1841"/>
    <w:rsid w:val="00EB7E5F"/>
    <w:rsid w:val="00EC38A1"/>
    <w:rsid w:val="00EC4239"/>
    <w:rsid w:val="00EC4AEE"/>
    <w:rsid w:val="00ED0367"/>
    <w:rsid w:val="00ED0A7A"/>
    <w:rsid w:val="00ED6982"/>
    <w:rsid w:val="00EE2EAD"/>
    <w:rsid w:val="00EE3D09"/>
    <w:rsid w:val="00EE450D"/>
    <w:rsid w:val="00EF6D66"/>
    <w:rsid w:val="00F056BA"/>
    <w:rsid w:val="00F07086"/>
    <w:rsid w:val="00F07DA7"/>
    <w:rsid w:val="00F12029"/>
    <w:rsid w:val="00F134AA"/>
    <w:rsid w:val="00F13B11"/>
    <w:rsid w:val="00F13C08"/>
    <w:rsid w:val="00F27C91"/>
    <w:rsid w:val="00F33E61"/>
    <w:rsid w:val="00F62181"/>
    <w:rsid w:val="00F65DE3"/>
    <w:rsid w:val="00F70323"/>
    <w:rsid w:val="00F71012"/>
    <w:rsid w:val="00F714AB"/>
    <w:rsid w:val="00F8545A"/>
    <w:rsid w:val="00F87C5A"/>
    <w:rsid w:val="00F91FCE"/>
    <w:rsid w:val="00F93D70"/>
    <w:rsid w:val="00F97762"/>
    <w:rsid w:val="00FA0DE6"/>
    <w:rsid w:val="00FB0DA5"/>
    <w:rsid w:val="00FB627A"/>
    <w:rsid w:val="00FC3635"/>
    <w:rsid w:val="00FD09E6"/>
    <w:rsid w:val="00FD5FDE"/>
    <w:rsid w:val="00FD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3A7A52"/>
  <w15:docId w15:val="{4B15B9C0-89FE-4E01-A30F-4F09A5B7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8C6"/>
    <w:pPr>
      <w:spacing w:after="0" w:line="240" w:lineRule="auto"/>
    </w:pPr>
    <w:rPr>
      <w:rFonts w:ascii="Times New Roman" w:eastAsia="Times New Roman" w:hAnsi="Times New Roman" w:cs="Times New Roman"/>
      <w:b/>
      <w:sz w:val="24"/>
      <w:szCs w:val="24"/>
    </w:rPr>
  </w:style>
  <w:style w:type="paragraph" w:styleId="Heading1">
    <w:name w:val="heading 1"/>
    <w:basedOn w:val="Normal"/>
    <w:next w:val="Normal"/>
    <w:link w:val="Heading1Char"/>
    <w:qFormat/>
    <w:rsid w:val="00077105"/>
    <w:pPr>
      <w:keepNext/>
      <w:overflowPunct w:val="0"/>
      <w:autoSpaceDE w:val="0"/>
      <w:autoSpaceDN w:val="0"/>
      <w:adjustRightInd w:val="0"/>
      <w:jc w:val="both"/>
      <w:textAlignment w:val="baseline"/>
      <w:outlineLvl w:val="0"/>
    </w:pPr>
    <w:rPr>
      <w:rFonts w:ascii="VNI-Times" w:hAnsi="VNI-Times"/>
      <w:sz w:val="20"/>
      <w:szCs w:val="20"/>
      <w:lang w:val="en-GB"/>
    </w:rPr>
  </w:style>
  <w:style w:type="paragraph" w:styleId="Heading2">
    <w:name w:val="heading 2"/>
    <w:basedOn w:val="Normal"/>
    <w:next w:val="Normal"/>
    <w:link w:val="Heading2Char"/>
    <w:qFormat/>
    <w:rsid w:val="00077105"/>
    <w:pPr>
      <w:keepNext/>
      <w:spacing w:before="240" w:after="60"/>
      <w:outlineLvl w:val="1"/>
    </w:pPr>
    <w:rPr>
      <w:rFonts w:ascii="Arial" w:hAnsi="Arial"/>
      <w:bCs/>
      <w:i/>
      <w:iCs/>
      <w:sz w:val="28"/>
      <w:szCs w:val="28"/>
    </w:rPr>
  </w:style>
  <w:style w:type="paragraph" w:styleId="Heading4">
    <w:name w:val="heading 4"/>
    <w:basedOn w:val="Normal"/>
    <w:next w:val="Normal"/>
    <w:link w:val="Heading4Char"/>
    <w:uiPriority w:val="9"/>
    <w:qFormat/>
    <w:rsid w:val="00077105"/>
    <w:pPr>
      <w:keepNext/>
      <w:spacing w:before="240" w:after="60"/>
      <w:outlineLvl w:val="3"/>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C6"/>
    <w:pPr>
      <w:ind w:left="720"/>
      <w:contextualSpacing/>
    </w:pPr>
  </w:style>
  <w:style w:type="character" w:styleId="CommentReference">
    <w:name w:val="annotation reference"/>
    <w:basedOn w:val="DefaultParagraphFont"/>
    <w:uiPriority w:val="99"/>
    <w:semiHidden/>
    <w:unhideWhenUsed/>
    <w:rsid w:val="0074593F"/>
    <w:rPr>
      <w:sz w:val="16"/>
      <w:szCs w:val="16"/>
    </w:rPr>
  </w:style>
  <w:style w:type="paragraph" w:styleId="CommentText">
    <w:name w:val="annotation text"/>
    <w:basedOn w:val="Normal"/>
    <w:link w:val="CommentTextChar"/>
    <w:uiPriority w:val="99"/>
    <w:unhideWhenUsed/>
    <w:rsid w:val="0074593F"/>
    <w:rPr>
      <w:sz w:val="20"/>
      <w:szCs w:val="20"/>
    </w:rPr>
  </w:style>
  <w:style w:type="character" w:customStyle="1" w:styleId="CommentTextChar">
    <w:name w:val="Comment Text Char"/>
    <w:basedOn w:val="DefaultParagraphFont"/>
    <w:link w:val="CommentText"/>
    <w:uiPriority w:val="99"/>
    <w:rsid w:val="0074593F"/>
    <w:rPr>
      <w:rFonts w:ascii="Times New Roman" w:eastAsia="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74593F"/>
    <w:rPr>
      <w:bCs/>
    </w:rPr>
  </w:style>
  <w:style w:type="character" w:customStyle="1" w:styleId="CommentSubjectChar">
    <w:name w:val="Comment Subject Char"/>
    <w:basedOn w:val="CommentTextChar"/>
    <w:link w:val="CommentSubject"/>
    <w:uiPriority w:val="99"/>
    <w:semiHidden/>
    <w:rsid w:val="0074593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593F"/>
    <w:rPr>
      <w:rFonts w:ascii="Tahoma" w:hAnsi="Tahoma" w:cs="Tahoma"/>
      <w:sz w:val="16"/>
      <w:szCs w:val="16"/>
    </w:rPr>
  </w:style>
  <w:style w:type="character" w:customStyle="1" w:styleId="BalloonTextChar">
    <w:name w:val="Balloon Text Char"/>
    <w:basedOn w:val="DefaultParagraphFont"/>
    <w:link w:val="BalloonText"/>
    <w:uiPriority w:val="99"/>
    <w:semiHidden/>
    <w:rsid w:val="0074593F"/>
    <w:rPr>
      <w:rFonts w:ascii="Tahoma" w:eastAsia="Times New Roman" w:hAnsi="Tahoma" w:cs="Tahoma"/>
      <w:b/>
      <w:sz w:val="16"/>
      <w:szCs w:val="16"/>
    </w:rPr>
  </w:style>
  <w:style w:type="character" w:customStyle="1" w:styleId="Heading1Char">
    <w:name w:val="Heading 1 Char"/>
    <w:basedOn w:val="DefaultParagraphFont"/>
    <w:link w:val="Heading1"/>
    <w:rsid w:val="00077105"/>
    <w:rPr>
      <w:rFonts w:ascii="VNI-Times" w:eastAsia="Times New Roman" w:hAnsi="VNI-Times" w:cs="Times New Roman"/>
      <w:b/>
      <w:sz w:val="20"/>
      <w:szCs w:val="20"/>
      <w:lang w:val="en-GB"/>
    </w:rPr>
  </w:style>
  <w:style w:type="character" w:customStyle="1" w:styleId="Heading2Char">
    <w:name w:val="Heading 2 Char"/>
    <w:basedOn w:val="DefaultParagraphFont"/>
    <w:link w:val="Heading2"/>
    <w:rsid w:val="00077105"/>
    <w:rPr>
      <w:rFonts w:ascii="Arial" w:eastAsia="Times New Roman" w:hAnsi="Arial" w:cs="Times New Roman"/>
      <w:b/>
      <w:bCs/>
      <w:i/>
      <w:iCs/>
      <w:sz w:val="28"/>
      <w:szCs w:val="28"/>
    </w:rPr>
  </w:style>
  <w:style w:type="character" w:customStyle="1" w:styleId="Heading4Char">
    <w:name w:val="Heading 4 Char"/>
    <w:basedOn w:val="DefaultParagraphFont"/>
    <w:link w:val="Heading4"/>
    <w:uiPriority w:val="9"/>
    <w:rsid w:val="00077105"/>
    <w:rPr>
      <w:rFonts w:ascii="Times New Roman" w:eastAsia="Times New Roman" w:hAnsi="Times New Roman" w:cs="Times New Roman"/>
      <w:b/>
      <w:bCs/>
      <w:sz w:val="28"/>
      <w:szCs w:val="28"/>
    </w:rPr>
  </w:style>
  <w:style w:type="character" w:customStyle="1" w:styleId="PlainTextChar">
    <w:name w:val="Plain Text Char"/>
    <w:aliases w:val="Char Char"/>
    <w:link w:val="PlainText"/>
    <w:locked/>
    <w:rsid w:val="00077105"/>
    <w:rPr>
      <w:rFonts w:ascii="Courier New" w:hAnsi="Courier New" w:cs="Courier New"/>
    </w:rPr>
  </w:style>
  <w:style w:type="paragraph" w:styleId="PlainText">
    <w:name w:val="Plain Text"/>
    <w:aliases w:val="Char"/>
    <w:basedOn w:val="Normal"/>
    <w:link w:val="PlainTextChar"/>
    <w:unhideWhenUsed/>
    <w:rsid w:val="00077105"/>
    <w:rPr>
      <w:rFonts w:ascii="Courier New" w:eastAsiaTheme="minorHAnsi" w:hAnsi="Courier New" w:cs="Courier New"/>
      <w:b w:val="0"/>
      <w:sz w:val="22"/>
      <w:szCs w:val="22"/>
    </w:rPr>
  </w:style>
  <w:style w:type="character" w:customStyle="1" w:styleId="PlainTextChar1">
    <w:name w:val="Plain Text Char1"/>
    <w:basedOn w:val="DefaultParagraphFont"/>
    <w:uiPriority w:val="99"/>
    <w:semiHidden/>
    <w:rsid w:val="00077105"/>
    <w:rPr>
      <w:rFonts w:ascii="Consolas" w:eastAsia="Times New Roman" w:hAnsi="Consolas" w:cs="Consolas"/>
      <w:b/>
      <w:sz w:val="21"/>
      <w:szCs w:val="21"/>
    </w:rPr>
  </w:style>
  <w:style w:type="character" w:styleId="Hyperlink">
    <w:name w:val="Hyperlink"/>
    <w:basedOn w:val="DefaultParagraphFont"/>
    <w:uiPriority w:val="99"/>
    <w:unhideWhenUsed/>
    <w:rsid w:val="00885712"/>
    <w:rPr>
      <w:color w:val="0000FF" w:themeColor="hyperlink"/>
      <w:u w:val="single"/>
    </w:rPr>
  </w:style>
  <w:style w:type="table" w:styleId="TableGrid">
    <w:name w:val="Table Grid"/>
    <w:basedOn w:val="TableNormal"/>
    <w:uiPriority w:val="59"/>
    <w:rsid w:val="00F13B11"/>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1A40"/>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3A6776"/>
    <w:pPr>
      <w:tabs>
        <w:tab w:val="center" w:pos="4513"/>
        <w:tab w:val="right" w:pos="9026"/>
      </w:tabs>
    </w:pPr>
  </w:style>
  <w:style w:type="character" w:customStyle="1" w:styleId="HeaderChar">
    <w:name w:val="Header Char"/>
    <w:basedOn w:val="DefaultParagraphFont"/>
    <w:link w:val="Header"/>
    <w:uiPriority w:val="99"/>
    <w:semiHidden/>
    <w:rsid w:val="003A6776"/>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3A6776"/>
    <w:pPr>
      <w:tabs>
        <w:tab w:val="center" w:pos="4513"/>
        <w:tab w:val="right" w:pos="9026"/>
      </w:tabs>
    </w:pPr>
  </w:style>
  <w:style w:type="character" w:customStyle="1" w:styleId="FooterChar">
    <w:name w:val="Footer Char"/>
    <w:basedOn w:val="DefaultParagraphFont"/>
    <w:link w:val="Footer"/>
    <w:uiPriority w:val="99"/>
    <w:rsid w:val="003A6776"/>
    <w:rPr>
      <w:rFonts w:ascii="Times New Roman" w:eastAsia="Times New Roman" w:hAnsi="Times New Roman" w:cs="Times New Roman"/>
      <w:b/>
      <w:sz w:val="24"/>
      <w:szCs w:val="24"/>
    </w:rPr>
  </w:style>
  <w:style w:type="character" w:styleId="BookTitle">
    <w:name w:val="Book Title"/>
    <w:aliases w:val="Footnote"/>
    <w:basedOn w:val="DefaultParagraphFont"/>
    <w:uiPriority w:val="33"/>
    <w:qFormat/>
    <w:rsid w:val="00FC3635"/>
    <w:rPr>
      <w:rFonts w:asciiTheme="minorHAnsi" w:hAnsiTheme="minorHAnsi"/>
      <w:b w:val="0"/>
      <w:bCs/>
      <w:i w:val="0"/>
      <w:iCs/>
      <w:color w:val="4BACC6" w:themeColor="accent5"/>
      <w:spacing w:val="5"/>
      <w:sz w:val="15"/>
    </w:rPr>
  </w:style>
  <w:style w:type="paragraph" w:styleId="BodyText">
    <w:name w:val="Body Text"/>
    <w:basedOn w:val="Normal"/>
    <w:link w:val="BodyTextChar"/>
    <w:rsid w:val="00620ED6"/>
    <w:pPr>
      <w:overflowPunct w:val="0"/>
      <w:autoSpaceDE w:val="0"/>
      <w:autoSpaceDN w:val="0"/>
      <w:adjustRightInd w:val="0"/>
      <w:jc w:val="both"/>
      <w:textAlignment w:val="baseline"/>
    </w:pPr>
    <w:rPr>
      <w:rFonts w:ascii="VNI-Times" w:hAnsi="VNI-Times"/>
      <w:b w:val="0"/>
      <w:sz w:val="20"/>
      <w:szCs w:val="20"/>
      <w:lang w:val="en-GB"/>
    </w:rPr>
  </w:style>
  <w:style w:type="character" w:customStyle="1" w:styleId="BodyTextChar">
    <w:name w:val="Body Text Char"/>
    <w:basedOn w:val="DefaultParagraphFont"/>
    <w:link w:val="BodyText"/>
    <w:rsid w:val="00620ED6"/>
    <w:rPr>
      <w:rFonts w:ascii="VNI-Times" w:eastAsia="Times New Roman" w:hAnsi="VN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327">
      <w:bodyDiv w:val="1"/>
      <w:marLeft w:val="0"/>
      <w:marRight w:val="0"/>
      <w:marTop w:val="0"/>
      <w:marBottom w:val="0"/>
      <w:divBdr>
        <w:top w:val="none" w:sz="0" w:space="0" w:color="auto"/>
        <w:left w:val="none" w:sz="0" w:space="0" w:color="auto"/>
        <w:bottom w:val="none" w:sz="0" w:space="0" w:color="auto"/>
        <w:right w:val="none" w:sz="0" w:space="0" w:color="auto"/>
      </w:divBdr>
    </w:div>
    <w:div w:id="61216652">
      <w:bodyDiv w:val="1"/>
      <w:marLeft w:val="0"/>
      <w:marRight w:val="0"/>
      <w:marTop w:val="0"/>
      <w:marBottom w:val="0"/>
      <w:divBdr>
        <w:top w:val="none" w:sz="0" w:space="0" w:color="auto"/>
        <w:left w:val="none" w:sz="0" w:space="0" w:color="auto"/>
        <w:bottom w:val="none" w:sz="0" w:space="0" w:color="auto"/>
        <w:right w:val="none" w:sz="0" w:space="0" w:color="auto"/>
      </w:divBdr>
    </w:div>
    <w:div w:id="99447688">
      <w:bodyDiv w:val="1"/>
      <w:marLeft w:val="0"/>
      <w:marRight w:val="0"/>
      <w:marTop w:val="0"/>
      <w:marBottom w:val="0"/>
      <w:divBdr>
        <w:top w:val="none" w:sz="0" w:space="0" w:color="auto"/>
        <w:left w:val="none" w:sz="0" w:space="0" w:color="auto"/>
        <w:bottom w:val="none" w:sz="0" w:space="0" w:color="auto"/>
        <w:right w:val="none" w:sz="0" w:space="0" w:color="auto"/>
      </w:divBdr>
    </w:div>
    <w:div w:id="102964839">
      <w:bodyDiv w:val="1"/>
      <w:marLeft w:val="0"/>
      <w:marRight w:val="0"/>
      <w:marTop w:val="0"/>
      <w:marBottom w:val="0"/>
      <w:divBdr>
        <w:top w:val="none" w:sz="0" w:space="0" w:color="auto"/>
        <w:left w:val="none" w:sz="0" w:space="0" w:color="auto"/>
        <w:bottom w:val="none" w:sz="0" w:space="0" w:color="auto"/>
        <w:right w:val="none" w:sz="0" w:space="0" w:color="auto"/>
      </w:divBdr>
    </w:div>
    <w:div w:id="151263688">
      <w:bodyDiv w:val="1"/>
      <w:marLeft w:val="0"/>
      <w:marRight w:val="0"/>
      <w:marTop w:val="0"/>
      <w:marBottom w:val="0"/>
      <w:divBdr>
        <w:top w:val="none" w:sz="0" w:space="0" w:color="auto"/>
        <w:left w:val="none" w:sz="0" w:space="0" w:color="auto"/>
        <w:bottom w:val="none" w:sz="0" w:space="0" w:color="auto"/>
        <w:right w:val="none" w:sz="0" w:space="0" w:color="auto"/>
      </w:divBdr>
    </w:div>
    <w:div w:id="186598226">
      <w:bodyDiv w:val="1"/>
      <w:marLeft w:val="0"/>
      <w:marRight w:val="0"/>
      <w:marTop w:val="0"/>
      <w:marBottom w:val="0"/>
      <w:divBdr>
        <w:top w:val="none" w:sz="0" w:space="0" w:color="auto"/>
        <w:left w:val="none" w:sz="0" w:space="0" w:color="auto"/>
        <w:bottom w:val="none" w:sz="0" w:space="0" w:color="auto"/>
        <w:right w:val="none" w:sz="0" w:space="0" w:color="auto"/>
      </w:divBdr>
    </w:div>
    <w:div w:id="214201752">
      <w:bodyDiv w:val="1"/>
      <w:marLeft w:val="0"/>
      <w:marRight w:val="0"/>
      <w:marTop w:val="0"/>
      <w:marBottom w:val="0"/>
      <w:divBdr>
        <w:top w:val="none" w:sz="0" w:space="0" w:color="auto"/>
        <w:left w:val="none" w:sz="0" w:space="0" w:color="auto"/>
        <w:bottom w:val="none" w:sz="0" w:space="0" w:color="auto"/>
        <w:right w:val="none" w:sz="0" w:space="0" w:color="auto"/>
      </w:divBdr>
    </w:div>
    <w:div w:id="271135194">
      <w:bodyDiv w:val="1"/>
      <w:marLeft w:val="0"/>
      <w:marRight w:val="0"/>
      <w:marTop w:val="0"/>
      <w:marBottom w:val="0"/>
      <w:divBdr>
        <w:top w:val="none" w:sz="0" w:space="0" w:color="auto"/>
        <w:left w:val="none" w:sz="0" w:space="0" w:color="auto"/>
        <w:bottom w:val="none" w:sz="0" w:space="0" w:color="auto"/>
        <w:right w:val="none" w:sz="0" w:space="0" w:color="auto"/>
      </w:divBdr>
    </w:div>
    <w:div w:id="365913201">
      <w:bodyDiv w:val="1"/>
      <w:marLeft w:val="0"/>
      <w:marRight w:val="0"/>
      <w:marTop w:val="0"/>
      <w:marBottom w:val="0"/>
      <w:divBdr>
        <w:top w:val="none" w:sz="0" w:space="0" w:color="auto"/>
        <w:left w:val="none" w:sz="0" w:space="0" w:color="auto"/>
        <w:bottom w:val="none" w:sz="0" w:space="0" w:color="auto"/>
        <w:right w:val="none" w:sz="0" w:space="0" w:color="auto"/>
      </w:divBdr>
    </w:div>
    <w:div w:id="415128617">
      <w:bodyDiv w:val="1"/>
      <w:marLeft w:val="0"/>
      <w:marRight w:val="0"/>
      <w:marTop w:val="0"/>
      <w:marBottom w:val="0"/>
      <w:divBdr>
        <w:top w:val="none" w:sz="0" w:space="0" w:color="auto"/>
        <w:left w:val="none" w:sz="0" w:space="0" w:color="auto"/>
        <w:bottom w:val="none" w:sz="0" w:space="0" w:color="auto"/>
        <w:right w:val="none" w:sz="0" w:space="0" w:color="auto"/>
      </w:divBdr>
    </w:div>
    <w:div w:id="435294014">
      <w:bodyDiv w:val="1"/>
      <w:marLeft w:val="0"/>
      <w:marRight w:val="0"/>
      <w:marTop w:val="0"/>
      <w:marBottom w:val="0"/>
      <w:divBdr>
        <w:top w:val="none" w:sz="0" w:space="0" w:color="auto"/>
        <w:left w:val="none" w:sz="0" w:space="0" w:color="auto"/>
        <w:bottom w:val="none" w:sz="0" w:space="0" w:color="auto"/>
        <w:right w:val="none" w:sz="0" w:space="0" w:color="auto"/>
      </w:divBdr>
    </w:div>
    <w:div w:id="488713022">
      <w:bodyDiv w:val="1"/>
      <w:marLeft w:val="0"/>
      <w:marRight w:val="0"/>
      <w:marTop w:val="0"/>
      <w:marBottom w:val="0"/>
      <w:divBdr>
        <w:top w:val="none" w:sz="0" w:space="0" w:color="auto"/>
        <w:left w:val="none" w:sz="0" w:space="0" w:color="auto"/>
        <w:bottom w:val="none" w:sz="0" w:space="0" w:color="auto"/>
        <w:right w:val="none" w:sz="0" w:space="0" w:color="auto"/>
      </w:divBdr>
    </w:div>
    <w:div w:id="515079609">
      <w:bodyDiv w:val="1"/>
      <w:marLeft w:val="0"/>
      <w:marRight w:val="0"/>
      <w:marTop w:val="0"/>
      <w:marBottom w:val="0"/>
      <w:divBdr>
        <w:top w:val="none" w:sz="0" w:space="0" w:color="auto"/>
        <w:left w:val="none" w:sz="0" w:space="0" w:color="auto"/>
        <w:bottom w:val="none" w:sz="0" w:space="0" w:color="auto"/>
        <w:right w:val="none" w:sz="0" w:space="0" w:color="auto"/>
      </w:divBdr>
    </w:div>
    <w:div w:id="533230786">
      <w:bodyDiv w:val="1"/>
      <w:marLeft w:val="0"/>
      <w:marRight w:val="0"/>
      <w:marTop w:val="0"/>
      <w:marBottom w:val="0"/>
      <w:divBdr>
        <w:top w:val="none" w:sz="0" w:space="0" w:color="auto"/>
        <w:left w:val="none" w:sz="0" w:space="0" w:color="auto"/>
        <w:bottom w:val="none" w:sz="0" w:space="0" w:color="auto"/>
        <w:right w:val="none" w:sz="0" w:space="0" w:color="auto"/>
      </w:divBdr>
    </w:div>
    <w:div w:id="550775566">
      <w:bodyDiv w:val="1"/>
      <w:marLeft w:val="0"/>
      <w:marRight w:val="0"/>
      <w:marTop w:val="0"/>
      <w:marBottom w:val="0"/>
      <w:divBdr>
        <w:top w:val="none" w:sz="0" w:space="0" w:color="auto"/>
        <w:left w:val="none" w:sz="0" w:space="0" w:color="auto"/>
        <w:bottom w:val="none" w:sz="0" w:space="0" w:color="auto"/>
        <w:right w:val="none" w:sz="0" w:space="0" w:color="auto"/>
      </w:divBdr>
    </w:div>
    <w:div w:id="646473436">
      <w:bodyDiv w:val="1"/>
      <w:marLeft w:val="0"/>
      <w:marRight w:val="0"/>
      <w:marTop w:val="0"/>
      <w:marBottom w:val="0"/>
      <w:divBdr>
        <w:top w:val="none" w:sz="0" w:space="0" w:color="auto"/>
        <w:left w:val="none" w:sz="0" w:space="0" w:color="auto"/>
        <w:bottom w:val="none" w:sz="0" w:space="0" w:color="auto"/>
        <w:right w:val="none" w:sz="0" w:space="0" w:color="auto"/>
      </w:divBdr>
    </w:div>
    <w:div w:id="681779121">
      <w:bodyDiv w:val="1"/>
      <w:marLeft w:val="0"/>
      <w:marRight w:val="0"/>
      <w:marTop w:val="0"/>
      <w:marBottom w:val="0"/>
      <w:divBdr>
        <w:top w:val="none" w:sz="0" w:space="0" w:color="auto"/>
        <w:left w:val="none" w:sz="0" w:space="0" w:color="auto"/>
        <w:bottom w:val="none" w:sz="0" w:space="0" w:color="auto"/>
        <w:right w:val="none" w:sz="0" w:space="0" w:color="auto"/>
      </w:divBdr>
    </w:div>
    <w:div w:id="682392185">
      <w:bodyDiv w:val="1"/>
      <w:marLeft w:val="0"/>
      <w:marRight w:val="0"/>
      <w:marTop w:val="0"/>
      <w:marBottom w:val="0"/>
      <w:divBdr>
        <w:top w:val="none" w:sz="0" w:space="0" w:color="auto"/>
        <w:left w:val="none" w:sz="0" w:space="0" w:color="auto"/>
        <w:bottom w:val="none" w:sz="0" w:space="0" w:color="auto"/>
        <w:right w:val="none" w:sz="0" w:space="0" w:color="auto"/>
      </w:divBdr>
    </w:div>
    <w:div w:id="690298780">
      <w:bodyDiv w:val="1"/>
      <w:marLeft w:val="0"/>
      <w:marRight w:val="0"/>
      <w:marTop w:val="0"/>
      <w:marBottom w:val="0"/>
      <w:divBdr>
        <w:top w:val="none" w:sz="0" w:space="0" w:color="auto"/>
        <w:left w:val="none" w:sz="0" w:space="0" w:color="auto"/>
        <w:bottom w:val="none" w:sz="0" w:space="0" w:color="auto"/>
        <w:right w:val="none" w:sz="0" w:space="0" w:color="auto"/>
      </w:divBdr>
    </w:div>
    <w:div w:id="762070449">
      <w:bodyDiv w:val="1"/>
      <w:marLeft w:val="0"/>
      <w:marRight w:val="0"/>
      <w:marTop w:val="0"/>
      <w:marBottom w:val="0"/>
      <w:divBdr>
        <w:top w:val="none" w:sz="0" w:space="0" w:color="auto"/>
        <w:left w:val="none" w:sz="0" w:space="0" w:color="auto"/>
        <w:bottom w:val="none" w:sz="0" w:space="0" w:color="auto"/>
        <w:right w:val="none" w:sz="0" w:space="0" w:color="auto"/>
      </w:divBdr>
    </w:div>
    <w:div w:id="826825984">
      <w:bodyDiv w:val="1"/>
      <w:marLeft w:val="0"/>
      <w:marRight w:val="0"/>
      <w:marTop w:val="0"/>
      <w:marBottom w:val="0"/>
      <w:divBdr>
        <w:top w:val="none" w:sz="0" w:space="0" w:color="auto"/>
        <w:left w:val="none" w:sz="0" w:space="0" w:color="auto"/>
        <w:bottom w:val="none" w:sz="0" w:space="0" w:color="auto"/>
        <w:right w:val="none" w:sz="0" w:space="0" w:color="auto"/>
      </w:divBdr>
    </w:div>
    <w:div w:id="893472437">
      <w:bodyDiv w:val="1"/>
      <w:marLeft w:val="0"/>
      <w:marRight w:val="0"/>
      <w:marTop w:val="0"/>
      <w:marBottom w:val="0"/>
      <w:divBdr>
        <w:top w:val="none" w:sz="0" w:space="0" w:color="auto"/>
        <w:left w:val="none" w:sz="0" w:space="0" w:color="auto"/>
        <w:bottom w:val="none" w:sz="0" w:space="0" w:color="auto"/>
        <w:right w:val="none" w:sz="0" w:space="0" w:color="auto"/>
      </w:divBdr>
    </w:div>
    <w:div w:id="985546523">
      <w:bodyDiv w:val="1"/>
      <w:marLeft w:val="0"/>
      <w:marRight w:val="0"/>
      <w:marTop w:val="0"/>
      <w:marBottom w:val="0"/>
      <w:divBdr>
        <w:top w:val="none" w:sz="0" w:space="0" w:color="auto"/>
        <w:left w:val="none" w:sz="0" w:space="0" w:color="auto"/>
        <w:bottom w:val="none" w:sz="0" w:space="0" w:color="auto"/>
        <w:right w:val="none" w:sz="0" w:space="0" w:color="auto"/>
      </w:divBdr>
    </w:div>
    <w:div w:id="989791329">
      <w:bodyDiv w:val="1"/>
      <w:marLeft w:val="0"/>
      <w:marRight w:val="0"/>
      <w:marTop w:val="0"/>
      <w:marBottom w:val="0"/>
      <w:divBdr>
        <w:top w:val="none" w:sz="0" w:space="0" w:color="auto"/>
        <w:left w:val="none" w:sz="0" w:space="0" w:color="auto"/>
        <w:bottom w:val="none" w:sz="0" w:space="0" w:color="auto"/>
        <w:right w:val="none" w:sz="0" w:space="0" w:color="auto"/>
      </w:divBdr>
    </w:div>
    <w:div w:id="1010180184">
      <w:bodyDiv w:val="1"/>
      <w:marLeft w:val="0"/>
      <w:marRight w:val="0"/>
      <w:marTop w:val="0"/>
      <w:marBottom w:val="0"/>
      <w:divBdr>
        <w:top w:val="none" w:sz="0" w:space="0" w:color="auto"/>
        <w:left w:val="none" w:sz="0" w:space="0" w:color="auto"/>
        <w:bottom w:val="none" w:sz="0" w:space="0" w:color="auto"/>
        <w:right w:val="none" w:sz="0" w:space="0" w:color="auto"/>
      </w:divBdr>
    </w:div>
    <w:div w:id="1136413136">
      <w:bodyDiv w:val="1"/>
      <w:marLeft w:val="0"/>
      <w:marRight w:val="0"/>
      <w:marTop w:val="0"/>
      <w:marBottom w:val="0"/>
      <w:divBdr>
        <w:top w:val="none" w:sz="0" w:space="0" w:color="auto"/>
        <w:left w:val="none" w:sz="0" w:space="0" w:color="auto"/>
        <w:bottom w:val="none" w:sz="0" w:space="0" w:color="auto"/>
        <w:right w:val="none" w:sz="0" w:space="0" w:color="auto"/>
      </w:divBdr>
    </w:div>
    <w:div w:id="1177037807">
      <w:bodyDiv w:val="1"/>
      <w:marLeft w:val="0"/>
      <w:marRight w:val="0"/>
      <w:marTop w:val="0"/>
      <w:marBottom w:val="0"/>
      <w:divBdr>
        <w:top w:val="none" w:sz="0" w:space="0" w:color="auto"/>
        <w:left w:val="none" w:sz="0" w:space="0" w:color="auto"/>
        <w:bottom w:val="none" w:sz="0" w:space="0" w:color="auto"/>
        <w:right w:val="none" w:sz="0" w:space="0" w:color="auto"/>
      </w:divBdr>
    </w:div>
    <w:div w:id="1276253959">
      <w:bodyDiv w:val="1"/>
      <w:marLeft w:val="0"/>
      <w:marRight w:val="0"/>
      <w:marTop w:val="0"/>
      <w:marBottom w:val="0"/>
      <w:divBdr>
        <w:top w:val="none" w:sz="0" w:space="0" w:color="auto"/>
        <w:left w:val="none" w:sz="0" w:space="0" w:color="auto"/>
        <w:bottom w:val="none" w:sz="0" w:space="0" w:color="auto"/>
        <w:right w:val="none" w:sz="0" w:space="0" w:color="auto"/>
      </w:divBdr>
    </w:div>
    <w:div w:id="1346982610">
      <w:bodyDiv w:val="1"/>
      <w:marLeft w:val="0"/>
      <w:marRight w:val="0"/>
      <w:marTop w:val="0"/>
      <w:marBottom w:val="0"/>
      <w:divBdr>
        <w:top w:val="none" w:sz="0" w:space="0" w:color="auto"/>
        <w:left w:val="none" w:sz="0" w:space="0" w:color="auto"/>
        <w:bottom w:val="none" w:sz="0" w:space="0" w:color="auto"/>
        <w:right w:val="none" w:sz="0" w:space="0" w:color="auto"/>
      </w:divBdr>
    </w:div>
    <w:div w:id="1350448280">
      <w:bodyDiv w:val="1"/>
      <w:marLeft w:val="0"/>
      <w:marRight w:val="0"/>
      <w:marTop w:val="0"/>
      <w:marBottom w:val="0"/>
      <w:divBdr>
        <w:top w:val="none" w:sz="0" w:space="0" w:color="auto"/>
        <w:left w:val="none" w:sz="0" w:space="0" w:color="auto"/>
        <w:bottom w:val="none" w:sz="0" w:space="0" w:color="auto"/>
        <w:right w:val="none" w:sz="0" w:space="0" w:color="auto"/>
      </w:divBdr>
    </w:div>
    <w:div w:id="1382288203">
      <w:bodyDiv w:val="1"/>
      <w:marLeft w:val="0"/>
      <w:marRight w:val="0"/>
      <w:marTop w:val="0"/>
      <w:marBottom w:val="0"/>
      <w:divBdr>
        <w:top w:val="none" w:sz="0" w:space="0" w:color="auto"/>
        <w:left w:val="none" w:sz="0" w:space="0" w:color="auto"/>
        <w:bottom w:val="none" w:sz="0" w:space="0" w:color="auto"/>
        <w:right w:val="none" w:sz="0" w:space="0" w:color="auto"/>
      </w:divBdr>
    </w:div>
    <w:div w:id="1391423881">
      <w:bodyDiv w:val="1"/>
      <w:marLeft w:val="0"/>
      <w:marRight w:val="0"/>
      <w:marTop w:val="0"/>
      <w:marBottom w:val="0"/>
      <w:divBdr>
        <w:top w:val="none" w:sz="0" w:space="0" w:color="auto"/>
        <w:left w:val="none" w:sz="0" w:space="0" w:color="auto"/>
        <w:bottom w:val="none" w:sz="0" w:space="0" w:color="auto"/>
        <w:right w:val="none" w:sz="0" w:space="0" w:color="auto"/>
      </w:divBdr>
    </w:div>
    <w:div w:id="1409766149">
      <w:bodyDiv w:val="1"/>
      <w:marLeft w:val="0"/>
      <w:marRight w:val="0"/>
      <w:marTop w:val="0"/>
      <w:marBottom w:val="0"/>
      <w:divBdr>
        <w:top w:val="none" w:sz="0" w:space="0" w:color="auto"/>
        <w:left w:val="none" w:sz="0" w:space="0" w:color="auto"/>
        <w:bottom w:val="none" w:sz="0" w:space="0" w:color="auto"/>
        <w:right w:val="none" w:sz="0" w:space="0" w:color="auto"/>
      </w:divBdr>
    </w:div>
    <w:div w:id="1520044738">
      <w:bodyDiv w:val="1"/>
      <w:marLeft w:val="0"/>
      <w:marRight w:val="0"/>
      <w:marTop w:val="0"/>
      <w:marBottom w:val="0"/>
      <w:divBdr>
        <w:top w:val="none" w:sz="0" w:space="0" w:color="auto"/>
        <w:left w:val="none" w:sz="0" w:space="0" w:color="auto"/>
        <w:bottom w:val="none" w:sz="0" w:space="0" w:color="auto"/>
        <w:right w:val="none" w:sz="0" w:space="0" w:color="auto"/>
      </w:divBdr>
    </w:div>
    <w:div w:id="1547568663">
      <w:bodyDiv w:val="1"/>
      <w:marLeft w:val="0"/>
      <w:marRight w:val="0"/>
      <w:marTop w:val="0"/>
      <w:marBottom w:val="0"/>
      <w:divBdr>
        <w:top w:val="none" w:sz="0" w:space="0" w:color="auto"/>
        <w:left w:val="none" w:sz="0" w:space="0" w:color="auto"/>
        <w:bottom w:val="none" w:sz="0" w:space="0" w:color="auto"/>
        <w:right w:val="none" w:sz="0" w:space="0" w:color="auto"/>
      </w:divBdr>
    </w:div>
    <w:div w:id="1617981247">
      <w:bodyDiv w:val="1"/>
      <w:marLeft w:val="0"/>
      <w:marRight w:val="0"/>
      <w:marTop w:val="0"/>
      <w:marBottom w:val="0"/>
      <w:divBdr>
        <w:top w:val="none" w:sz="0" w:space="0" w:color="auto"/>
        <w:left w:val="none" w:sz="0" w:space="0" w:color="auto"/>
        <w:bottom w:val="none" w:sz="0" w:space="0" w:color="auto"/>
        <w:right w:val="none" w:sz="0" w:space="0" w:color="auto"/>
      </w:divBdr>
    </w:div>
    <w:div w:id="1660501671">
      <w:bodyDiv w:val="1"/>
      <w:marLeft w:val="0"/>
      <w:marRight w:val="0"/>
      <w:marTop w:val="0"/>
      <w:marBottom w:val="0"/>
      <w:divBdr>
        <w:top w:val="none" w:sz="0" w:space="0" w:color="auto"/>
        <w:left w:val="none" w:sz="0" w:space="0" w:color="auto"/>
        <w:bottom w:val="none" w:sz="0" w:space="0" w:color="auto"/>
        <w:right w:val="none" w:sz="0" w:space="0" w:color="auto"/>
      </w:divBdr>
    </w:div>
    <w:div w:id="1751805748">
      <w:bodyDiv w:val="1"/>
      <w:marLeft w:val="0"/>
      <w:marRight w:val="0"/>
      <w:marTop w:val="0"/>
      <w:marBottom w:val="0"/>
      <w:divBdr>
        <w:top w:val="none" w:sz="0" w:space="0" w:color="auto"/>
        <w:left w:val="none" w:sz="0" w:space="0" w:color="auto"/>
        <w:bottom w:val="none" w:sz="0" w:space="0" w:color="auto"/>
        <w:right w:val="none" w:sz="0" w:space="0" w:color="auto"/>
      </w:divBdr>
    </w:div>
    <w:div w:id="1795713591">
      <w:bodyDiv w:val="1"/>
      <w:marLeft w:val="0"/>
      <w:marRight w:val="0"/>
      <w:marTop w:val="0"/>
      <w:marBottom w:val="0"/>
      <w:divBdr>
        <w:top w:val="none" w:sz="0" w:space="0" w:color="auto"/>
        <w:left w:val="none" w:sz="0" w:space="0" w:color="auto"/>
        <w:bottom w:val="none" w:sz="0" w:space="0" w:color="auto"/>
        <w:right w:val="none" w:sz="0" w:space="0" w:color="auto"/>
      </w:divBdr>
    </w:div>
    <w:div w:id="1796211735">
      <w:bodyDiv w:val="1"/>
      <w:marLeft w:val="0"/>
      <w:marRight w:val="0"/>
      <w:marTop w:val="0"/>
      <w:marBottom w:val="0"/>
      <w:divBdr>
        <w:top w:val="none" w:sz="0" w:space="0" w:color="auto"/>
        <w:left w:val="none" w:sz="0" w:space="0" w:color="auto"/>
        <w:bottom w:val="none" w:sz="0" w:space="0" w:color="auto"/>
        <w:right w:val="none" w:sz="0" w:space="0" w:color="auto"/>
      </w:divBdr>
    </w:div>
    <w:div w:id="1937471627">
      <w:bodyDiv w:val="1"/>
      <w:marLeft w:val="0"/>
      <w:marRight w:val="0"/>
      <w:marTop w:val="0"/>
      <w:marBottom w:val="0"/>
      <w:divBdr>
        <w:top w:val="none" w:sz="0" w:space="0" w:color="auto"/>
        <w:left w:val="none" w:sz="0" w:space="0" w:color="auto"/>
        <w:bottom w:val="none" w:sz="0" w:space="0" w:color="auto"/>
        <w:right w:val="none" w:sz="0" w:space="0" w:color="auto"/>
      </w:divBdr>
    </w:div>
    <w:div w:id="1965260698">
      <w:bodyDiv w:val="1"/>
      <w:marLeft w:val="0"/>
      <w:marRight w:val="0"/>
      <w:marTop w:val="0"/>
      <w:marBottom w:val="0"/>
      <w:divBdr>
        <w:top w:val="none" w:sz="0" w:space="0" w:color="auto"/>
        <w:left w:val="none" w:sz="0" w:space="0" w:color="auto"/>
        <w:bottom w:val="none" w:sz="0" w:space="0" w:color="auto"/>
        <w:right w:val="none" w:sz="0" w:space="0" w:color="auto"/>
      </w:divBdr>
    </w:div>
    <w:div w:id="2043095999">
      <w:bodyDiv w:val="1"/>
      <w:marLeft w:val="0"/>
      <w:marRight w:val="0"/>
      <w:marTop w:val="0"/>
      <w:marBottom w:val="0"/>
      <w:divBdr>
        <w:top w:val="none" w:sz="0" w:space="0" w:color="auto"/>
        <w:left w:val="none" w:sz="0" w:space="0" w:color="auto"/>
        <w:bottom w:val="none" w:sz="0" w:space="0" w:color="auto"/>
        <w:right w:val="none" w:sz="0" w:space="0" w:color="auto"/>
      </w:divBdr>
    </w:div>
    <w:div w:id="2050495996">
      <w:bodyDiv w:val="1"/>
      <w:marLeft w:val="0"/>
      <w:marRight w:val="0"/>
      <w:marTop w:val="0"/>
      <w:marBottom w:val="0"/>
      <w:divBdr>
        <w:top w:val="none" w:sz="0" w:space="0" w:color="auto"/>
        <w:left w:val="none" w:sz="0" w:space="0" w:color="auto"/>
        <w:bottom w:val="none" w:sz="0" w:space="0" w:color="auto"/>
        <w:right w:val="none" w:sz="0" w:space="0" w:color="auto"/>
      </w:divBdr>
    </w:div>
    <w:div w:id="21318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goncapital.com.vn/r/dcip-dieu-le-quy-agm-nam-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ragoncapital.com.vn/r/dcip-nghi-quyet-dai-hoi-thuong-nien-nam-tai-chinh-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E6591-F2AF-4574-B340-061965F7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Pages>
  <Words>4369</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ThuyNTT2</dc:creator>
  <cp:lastModifiedBy>Ly Nguyen Kieu Truc</cp:lastModifiedBy>
  <cp:revision>43</cp:revision>
  <cp:lastPrinted>2020-02-28T07:30:00Z</cp:lastPrinted>
  <dcterms:created xsi:type="dcterms:W3CDTF">2022-01-25T08:23:00Z</dcterms:created>
  <dcterms:modified xsi:type="dcterms:W3CDTF">2023-03-16T02:19:00Z</dcterms:modified>
</cp:coreProperties>
</file>