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77F23" w14:textId="77777777" w:rsidR="00E1535E" w:rsidRPr="007A4753" w:rsidRDefault="00E1535E" w:rsidP="00E1535E">
      <w:pPr>
        <w:spacing w:after="0" w:line="288" w:lineRule="auto"/>
        <w:jc w:val="both"/>
        <w:rPr>
          <w:rFonts w:ascii="Times New Roman" w:hAnsi="Times New Roman" w:cs="Times New Roman"/>
          <w:b/>
          <w:sz w:val="20"/>
          <w:szCs w:val="20"/>
        </w:rPr>
      </w:pPr>
      <w:r w:rsidRPr="007A4753">
        <w:rPr>
          <w:rFonts w:ascii="Times New Roman" w:hAnsi="Times New Roman" w:cs="Times New Roman"/>
          <w:b/>
          <w:sz w:val="20"/>
          <w:szCs w:val="20"/>
        </w:rPr>
        <w:t xml:space="preserve">CTCP QUẢN LÝ QUỸ ĐẦU TƯ DRAGON CAPITAL VIỆT NAM </w:t>
      </w:r>
    </w:p>
    <w:p w14:paraId="238542D3" w14:textId="77777777" w:rsidR="00E1535E" w:rsidRPr="007A4753" w:rsidRDefault="00E1535E" w:rsidP="00E1535E">
      <w:pPr>
        <w:spacing w:after="0" w:line="288" w:lineRule="auto"/>
        <w:jc w:val="both"/>
        <w:rPr>
          <w:rFonts w:ascii="Times New Roman" w:hAnsi="Times New Roman" w:cs="Times New Roman"/>
          <w:b/>
          <w:sz w:val="20"/>
          <w:szCs w:val="20"/>
        </w:rPr>
      </w:pPr>
      <w:r w:rsidRPr="007A4753">
        <w:rPr>
          <w:rFonts w:ascii="Times New Roman" w:hAnsi="Times New Roman" w:cs="Times New Roman"/>
          <w:b/>
          <w:sz w:val="20"/>
          <w:szCs w:val="20"/>
        </w:rPr>
        <w:t>QUỸ ETF DCVFMVN DIAMOND</w:t>
      </w:r>
    </w:p>
    <w:p w14:paraId="4A615BB6" w14:textId="77777777" w:rsidR="00E1535E" w:rsidRPr="007A4753" w:rsidRDefault="00E1535E" w:rsidP="00E1535E">
      <w:pPr>
        <w:spacing w:after="0" w:line="288" w:lineRule="auto"/>
        <w:jc w:val="both"/>
        <w:rPr>
          <w:rFonts w:ascii="Times New Roman" w:hAnsi="Times New Roman" w:cs="Times New Roman"/>
          <w:sz w:val="20"/>
          <w:szCs w:val="20"/>
        </w:rPr>
      </w:pPr>
    </w:p>
    <w:p w14:paraId="140844C3" w14:textId="77777777" w:rsidR="00E1535E" w:rsidRPr="007A4753" w:rsidRDefault="00E1535E" w:rsidP="00E1535E">
      <w:pPr>
        <w:spacing w:after="0" w:line="288" w:lineRule="auto"/>
        <w:jc w:val="center"/>
        <w:rPr>
          <w:rFonts w:ascii="Times New Roman" w:hAnsi="Times New Roman" w:cs="Times New Roman"/>
          <w:b/>
          <w:i/>
          <w:sz w:val="20"/>
          <w:szCs w:val="20"/>
        </w:rPr>
      </w:pPr>
      <w:r w:rsidRPr="007A4753">
        <w:rPr>
          <w:rFonts w:ascii="Times New Roman" w:hAnsi="Times New Roman" w:cs="Times New Roman"/>
          <w:b/>
          <w:i/>
          <w:sz w:val="20"/>
          <w:szCs w:val="20"/>
        </w:rPr>
        <w:t>Mẫu số B06 - ETF</w:t>
      </w:r>
    </w:p>
    <w:p w14:paraId="1C42B90B" w14:textId="77777777" w:rsidR="00E1535E" w:rsidRPr="007A4753" w:rsidRDefault="00E1535E" w:rsidP="00E1535E">
      <w:pPr>
        <w:spacing w:after="0" w:line="288" w:lineRule="auto"/>
        <w:jc w:val="center"/>
        <w:rPr>
          <w:rFonts w:ascii="Times New Roman" w:hAnsi="Times New Roman" w:cs="Times New Roman"/>
          <w:i/>
          <w:sz w:val="20"/>
          <w:szCs w:val="20"/>
        </w:rPr>
      </w:pPr>
      <w:r w:rsidRPr="007A4753">
        <w:rPr>
          <w:rFonts w:ascii="Times New Roman" w:hAnsi="Times New Roman" w:cs="Times New Roman"/>
          <w:i/>
          <w:sz w:val="20"/>
          <w:szCs w:val="20"/>
        </w:rPr>
        <w:t>(Ban hành kèm theo Thông tư số 181/2015/TT-BTC ngày 13 tháng 11 năm 2015 của Bộ Tài chính hướng dẫn thành lập và quản lý quỹ hoán đổi danh mục)</w:t>
      </w:r>
    </w:p>
    <w:p w14:paraId="46C1AA6C" w14:textId="77777777" w:rsidR="00E1535E" w:rsidRPr="007A4753" w:rsidRDefault="00E1535E" w:rsidP="00E1535E">
      <w:pPr>
        <w:spacing w:after="0" w:line="288" w:lineRule="auto"/>
        <w:jc w:val="center"/>
        <w:rPr>
          <w:rFonts w:ascii="Times New Roman" w:hAnsi="Times New Roman" w:cs="Times New Roman"/>
          <w:sz w:val="20"/>
          <w:szCs w:val="20"/>
        </w:rPr>
      </w:pPr>
    </w:p>
    <w:p w14:paraId="0EB3B965" w14:textId="77777777" w:rsidR="00E1535E" w:rsidRPr="007A4753" w:rsidRDefault="00E1535E" w:rsidP="00E1535E">
      <w:pPr>
        <w:spacing w:after="0" w:line="288" w:lineRule="auto"/>
        <w:jc w:val="center"/>
        <w:rPr>
          <w:rFonts w:ascii="Times New Roman" w:hAnsi="Times New Roman" w:cs="Times New Roman"/>
          <w:b/>
          <w:sz w:val="24"/>
          <w:szCs w:val="20"/>
        </w:rPr>
      </w:pPr>
      <w:r w:rsidRPr="007A4753">
        <w:rPr>
          <w:rFonts w:ascii="Times New Roman" w:hAnsi="Times New Roman" w:cs="Times New Roman"/>
          <w:b/>
          <w:sz w:val="24"/>
          <w:szCs w:val="20"/>
        </w:rPr>
        <w:t>BẢN THUYẾT MINH BÁO CÁO TÀI CHÍNH CHỌN LỌC</w:t>
      </w:r>
    </w:p>
    <w:p w14:paraId="1FDC0819" w14:textId="1340D644" w:rsidR="00E1535E" w:rsidRPr="007A4753" w:rsidRDefault="00374D7E" w:rsidP="00E1535E">
      <w:pPr>
        <w:spacing w:after="0" w:line="288" w:lineRule="auto"/>
        <w:jc w:val="center"/>
        <w:rPr>
          <w:rFonts w:ascii="Times New Roman" w:hAnsi="Times New Roman" w:cs="Times New Roman"/>
          <w:b/>
          <w:sz w:val="24"/>
          <w:szCs w:val="20"/>
        </w:rPr>
      </w:pPr>
      <w:r w:rsidRPr="007A4753">
        <w:rPr>
          <w:rFonts w:ascii="Times New Roman" w:hAnsi="Times New Roman" w:cs="Times New Roman"/>
          <w:b/>
          <w:sz w:val="24"/>
          <w:szCs w:val="20"/>
        </w:rPr>
        <w:t xml:space="preserve">Quý </w:t>
      </w:r>
      <w:r w:rsidR="000A5523">
        <w:rPr>
          <w:rFonts w:ascii="Times New Roman" w:hAnsi="Times New Roman" w:cs="Times New Roman"/>
          <w:b/>
          <w:sz w:val="24"/>
          <w:szCs w:val="20"/>
        </w:rPr>
        <w:t>I</w:t>
      </w:r>
      <w:r w:rsidR="008B4E10">
        <w:rPr>
          <w:rFonts w:ascii="Times New Roman" w:hAnsi="Times New Roman" w:cs="Times New Roman"/>
          <w:b/>
          <w:sz w:val="24"/>
          <w:szCs w:val="20"/>
        </w:rPr>
        <w:t>V</w:t>
      </w:r>
      <w:r w:rsidR="00E1535E" w:rsidRPr="007A4753">
        <w:rPr>
          <w:rFonts w:ascii="Times New Roman" w:hAnsi="Times New Roman" w:cs="Times New Roman"/>
          <w:b/>
          <w:sz w:val="24"/>
          <w:szCs w:val="20"/>
        </w:rPr>
        <w:t xml:space="preserve"> năm 20</w:t>
      </w:r>
      <w:r w:rsidR="000E1C4F" w:rsidRPr="007A4753">
        <w:rPr>
          <w:rFonts w:ascii="Times New Roman" w:hAnsi="Times New Roman" w:cs="Times New Roman"/>
          <w:b/>
          <w:sz w:val="24"/>
          <w:szCs w:val="20"/>
        </w:rPr>
        <w:t>2</w:t>
      </w:r>
      <w:r w:rsidR="00E5334B">
        <w:rPr>
          <w:rFonts w:ascii="Times New Roman" w:hAnsi="Times New Roman" w:cs="Times New Roman"/>
          <w:b/>
          <w:sz w:val="24"/>
          <w:szCs w:val="20"/>
        </w:rPr>
        <w:t>2</w:t>
      </w:r>
    </w:p>
    <w:p w14:paraId="572F6798" w14:textId="77777777" w:rsidR="00E1535E" w:rsidRPr="007A4753" w:rsidRDefault="00E1535E" w:rsidP="00E1535E">
      <w:pPr>
        <w:spacing w:after="0" w:line="288" w:lineRule="auto"/>
        <w:jc w:val="center"/>
        <w:rPr>
          <w:rFonts w:ascii="Times New Roman" w:hAnsi="Times New Roman" w:cs="Times New Roman"/>
          <w:b/>
          <w:sz w:val="24"/>
          <w:szCs w:val="20"/>
        </w:rPr>
      </w:pPr>
    </w:p>
    <w:p w14:paraId="50A61B1E" w14:textId="77777777" w:rsidR="00E1535E" w:rsidRPr="007A4753" w:rsidRDefault="00E1535E" w:rsidP="00E1535E">
      <w:pPr>
        <w:pStyle w:val="ListParagraph"/>
        <w:numPr>
          <w:ilvl w:val="0"/>
          <w:numId w:val="1"/>
        </w:numPr>
        <w:spacing w:before="60" w:after="0" w:line="288" w:lineRule="auto"/>
        <w:ind w:left="284" w:hanging="284"/>
        <w:jc w:val="both"/>
        <w:rPr>
          <w:rFonts w:ascii="Times New Roman" w:hAnsi="Times New Roman" w:cs="Times New Roman"/>
          <w:b/>
          <w:sz w:val="20"/>
          <w:szCs w:val="20"/>
        </w:rPr>
      </w:pPr>
      <w:r w:rsidRPr="007A4753">
        <w:rPr>
          <w:rFonts w:ascii="Times New Roman" w:hAnsi="Times New Roman" w:cs="Times New Roman"/>
          <w:b/>
          <w:sz w:val="20"/>
          <w:szCs w:val="20"/>
        </w:rPr>
        <w:t>Đặc điểm hoạt động của Quỹ ETF DCVFMVN DIAMOND</w:t>
      </w:r>
      <w:r w:rsidRPr="007A4753">
        <w:rPr>
          <w:rFonts w:ascii="Times New Roman" w:hAnsi="Times New Roman" w:cs="Times New Roman"/>
          <w:b/>
          <w:sz w:val="20"/>
          <w:szCs w:val="20"/>
        </w:rPr>
        <w:tab/>
      </w:r>
    </w:p>
    <w:p w14:paraId="0F6B3321" w14:textId="77777777" w:rsidR="00E1535E" w:rsidRPr="007A4753" w:rsidRDefault="00E1535E" w:rsidP="00E1535E">
      <w:pPr>
        <w:pStyle w:val="ListParagraph"/>
        <w:numPr>
          <w:ilvl w:val="1"/>
          <w:numId w:val="2"/>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Giấy chứng nhận chào bán chứng chỉ Quỹ</w:t>
      </w:r>
    </w:p>
    <w:p w14:paraId="1E953BAD"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Số 38/GCN-UBCK do Ủy ban Chứng khoán Nhà nước cấp ngày 27/02/2020.</w:t>
      </w:r>
    </w:p>
    <w:p w14:paraId="5E1F28A6" w14:textId="77777777" w:rsidR="00E1535E" w:rsidRPr="007A4753" w:rsidRDefault="00E1535E" w:rsidP="00E1535E">
      <w:pPr>
        <w:pStyle w:val="ListParagraph"/>
        <w:numPr>
          <w:ilvl w:val="1"/>
          <w:numId w:val="2"/>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Giấy chứng nhận đăng ký thành lập Quỹ</w:t>
      </w:r>
    </w:p>
    <w:p w14:paraId="6C67491C"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Số 43/GCN-UBCK do Ủy ban Chứng khoán Nhà nước cấp ngày 22/04/2020, số 13/GCN-UBCK do Ủy ban Chứng khoán Nhà nước cấp ngày 24/05/2021 (điều chỉnh tên), không bị giới hạn về thời gian hoạt động.</w:t>
      </w:r>
    </w:p>
    <w:p w14:paraId="516CAB16" w14:textId="77777777" w:rsidR="00E1535E" w:rsidRPr="007A4753" w:rsidRDefault="00E1535E" w:rsidP="00E1535E">
      <w:pPr>
        <w:pStyle w:val="ListParagraph"/>
        <w:numPr>
          <w:ilvl w:val="1"/>
          <w:numId w:val="2"/>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Địa chỉ liên hệ của Quỹ</w:t>
      </w:r>
    </w:p>
    <w:p w14:paraId="50EC44D5"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Tầng 15, Tòa nhà Mê Linh Point, số 02 Ngô Đức Kế, Quận 1, TP.HCM.</w:t>
      </w:r>
    </w:p>
    <w:p w14:paraId="1319710E" w14:textId="77777777" w:rsidR="00E1535E" w:rsidRPr="007A4753" w:rsidRDefault="00E1535E" w:rsidP="00E1535E">
      <w:pPr>
        <w:pStyle w:val="ListParagraph"/>
        <w:numPr>
          <w:ilvl w:val="1"/>
          <w:numId w:val="2"/>
        </w:numPr>
        <w:spacing w:before="60" w:after="6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Điều lệ hoạt động Quỹ ETF ban hành ngày 27/04/2021</w:t>
      </w:r>
    </w:p>
    <w:p w14:paraId="5212D91D" w14:textId="77777777" w:rsidR="00E1535E" w:rsidRPr="007A4753" w:rsidRDefault="00E1535E" w:rsidP="00E1535E">
      <w:pPr>
        <w:pStyle w:val="ListParagraph"/>
        <w:numPr>
          <w:ilvl w:val="1"/>
          <w:numId w:val="2"/>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Những đặc điểm chính về hoạt động Quỹ</w:t>
      </w:r>
      <w:r w:rsidRPr="007A4753">
        <w:rPr>
          <w:rFonts w:ascii="Times New Roman" w:hAnsi="Times New Roman" w:cs="Times New Roman"/>
          <w:b/>
          <w:sz w:val="20"/>
          <w:szCs w:val="20"/>
        </w:rPr>
        <w:tab/>
      </w:r>
    </w:p>
    <w:p w14:paraId="381FFBC3"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Quy mô vốn Quỹ:</w:t>
      </w:r>
      <w:r w:rsidRPr="007A4753">
        <w:rPr>
          <w:rFonts w:ascii="Times New Roman" w:hAnsi="Times New Roman" w:cs="Times New Roman"/>
          <w:sz w:val="20"/>
          <w:szCs w:val="20"/>
        </w:rPr>
        <w:t xml:space="preserve"> Vốn điều lệ của Quỹ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Giấy chứng nhận đăng ký thành lập quỹ là một trăm lẻ hai (102) tỷ Đồng Việt Nam và tương ứng với 102 (một trăm lẻ hai) lô chứng chỉ quỹ. Mệnh giá của mỗi chứng chỉ quỹ là mười nghìn (10,000) Đồng.</w:t>
      </w:r>
    </w:p>
    <w:p w14:paraId="3E0A3398"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Tính chất của Quỹ:</w:t>
      </w:r>
      <w:r w:rsidRPr="007A4753">
        <w:rPr>
          <w:rFonts w:ascii="Times New Roman" w:hAnsi="Times New Roman" w:cs="Times New Roman"/>
          <w:sz w:val="20"/>
          <w:szCs w:val="20"/>
        </w:rPr>
        <w:t xml:space="preserve"> Là quỹ đại chúng dạng mở, được hình thành từ việc tiếp nhận, hoán đổi danh mục chứng khoán cơ cấu lấy chứng chỉ quỹ và được niêm yết, giao dịch trên Sở Giao dịch chứng khoán Tp. HCM. Trong suốt thời hạn hoạt động, Quỹ có nghĩa vụ thực hiện việc đổi danh mục chứng khoán cơ cấu lấy lô chứng chỉ Quỹ ETF DCVFMVN DIAMOND và ngược lại.</w:t>
      </w:r>
    </w:p>
    <w:p w14:paraId="286A1A33" w14:textId="2C8BEA9F"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Mục tiêu của Quỹ:</w:t>
      </w:r>
      <w:r w:rsidRPr="007A4753">
        <w:rPr>
          <w:rFonts w:ascii="Times New Roman" w:hAnsi="Times New Roman" w:cs="Times New Roman"/>
          <w:sz w:val="20"/>
          <w:szCs w:val="20"/>
        </w:rPr>
        <w:t xml:space="preserve"> </w:t>
      </w:r>
      <w:r w:rsidR="000A5523" w:rsidRPr="000A5523">
        <w:rPr>
          <w:rFonts w:ascii="Times New Roman" w:hAnsi="Times New Roman" w:cs="Times New Roman"/>
          <w:sz w:val="20"/>
          <w:szCs w:val="20"/>
        </w:rPr>
        <w:t>Mục tiêu của Quỹ phù hợp với Giấy Chứng nhận Đăng ký Thành lập Quỹ do Ủy ban Chứng khoán Nhà nước cấp, Điều lệ và Bản cáo bạch của Quỹ.</w:t>
      </w:r>
    </w:p>
    <w:p w14:paraId="097BD10D" w14:textId="2A33509C" w:rsidR="00E1535E" w:rsidRPr="007A4753" w:rsidRDefault="00E1535E" w:rsidP="00E1535E">
      <w:pPr>
        <w:spacing w:after="60" w:line="288" w:lineRule="auto"/>
        <w:ind w:left="567"/>
        <w:jc w:val="both"/>
        <w:rPr>
          <w:rFonts w:ascii="Times New Roman" w:hAnsi="Times New Roman" w:cs="Times New Roman"/>
          <w:sz w:val="20"/>
          <w:szCs w:val="20"/>
        </w:rPr>
      </w:pPr>
      <w:r w:rsidRPr="00147420">
        <w:rPr>
          <w:rFonts w:ascii="Times New Roman" w:hAnsi="Times New Roman" w:cs="Times New Roman"/>
          <w:i/>
          <w:sz w:val="20"/>
          <w:szCs w:val="20"/>
        </w:rPr>
        <w:t>Kỳ tính giá trị tài sản ròng (NAV):</w:t>
      </w:r>
      <w:r w:rsidRPr="00147420">
        <w:rPr>
          <w:rFonts w:ascii="Times New Roman" w:hAnsi="Times New Roman" w:cs="Times New Roman"/>
          <w:sz w:val="20"/>
          <w:szCs w:val="20"/>
        </w:rPr>
        <w:t xml:space="preserve"> </w:t>
      </w:r>
      <w:r w:rsidR="008C4025" w:rsidRPr="00147420">
        <w:rPr>
          <w:rFonts w:ascii="Times New Roman" w:hAnsi="Times New Roman" w:cs="Times New Roman"/>
          <w:sz w:val="20"/>
          <w:szCs w:val="20"/>
        </w:rPr>
        <w:t>Ngày định giá</w:t>
      </w:r>
      <w:r w:rsidR="008C4025" w:rsidRPr="008C4025">
        <w:rPr>
          <w:rFonts w:ascii="Times New Roman" w:hAnsi="Times New Roman" w:cs="Times New Roman"/>
          <w:sz w:val="20"/>
          <w:szCs w:val="20"/>
        </w:rPr>
        <w:t xml:space="preserve"> là ngày làm việc (của kỳ định giá ngày), ngày thứ sáu hàng tuần (của kỳ định giá tuần) và ngày đầu tiên của tháng tiếp </w:t>
      </w:r>
      <w:proofErr w:type="gramStart"/>
      <w:r w:rsidR="008C4025" w:rsidRPr="008C4025">
        <w:rPr>
          <w:rFonts w:ascii="Times New Roman" w:hAnsi="Times New Roman" w:cs="Times New Roman"/>
          <w:sz w:val="20"/>
          <w:szCs w:val="20"/>
        </w:rPr>
        <w:t>theo</w:t>
      </w:r>
      <w:proofErr w:type="gramEnd"/>
      <w:r w:rsidR="008C4025" w:rsidRPr="008C4025">
        <w:rPr>
          <w:rFonts w:ascii="Times New Roman" w:hAnsi="Times New Roman" w:cs="Times New Roman"/>
          <w:sz w:val="20"/>
          <w:szCs w:val="20"/>
        </w:rPr>
        <w:t xml:space="preserve"> (của kỳ định giá hàng tháng). Trong trường hợp ngày định giá rơi vào ngày nghỉ hoặc ngày lễ thì ngày định giá là ngày làm việc kế tiếp liền ngay sau đó, ngoại trừ kỳ định giá tháng thì vẫn là ngày đầu tiên của tháng tiếp </w:t>
      </w:r>
      <w:proofErr w:type="gramStart"/>
      <w:r w:rsidR="008C4025" w:rsidRPr="008C4025">
        <w:rPr>
          <w:rFonts w:ascii="Times New Roman" w:hAnsi="Times New Roman" w:cs="Times New Roman"/>
          <w:sz w:val="20"/>
          <w:szCs w:val="20"/>
        </w:rPr>
        <w:t>theo</w:t>
      </w:r>
      <w:proofErr w:type="gramEnd"/>
      <w:r w:rsidR="008C4025">
        <w:rPr>
          <w:rFonts w:ascii="Times New Roman" w:hAnsi="Times New Roman" w:cs="Times New Roman"/>
          <w:sz w:val="20"/>
          <w:szCs w:val="20"/>
        </w:rPr>
        <w:t xml:space="preserve">. </w:t>
      </w:r>
    </w:p>
    <w:p w14:paraId="6E0F8DE0"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Tần suất giao dịch Chứng chỉ quỹ:</w:t>
      </w:r>
      <w:r w:rsidRPr="007A4753">
        <w:rPr>
          <w:rFonts w:ascii="Times New Roman" w:hAnsi="Times New Roman" w:cs="Times New Roman"/>
          <w:sz w:val="20"/>
          <w:szCs w:val="20"/>
        </w:rPr>
        <w:t xml:space="preserve"> Giao dịch hoán đổi được thực hiện hàng ngày.</w:t>
      </w:r>
    </w:p>
    <w:p w14:paraId="65C2C661" w14:textId="77777777" w:rsidR="00E1535E" w:rsidRPr="007A4753" w:rsidRDefault="00E1535E" w:rsidP="00E1535E">
      <w:pPr>
        <w:spacing w:after="60" w:line="288" w:lineRule="auto"/>
        <w:ind w:left="567"/>
        <w:jc w:val="both"/>
        <w:rPr>
          <w:rFonts w:ascii="Times New Roman" w:hAnsi="Times New Roman" w:cs="Times New Roman"/>
          <w:sz w:val="20"/>
          <w:szCs w:val="20"/>
        </w:rPr>
      </w:pPr>
      <w:r w:rsidRPr="007A4753">
        <w:rPr>
          <w:rFonts w:ascii="Times New Roman" w:hAnsi="Times New Roman" w:cs="Times New Roman"/>
          <w:i/>
          <w:sz w:val="20"/>
          <w:szCs w:val="20"/>
        </w:rPr>
        <w:t>Hạn chế đầu tư của Quỹ:</w:t>
      </w:r>
      <w:r w:rsidRPr="007A4753">
        <w:rPr>
          <w:rFonts w:ascii="Times New Roman" w:hAnsi="Times New Roman" w:cs="Times New Roman"/>
          <w:sz w:val="20"/>
          <w:szCs w:val="20"/>
        </w:rPr>
        <w:t xml:space="preserve"> Danh mục đầu tư của Quỹ ETF DCVFMVN DIAMOND phải phù hợp với mục tiêu và chiến lược đầu tư đã được quy định rõ tại Điều lệ này và Bản cáo bạch.</w:t>
      </w:r>
    </w:p>
    <w:p w14:paraId="7C4168C0" w14:textId="77777777" w:rsidR="00E1535E" w:rsidRPr="007A4753" w:rsidRDefault="00E1535E" w:rsidP="00E1535E">
      <w:pPr>
        <w:spacing w:after="0" w:line="288" w:lineRule="auto"/>
        <w:ind w:left="567"/>
        <w:jc w:val="both"/>
        <w:rPr>
          <w:rFonts w:ascii="Times New Roman" w:hAnsi="Times New Roman" w:cs="Times New Roman"/>
          <w:i/>
          <w:sz w:val="20"/>
          <w:szCs w:val="20"/>
        </w:rPr>
      </w:pPr>
      <w:r w:rsidRPr="007A4753">
        <w:rPr>
          <w:rFonts w:ascii="Times New Roman" w:hAnsi="Times New Roman" w:cs="Times New Roman"/>
          <w:i/>
          <w:sz w:val="20"/>
          <w:szCs w:val="20"/>
        </w:rPr>
        <w:t>Cơ cấu danh mục đầu tư của Quỹ ETF DCVFMVN DIAMOND phải phù hợp với các quy định tại Điều lệ quỹ và đảm bảo:</w:t>
      </w:r>
    </w:p>
    <w:p w14:paraId="207086D0" w14:textId="77777777" w:rsidR="008C4025" w:rsidRPr="008C4025" w:rsidRDefault="008C4025" w:rsidP="008C4025">
      <w:pPr>
        <w:pStyle w:val="ListParagraph"/>
        <w:numPr>
          <w:ilvl w:val="0"/>
          <w:numId w:val="3"/>
        </w:numPr>
        <w:spacing w:after="0" w:line="288" w:lineRule="auto"/>
        <w:ind w:left="851" w:hanging="284"/>
        <w:jc w:val="both"/>
        <w:rPr>
          <w:rFonts w:ascii="Times New Roman" w:hAnsi="Times New Roman" w:cs="Times New Roman"/>
          <w:sz w:val="20"/>
          <w:szCs w:val="20"/>
        </w:rPr>
      </w:pPr>
      <w:r w:rsidRPr="008C4025">
        <w:rPr>
          <w:rFonts w:ascii="Times New Roman" w:hAnsi="Times New Roman" w:cs="Times New Roman"/>
          <w:sz w:val="20"/>
          <w:szCs w:val="20"/>
        </w:rPr>
        <w:t>Quỹ không được đầu tư vào quá 10% tổng giá trị chứng khoán đang lưu hành của một tổ chức phát hành, trừ công cụ nợ của Chính phủ;</w:t>
      </w:r>
    </w:p>
    <w:p w14:paraId="17F0A219" w14:textId="77777777" w:rsidR="008C4025" w:rsidRPr="008C4025" w:rsidRDefault="008C4025" w:rsidP="008C4025">
      <w:pPr>
        <w:pStyle w:val="ListParagraph"/>
        <w:numPr>
          <w:ilvl w:val="0"/>
          <w:numId w:val="3"/>
        </w:numPr>
        <w:spacing w:after="0" w:line="288" w:lineRule="auto"/>
        <w:ind w:left="851" w:hanging="284"/>
        <w:jc w:val="both"/>
        <w:rPr>
          <w:rFonts w:ascii="Times New Roman" w:hAnsi="Times New Roman" w:cs="Times New Roman"/>
          <w:sz w:val="20"/>
          <w:szCs w:val="20"/>
        </w:rPr>
      </w:pPr>
      <w:r w:rsidRPr="008C4025">
        <w:rPr>
          <w:rFonts w:ascii="Times New Roman" w:hAnsi="Times New Roman" w:cs="Times New Roman"/>
          <w:sz w:val="20"/>
          <w:szCs w:val="20"/>
        </w:rPr>
        <w:t>Quỹ không được đầu tư quá 20% tổng giá trị tài sản của Quỹ vào chứng khoán đang lưu hành và các tài sản (nếu có) quy định tại điểm (a), (b) khoản 3, Điều 9, Điều lệ Quỹ, của một tổ chức, trừ công cụ nợ của Chính phủ;</w:t>
      </w:r>
    </w:p>
    <w:p w14:paraId="058745F8" w14:textId="77777777" w:rsidR="008C4025" w:rsidRPr="008C4025" w:rsidRDefault="008C4025" w:rsidP="008C4025">
      <w:pPr>
        <w:pStyle w:val="ListParagraph"/>
        <w:numPr>
          <w:ilvl w:val="0"/>
          <w:numId w:val="3"/>
        </w:numPr>
        <w:spacing w:after="0" w:line="288" w:lineRule="auto"/>
        <w:ind w:left="851" w:hanging="284"/>
        <w:jc w:val="both"/>
        <w:rPr>
          <w:rFonts w:ascii="Times New Roman" w:hAnsi="Times New Roman" w:cs="Times New Roman"/>
          <w:sz w:val="20"/>
          <w:szCs w:val="20"/>
        </w:rPr>
      </w:pPr>
      <w:r w:rsidRPr="008C4025">
        <w:rPr>
          <w:rFonts w:ascii="Times New Roman" w:hAnsi="Times New Roman" w:cs="Times New Roman"/>
          <w:sz w:val="20"/>
          <w:szCs w:val="20"/>
        </w:rPr>
        <w:t xml:space="preserve">Quỹ không được đầu tư quá 30% tổng giá trị tài sản của Quỹ vào các tài sản quy định tại điểm (a), (b), (d), (e) khoản 3, Điều 9, Điều lệ Quỹ, phát hành bởi các công ty trong cùng một nhóm công ty có quan hệ sở hữu với nhau thuộc các </w:t>
      </w:r>
      <w:r w:rsidRPr="008C4025">
        <w:rPr>
          <w:rFonts w:ascii="Times New Roman" w:hAnsi="Times New Roman" w:cs="Times New Roman"/>
          <w:sz w:val="20"/>
          <w:szCs w:val="20"/>
        </w:rPr>
        <w:lastRenderedPageBreak/>
        <w:t xml:space="preserve">trường hợp sau đây: công ty mẹ, công ty con; các công ty sở hữu trên 35% cổ phần, phần vốn của nhau; nhóm công ty con có cùng một công ty mẹ, trừ trường hợp đó là chứng khoán cơ cấu nằm trong danh mục chỉ số tham chiếu; </w:t>
      </w:r>
    </w:p>
    <w:p w14:paraId="3193E701" w14:textId="77777777" w:rsidR="008C4025" w:rsidRPr="008C4025" w:rsidRDefault="008C4025" w:rsidP="008C4025">
      <w:pPr>
        <w:pStyle w:val="ListParagraph"/>
        <w:numPr>
          <w:ilvl w:val="0"/>
          <w:numId w:val="3"/>
        </w:numPr>
        <w:spacing w:after="0" w:line="288" w:lineRule="auto"/>
        <w:ind w:left="851" w:hanging="284"/>
        <w:jc w:val="both"/>
        <w:rPr>
          <w:rFonts w:ascii="Times New Roman" w:hAnsi="Times New Roman" w:cs="Times New Roman"/>
          <w:sz w:val="20"/>
          <w:szCs w:val="20"/>
        </w:rPr>
      </w:pPr>
      <w:r w:rsidRPr="008C4025">
        <w:rPr>
          <w:rFonts w:ascii="Times New Roman" w:hAnsi="Times New Roman" w:cs="Times New Roman"/>
          <w:sz w:val="20"/>
          <w:szCs w:val="20"/>
        </w:rPr>
        <w:t>Quỹ không được đầu tư vào chứng chỉ quỹ của chính quỹ đó.</w:t>
      </w:r>
    </w:p>
    <w:p w14:paraId="1211D5C7" w14:textId="77777777" w:rsidR="008C4025" w:rsidRPr="008C4025" w:rsidRDefault="008C4025" w:rsidP="008C4025">
      <w:pPr>
        <w:pStyle w:val="ListParagraph"/>
        <w:numPr>
          <w:ilvl w:val="0"/>
          <w:numId w:val="3"/>
        </w:numPr>
        <w:spacing w:after="0" w:line="288" w:lineRule="auto"/>
        <w:ind w:left="851" w:hanging="284"/>
        <w:jc w:val="both"/>
        <w:rPr>
          <w:rFonts w:ascii="Times New Roman" w:hAnsi="Times New Roman" w:cs="Times New Roman"/>
          <w:sz w:val="20"/>
          <w:szCs w:val="20"/>
        </w:rPr>
      </w:pPr>
      <w:r w:rsidRPr="008C4025">
        <w:rPr>
          <w:rFonts w:ascii="Times New Roman" w:hAnsi="Times New Roman" w:cs="Times New Roman"/>
          <w:sz w:val="20"/>
          <w:szCs w:val="20"/>
        </w:rPr>
        <w:t>Quỹ chỉ được đầu tư vào chứng chỉ quỹ đại chúng khác, công ty đầu tư chứng khoán đại chúng khác do công ty quản lý quỹ khác quản lý và bảo đảm các hạn chế sau:</w:t>
      </w:r>
    </w:p>
    <w:p w14:paraId="5142E08D" w14:textId="77777777" w:rsidR="008C4025" w:rsidRPr="008C4025" w:rsidRDefault="008C4025" w:rsidP="008C4025">
      <w:pPr>
        <w:pStyle w:val="ListParagraph"/>
        <w:numPr>
          <w:ilvl w:val="0"/>
          <w:numId w:val="29"/>
        </w:numPr>
        <w:spacing w:after="0" w:line="288" w:lineRule="auto"/>
        <w:ind w:left="1134" w:hanging="283"/>
        <w:jc w:val="both"/>
        <w:rPr>
          <w:rFonts w:ascii="Times New Roman" w:hAnsi="Times New Roman" w:cs="Times New Roman"/>
          <w:sz w:val="20"/>
          <w:szCs w:val="20"/>
        </w:rPr>
      </w:pPr>
      <w:r w:rsidRPr="008C4025">
        <w:rPr>
          <w:rFonts w:ascii="Times New Roman" w:hAnsi="Times New Roman" w:cs="Times New Roman"/>
          <w:sz w:val="20"/>
          <w:szCs w:val="20"/>
        </w:rPr>
        <w:t>Quỹ không đầu tư vào quá 10% tổng số chứng chỉ quỹ đang lưu hành của một quỹ đại chúng, cổ phiếu đang lưu hành của một công ty đầu tư chứng khoán đại chúng;</w:t>
      </w:r>
    </w:p>
    <w:p w14:paraId="0DAD4FFA" w14:textId="77777777" w:rsidR="008C4025" w:rsidRPr="008C4025" w:rsidRDefault="008C4025" w:rsidP="008C4025">
      <w:pPr>
        <w:pStyle w:val="ListParagraph"/>
        <w:numPr>
          <w:ilvl w:val="0"/>
          <w:numId w:val="29"/>
        </w:numPr>
        <w:spacing w:after="0" w:line="288" w:lineRule="auto"/>
        <w:ind w:left="1134" w:hanging="283"/>
        <w:jc w:val="both"/>
        <w:rPr>
          <w:rFonts w:ascii="Times New Roman" w:hAnsi="Times New Roman" w:cs="Times New Roman"/>
          <w:sz w:val="20"/>
          <w:szCs w:val="20"/>
        </w:rPr>
      </w:pPr>
      <w:r w:rsidRPr="008C4025">
        <w:rPr>
          <w:rFonts w:ascii="Times New Roman" w:hAnsi="Times New Roman" w:cs="Times New Roman"/>
          <w:sz w:val="20"/>
          <w:szCs w:val="20"/>
        </w:rPr>
        <w:t>Quỹ không đầu tư quá 20% tổng giá trị tài sản của quỹ vào chứng chỉ quỹ của một quỹ đại chúng, một công ty đầu tư chứng khoán đại chúng;</w:t>
      </w:r>
    </w:p>
    <w:p w14:paraId="4CE1D9A0" w14:textId="77777777" w:rsidR="008C4025" w:rsidRPr="008C4025" w:rsidRDefault="008C4025" w:rsidP="008C4025">
      <w:pPr>
        <w:pStyle w:val="ListParagraph"/>
        <w:numPr>
          <w:ilvl w:val="0"/>
          <w:numId w:val="29"/>
        </w:numPr>
        <w:spacing w:after="0" w:line="288" w:lineRule="auto"/>
        <w:ind w:left="1134" w:hanging="283"/>
        <w:jc w:val="both"/>
        <w:rPr>
          <w:rFonts w:ascii="Times New Roman" w:hAnsi="Times New Roman" w:cs="Times New Roman"/>
          <w:sz w:val="20"/>
          <w:szCs w:val="20"/>
        </w:rPr>
      </w:pPr>
      <w:r w:rsidRPr="008C4025">
        <w:rPr>
          <w:rFonts w:ascii="Times New Roman" w:hAnsi="Times New Roman" w:cs="Times New Roman"/>
          <w:sz w:val="20"/>
          <w:szCs w:val="20"/>
        </w:rPr>
        <w:t>Quỹ không đầu tư quá 30% tổng giá trị tài sản của quỹ vào các chứng chỉ quỹ đại chúng, cổ phiếu công ty đầu tư chứng khoán đại chúng;</w:t>
      </w:r>
    </w:p>
    <w:p w14:paraId="0F66A49F" w14:textId="77777777" w:rsidR="008C4025" w:rsidRPr="008C4025" w:rsidRDefault="008C4025" w:rsidP="008C4025">
      <w:pPr>
        <w:pStyle w:val="ListParagraph"/>
        <w:numPr>
          <w:ilvl w:val="0"/>
          <w:numId w:val="3"/>
        </w:numPr>
        <w:spacing w:after="0" w:line="288" w:lineRule="auto"/>
        <w:ind w:left="851" w:hanging="284"/>
        <w:jc w:val="both"/>
        <w:rPr>
          <w:rFonts w:ascii="Times New Roman" w:hAnsi="Times New Roman" w:cs="Times New Roman"/>
          <w:sz w:val="20"/>
          <w:szCs w:val="20"/>
        </w:rPr>
      </w:pPr>
      <w:r w:rsidRPr="008C4025">
        <w:rPr>
          <w:rFonts w:ascii="Times New Roman" w:hAnsi="Times New Roman" w:cs="Times New Roman"/>
          <w:sz w:val="20"/>
          <w:szCs w:val="20"/>
        </w:rPr>
        <w:t>Quỹ không được đầu tư vào bất động sản, cổ phiếu chưa niêm yết, cổ phiếu chưa đăng ký giao dịch của công ty đại chúng, phần vốn góp tại công ty trách nhiệm hữu hạn, trái phiếu phát hành riêng lẻ; trừ trường hợp đó là các tài sản Quỹ được hưởng lợi từ các quyền của chủ sở hữu;</w:t>
      </w:r>
    </w:p>
    <w:p w14:paraId="6FC624E7" w14:textId="77777777" w:rsidR="008C4025" w:rsidRPr="008C4025" w:rsidRDefault="008C4025" w:rsidP="008C4025">
      <w:pPr>
        <w:pStyle w:val="ListParagraph"/>
        <w:numPr>
          <w:ilvl w:val="0"/>
          <w:numId w:val="3"/>
        </w:numPr>
        <w:spacing w:after="0" w:line="288" w:lineRule="auto"/>
        <w:ind w:left="851" w:hanging="284"/>
        <w:jc w:val="both"/>
        <w:rPr>
          <w:rFonts w:ascii="Times New Roman" w:hAnsi="Times New Roman" w:cs="Times New Roman"/>
          <w:sz w:val="20"/>
          <w:szCs w:val="20"/>
        </w:rPr>
      </w:pPr>
      <w:r w:rsidRPr="008C4025">
        <w:rPr>
          <w:rFonts w:ascii="Times New Roman" w:hAnsi="Times New Roman" w:cs="Times New Roman"/>
          <w:sz w:val="20"/>
          <w:szCs w:val="20"/>
        </w:rPr>
        <w:t>Quỹ không được đầu tư vào chứng khoán được phát hành bởi Công ty Quản lý Quỹ, người có liên quan đến Công ty Quản lý Quỹ, thành viên lập quỹ trừ trường hợp đó là chứng khoán cơ cấu nằm trong danh mục chỉ số tham chiếu; và</w:t>
      </w:r>
    </w:p>
    <w:p w14:paraId="6DA36305" w14:textId="54C474F3" w:rsidR="00E1535E" w:rsidRPr="008C4025" w:rsidRDefault="008C4025" w:rsidP="008C4025">
      <w:pPr>
        <w:pStyle w:val="ListParagraph"/>
        <w:numPr>
          <w:ilvl w:val="0"/>
          <w:numId w:val="3"/>
        </w:numPr>
        <w:spacing w:after="0" w:line="288" w:lineRule="auto"/>
        <w:ind w:left="851" w:hanging="284"/>
        <w:jc w:val="both"/>
        <w:rPr>
          <w:rFonts w:ascii="Times New Roman" w:hAnsi="Times New Roman" w:cs="Times New Roman"/>
          <w:sz w:val="20"/>
          <w:szCs w:val="20"/>
        </w:rPr>
      </w:pPr>
      <w:r w:rsidRPr="008C4025">
        <w:rPr>
          <w:rFonts w:ascii="Times New Roman" w:hAnsi="Times New Roman" w:cs="Times New Roman"/>
          <w:sz w:val="20"/>
          <w:szCs w:val="20"/>
        </w:rPr>
        <w:t>Tại mọi thời điểm, tổng giá trị cam kết trong các hợp đồng chứng khoán phái sinh và dư nợ các khoản phải trả của Quỹ, không được vượt quá giá trị tài sản ròng của Quỹ.</w:t>
      </w:r>
    </w:p>
    <w:p w14:paraId="301AB0CD" w14:textId="6703AF6A" w:rsidR="00E1535E" w:rsidRPr="007A4753" w:rsidRDefault="009F457C" w:rsidP="00E1535E">
      <w:pPr>
        <w:spacing w:before="60" w:after="0" w:line="288" w:lineRule="auto"/>
        <w:ind w:left="567"/>
        <w:jc w:val="both"/>
        <w:rPr>
          <w:rFonts w:ascii="Times New Roman" w:hAnsi="Times New Roman" w:cs="Times New Roman"/>
          <w:i/>
          <w:sz w:val="20"/>
          <w:szCs w:val="20"/>
        </w:rPr>
      </w:pPr>
      <w:r w:rsidRPr="007A4753">
        <w:rPr>
          <w:rFonts w:ascii="Times New Roman" w:hAnsi="Times New Roman" w:cs="Times New Roman"/>
          <w:i/>
          <w:sz w:val="20"/>
          <w:szCs w:val="20"/>
        </w:rPr>
        <w:t>Theo Thông tư số 98/2020/TT-BTC (“Thông tư 98”) ngày 16 tháng 11 năm 2020 do Bộ Tài chính ban hành hướng dẫn thành lập và quản lý quỹ đầu tư chứng khoán, cơ cấu đầu tư của Quỹ chỉ được vượt mức so với hạn chế đầu tư quy định tại điểm (a), (b), (c) và (d) n</w:t>
      </w:r>
      <w:r w:rsidRPr="007A4753">
        <w:rPr>
          <w:rFonts w:ascii="Times New Roman" w:hAnsi="Times New Roman" w:cs="Times New Roman" w:hint="eastAsia"/>
          <w:i/>
          <w:sz w:val="20"/>
          <w:szCs w:val="20"/>
        </w:rPr>
        <w:t>ê</w:t>
      </w:r>
      <w:r w:rsidRPr="007A4753">
        <w:rPr>
          <w:rFonts w:ascii="Times New Roman" w:hAnsi="Times New Roman" w:cs="Times New Roman"/>
          <w:i/>
          <w:sz w:val="20"/>
          <w:szCs w:val="20"/>
        </w:rPr>
        <w:t>u trên và chỉ do các nguyên nhân sau</w:t>
      </w:r>
      <w:r w:rsidR="00E1535E" w:rsidRPr="007A4753">
        <w:rPr>
          <w:rFonts w:ascii="Times New Roman" w:hAnsi="Times New Roman" w:cs="Times New Roman"/>
          <w:i/>
          <w:sz w:val="20"/>
          <w:szCs w:val="20"/>
        </w:rPr>
        <w:t>:</w:t>
      </w:r>
    </w:p>
    <w:p w14:paraId="0AFD773A"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Biến động giá trên thị trường của tài sản trong danh mục đầu tư của quỹ;</w:t>
      </w:r>
    </w:p>
    <w:p w14:paraId="38D39BE0"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Hoạt động chia, tách, hợp nhất, sáp nhập của các tổ chức phát hành;</w:t>
      </w:r>
    </w:p>
    <w:p w14:paraId="290FB5DF"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Cơ cấu danh mục chứng khoán của chỉ số tham chiếu thay đổi;</w:t>
      </w:r>
    </w:p>
    <w:p w14:paraId="5AC0E927"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Quỹ mới được cấp phép thành lập mà thời gian hoạt động chưa quá 03 tháng kể từ ngày được cấp Giấy chứng nhận đăng ký lập quỹ;</w:t>
      </w:r>
    </w:p>
    <w:p w14:paraId="35BD5F66"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Quỹ thực hiện các khoản thanh toán hợp pháp; thực hiện các hoạt động hoán đổi danh mục chứng khoán cơ cấu theo quy của Điều lệ quỹ và pháp luật;</w:t>
      </w:r>
    </w:p>
    <w:p w14:paraId="3D01AAEA" w14:textId="77777777" w:rsidR="00E1535E" w:rsidRPr="007A4753" w:rsidRDefault="00E1535E" w:rsidP="00E1535E">
      <w:pPr>
        <w:pStyle w:val="ListParagraph"/>
        <w:numPr>
          <w:ilvl w:val="0"/>
          <w:numId w:val="5"/>
        </w:numPr>
        <w:spacing w:after="0" w:line="288" w:lineRule="auto"/>
        <w:ind w:left="851" w:hanging="284"/>
        <w:jc w:val="both"/>
        <w:rPr>
          <w:rFonts w:ascii="Times New Roman" w:hAnsi="Times New Roman" w:cs="Times New Roman"/>
          <w:sz w:val="20"/>
          <w:szCs w:val="20"/>
        </w:rPr>
      </w:pPr>
      <w:r w:rsidRPr="007A4753">
        <w:rPr>
          <w:rFonts w:ascii="Times New Roman" w:hAnsi="Times New Roman" w:cs="Times New Roman"/>
          <w:sz w:val="20"/>
          <w:szCs w:val="20"/>
        </w:rPr>
        <w:t>Quỹ đang trong thời gian giải thể.</w:t>
      </w:r>
    </w:p>
    <w:p w14:paraId="0406AB34" w14:textId="77777777" w:rsidR="00E1535E" w:rsidRPr="007A4753" w:rsidRDefault="00E1535E" w:rsidP="00E1535E">
      <w:pPr>
        <w:pStyle w:val="ListParagraph"/>
        <w:numPr>
          <w:ilvl w:val="0"/>
          <w:numId w:val="1"/>
        </w:numPr>
        <w:spacing w:before="120" w:after="0" w:line="288" w:lineRule="auto"/>
        <w:ind w:left="284" w:hanging="284"/>
        <w:jc w:val="both"/>
        <w:rPr>
          <w:rFonts w:ascii="Times New Roman" w:hAnsi="Times New Roman" w:cs="Times New Roman"/>
          <w:sz w:val="20"/>
          <w:szCs w:val="20"/>
        </w:rPr>
      </w:pPr>
      <w:r w:rsidRPr="007A4753">
        <w:rPr>
          <w:rFonts w:ascii="Times New Roman" w:hAnsi="Times New Roman" w:cs="Times New Roman"/>
          <w:b/>
          <w:sz w:val="20"/>
          <w:szCs w:val="20"/>
        </w:rPr>
        <w:t>Kỳ kế toán, đơn vị tiền tệ sử dụng trong kế toán</w:t>
      </w:r>
      <w:r w:rsidRPr="007A4753">
        <w:rPr>
          <w:rFonts w:ascii="Times New Roman" w:hAnsi="Times New Roman" w:cs="Times New Roman"/>
          <w:b/>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0EE2955A" w14:textId="77777777" w:rsidR="00E1535E" w:rsidRPr="007A4753" w:rsidRDefault="00E1535E" w:rsidP="00E1535E">
      <w:pPr>
        <w:pStyle w:val="ListParagraph"/>
        <w:numPr>
          <w:ilvl w:val="1"/>
          <w:numId w:val="7"/>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Kỳ kế toán:</w:t>
      </w:r>
    </w:p>
    <w:p w14:paraId="25885EA9"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Kỳ kế toán năm của Quỹ là từ ngày 1 tháng 1 đến ngày 31 tháng 12.</w:t>
      </w:r>
    </w:p>
    <w:p w14:paraId="7BA43F60" w14:textId="77777777" w:rsidR="00E1535E" w:rsidRPr="007A4753" w:rsidRDefault="00E1535E" w:rsidP="00E1535E">
      <w:pPr>
        <w:pStyle w:val="ListParagraph"/>
        <w:numPr>
          <w:ilvl w:val="1"/>
          <w:numId w:val="7"/>
        </w:numPr>
        <w:spacing w:before="60" w:after="0" w:line="288" w:lineRule="auto"/>
        <w:ind w:left="567" w:hanging="425"/>
        <w:jc w:val="both"/>
        <w:rPr>
          <w:rFonts w:ascii="Times New Roman" w:hAnsi="Times New Roman" w:cs="Times New Roman"/>
          <w:sz w:val="20"/>
          <w:szCs w:val="20"/>
        </w:rPr>
      </w:pPr>
      <w:r w:rsidRPr="007A4753">
        <w:rPr>
          <w:rFonts w:ascii="Times New Roman" w:hAnsi="Times New Roman" w:cs="Times New Roman"/>
          <w:b/>
          <w:sz w:val="20"/>
          <w:szCs w:val="20"/>
        </w:rPr>
        <w:t>Đơn vị tiền tệ sử dụng trong kế toán:</w:t>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672038BD" w14:textId="77777777" w:rsidR="00E1535E" w:rsidRPr="007A4753" w:rsidRDefault="00E1535E" w:rsidP="00E1535E">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Đơn vị tiền tệ kế toán của Quỹ là Đồng Việt Nam (“VND”), cũng là đơn vị tiền tệ được sử dụng cho mục đích lập và trình bày báo cáo tài chính giữa niên độ.</w:t>
      </w:r>
    </w:p>
    <w:p w14:paraId="5A2D9608" w14:textId="77777777" w:rsidR="00E1535E" w:rsidRPr="007A4753" w:rsidRDefault="00E1535E" w:rsidP="00E1535E">
      <w:pPr>
        <w:pStyle w:val="ListParagraph"/>
        <w:numPr>
          <w:ilvl w:val="0"/>
          <w:numId w:val="1"/>
        </w:numPr>
        <w:spacing w:before="120" w:after="0" w:line="288" w:lineRule="auto"/>
        <w:ind w:left="284" w:hanging="284"/>
        <w:jc w:val="both"/>
        <w:rPr>
          <w:rFonts w:ascii="Times New Roman" w:hAnsi="Times New Roman" w:cs="Times New Roman"/>
          <w:sz w:val="20"/>
          <w:szCs w:val="20"/>
        </w:rPr>
      </w:pPr>
      <w:r w:rsidRPr="007A4753">
        <w:rPr>
          <w:rFonts w:ascii="Times New Roman" w:hAnsi="Times New Roman" w:cs="Times New Roman"/>
          <w:b/>
          <w:sz w:val="20"/>
          <w:szCs w:val="20"/>
        </w:rPr>
        <w:t>Chuẩn mực và Chế độ kế toán áp dụng</w:t>
      </w:r>
      <w:r w:rsidRPr="007A4753">
        <w:rPr>
          <w:rFonts w:ascii="Times New Roman" w:hAnsi="Times New Roman" w:cs="Times New Roman"/>
          <w:b/>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61D6218C" w14:textId="19628EE9" w:rsidR="00E1535E" w:rsidRPr="007A4753" w:rsidRDefault="00E1535E" w:rsidP="00916D39">
      <w:pPr>
        <w:pStyle w:val="ListParagraph"/>
        <w:numPr>
          <w:ilvl w:val="1"/>
          <w:numId w:val="9"/>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Tuyên bố về việc tuân thủ</w:t>
      </w:r>
      <w:r w:rsidR="008C4025">
        <w:rPr>
          <w:rFonts w:ascii="Times New Roman" w:hAnsi="Times New Roman" w:cs="Times New Roman"/>
          <w:b/>
          <w:sz w:val="20"/>
          <w:szCs w:val="20"/>
        </w:rPr>
        <w:t>:</w:t>
      </w:r>
      <w:r w:rsidRPr="007A4753">
        <w:rPr>
          <w:rFonts w:ascii="Times New Roman" w:hAnsi="Times New Roman" w:cs="Times New Roman"/>
          <w:b/>
          <w:sz w:val="20"/>
          <w:szCs w:val="20"/>
        </w:rPr>
        <w:t xml:space="preserve"> </w:t>
      </w:r>
    </w:p>
    <w:p w14:paraId="0F205D9E" w14:textId="77777777" w:rsidR="008C4025" w:rsidRPr="008C4025" w:rsidRDefault="008C4025" w:rsidP="008C4025">
      <w:pPr>
        <w:spacing w:after="0" w:line="288" w:lineRule="auto"/>
        <w:ind w:left="567"/>
        <w:jc w:val="both"/>
        <w:rPr>
          <w:rFonts w:ascii="Times New Roman" w:hAnsi="Times New Roman" w:cs="Times New Roman"/>
          <w:sz w:val="20"/>
          <w:szCs w:val="20"/>
        </w:rPr>
      </w:pPr>
      <w:r w:rsidRPr="008C4025">
        <w:rPr>
          <w:rFonts w:ascii="Times New Roman" w:hAnsi="Times New Roman" w:cs="Times New Roman"/>
          <w:sz w:val="20"/>
          <w:szCs w:val="20"/>
        </w:rPr>
        <w:t>Báo cáo tài chính giữa niên độ được lập theo các Chuẩn mực Kế toán Việt Nam, Thông tư số 181/2015/TT-BTC (“Thông tư 181”) ngày 13 tháng 11 năm 2015 do Bộ Tài chính ban hành về chế độ kế toán áp dụng đối với quỹ hoán đổi danh mục, Thông tư số 198/2012/TT-BTC (“Thông tư 198”) ngày 15 tháng 11 năm 2012 do Bộ Tài chính ban hành về chế độ kế toán áp dụng đối với quỹ mở, các quy định có liên quan của Thông tư số 98/2020/TT-BTC ngày 16 tháng 11 năm 2020 (“Thông tư 98”) do Bộ Tài chính ban hành về hướng dẫn hoạt động và quản lý quỹ đầu tư chứng khoán và các quy định pháp lý khác có liên quan đến việc lập và trình bày báo cáo tài chính giữa niên độ.</w:t>
      </w:r>
    </w:p>
    <w:p w14:paraId="0940BF50" w14:textId="77777777" w:rsidR="008C4025" w:rsidRPr="008C4025" w:rsidRDefault="008C4025" w:rsidP="008C4025">
      <w:pPr>
        <w:spacing w:after="0" w:line="288" w:lineRule="auto"/>
        <w:ind w:left="567"/>
        <w:jc w:val="both"/>
        <w:rPr>
          <w:rFonts w:ascii="Times New Roman" w:hAnsi="Times New Roman" w:cs="Times New Roman"/>
          <w:sz w:val="20"/>
          <w:szCs w:val="20"/>
        </w:rPr>
      </w:pPr>
      <w:r w:rsidRPr="008C4025">
        <w:rPr>
          <w:rFonts w:ascii="Times New Roman" w:hAnsi="Times New Roman" w:cs="Times New Roman"/>
          <w:sz w:val="20"/>
          <w:szCs w:val="20"/>
        </w:rPr>
        <w:t>Báo cáo tài chính giữa niên độ đính kèm được lập không nhằm mục đích trình bày tình hình tài chính, kết quả hoạt động và lưu chuyển tiền tệ của Quỹ theo các nguyên tắc và thông lệ kế toán được chấp nhận rộng rãi ở các nước và các lãnh thổ khác ngoài Việt Nam.  Các nguyên tắc và thông lệ kế toán Việt Nam áp dụng cho quỹ hoán đổi danh mục có thể khác với các nguyên tắc và thông lệ kế toán tại các nước và các lãnh thổ khác.</w:t>
      </w:r>
    </w:p>
    <w:p w14:paraId="6ED1D78A" w14:textId="77777777" w:rsidR="00E1535E" w:rsidRPr="007A4753" w:rsidRDefault="00E1535E" w:rsidP="00916D39">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lastRenderedPageBreak/>
        <w:t>Báo cáo tài chính giữa niên độ được lập theo các Chuẩn mực Kế toán Việt Nam, Thông tư số 181/2015/TT-BTC (“Thông tư 181”) ngày 13 tháng 11 năm 2015 do Bộ Tài chính ban hành về chế độ kế toán áp dụng đối với quỹ hoán đổi danh mục, Thông tư số 198/2012/TT-BTC (“Thông tư 198”) ngày 15 tháng 11 năm 2012 do Bộ Tài chính ban hành về chế độ kế toán áp dụng đối với quỹ mở và các quy định pháp lý khác có liên quan đến việc lập và trình bày báo cáo tài chính giữa niên độ.</w:t>
      </w:r>
    </w:p>
    <w:p w14:paraId="0346C79E" w14:textId="77777777" w:rsidR="00E1535E" w:rsidRPr="007A4753" w:rsidRDefault="00E1535E" w:rsidP="00916D39">
      <w:pPr>
        <w:pStyle w:val="ListParagraph"/>
        <w:numPr>
          <w:ilvl w:val="1"/>
          <w:numId w:val="9"/>
        </w:numPr>
        <w:spacing w:before="60"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Hình thức kế toán áp dụng</w:t>
      </w:r>
    </w:p>
    <w:p w14:paraId="4D649CE3" w14:textId="77777777" w:rsidR="00E1535E" w:rsidRPr="007A4753" w:rsidRDefault="00E1535E" w:rsidP="00916D39">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Nhật ký </w:t>
      </w:r>
      <w:proofErr w:type="gramStart"/>
      <w:r w:rsidRPr="007A4753">
        <w:rPr>
          <w:rFonts w:ascii="Times New Roman" w:hAnsi="Times New Roman" w:cs="Times New Roman"/>
          <w:sz w:val="20"/>
          <w:szCs w:val="20"/>
        </w:rPr>
        <w:t>chung</w:t>
      </w:r>
      <w:proofErr w:type="gramEnd"/>
      <w:r w:rsidRPr="007A4753">
        <w:rPr>
          <w:rFonts w:ascii="Times New Roman" w:hAnsi="Times New Roman" w:cs="Times New Roman"/>
          <w:sz w:val="20"/>
          <w:szCs w:val="20"/>
        </w:rPr>
        <w:t>.</w:t>
      </w:r>
    </w:p>
    <w:p w14:paraId="27E39BEB" w14:textId="77777777" w:rsidR="00E1535E" w:rsidRPr="007A4753" w:rsidRDefault="00E1535E" w:rsidP="00E1535E">
      <w:pPr>
        <w:pStyle w:val="ListParagraph"/>
        <w:numPr>
          <w:ilvl w:val="0"/>
          <w:numId w:val="1"/>
        </w:numPr>
        <w:spacing w:before="120" w:after="0" w:line="288" w:lineRule="auto"/>
        <w:ind w:left="284" w:hanging="284"/>
        <w:jc w:val="both"/>
        <w:rPr>
          <w:rFonts w:ascii="Times New Roman" w:hAnsi="Times New Roman" w:cs="Times New Roman"/>
          <w:sz w:val="20"/>
          <w:szCs w:val="20"/>
        </w:rPr>
      </w:pPr>
      <w:r w:rsidRPr="007A4753">
        <w:rPr>
          <w:rFonts w:ascii="Times New Roman" w:hAnsi="Times New Roman" w:cs="Times New Roman"/>
          <w:b/>
          <w:sz w:val="20"/>
          <w:szCs w:val="20"/>
        </w:rPr>
        <w:t>Các chính sách kế toán áp dụng</w:t>
      </w:r>
      <w:r w:rsidRPr="007A4753">
        <w:rPr>
          <w:rFonts w:ascii="Times New Roman" w:hAnsi="Times New Roman" w:cs="Times New Roman"/>
          <w:b/>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61E13C9E"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Tiền gửi ngân hàng và các khoản tương đương tiền</w:t>
      </w:r>
      <w:r w:rsidRPr="007A4753">
        <w:rPr>
          <w:rFonts w:ascii="Times New Roman" w:hAnsi="Times New Roman" w:cs="Times New Roman"/>
          <w:b/>
          <w:sz w:val="20"/>
          <w:szCs w:val="20"/>
        </w:rPr>
        <w:tab/>
      </w:r>
    </w:p>
    <w:p w14:paraId="18DF66B9" w14:textId="7F66F804" w:rsidR="00E1535E" w:rsidRPr="007A4753" w:rsidRDefault="00F41B4C" w:rsidP="001D294F">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Tiền gửi ngân hàng và các khoản tương đương tiền bao gồm tiền gửi không kỳ hạn và tiền gửi có kỳ hạn gốc không quá ba (03) tháng tại ngân hàng kể từ ngày giao dịch.  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sidR="00E1535E" w:rsidRPr="007A4753">
        <w:rPr>
          <w:rFonts w:ascii="Times New Roman" w:hAnsi="Times New Roman" w:cs="Times New Roman"/>
          <w:sz w:val="20"/>
          <w:szCs w:val="20"/>
        </w:rPr>
        <w:t xml:space="preserve"> </w:t>
      </w:r>
    </w:p>
    <w:p w14:paraId="4D747B35"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Các khoản đầu tư</w:t>
      </w:r>
    </w:p>
    <w:p w14:paraId="08A77C58" w14:textId="5F3265B4" w:rsidR="00E1535E" w:rsidRPr="007A4753" w:rsidRDefault="00F41B4C" w:rsidP="001D294F">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Các khoản đầu tư chứng khoán được ghi nhận ban đầu theo giá mua mà không bao gồm các khoản chi phí liên quan đến việc mua các khoản đầu tư đó như phí môi giới, phí giao dịch và phí ngân hàng, v.v. Sau ghi nhận ban đầu, các khoản đầu tư chứng khoán được đánh giá lại tại ngày kết thúc kỳ kế toán theo phương pháp xác định giá trị được nêu tại (iii).  Các khoản lãi hoặc lỗ do đánh giá lại các khoản đầu tư chứng khoán được ghi nhận vào báo cáo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 trong kỳ.</w:t>
      </w:r>
    </w:p>
    <w:p w14:paraId="1C59F883" w14:textId="77777777" w:rsidR="00E1535E" w:rsidRPr="007A4753" w:rsidRDefault="00E1535E" w:rsidP="001D294F">
      <w:pPr>
        <w:pStyle w:val="ListParagraph"/>
        <w:numPr>
          <w:ilvl w:val="0"/>
          <w:numId w:val="11"/>
        </w:numPr>
        <w:tabs>
          <w:tab w:val="left" w:pos="993"/>
        </w:tabs>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Phân loại</w:t>
      </w:r>
    </w:p>
    <w:p w14:paraId="429F8A70" w14:textId="77777777" w:rsidR="00E1535E" w:rsidRPr="007A4753" w:rsidRDefault="00E1535E" w:rsidP="001D294F">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Các chứng khoán niêm yết và chưa niêm yết được mua với mục đích kinh doanh được phân loại là chứng khoán kinh doanh.</w:t>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7D8EC426" w14:textId="77777777" w:rsidR="00E1535E" w:rsidRPr="007A4753" w:rsidRDefault="00E1535E" w:rsidP="001D294F">
      <w:pPr>
        <w:pStyle w:val="ListParagraph"/>
        <w:numPr>
          <w:ilvl w:val="0"/>
          <w:numId w:val="11"/>
        </w:numPr>
        <w:tabs>
          <w:tab w:val="left" w:pos="993"/>
        </w:tabs>
        <w:spacing w:after="0" w:line="288" w:lineRule="auto"/>
        <w:ind w:left="851" w:hanging="142"/>
        <w:jc w:val="both"/>
        <w:rPr>
          <w:rFonts w:ascii="Times New Roman" w:hAnsi="Times New Roman" w:cs="Times New Roman"/>
          <w:sz w:val="20"/>
          <w:szCs w:val="20"/>
        </w:rPr>
      </w:pPr>
      <w:r w:rsidRPr="007A4753">
        <w:rPr>
          <w:rFonts w:ascii="Times New Roman" w:hAnsi="Times New Roman" w:cs="Times New Roman"/>
          <w:b/>
          <w:i/>
          <w:sz w:val="20"/>
          <w:szCs w:val="20"/>
        </w:rPr>
        <w:t>Ghi nhận ban đầu</w:t>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37474FA6" w14:textId="77777777" w:rsidR="00651A0A" w:rsidRPr="007A4753" w:rsidRDefault="00651A0A" w:rsidP="00651A0A">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Danh mục chứng khoán mà Quỹ thực hiện đầu tư được ghi nhận tại ngày giao dịch.</w:t>
      </w:r>
    </w:p>
    <w:p w14:paraId="5C7746F5" w14:textId="10176615" w:rsidR="00E1535E" w:rsidRPr="007A4753" w:rsidRDefault="00651A0A" w:rsidP="00651A0A">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Danh mục chứng khoán cơ cấu được hoán đổi lấy chứng chỉ quỹ được ghi nhận tại ngày làm việc thứ nhất kể từ ngày giao dịch hoán đổi – ngày xác nhận hoàn tất giao dịch và xác nhận quyền sở hữu cho Quỹ.</w:t>
      </w:r>
    </w:p>
    <w:p w14:paraId="66EA0BA7" w14:textId="77777777" w:rsidR="00E1535E" w:rsidRPr="007A4753" w:rsidRDefault="00E1535E" w:rsidP="001D294F">
      <w:pPr>
        <w:pStyle w:val="ListParagraph"/>
        <w:numPr>
          <w:ilvl w:val="0"/>
          <w:numId w:val="11"/>
        </w:numPr>
        <w:tabs>
          <w:tab w:val="left" w:pos="993"/>
        </w:tabs>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Xác định giá trị</w:t>
      </w:r>
    </w:p>
    <w:p w14:paraId="3BCE0007" w14:textId="556EBA3A" w:rsidR="00E1535E" w:rsidRDefault="00293394" w:rsidP="001D294F">
      <w:pPr>
        <w:spacing w:after="0" w:line="288" w:lineRule="auto"/>
        <w:ind w:left="851"/>
        <w:jc w:val="both"/>
        <w:rPr>
          <w:rFonts w:ascii="Times New Roman" w:hAnsi="Times New Roman" w:cs="Times New Roman"/>
          <w:sz w:val="20"/>
          <w:szCs w:val="20"/>
        </w:rPr>
      </w:pPr>
      <w:r w:rsidRPr="00293394">
        <w:rPr>
          <w:rFonts w:ascii="Times New Roman" w:hAnsi="Times New Roman" w:cs="Times New Roman"/>
          <w:sz w:val="20"/>
          <w:szCs w:val="20"/>
        </w:rPr>
        <w:t xml:space="preserve">Theo Thông tư 98, các khoản đầu tư thuộc Danh mục đầu tư của Quỹ được đánh giá lại </w:t>
      </w:r>
      <w:proofErr w:type="gramStart"/>
      <w:r w:rsidRPr="00293394">
        <w:rPr>
          <w:rFonts w:ascii="Times New Roman" w:hAnsi="Times New Roman" w:cs="Times New Roman"/>
          <w:sz w:val="20"/>
          <w:szCs w:val="20"/>
        </w:rPr>
        <w:t>theo</w:t>
      </w:r>
      <w:proofErr w:type="gramEnd"/>
      <w:r w:rsidRPr="00293394">
        <w:rPr>
          <w:rFonts w:ascii="Times New Roman" w:hAnsi="Times New Roman" w:cs="Times New Roman"/>
          <w:sz w:val="20"/>
          <w:szCs w:val="20"/>
        </w:rPr>
        <w:t xml:space="preserve"> giá thị trường tại ngày kết thúc kỳ kế toán.  Trong trường hợp không có giá thị trường tại ngày giao dịch gần nhất hoặc giá thị trường có nhiều biến động đáng kể, giá trị hợp lý được sử dụng để đánh giá lại các khoản đầu tư của Quỹ.  Giá trị hợp lý được xác định </w:t>
      </w:r>
      <w:proofErr w:type="gramStart"/>
      <w:r w:rsidRPr="00293394">
        <w:rPr>
          <w:rFonts w:ascii="Times New Roman" w:hAnsi="Times New Roman" w:cs="Times New Roman"/>
          <w:sz w:val="20"/>
          <w:szCs w:val="20"/>
        </w:rPr>
        <w:t>theo</w:t>
      </w:r>
      <w:proofErr w:type="gramEnd"/>
      <w:r w:rsidRPr="00293394">
        <w:rPr>
          <w:rFonts w:ascii="Times New Roman" w:hAnsi="Times New Roman" w:cs="Times New Roman"/>
          <w:sz w:val="20"/>
          <w:szCs w:val="20"/>
        </w:rPr>
        <w:t xml:space="preserve"> nguyên tắc, phương pháp hoặc mô hình lý thuyết định giá tài sản tài chính đã được quy định tại Điều lệ Quỹ, hoặc Sổ tay Định giá của Quỹ.  Khoản đầu tư chứng khoán được đánh giá lại tại ngày kết thúc kỳ kế toán </w:t>
      </w:r>
      <w:proofErr w:type="gramStart"/>
      <w:r w:rsidRPr="00293394">
        <w:rPr>
          <w:rFonts w:ascii="Times New Roman" w:hAnsi="Times New Roman" w:cs="Times New Roman"/>
          <w:sz w:val="20"/>
          <w:szCs w:val="20"/>
        </w:rPr>
        <w:t>theo</w:t>
      </w:r>
      <w:proofErr w:type="gramEnd"/>
      <w:r w:rsidRPr="00293394">
        <w:rPr>
          <w:rFonts w:ascii="Times New Roman" w:hAnsi="Times New Roman" w:cs="Times New Roman"/>
          <w:sz w:val="20"/>
          <w:szCs w:val="20"/>
        </w:rPr>
        <w:t xml:space="preserve"> Điều lệ Quỹ như sau</w:t>
      </w:r>
      <w:r w:rsidR="00E1535E" w:rsidRPr="007A4753">
        <w:rPr>
          <w:rFonts w:ascii="Times New Roman" w:hAnsi="Times New Roman" w:cs="Times New Roman"/>
          <w:sz w:val="20"/>
          <w:szCs w:val="20"/>
        </w:rPr>
        <w:t>:</w:t>
      </w:r>
    </w:p>
    <w:p w14:paraId="64D2A76A" w14:textId="77777777" w:rsidR="00293394" w:rsidRPr="00293394" w:rsidRDefault="00293394" w:rsidP="00293394">
      <w:pPr>
        <w:spacing w:before="60" w:after="0" w:line="288" w:lineRule="auto"/>
        <w:ind w:left="851"/>
        <w:jc w:val="both"/>
        <w:rPr>
          <w:rFonts w:ascii="Times New Roman" w:hAnsi="Times New Roman" w:cs="Times New Roman"/>
          <w:b/>
          <w:i/>
          <w:color w:val="000000"/>
          <w:sz w:val="20"/>
          <w:szCs w:val="20"/>
        </w:rPr>
      </w:pPr>
      <w:r w:rsidRPr="00293394">
        <w:rPr>
          <w:rFonts w:ascii="Times New Roman" w:hAnsi="Times New Roman" w:cs="Times New Roman"/>
          <w:b/>
          <w:i/>
          <w:color w:val="000000"/>
          <w:sz w:val="20"/>
          <w:szCs w:val="20"/>
        </w:rPr>
        <w:t>Trái phiếu</w:t>
      </w:r>
    </w:p>
    <w:p w14:paraId="006D8480"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Trái phiếu niêm yết</w:t>
      </w:r>
      <w:r w:rsidRPr="00293394" w:rsidDel="00814184">
        <w:rPr>
          <w:rFonts w:ascii="Times New Roman" w:hAnsi="Times New Roman" w:cs="Times New Roman"/>
          <w:color w:val="000000"/>
          <w:sz w:val="20"/>
          <w:szCs w:val="20"/>
        </w:rPr>
        <w:t xml:space="preserve"> </w:t>
      </w:r>
      <w:r w:rsidRPr="00293394" w:rsidDel="006D3F24">
        <w:rPr>
          <w:rFonts w:ascii="Times New Roman" w:hAnsi="Times New Roman" w:cs="Times New Roman"/>
          <w:color w:val="000000"/>
          <w:sz w:val="20"/>
          <w:szCs w:val="20"/>
        </w:rPr>
        <w:t xml:space="preserve"> </w:t>
      </w:r>
      <w:r w:rsidRPr="00293394" w:rsidDel="008B3F19">
        <w:rPr>
          <w:rFonts w:ascii="Times New Roman" w:hAnsi="Times New Roman" w:cs="Times New Roman"/>
          <w:color w:val="000000"/>
          <w:sz w:val="20"/>
          <w:szCs w:val="20"/>
        </w:rPr>
        <w:t xml:space="preserve"> </w:t>
      </w:r>
    </w:p>
    <w:p w14:paraId="0480C0B3" w14:textId="77777777" w:rsidR="00293394" w:rsidRPr="00293394" w:rsidRDefault="00293394" w:rsidP="00293394">
      <w:pPr>
        <w:keepLines/>
        <w:widowControl w:val="0"/>
        <w:overflowPunct w:val="0"/>
        <w:autoSpaceDE w:val="0"/>
        <w:autoSpaceDN w:val="0"/>
        <w:adjustRightInd w:val="0"/>
        <w:spacing w:before="80" w:after="80" w:line="240" w:lineRule="auto"/>
        <w:ind w:left="1134"/>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Giá yết bình quân gia quyền cho các giao dịch thông thường (outright) trên hệ thống giao dịch hoặc tên gọi khác, tùy thuộc vào quy định nội bộ của Sở giao dịch chứng khoán tại ngày có giao dịch gần nhất trước ngày định giá cộng lãi lũy kế (nếu giá yết chưa bao gồm lãi lũy kế). Giá trái phiếu được xác định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giá mua cộng lãi lũy kế trong các trường hợp sau:</w:t>
      </w:r>
    </w:p>
    <w:p w14:paraId="5A6D4E38" w14:textId="36AF5087" w:rsidR="00293394" w:rsidRPr="00293394" w:rsidRDefault="00293394" w:rsidP="00293394">
      <w:pPr>
        <w:pStyle w:val="ListParagraph"/>
        <w:numPr>
          <w:ilvl w:val="0"/>
          <w:numId w:val="14"/>
        </w:numPr>
        <w:spacing w:after="0" w:line="288" w:lineRule="auto"/>
        <w:ind w:left="1560"/>
        <w:jc w:val="both"/>
        <w:rPr>
          <w:rFonts w:ascii="Times New Roman" w:hAnsi="Times New Roman" w:cs="Times New Roman"/>
          <w:sz w:val="20"/>
          <w:szCs w:val="20"/>
        </w:rPr>
      </w:pPr>
      <w:r w:rsidRPr="00293394">
        <w:rPr>
          <w:rFonts w:ascii="Times New Roman" w:hAnsi="Times New Roman" w:cs="Times New Roman"/>
          <w:sz w:val="20"/>
          <w:szCs w:val="20"/>
        </w:rPr>
        <w:t xml:space="preserve">Không có giao dịch trên hệ thống giao dịch tại Sở giao dịch chứng khoán nhiều hơn 15 ngày tính đến ngày định giá; hoặc </w:t>
      </w:r>
    </w:p>
    <w:p w14:paraId="2E5EB2B6" w14:textId="19C12DF7" w:rsidR="00293394" w:rsidRPr="00293394" w:rsidRDefault="00293394" w:rsidP="00293394">
      <w:pPr>
        <w:pStyle w:val="ListParagraph"/>
        <w:numPr>
          <w:ilvl w:val="0"/>
          <w:numId w:val="14"/>
        </w:numPr>
        <w:spacing w:after="0" w:line="288" w:lineRule="auto"/>
        <w:ind w:left="1560"/>
        <w:jc w:val="both"/>
        <w:rPr>
          <w:rFonts w:ascii="Times New Roman" w:hAnsi="Times New Roman" w:cs="Times New Roman"/>
          <w:color w:val="000000"/>
          <w:sz w:val="20"/>
          <w:szCs w:val="20"/>
        </w:rPr>
      </w:pPr>
      <w:r w:rsidRPr="00293394">
        <w:rPr>
          <w:rFonts w:ascii="Times New Roman" w:hAnsi="Times New Roman" w:cs="Times New Roman"/>
          <w:sz w:val="20"/>
          <w:szCs w:val="20"/>
        </w:rPr>
        <w:t>Chỉ có các</w:t>
      </w:r>
      <w:r w:rsidRPr="00293394">
        <w:rPr>
          <w:rFonts w:ascii="Times New Roman" w:hAnsi="Times New Roman" w:cs="Times New Roman"/>
          <w:color w:val="000000"/>
          <w:sz w:val="20"/>
          <w:szCs w:val="20"/>
        </w:rPr>
        <w:t xml:space="preserve"> giao dịch trên hệ thống giao dịch tại Sở giao dịch chứng khoán với giá có nhiều biến động bất thường. </w:t>
      </w:r>
    </w:p>
    <w:p w14:paraId="0DC0A691"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Trái phiếu chưa niêm yết</w:t>
      </w:r>
    </w:p>
    <w:p w14:paraId="742EE78A" w14:textId="68FB7499" w:rsidR="00293394" w:rsidRPr="00293394" w:rsidRDefault="00293394" w:rsidP="00E8429C">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trị trung bình (giá sạch) các giao dịch thành công tại ngày giao dịch gần nhất trước ngày định giá dựa trên báo giá của tối thiểu ba (03) tổ chức báo giá không phải là người có liên quan của Công ty Quản lý Quỹ và Ngân hàng Giám sát và được Ban Đại diện Quỹ phê duyệt cộng lãi lũy kế</w:t>
      </w:r>
      <w:r w:rsidRPr="00293394">
        <w:rPr>
          <w:rFonts w:ascii="Times New Roman" w:hAnsi="Times New Roman" w:cs="Times New Roman"/>
          <w:color w:val="000000"/>
          <w:sz w:val="20"/>
          <w:szCs w:val="20"/>
          <w:lang w:val="vi-VN"/>
        </w:rPr>
        <w:t>.</w:t>
      </w:r>
    </w:p>
    <w:p w14:paraId="4675804F"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lastRenderedPageBreak/>
        <w:t>Trường hợp không có đủ báo giá của tối thiểu ba (03) tổ chức báo giá, hoặc có đủ báo giá nhưng có từ hai (02) đến ba (03) tổ chức báo giá  không xác định được giá; hoặc giá trung bình nêu trên có biến động bất thường, ưu tiên thực hiện theo thứ tự từ trên xuống sử dụng một trong các mức giá sau:</w:t>
      </w:r>
    </w:p>
    <w:p w14:paraId="24C83530" w14:textId="429EF194"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trung bình của hai (02) tổ chức báo giá cộng lãi lũy kế;</w:t>
      </w:r>
    </w:p>
    <w:p w14:paraId="2FAD27CA" w14:textId="209FA479"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Sử dụng phương pháp Giá mua cộng lãi lũy kế. </w:t>
      </w:r>
      <w:r w:rsidRPr="00293394" w:rsidDel="00184B20">
        <w:rPr>
          <w:rFonts w:ascii="Times New Roman" w:hAnsi="Times New Roman" w:cs="Times New Roman"/>
          <w:color w:val="000000"/>
          <w:sz w:val="20"/>
          <w:szCs w:val="20"/>
        </w:rPr>
        <w:t xml:space="preserve"> </w:t>
      </w:r>
    </w:p>
    <w:p w14:paraId="3A3B6ADE"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Chứng quyền gắn liền với trái phiếu chuyển đổi được định giá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phương pháp đã được Ban Đại diện Quỹ chấp thuận.</w:t>
      </w:r>
    </w:p>
    <w:p w14:paraId="147F9E3E" w14:textId="77777777" w:rsidR="00293394" w:rsidRPr="00293394" w:rsidRDefault="00293394" w:rsidP="00293394">
      <w:pPr>
        <w:rPr>
          <w:rFonts w:ascii="Times New Roman" w:hAnsi="Times New Roman" w:cs="Times New Roman"/>
          <w:sz w:val="20"/>
          <w:szCs w:val="20"/>
        </w:rPr>
      </w:pPr>
    </w:p>
    <w:p w14:paraId="7EE670F5"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Trái phiếu của tổ chức trong tình trạng giải thể, phá sản được định giá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phương pháp đã được Ban Đại diện Quỹ chấp thuận.</w:t>
      </w:r>
    </w:p>
    <w:p w14:paraId="69886F4C" w14:textId="77777777" w:rsidR="00293394" w:rsidRPr="00293394" w:rsidRDefault="00293394" w:rsidP="00293394">
      <w:pPr>
        <w:spacing w:before="60" w:after="0" w:line="288" w:lineRule="auto"/>
        <w:ind w:left="851"/>
        <w:jc w:val="both"/>
        <w:rPr>
          <w:rFonts w:ascii="Times New Roman" w:hAnsi="Times New Roman" w:cs="Times New Roman"/>
          <w:b/>
          <w:i/>
          <w:color w:val="000000"/>
          <w:sz w:val="20"/>
          <w:szCs w:val="20"/>
        </w:rPr>
      </w:pPr>
      <w:r w:rsidRPr="00293394">
        <w:rPr>
          <w:rFonts w:ascii="Times New Roman" w:hAnsi="Times New Roman" w:cs="Times New Roman"/>
          <w:b/>
          <w:i/>
          <w:color w:val="000000"/>
          <w:sz w:val="20"/>
          <w:szCs w:val="20"/>
        </w:rPr>
        <w:t>Cổ phiếu</w:t>
      </w:r>
      <w:r w:rsidRPr="00293394" w:rsidDel="00EA2CBE">
        <w:rPr>
          <w:rFonts w:ascii="Times New Roman" w:hAnsi="Times New Roman" w:cs="Times New Roman"/>
          <w:b/>
          <w:i/>
          <w:color w:val="000000"/>
          <w:sz w:val="20"/>
          <w:szCs w:val="20"/>
        </w:rPr>
        <w:t xml:space="preserve"> </w:t>
      </w:r>
      <w:r w:rsidRPr="00293394">
        <w:rPr>
          <w:rFonts w:ascii="Times New Roman" w:hAnsi="Times New Roman" w:cs="Times New Roman"/>
          <w:b/>
          <w:i/>
          <w:color w:val="000000"/>
          <w:sz w:val="20"/>
          <w:szCs w:val="20"/>
        </w:rPr>
        <w:t xml:space="preserve"> </w:t>
      </w:r>
    </w:p>
    <w:p w14:paraId="3222A009"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Cổ phiếu niêm yết trên Sở Giao dịch Chứng khoán Hồ Chí Minh (HSX) hoặc Sở Giao dịch Chứng khoán Hà Nội (HNX)</w:t>
      </w:r>
      <w:r w:rsidRPr="00293394" w:rsidDel="00EA2CBE">
        <w:rPr>
          <w:rFonts w:ascii="Times New Roman" w:hAnsi="Times New Roman" w:cs="Times New Roman"/>
          <w:color w:val="000000"/>
          <w:sz w:val="20"/>
          <w:szCs w:val="20"/>
        </w:rPr>
        <w:t xml:space="preserve"> </w:t>
      </w:r>
      <w:r w:rsidRPr="00293394">
        <w:rPr>
          <w:rFonts w:ascii="Times New Roman" w:hAnsi="Times New Roman" w:cs="Times New Roman"/>
          <w:color w:val="000000"/>
          <w:sz w:val="20"/>
          <w:szCs w:val="20"/>
        </w:rPr>
        <w:t>hoặc Cổ phiếu của Công ty đại chúng đăng ký giao dịch trên hệ thống UPCoM:</w:t>
      </w:r>
      <w:r w:rsidRPr="00293394" w:rsidDel="00DA7F44">
        <w:rPr>
          <w:rFonts w:ascii="Times New Roman" w:hAnsi="Times New Roman" w:cs="Times New Roman"/>
          <w:color w:val="000000"/>
          <w:sz w:val="20"/>
          <w:szCs w:val="20"/>
        </w:rPr>
        <w:t xml:space="preserve"> </w:t>
      </w:r>
      <w:r w:rsidRPr="00293394" w:rsidDel="00184B20">
        <w:rPr>
          <w:rFonts w:ascii="Times New Roman" w:hAnsi="Times New Roman" w:cs="Times New Roman"/>
          <w:color w:val="000000"/>
          <w:sz w:val="20"/>
          <w:szCs w:val="20"/>
        </w:rPr>
        <w:t xml:space="preserve"> </w:t>
      </w:r>
    </w:p>
    <w:p w14:paraId="7562428C"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Giá đóng cửa hoặc tên gọi khác, tùy thuộc vào quy định nội bộ của Sở giao dịch chứng khoán, của ngày có giao dịch gần nhất của cổ phiếu đó trước ngày định giá;</w:t>
      </w:r>
    </w:p>
    <w:p w14:paraId="559FE76C"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Trường hợp không có giao dịch nhiều hơn mười lăm (15) ngày tính đến ngày trước ngày định giá, ưu tiên thực hiện theo thứ tự từ</w:t>
      </w:r>
      <w:r w:rsidRPr="00293394">
        <w:rPr>
          <w:rFonts w:ascii="Times New Roman" w:hAnsi="Times New Roman" w:cs="Times New Roman"/>
          <w:sz w:val="20"/>
          <w:szCs w:val="20"/>
          <w:lang w:val="nb-NO"/>
        </w:rPr>
        <w:t xml:space="preserve"> trên xuống một trong các mức giá sau</w:t>
      </w:r>
      <w:r w:rsidRPr="00293394">
        <w:rPr>
          <w:rFonts w:ascii="Times New Roman" w:hAnsi="Times New Roman" w:cs="Times New Roman"/>
          <w:sz w:val="20"/>
          <w:szCs w:val="20"/>
        </w:rPr>
        <w:t>:</w:t>
      </w:r>
    </w:p>
    <w:p w14:paraId="727E1018" w14:textId="11B4FE15"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Giá đóng cửa (hoặc tên gọi khác, tùy thuộc vào quy định nội bộ của Sở giao dịch chứng khoán) của ngày có giao dịch gần nhất của cổ phiếu đó trong vòng 90 ngày trước ngày định giá; hoặc </w:t>
      </w:r>
    </w:p>
    <w:p w14:paraId="693C5E34" w14:textId="52C11F72"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mua;</w:t>
      </w:r>
      <w:r w:rsidRPr="00293394" w:rsidDel="009B6A8E">
        <w:rPr>
          <w:rFonts w:ascii="Times New Roman" w:hAnsi="Times New Roman" w:cs="Times New Roman"/>
          <w:color w:val="000000"/>
          <w:sz w:val="20"/>
          <w:szCs w:val="20"/>
        </w:rPr>
        <w:t xml:space="preserve"> </w:t>
      </w:r>
      <w:r w:rsidRPr="00293394">
        <w:rPr>
          <w:rFonts w:ascii="Times New Roman" w:hAnsi="Times New Roman" w:cs="Times New Roman"/>
          <w:color w:val="000000"/>
          <w:sz w:val="20"/>
          <w:szCs w:val="20"/>
        </w:rPr>
        <w:t>hoặc</w:t>
      </w:r>
      <w:r w:rsidRPr="00293394" w:rsidDel="00184B20">
        <w:rPr>
          <w:rFonts w:ascii="Times New Roman" w:hAnsi="Times New Roman" w:cs="Times New Roman"/>
          <w:color w:val="000000"/>
          <w:sz w:val="20"/>
          <w:szCs w:val="20"/>
        </w:rPr>
        <w:t xml:space="preserve"> </w:t>
      </w:r>
    </w:p>
    <w:p w14:paraId="4BF6E9E6" w14:textId="15B270C1"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trị sổ sách; hoặc</w:t>
      </w:r>
      <w:r w:rsidRPr="00293394" w:rsidDel="009B6A8E">
        <w:rPr>
          <w:rFonts w:ascii="Times New Roman" w:hAnsi="Times New Roman" w:cs="Times New Roman"/>
          <w:color w:val="000000"/>
          <w:sz w:val="20"/>
          <w:szCs w:val="20"/>
        </w:rPr>
        <w:t xml:space="preserve"> </w:t>
      </w:r>
      <w:r w:rsidRPr="00293394" w:rsidDel="00184B20">
        <w:rPr>
          <w:rFonts w:ascii="Times New Roman" w:hAnsi="Times New Roman" w:cs="Times New Roman"/>
          <w:color w:val="000000"/>
          <w:sz w:val="20"/>
          <w:szCs w:val="20"/>
        </w:rPr>
        <w:t xml:space="preserve"> </w:t>
      </w:r>
    </w:p>
    <w:p w14:paraId="5A7803CE" w14:textId="7C10AC40"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Giá xác định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phương pháp đã được Ban Đại diện Quỹ chấp thuận.</w:t>
      </w:r>
    </w:p>
    <w:p w14:paraId="4936DB37"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Trong thời gian chứng khoán đang làm thủ tục chuyển sàn thì dùng giá đóng cửa cuối cùng của ngày có giao dịch gần nhất trước ngày định giá.</w:t>
      </w:r>
    </w:p>
    <w:p w14:paraId="729F07DD" w14:textId="0C801491"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Trường hợp cổ phiếu được chấp thuận niêm yết nhưng chưa có giao dịch đầu tiên thì định giá như trường hợp cổ phiếu chào bán lần đầu ra công chúng trong quá trình làm thủ tục niêm yết.</w:t>
      </w:r>
    </w:p>
    <w:p w14:paraId="59FDB134"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Cổ phiếu bị đình chỉ giao dịch, hoặc hủy niêm yết hoặc hủy đăng ký giao dịch: ưu tiên thực hiện theo thứ tự từ trên xuống một trong các mức giá sau:</w:t>
      </w:r>
    </w:p>
    <w:p w14:paraId="748404E9"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trị sổ sách; hoặc</w:t>
      </w:r>
    </w:p>
    <w:p w14:paraId="07BD4380"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Mệnh giá; hoặc</w:t>
      </w:r>
    </w:p>
    <w:p w14:paraId="7F11FFE6" w14:textId="44E7C27D"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Giá xác định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phương pháp đã được Ban Đại diện Quỹ chấp thuận.</w:t>
      </w:r>
    </w:p>
    <w:p w14:paraId="7093179C"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Cổ phiếu của tổ chức trong tình trạng giải thể, phá sản: ưu tiên thực hiện theo thứ tự từ trên xuống một trong các mức giá sau:</w:t>
      </w:r>
    </w:p>
    <w:p w14:paraId="55FDB295"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80% giá trị thanh lý của cổ phiếu đó tại ngày của báo cáo tình hình tài chính kết thúc kỳ kế toán năm gần nhất trước ngày định giá; hoặc</w:t>
      </w:r>
      <w:r w:rsidRPr="00293394" w:rsidDel="00B07ADB">
        <w:rPr>
          <w:rFonts w:ascii="Times New Roman" w:hAnsi="Times New Roman" w:cs="Times New Roman"/>
          <w:color w:val="000000"/>
          <w:sz w:val="20"/>
          <w:szCs w:val="20"/>
        </w:rPr>
        <w:t xml:space="preserve"> </w:t>
      </w:r>
      <w:r w:rsidRPr="00293394" w:rsidDel="00C07D08">
        <w:rPr>
          <w:rFonts w:ascii="Times New Roman" w:hAnsi="Times New Roman" w:cs="Times New Roman"/>
          <w:color w:val="000000"/>
          <w:sz w:val="20"/>
          <w:szCs w:val="20"/>
        </w:rPr>
        <w:t xml:space="preserve"> </w:t>
      </w:r>
    </w:p>
    <w:p w14:paraId="00B8E22A"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Giá xác định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phương pháp đã được Ban Đại diện Quỹ chấp thuận.</w:t>
      </w:r>
    </w:p>
    <w:p w14:paraId="6DD877B9"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bookmarkStart w:id="0" w:name="_Hlk78211029"/>
      <w:r w:rsidRPr="00293394">
        <w:rPr>
          <w:rFonts w:ascii="Times New Roman" w:hAnsi="Times New Roman" w:cs="Times New Roman"/>
          <w:color w:val="000000"/>
          <w:sz w:val="20"/>
          <w:szCs w:val="20"/>
        </w:rPr>
        <w:t xml:space="preserve">Cổ phần, vốn góp khác </w:t>
      </w:r>
      <w:bookmarkEnd w:id="0"/>
      <w:r w:rsidRPr="00293394">
        <w:rPr>
          <w:rFonts w:ascii="Times New Roman" w:hAnsi="Times New Roman" w:cs="Times New Roman"/>
          <w:color w:val="000000"/>
          <w:sz w:val="20"/>
          <w:szCs w:val="20"/>
        </w:rPr>
        <w:t xml:space="preserve">(bao gồm cả cổ phiếu chào bán lần đầu ra công chúng đang trong quá trình làm thủ tục niêm yết): </w:t>
      </w:r>
    </w:p>
    <w:p w14:paraId="2475DA7C"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trị trung bình các giao dịch thành công tại ngày giao dịch gần nhất trước ngày định giá dựa trên báo giá (của tối thiểu ba (03) tổ chức báo giá không phải là người có liên quan của Công ty Quản lý Quỹ và Ngân hàng Giám sát và được Ban Đại diện Quỹ phê duyệt tại ngày giao dịch gần nhất trước ngày định giá.</w:t>
      </w:r>
    </w:p>
    <w:p w14:paraId="584B9EA3"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Trường hợp không có đủ báo giá của tối thiểu 03 tổ chức báo giá không phải là người có liên quan của Công ty Quản lý Quỹ và Ngân hàng Giám sát và được Ban Đại diện Quỹ phê duyệt, ưu tiên thực hiện theo thứ tự từ trên xuống là một trong các mức giá sau:</w:t>
      </w:r>
    </w:p>
    <w:p w14:paraId="6811BA04" w14:textId="0A1D1A7E"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trung bình từ hai (02) tổ chức báo giá không phải là người có liên quan của Công ty Quản lý Quỹ và Ngân hàng Giám sát và được Ban Đại diện Quỹ phê duyệt;</w:t>
      </w:r>
    </w:p>
    <w:p w14:paraId="0B1A0D63" w14:textId="78E9D1B8"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của kỳ báo cáo gần nhất nhưng không quá 90 ngày trước ngày định giá;</w:t>
      </w:r>
    </w:p>
    <w:p w14:paraId="018051F4" w14:textId="7D6EB372"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mua;</w:t>
      </w:r>
    </w:p>
    <w:p w14:paraId="32D4BFF4" w14:textId="2C02F099"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trị sổ sách;</w:t>
      </w:r>
    </w:p>
    <w:p w14:paraId="26D4C3F7" w14:textId="0CAC83DF"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Giá xác định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Mô hình định giá đã được Ban Đại diện quỹ chấp thuận.</w:t>
      </w:r>
    </w:p>
    <w:p w14:paraId="712D657B" w14:textId="77777777" w:rsidR="00293394" w:rsidRPr="00293394" w:rsidRDefault="00293394" w:rsidP="00293394">
      <w:pPr>
        <w:spacing w:before="60" w:after="0" w:line="288" w:lineRule="auto"/>
        <w:ind w:left="851"/>
        <w:jc w:val="both"/>
        <w:rPr>
          <w:rFonts w:ascii="Times New Roman" w:hAnsi="Times New Roman" w:cs="Times New Roman"/>
          <w:b/>
          <w:i/>
          <w:color w:val="000000"/>
          <w:sz w:val="20"/>
          <w:szCs w:val="20"/>
        </w:rPr>
      </w:pPr>
      <w:r w:rsidRPr="00293394">
        <w:rPr>
          <w:rFonts w:ascii="Times New Roman" w:hAnsi="Times New Roman" w:cs="Times New Roman"/>
          <w:b/>
          <w:i/>
          <w:color w:val="000000"/>
          <w:sz w:val="20"/>
          <w:szCs w:val="20"/>
        </w:rPr>
        <w:lastRenderedPageBreak/>
        <w:t>Chứng khoán phái sinh</w:t>
      </w:r>
      <w:r w:rsidRPr="00293394" w:rsidDel="00D2528B">
        <w:rPr>
          <w:rFonts w:ascii="Times New Roman" w:hAnsi="Times New Roman" w:cs="Times New Roman"/>
          <w:b/>
          <w:i/>
          <w:color w:val="000000"/>
          <w:sz w:val="20"/>
          <w:szCs w:val="20"/>
        </w:rPr>
        <w:t xml:space="preserve"> </w:t>
      </w:r>
      <w:r w:rsidRPr="00293394" w:rsidDel="001F1442">
        <w:rPr>
          <w:rFonts w:ascii="Times New Roman" w:hAnsi="Times New Roman" w:cs="Times New Roman"/>
          <w:b/>
          <w:i/>
          <w:color w:val="000000"/>
          <w:sz w:val="20"/>
          <w:szCs w:val="20"/>
        </w:rPr>
        <w:t xml:space="preserve"> </w:t>
      </w:r>
    </w:p>
    <w:p w14:paraId="759B0B6D"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Chứng khoán phái sinh niêm yết</w:t>
      </w:r>
    </w:p>
    <w:p w14:paraId="58125C97"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thanh toán cuối ngày theo quy định hoặc tên gọi khác được yết trên hệ thống giao dịch tại Sở Giao Dịch Chứng Khoán tại ngày giao dịch gần nhất trước ngày định giá;</w:t>
      </w:r>
    </w:p>
    <w:p w14:paraId="537700C5"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Trong trường hợp không có giá thanh toán cuối ngày hoặc không có giá yết trên hệ thống giao dịch tại Sở Giao Dịch Chứng Khoán gần nhất trước ngày định giá, giá sẽ được xác định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Phương pháp đã được Ban Đại diện Quỹ chấp thuận.</w:t>
      </w:r>
    </w:p>
    <w:p w14:paraId="17655F55"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Chứng khoán phái sinh niêm yết không có giao dịch nhiều hơn mười lăm (15) ngày tính đến ngày trước ngày định giá,</w:t>
      </w:r>
      <w:r w:rsidRPr="00293394" w:rsidDel="00CA164E">
        <w:rPr>
          <w:rFonts w:ascii="Times New Roman" w:hAnsi="Times New Roman" w:cs="Times New Roman"/>
          <w:color w:val="000000"/>
          <w:sz w:val="20"/>
          <w:szCs w:val="20"/>
        </w:rPr>
        <w:t xml:space="preserve"> </w:t>
      </w:r>
      <w:r w:rsidRPr="00293394">
        <w:rPr>
          <w:rFonts w:ascii="Times New Roman" w:hAnsi="Times New Roman" w:cs="Times New Roman"/>
          <w:color w:val="000000"/>
          <w:sz w:val="20"/>
          <w:szCs w:val="20"/>
        </w:rPr>
        <w:t xml:space="preserve">giá được xác định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Phương pháp đã được Ban Đại diện Quỹ chấp thuận.</w:t>
      </w:r>
    </w:p>
    <w:p w14:paraId="27070A96" w14:textId="77777777" w:rsidR="00293394" w:rsidRPr="00293394" w:rsidRDefault="00293394" w:rsidP="00293394">
      <w:pPr>
        <w:spacing w:before="60" w:after="0" w:line="288" w:lineRule="auto"/>
        <w:ind w:left="851"/>
        <w:jc w:val="both"/>
        <w:rPr>
          <w:rFonts w:ascii="Times New Roman" w:hAnsi="Times New Roman" w:cs="Times New Roman"/>
          <w:color w:val="000000"/>
          <w:sz w:val="20"/>
          <w:szCs w:val="20"/>
        </w:rPr>
      </w:pPr>
      <w:r w:rsidRPr="00293394">
        <w:rPr>
          <w:rFonts w:ascii="Times New Roman" w:hAnsi="Times New Roman" w:cs="Times New Roman"/>
          <w:b/>
          <w:i/>
          <w:color w:val="000000"/>
          <w:sz w:val="20"/>
          <w:szCs w:val="20"/>
        </w:rPr>
        <w:t>Cổ phiếu thưởng và cổ tức bằng cổ phiếu</w:t>
      </w:r>
    </w:p>
    <w:p w14:paraId="542DD3A3" w14:textId="77777777" w:rsidR="00293394" w:rsidRPr="00293394" w:rsidRDefault="00293394" w:rsidP="00293394">
      <w:pPr>
        <w:widowControl w:val="0"/>
        <w:spacing w:before="80"/>
        <w:ind w:left="851"/>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Cổ phiếu thưởng và cổ tức chia bằng cổ phiếu được hạch toán vào các khoản đầu tư với giá trị bằng không và được đánh giá lại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giá trị của các cổ phiếu đó vào ngày kết thúc kỳ kế toán.</w:t>
      </w:r>
    </w:p>
    <w:p w14:paraId="708F6587" w14:textId="02BECE76" w:rsidR="00293394" w:rsidRPr="00293394" w:rsidRDefault="00293394" w:rsidP="00293394">
      <w:pPr>
        <w:spacing w:before="60" w:after="0" w:line="288" w:lineRule="auto"/>
        <w:ind w:left="851"/>
        <w:jc w:val="both"/>
        <w:rPr>
          <w:rFonts w:ascii="Times New Roman" w:hAnsi="Times New Roman" w:cs="Times New Roman"/>
          <w:b/>
          <w:i/>
          <w:color w:val="000000"/>
          <w:sz w:val="20"/>
          <w:szCs w:val="20"/>
        </w:rPr>
      </w:pPr>
      <w:r w:rsidRPr="00293394">
        <w:rPr>
          <w:rFonts w:ascii="Times New Roman" w:hAnsi="Times New Roman" w:cs="Times New Roman"/>
          <w:b/>
          <w:i/>
          <w:color w:val="000000"/>
          <w:sz w:val="20"/>
          <w:szCs w:val="20"/>
        </w:rPr>
        <w:t>Chứng chỉ quỹ đại chúng</w:t>
      </w:r>
      <w:r w:rsidRPr="00293394" w:rsidDel="00D2528B">
        <w:rPr>
          <w:rFonts w:ascii="Times New Roman" w:hAnsi="Times New Roman" w:cs="Times New Roman"/>
          <w:b/>
          <w:i/>
          <w:color w:val="000000"/>
          <w:sz w:val="20"/>
          <w:szCs w:val="20"/>
        </w:rPr>
        <w:t xml:space="preserve"> </w:t>
      </w:r>
      <w:r w:rsidRPr="00293394" w:rsidDel="001F1442">
        <w:rPr>
          <w:rFonts w:ascii="Times New Roman" w:hAnsi="Times New Roman" w:cs="Times New Roman"/>
          <w:b/>
          <w:i/>
          <w:color w:val="000000"/>
          <w:sz w:val="20"/>
          <w:szCs w:val="20"/>
        </w:rPr>
        <w:t xml:space="preserve"> </w:t>
      </w:r>
    </w:p>
    <w:p w14:paraId="4836D8FD"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Chứng chỉ quỹ đại chúng niêm yết</w:t>
      </w:r>
    </w:p>
    <w:p w14:paraId="7B2F3FF1"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Giá đóng cửa hoặc tên gọi khác, tùy thuộc vào quy định nội bộ của Sở Giao dịch Chứng khoán, của ngày có giao dịch gần nhất trước ngày định giá; </w:t>
      </w:r>
    </w:p>
    <w:p w14:paraId="5EB4FF2E" w14:textId="77777777" w:rsidR="00293394" w:rsidRPr="00293394" w:rsidRDefault="00293394" w:rsidP="00293394">
      <w:pPr>
        <w:pStyle w:val="ListParagraph"/>
        <w:keepLines/>
        <w:widowControl w:val="0"/>
        <w:numPr>
          <w:ilvl w:val="0"/>
          <w:numId w:val="30"/>
        </w:numPr>
        <w:overflowPunct w:val="0"/>
        <w:autoSpaceDE w:val="0"/>
        <w:autoSpaceDN w:val="0"/>
        <w:adjustRightInd w:val="0"/>
        <w:spacing w:before="80" w:after="80" w:line="240" w:lineRule="auto"/>
        <w:ind w:left="1560"/>
        <w:jc w:val="both"/>
        <w:textAlignment w:val="baseline"/>
        <w:rPr>
          <w:rFonts w:ascii="Times New Roman" w:hAnsi="Times New Roman" w:cs="Times New Roman"/>
          <w:color w:val="000000"/>
          <w:sz w:val="20"/>
          <w:szCs w:val="20"/>
        </w:rPr>
      </w:pPr>
      <w:r w:rsidRPr="00293394">
        <w:rPr>
          <w:rFonts w:ascii="Times New Roman" w:hAnsi="Times New Roman" w:cs="Times New Roman"/>
          <w:color w:val="000000"/>
          <w:sz w:val="20"/>
          <w:szCs w:val="20"/>
        </w:rPr>
        <w:t>Trường hợp không có giao dịch nhiều hơn mười lăm (15) ngày tính đến ngày trước ngày định giá, giá được xác định là một trong các mức giá sau:</w:t>
      </w:r>
    </w:p>
    <w:p w14:paraId="60AE60A6" w14:textId="2E33C98D"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trị tài sản ròng trên một đơn vị chứng chỉ quỹ tại ngày định giá gần nhất của quỹ đó được công bố thông tin trên trang web của công ty quản lý quỹ đó; hoặc trên Sở Giao dịch Chứng khoán; hoặc trên trang web của Ủy ban Chứng khoán Nhà nước trước ngày định giá của Quỹ; hoặc</w:t>
      </w:r>
    </w:p>
    <w:p w14:paraId="1CBEB173" w14:textId="799204AC"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Giá mua;</w:t>
      </w:r>
      <w:r w:rsidRPr="00293394" w:rsidDel="009B6A8E">
        <w:rPr>
          <w:rFonts w:ascii="Times New Roman" w:hAnsi="Times New Roman" w:cs="Times New Roman"/>
          <w:color w:val="000000"/>
          <w:sz w:val="20"/>
          <w:szCs w:val="20"/>
        </w:rPr>
        <w:t xml:space="preserve"> </w:t>
      </w:r>
      <w:r w:rsidRPr="00293394">
        <w:rPr>
          <w:rFonts w:ascii="Times New Roman" w:hAnsi="Times New Roman" w:cs="Times New Roman"/>
          <w:color w:val="000000"/>
          <w:sz w:val="20"/>
          <w:szCs w:val="20"/>
        </w:rPr>
        <w:t>hoặc</w:t>
      </w:r>
      <w:r w:rsidRPr="00293394" w:rsidDel="00184B20">
        <w:rPr>
          <w:rFonts w:ascii="Times New Roman" w:hAnsi="Times New Roman" w:cs="Times New Roman"/>
          <w:color w:val="000000"/>
          <w:sz w:val="20"/>
          <w:szCs w:val="20"/>
        </w:rPr>
        <w:t xml:space="preserve"> </w:t>
      </w:r>
    </w:p>
    <w:p w14:paraId="5AAA46E4" w14:textId="75E9C74D" w:rsidR="00293394" w:rsidRPr="00293394" w:rsidRDefault="00293394" w:rsidP="00293394">
      <w:pPr>
        <w:pStyle w:val="ListParagraph"/>
        <w:widowControl w:val="0"/>
        <w:numPr>
          <w:ilvl w:val="0"/>
          <w:numId w:val="31"/>
        </w:numPr>
        <w:spacing w:before="80" w:after="80"/>
        <w:ind w:left="1985"/>
        <w:rPr>
          <w:rFonts w:ascii="Times New Roman" w:hAnsi="Times New Roman" w:cs="Times New Roman"/>
          <w:color w:val="000000"/>
          <w:sz w:val="20"/>
          <w:szCs w:val="20"/>
        </w:rPr>
      </w:pPr>
      <w:r w:rsidRPr="00293394">
        <w:rPr>
          <w:rFonts w:ascii="Times New Roman" w:hAnsi="Times New Roman" w:cs="Times New Roman"/>
          <w:color w:val="000000"/>
          <w:sz w:val="20"/>
          <w:szCs w:val="20"/>
        </w:rPr>
        <w:t xml:space="preserve">Giá xác định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phương pháp đã được Ban Đại diện Quỹ chấp thuận.</w:t>
      </w:r>
    </w:p>
    <w:p w14:paraId="516E88EC" w14:textId="77777777" w:rsidR="00293394" w:rsidRPr="00293394" w:rsidRDefault="00293394" w:rsidP="00293394">
      <w:pPr>
        <w:pStyle w:val="ListParagraph"/>
        <w:numPr>
          <w:ilvl w:val="0"/>
          <w:numId w:val="13"/>
        </w:numPr>
        <w:spacing w:after="0" w:line="288" w:lineRule="auto"/>
        <w:ind w:left="1134" w:hanging="283"/>
        <w:jc w:val="both"/>
        <w:rPr>
          <w:rFonts w:ascii="Times New Roman" w:hAnsi="Times New Roman" w:cs="Times New Roman"/>
          <w:color w:val="000000"/>
          <w:sz w:val="20"/>
          <w:szCs w:val="20"/>
        </w:rPr>
      </w:pPr>
      <w:r w:rsidRPr="00293394">
        <w:rPr>
          <w:rFonts w:ascii="Times New Roman" w:hAnsi="Times New Roman" w:cs="Times New Roman"/>
          <w:color w:val="000000"/>
          <w:sz w:val="20"/>
          <w:szCs w:val="20"/>
        </w:rPr>
        <w:t>Chứng chỉ quỹ đại chúng không niêm yết, giá được xác định là giá trị tài sản ròng trên một đơn vị chứng chỉ quỹ tại ngày định giá gần nhất của quỹ đó trước ngày định giá của Quỹ.</w:t>
      </w:r>
    </w:p>
    <w:p w14:paraId="18879563" w14:textId="77777777" w:rsidR="00293394" w:rsidRPr="00293394" w:rsidRDefault="00293394" w:rsidP="00293394">
      <w:pPr>
        <w:spacing w:before="60" w:after="0" w:line="288" w:lineRule="auto"/>
        <w:ind w:left="851"/>
        <w:jc w:val="both"/>
        <w:rPr>
          <w:rFonts w:ascii="Times New Roman" w:hAnsi="Times New Roman" w:cs="Times New Roman"/>
          <w:b/>
          <w:i/>
          <w:color w:val="000000"/>
          <w:sz w:val="20"/>
          <w:szCs w:val="20"/>
        </w:rPr>
      </w:pPr>
      <w:r w:rsidRPr="00293394">
        <w:rPr>
          <w:rFonts w:ascii="Times New Roman" w:hAnsi="Times New Roman" w:cs="Times New Roman"/>
          <w:b/>
          <w:i/>
          <w:color w:val="000000"/>
          <w:sz w:val="20"/>
          <w:szCs w:val="20"/>
        </w:rPr>
        <w:t>Quyền mua cổ phiếu</w:t>
      </w:r>
    </w:p>
    <w:p w14:paraId="1B8F5593" w14:textId="247AADAA" w:rsidR="00293394" w:rsidRPr="00293394" w:rsidRDefault="00293394" w:rsidP="00293394">
      <w:pPr>
        <w:spacing w:after="0" w:line="288" w:lineRule="auto"/>
        <w:ind w:left="851"/>
        <w:jc w:val="both"/>
        <w:rPr>
          <w:rFonts w:ascii="Times New Roman" w:hAnsi="Times New Roman" w:cs="Times New Roman"/>
          <w:sz w:val="20"/>
          <w:szCs w:val="20"/>
        </w:rPr>
      </w:pPr>
      <w:r w:rsidRPr="00293394">
        <w:rPr>
          <w:rFonts w:ascii="Times New Roman" w:hAnsi="Times New Roman" w:cs="Times New Roman"/>
          <w:color w:val="000000"/>
          <w:sz w:val="20"/>
          <w:szCs w:val="20"/>
        </w:rPr>
        <w:t xml:space="preserve">Quyền mua cổ phiếu được hạch toán vào các khoản đầu tư với giá trị bằng không và được đánh giá lại </w:t>
      </w:r>
      <w:proofErr w:type="gramStart"/>
      <w:r w:rsidRPr="00293394">
        <w:rPr>
          <w:rFonts w:ascii="Times New Roman" w:hAnsi="Times New Roman" w:cs="Times New Roman"/>
          <w:color w:val="000000"/>
          <w:sz w:val="20"/>
          <w:szCs w:val="20"/>
        </w:rPr>
        <w:t>theo</w:t>
      </w:r>
      <w:proofErr w:type="gramEnd"/>
      <w:r w:rsidRPr="00293394">
        <w:rPr>
          <w:rFonts w:ascii="Times New Roman" w:hAnsi="Times New Roman" w:cs="Times New Roman"/>
          <w:color w:val="000000"/>
          <w:sz w:val="20"/>
          <w:szCs w:val="20"/>
        </w:rPr>
        <w:t xml:space="preserve"> giá trị được xác định là phần chênh lệch dương giữa giá thị trường của cổ phiếu tại ngày định giá và giá thực hiện quyền nhân với tỷ lệ thực hiện quyền.  Giá trị của quyền mua sẽ được đánh giá lại vào ngày kết thúc kỳ kế toán.</w:t>
      </w:r>
    </w:p>
    <w:p w14:paraId="0493A89C" w14:textId="77777777" w:rsidR="00C35406" w:rsidRPr="007A4753" w:rsidRDefault="00E1535E" w:rsidP="00C35406">
      <w:pPr>
        <w:spacing w:before="60" w:after="0" w:line="288" w:lineRule="auto"/>
        <w:ind w:left="851"/>
        <w:jc w:val="both"/>
        <w:rPr>
          <w:rFonts w:ascii="Times New Roman" w:hAnsi="Times New Roman" w:cs="Times New Roman"/>
          <w:b/>
          <w:sz w:val="20"/>
          <w:szCs w:val="20"/>
        </w:rPr>
      </w:pPr>
      <w:r w:rsidRPr="007A4753">
        <w:rPr>
          <w:rFonts w:ascii="Times New Roman" w:hAnsi="Times New Roman" w:cs="Times New Roman"/>
          <w:b/>
          <w:sz w:val="20"/>
          <w:szCs w:val="20"/>
        </w:rPr>
        <w:t>Các tài sản được phép đầu tư khác</w:t>
      </w:r>
    </w:p>
    <w:p w14:paraId="2FB82A4F" w14:textId="77777777" w:rsidR="00E1535E" w:rsidRPr="007A4753" w:rsidRDefault="00C35406" w:rsidP="00C3540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T</w:t>
      </w:r>
      <w:r w:rsidR="00E1535E" w:rsidRPr="007A4753">
        <w:rPr>
          <w:rFonts w:ascii="Times New Roman" w:hAnsi="Times New Roman" w:cs="Times New Roman"/>
          <w:sz w:val="20"/>
          <w:szCs w:val="20"/>
        </w:rPr>
        <w:t>ùy theo từng trường hợp cụ thể, giá của các tài sản sẽ được xác định một cách phù hợp theo một trong các phương pháp sau đây:</w:t>
      </w:r>
      <w:r w:rsidRPr="007A4753">
        <w:rPr>
          <w:rFonts w:ascii="Times New Roman" w:hAnsi="Times New Roman" w:cs="Times New Roman"/>
          <w:sz w:val="20"/>
          <w:szCs w:val="20"/>
        </w:rPr>
        <w:t xml:space="preserve"> </w:t>
      </w:r>
      <w:r w:rsidR="00E1535E" w:rsidRPr="007A4753">
        <w:rPr>
          <w:rFonts w:ascii="Times New Roman" w:hAnsi="Times New Roman" w:cs="Times New Roman"/>
          <w:sz w:val="20"/>
          <w:szCs w:val="20"/>
        </w:rPr>
        <w:t>Giá trị trường là giá trung bình của các giao dịch thực hiện thành công tại ngày giao dịch gần nhất trước ngày định giá do các tổ chức báo giá cung cấp, hoặc theo phương pháp đã được Ban đại diện chấp thuận.</w:t>
      </w:r>
    </w:p>
    <w:p w14:paraId="473BF709" w14:textId="77777777" w:rsidR="00E1535E" w:rsidRPr="007A4753" w:rsidRDefault="00E1535E" w:rsidP="00DA4646">
      <w:pPr>
        <w:pStyle w:val="ListParagraph"/>
        <w:numPr>
          <w:ilvl w:val="0"/>
          <w:numId w:val="11"/>
        </w:numPr>
        <w:tabs>
          <w:tab w:val="left" w:pos="993"/>
        </w:tabs>
        <w:spacing w:after="0" w:line="288" w:lineRule="auto"/>
        <w:ind w:left="851" w:hanging="142"/>
        <w:jc w:val="both"/>
        <w:rPr>
          <w:rFonts w:ascii="Times New Roman" w:hAnsi="Times New Roman" w:cs="Times New Roman"/>
          <w:sz w:val="20"/>
          <w:szCs w:val="20"/>
        </w:rPr>
      </w:pPr>
      <w:r w:rsidRPr="007A4753">
        <w:rPr>
          <w:rFonts w:ascii="Times New Roman" w:hAnsi="Times New Roman" w:cs="Times New Roman"/>
          <w:b/>
          <w:i/>
          <w:sz w:val="20"/>
          <w:szCs w:val="20"/>
        </w:rPr>
        <w:t>Chấm dứt ghi nhận</w:t>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0F32BB96" w14:textId="1AB8A32B" w:rsidR="00CE5D04" w:rsidRPr="007A4753" w:rsidRDefault="00CE5D04" w:rsidP="00CE5D04">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Các khoản đầu tư chứng khoán được dừng ghi nhận khi quyền được nhận dòng tiền từ khoản đầu tư chứng khoán đó đã chấm dứt hoặc Quỹ đã chuyển giao phần lớn rủi ro và lợi ích gắn liền với quyền sở hữu chứng khoán đó.</w:t>
      </w:r>
    </w:p>
    <w:p w14:paraId="056CAEAB" w14:textId="77777777" w:rsidR="00E1535E" w:rsidRPr="007A4753" w:rsidRDefault="00E1535E" w:rsidP="00DA4646">
      <w:pPr>
        <w:pStyle w:val="ListParagraph"/>
        <w:numPr>
          <w:ilvl w:val="0"/>
          <w:numId w:val="11"/>
        </w:numPr>
        <w:tabs>
          <w:tab w:val="left" w:pos="993"/>
        </w:tabs>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Ghi nhận giá vốn</w:t>
      </w:r>
    </w:p>
    <w:p w14:paraId="35759476" w14:textId="77777777" w:rsidR="00E1535E" w:rsidRPr="007A4753" w:rsidRDefault="00E1535E"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Giá vốn của chứng khoán kinh doanh được tính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bình quân gia quyền. Giá vốn của chứng khoán phái sinh được tính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phương pháp nhập trước xuất trước.</w:t>
      </w:r>
    </w:p>
    <w:p w14:paraId="7ACD5180"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Các khoản phải thu</w:t>
      </w:r>
    </w:p>
    <w:p w14:paraId="2B4D3481" w14:textId="073E3A1C" w:rsidR="00D208A3" w:rsidRPr="007A4753" w:rsidRDefault="00D208A3" w:rsidP="00D208A3">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Các khoản phải thu bao gồm phải thu về bán các khoản đầu tư, phải thu và dự thu cổ tức, tiền lãi các khoản đầu tư, phải thu từ việc quyết toán với nhà đầu tư khi Quỹ mua/bán hộ các mã chứng khoán nằm trong danh mục chứng khoán cơ cấu mà nhà đầu tư bị hạn chế đầu tư hoặc nhà đầu tư chưa thực hiện thủ tục giao dịch cổ phiếu quỹ hoặc chào mua công khai theo quy định của pháp luật, các khoản phải thu từ đơn vị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w:t>
      </w:r>
      <w:r w:rsidRPr="007A4753">
        <w:rPr>
          <w:rFonts w:ascii="Times New Roman" w:hAnsi="Times New Roman" w:cs="Times New Roman" w:hint="eastAsia"/>
          <w:sz w:val="20"/>
          <w:szCs w:val="20"/>
        </w:rPr>
        <w:t>á</w:t>
      </w:r>
      <w:r w:rsidRPr="007A4753">
        <w:rPr>
          <w:rFonts w:ascii="Times New Roman" w:hAnsi="Times New Roman" w:cs="Times New Roman"/>
          <w:sz w:val="20"/>
          <w:szCs w:val="20"/>
        </w:rPr>
        <w:t xml:space="preserve">c khoản phải thu khác liên quan đến hoạt động của Quỹ.  Các khoản phải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được phản ánh theo giá gốc trừ đi dự phòng phải thu khó đòi.</w:t>
      </w:r>
    </w:p>
    <w:p w14:paraId="284CE124" w14:textId="4BE40FC8" w:rsidR="00E1535E" w:rsidRPr="007A4753" w:rsidRDefault="00D208A3" w:rsidP="00D208A3">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lastRenderedPageBreak/>
        <w:t xml:space="preserve">Dự phòng các khoản phải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khó đòi được lập cho từng khoản phải thu căn cứ vào thời gian quá hạn trả nợ gốc theo cam kết nợ ban đầu (không tính đến việc gia hạn nợ giữa các bên), hoặc căn cứ vào mức tổn thất ước tính có thể xảy ra.</w:t>
      </w:r>
    </w:p>
    <w:p w14:paraId="2865EFDB"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Các khoản phải trả</w:t>
      </w:r>
    </w:p>
    <w:p w14:paraId="69AF6CDD" w14:textId="0AAFE136" w:rsidR="00E1535E" w:rsidRPr="007A4753" w:rsidRDefault="00D208A3"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Các khoản phải trả bao gồm phải trả về mua các khoản đầu tư, phải trả dịch vụ quản lý quỹ, phải trả từ việc quyết toán với nhà đầu tư khi Quỹ mua/bán hộ các mã chứng khoán nằm trong danh mục chứng khoán cơ cấu mà nhà đầu tư bị hạn chế đầu tư hoặc nhà đầu t</w:t>
      </w:r>
      <w:r w:rsidRPr="007A4753">
        <w:rPr>
          <w:rFonts w:ascii="Times New Roman" w:hAnsi="Times New Roman" w:cs="Times New Roman" w:hint="eastAsia"/>
          <w:sz w:val="20"/>
          <w:szCs w:val="20"/>
        </w:rPr>
        <w:t>ư</w:t>
      </w:r>
      <w:r w:rsidRPr="007A4753">
        <w:rPr>
          <w:rFonts w:ascii="Times New Roman" w:hAnsi="Times New Roman" w:cs="Times New Roman"/>
          <w:sz w:val="20"/>
          <w:szCs w:val="20"/>
        </w:rPr>
        <w:t xml:space="preserve"> chưa thực hiện thủ tục giao dịch cổ phiếu quỹ hoặc chào mua công khai theo quy định của pháp luật, các khoản phải trả cho nhà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các khoản phải trả khác.  C</w:t>
      </w:r>
      <w:r w:rsidRPr="007A4753">
        <w:rPr>
          <w:rFonts w:ascii="Times New Roman" w:hAnsi="Times New Roman" w:cs="Times New Roman" w:hint="eastAsia"/>
          <w:sz w:val="20"/>
          <w:szCs w:val="20"/>
        </w:rPr>
        <w:t>á</w:t>
      </w:r>
      <w:r w:rsidRPr="007A4753">
        <w:rPr>
          <w:rFonts w:ascii="Times New Roman" w:hAnsi="Times New Roman" w:cs="Times New Roman"/>
          <w:sz w:val="20"/>
          <w:szCs w:val="20"/>
        </w:rPr>
        <w:t xml:space="preserve">c khoản phải trả được thể hiện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giá gốc.</w:t>
      </w:r>
      <w:r w:rsidR="00E1535E" w:rsidRPr="007A4753">
        <w:rPr>
          <w:rFonts w:ascii="Times New Roman" w:hAnsi="Times New Roman" w:cs="Times New Roman"/>
          <w:sz w:val="20"/>
          <w:szCs w:val="20"/>
        </w:rPr>
        <w:t xml:space="preserve"> </w:t>
      </w:r>
    </w:p>
    <w:p w14:paraId="09F03EFE"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Dự phòng</w:t>
      </w:r>
    </w:p>
    <w:p w14:paraId="60AD4E8B" w14:textId="13745A0E" w:rsidR="00E1535E" w:rsidRPr="007A4753" w:rsidRDefault="00D208A3"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Dự phòng được ghi nhận nếu, do kết quả của một sự kiện trong quá khứ, Quỹ có nghĩa vụ pháp lý hiện tại hoặc liên đới có thể ước tính một cách đáng tin cậy, và chắc chắn sẽ làm giảm sút các lợi ích kinh tế trong tương lai để thanh toán các nghĩa vụ về khoản nợ phải trả đó.  Khoản dự phòng được xác định bằng cách chiết khấu dòng tiền dự kiến có thể phải trả trong tương lai với tỷ lệ chiết khấu trước thuế phản ánh đánh giá hiện tại của thị trường về giá trị thời gian của tiền và rủi ro cụ thể của khoản nợ đó.</w:t>
      </w:r>
    </w:p>
    <w:p w14:paraId="73AB1424"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Thuế</w:t>
      </w:r>
    </w:p>
    <w:p w14:paraId="7F73B16B" w14:textId="77777777" w:rsidR="005131BF" w:rsidRPr="005131BF" w:rsidRDefault="005131BF" w:rsidP="005131BF">
      <w:pPr>
        <w:spacing w:after="0" w:line="288" w:lineRule="auto"/>
        <w:ind w:left="567"/>
        <w:jc w:val="both"/>
        <w:rPr>
          <w:rFonts w:ascii="Times New Roman" w:hAnsi="Times New Roman" w:cs="Times New Roman"/>
          <w:sz w:val="20"/>
          <w:szCs w:val="20"/>
        </w:rPr>
      </w:pPr>
      <w:r w:rsidRPr="005131BF">
        <w:rPr>
          <w:rFonts w:ascii="Times New Roman" w:hAnsi="Times New Roman" w:cs="Times New Roman"/>
          <w:sz w:val="20"/>
          <w:szCs w:val="20"/>
        </w:rPr>
        <w:t>Công ty Quản lý Quỹ có nghĩa vụ khấu trừ, kê khai và nộp thuế đối với giao dịch hoán đổi lại chứng chỉ quỹ từ nhà đầu tư cá nhân (trong nước và nước ngoài) theo hướng dẫn của Công văn số 2331/TCT-CS ngày 15 tháng 6 năm 2015 do Tổng Cục Thuế ban hành (“Công văn 2331”), Thông tư số 111/2013/TT-BTC ngày 15 tháng 8 năm 2013 (“Thông tư 111”) được sửa đổi và bổ sung bởi Thông tư số 92/2015/TT-BTC ngày 15 tháng 6 năm 2015 (“Thông tư 92”) và Thông tư số 25/2018/TT-BTC ngày 16 tháng 3 năm 2018 (“Thông tư 25”) do Bộ Tài chính ban hành.</w:t>
      </w:r>
    </w:p>
    <w:p w14:paraId="4F945BB7" w14:textId="77777777" w:rsidR="005131BF" w:rsidRPr="005131BF" w:rsidRDefault="005131BF" w:rsidP="005131BF">
      <w:pPr>
        <w:spacing w:after="0" w:line="288" w:lineRule="auto"/>
        <w:ind w:left="567"/>
        <w:jc w:val="both"/>
        <w:rPr>
          <w:rFonts w:ascii="Times New Roman" w:hAnsi="Times New Roman" w:cs="Times New Roman"/>
          <w:sz w:val="20"/>
          <w:szCs w:val="20"/>
        </w:rPr>
      </w:pPr>
      <w:r w:rsidRPr="005131BF">
        <w:rPr>
          <w:rFonts w:ascii="Times New Roman" w:hAnsi="Times New Roman" w:cs="Times New Roman"/>
          <w:sz w:val="20"/>
          <w:szCs w:val="20"/>
        </w:rPr>
        <w:t>Các nhà đầu tư là tổ chức được thành lập theo pháp luật Việt Nam phải chịu trách nhiệm tự kê khai và nộp thuế cho Nhà nước theo quy định của Luật thuế Thu nhập Doanh nghiệp (“TNDN”) hiện hành và hoàn toàn chịu trách nhiệm trước pháp luật cho việc kê khai và nộp thuế trên thu nhập phát sinh.  Các tổ chức nước ngoài nếu có giao dịch hoán đổi lại chứng chỉ quỹ phải nộp thuế theo hướng dẫn tại Công văn 2331, và quy định của Luật thuế TNDN hiện hành và sẽ bị Công ty Quản lý Quỹ khấu trừ, kê khai và nộp thuế thay theo quy định của pháp luật.</w:t>
      </w:r>
    </w:p>
    <w:p w14:paraId="349FDC25" w14:textId="5D3E8023" w:rsidR="00E1535E" w:rsidRPr="007A4753" w:rsidRDefault="005131BF" w:rsidP="005131BF">
      <w:pPr>
        <w:spacing w:after="0" w:line="288" w:lineRule="auto"/>
        <w:ind w:left="567"/>
        <w:jc w:val="both"/>
        <w:rPr>
          <w:rFonts w:ascii="Times New Roman" w:hAnsi="Times New Roman" w:cs="Times New Roman"/>
          <w:sz w:val="20"/>
          <w:szCs w:val="20"/>
        </w:rPr>
      </w:pPr>
      <w:r w:rsidRPr="005131BF">
        <w:rPr>
          <w:rFonts w:ascii="Times New Roman" w:hAnsi="Times New Roman" w:cs="Times New Roman"/>
          <w:sz w:val="20"/>
          <w:szCs w:val="20"/>
        </w:rPr>
        <w:t>Các nội dung trên là dựa theo quy định tại các Luật về thuế Thu nhập Cá nhân, thuế Thu nhập Doanh nghiệp, thuế Giá trị Gia tăng và Quản lý thuế, được hướng dẫn chi tiết trong các Nghị định và Thông tư liên quan và được trích dẫn cụ thể như trên cũng như hướng dẫn riêng của Tổng Cục thuế tại Công văn 2331 gửi đến Cục thuế Thành phố Hồ Chí Minh và Cục thuế Hà Nội để hướng dẫn về chính sách thuế đối với Quỹ hoán đổi danh mục.  Các nội dung trên có thể thay đổi trong tương lai do sự thay đổi về luật và quy định về thuế tại Việt Nam.</w:t>
      </w:r>
    </w:p>
    <w:p w14:paraId="73CD4D02" w14:textId="77777777" w:rsidR="00E1535E" w:rsidRPr="007A4753" w:rsidRDefault="00E1535E" w:rsidP="00916D39">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Vốn góp và thặng dư vốn</w:t>
      </w:r>
    </w:p>
    <w:p w14:paraId="26103034" w14:textId="77777777" w:rsidR="00E1535E" w:rsidRPr="007A4753" w:rsidRDefault="00E1535E" w:rsidP="00DA4646">
      <w:pPr>
        <w:pStyle w:val="ListParagraph"/>
        <w:numPr>
          <w:ilvl w:val="0"/>
          <w:numId w:val="19"/>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Vốn góp phát hành</w:t>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p>
    <w:p w14:paraId="0E08326A" w14:textId="6E8D42DA" w:rsidR="004F5420" w:rsidRPr="007A4753" w:rsidRDefault="004F5420" w:rsidP="004F5420">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Vốn góp phát hành là khoản vốn góp từ việc hoán đổi lô chứng chỉ quỹ lấy danh mục chứng khoán cơ cấu và có thể phát sinh khoản bổ sung bằng tiền trong các trường hợp sau:</w:t>
      </w:r>
    </w:p>
    <w:p w14:paraId="6B82C2E7" w14:textId="77777777" w:rsidR="004F5420" w:rsidRPr="007A4753" w:rsidRDefault="004F5420" w:rsidP="004F5420">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phát sinh chênh lệch giữa giá trị danh mục chứng khoán cơ cấu và giá phát hành của lô chứng chỉ quỹ tại ngày liền trước ngày giao dịch hoán đổi (ngày T-1);</w:t>
      </w:r>
    </w:p>
    <w:p w14:paraId="127C132E" w14:textId="77777777" w:rsidR="004F5420" w:rsidRPr="007A4753" w:rsidRDefault="004F5420" w:rsidP="004F5420">
      <w:pPr>
        <w:pStyle w:val="ListParagraph"/>
        <w:numPr>
          <w:ilvl w:val="0"/>
          <w:numId w:val="25"/>
        </w:numPr>
        <w:spacing w:after="0" w:line="288" w:lineRule="auto"/>
        <w:ind w:left="1560"/>
        <w:jc w:val="both"/>
        <w:rPr>
          <w:rFonts w:ascii="Times New Roman" w:hAnsi="Times New Roman" w:cs="Times New Roman"/>
          <w:sz w:val="20"/>
          <w:szCs w:val="20"/>
        </w:rPr>
      </w:pPr>
      <w:r w:rsidRPr="007A4753">
        <w:rPr>
          <w:rFonts w:ascii="Times New Roman" w:hAnsi="Times New Roman" w:cs="Times New Roman"/>
          <w:sz w:val="20"/>
          <w:szCs w:val="20"/>
        </w:rPr>
        <w:t xml:space="preserve">những mã chứng khoán nằm trong danh mục chứng khoán cơ cấu mà nhà đầu tư bị hạn chế đầu tư theo quy định hiện hành;   </w:t>
      </w:r>
    </w:p>
    <w:p w14:paraId="230EF34D" w14:textId="3C4AA540" w:rsidR="004F5420" w:rsidRPr="007A4753" w:rsidRDefault="004F5420" w:rsidP="004F5420">
      <w:pPr>
        <w:pStyle w:val="ListParagraph"/>
        <w:numPr>
          <w:ilvl w:val="0"/>
          <w:numId w:val="25"/>
        </w:numPr>
        <w:spacing w:after="0" w:line="288" w:lineRule="auto"/>
        <w:ind w:left="1560"/>
        <w:jc w:val="both"/>
        <w:rPr>
          <w:rFonts w:ascii="Times New Roman" w:hAnsi="Times New Roman" w:cs="Times New Roman"/>
          <w:sz w:val="20"/>
          <w:szCs w:val="20"/>
        </w:rPr>
      </w:pPr>
      <w:proofErr w:type="gramStart"/>
      <w:r w:rsidRPr="007A4753">
        <w:rPr>
          <w:rFonts w:ascii="Times New Roman" w:hAnsi="Times New Roman" w:cs="Times New Roman"/>
          <w:sz w:val="20"/>
          <w:szCs w:val="20"/>
        </w:rPr>
        <w:t>chứng</w:t>
      </w:r>
      <w:proofErr w:type="gramEnd"/>
      <w:r w:rsidRPr="007A4753">
        <w:rPr>
          <w:rFonts w:ascii="Times New Roman" w:hAnsi="Times New Roman" w:cs="Times New Roman"/>
          <w:sz w:val="20"/>
          <w:szCs w:val="20"/>
        </w:rPr>
        <w:t xml:space="preserve"> khoán trong danh mục chứng khoán cơ cấu góp vốn phát sinh sự kiện doanh nghiệp (cổ tức bằng tiền, cổ tức bằng cổ phiếu, cổ phiếu thưởng, quyền mua cổ phiếu phát hành thêm).</w:t>
      </w:r>
    </w:p>
    <w:p w14:paraId="065486D8" w14:textId="0F98A8B8" w:rsidR="00E1535E" w:rsidRPr="007A4753" w:rsidRDefault="004F5420" w:rsidP="004F5420">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Vốn góp phát hành được phản ánh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mệnh giá của chứng chỉ quỹ và được ghi nhận tại ngày làm việc thứ nhất kể từ ngày giao dịch hoán đổi – ngày xác nhận hoàn tất giao dịch và xác nhận quyền sở hữu của Quỹ đối với các danh mục chứng khoán cơ cấu.</w:t>
      </w:r>
    </w:p>
    <w:p w14:paraId="73C5D299" w14:textId="77777777" w:rsidR="00E1535E" w:rsidRPr="007A4753" w:rsidRDefault="00E1535E" w:rsidP="00DA4646">
      <w:pPr>
        <w:pStyle w:val="ListParagraph"/>
        <w:numPr>
          <w:ilvl w:val="0"/>
          <w:numId w:val="19"/>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Vốn góp mua lại</w:t>
      </w:r>
    </w:p>
    <w:p w14:paraId="072D3863" w14:textId="5583FD59" w:rsidR="00E1535E" w:rsidRPr="007A4753" w:rsidRDefault="004F5420"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Vốn góp hoán đổi lại phản ánh việc hoán đổi danh mục chứng khoán cơ cấu và khoản thanh toán bằng tiền (nếu có) lấy lô chứng chỉ quỹ.  Vốn góp hoán đổi lại được phản ánh </w:t>
      </w:r>
      <w:proofErr w:type="gramStart"/>
      <w:r w:rsidRPr="007A4753">
        <w:rPr>
          <w:rFonts w:ascii="Times New Roman" w:hAnsi="Times New Roman" w:cs="Times New Roman"/>
          <w:sz w:val="20"/>
          <w:szCs w:val="20"/>
        </w:rPr>
        <w:t>theo</w:t>
      </w:r>
      <w:proofErr w:type="gramEnd"/>
      <w:r w:rsidRPr="007A4753">
        <w:rPr>
          <w:rFonts w:ascii="Times New Roman" w:hAnsi="Times New Roman" w:cs="Times New Roman"/>
          <w:sz w:val="20"/>
          <w:szCs w:val="20"/>
        </w:rPr>
        <w:t xml:space="preserve"> mệnh giá chứng chỉ quỹ và được ghi nhận tại ngày </w:t>
      </w:r>
      <w:r w:rsidRPr="007A4753">
        <w:rPr>
          <w:rFonts w:ascii="Times New Roman" w:hAnsi="Times New Roman" w:cs="Times New Roman"/>
          <w:sz w:val="20"/>
          <w:szCs w:val="20"/>
        </w:rPr>
        <w:lastRenderedPageBreak/>
        <w:t>làm việc thứ nhất kể từ ngày giao dịch hoán đổi – ngày xác nhận hoàn tất giao dịch và xác nhận quyền sở hữu của nhà đầu tư đối với các danh mục chứng khoán cơ cấu.</w:t>
      </w:r>
    </w:p>
    <w:p w14:paraId="6CD8EABB" w14:textId="77777777" w:rsidR="00E1535E" w:rsidRPr="007A4753" w:rsidRDefault="00E1535E" w:rsidP="00DA4646">
      <w:pPr>
        <w:pStyle w:val="ListParagraph"/>
        <w:numPr>
          <w:ilvl w:val="0"/>
          <w:numId w:val="19"/>
        </w:numPr>
        <w:spacing w:after="0" w:line="288" w:lineRule="auto"/>
        <w:ind w:left="851" w:hanging="142"/>
        <w:jc w:val="both"/>
        <w:rPr>
          <w:rFonts w:ascii="Times New Roman" w:hAnsi="Times New Roman" w:cs="Times New Roman"/>
          <w:sz w:val="20"/>
          <w:szCs w:val="20"/>
        </w:rPr>
      </w:pPr>
      <w:r w:rsidRPr="007A4753">
        <w:rPr>
          <w:rFonts w:ascii="Times New Roman" w:hAnsi="Times New Roman" w:cs="Times New Roman"/>
          <w:b/>
          <w:i/>
          <w:sz w:val="20"/>
          <w:szCs w:val="20"/>
        </w:rPr>
        <w:t>Thặng dư vốn góp của nhà đầu tư</w:t>
      </w:r>
      <w:r w:rsidRPr="007A4753">
        <w:rPr>
          <w:rFonts w:ascii="Times New Roman" w:hAnsi="Times New Roman" w:cs="Times New Roman"/>
          <w:b/>
          <w:i/>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r w:rsidRPr="007A4753">
        <w:rPr>
          <w:rFonts w:ascii="Times New Roman" w:hAnsi="Times New Roman" w:cs="Times New Roman"/>
          <w:sz w:val="20"/>
          <w:szCs w:val="20"/>
        </w:rPr>
        <w:tab/>
      </w:r>
    </w:p>
    <w:p w14:paraId="58B1EDAF" w14:textId="19467754" w:rsidR="00E1535E" w:rsidRPr="007A4753" w:rsidRDefault="0065709B"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Thặng dư vốn góp là khoản chênh lệch giữa giá phát hành/giá hoán đổi lại của một chứng chỉ quỹ với mệnh giá của một chứng chỉ quỹ được phát hành/hoán đổi lại và được ghi nhận cùng thời điểm với ghi nhận vốn góp phát hành/vốn góp hoán đổi lại.</w:t>
      </w:r>
    </w:p>
    <w:p w14:paraId="3CF84630" w14:textId="77777777" w:rsidR="00E1535E" w:rsidRPr="007A4753" w:rsidRDefault="00E1535E" w:rsidP="00DA4646">
      <w:pPr>
        <w:pStyle w:val="ListParagraph"/>
        <w:numPr>
          <w:ilvl w:val="0"/>
          <w:numId w:val="19"/>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Phân phối thu nhập của Quỹ</w:t>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r w:rsidRPr="007A4753">
        <w:rPr>
          <w:rFonts w:ascii="Times New Roman" w:hAnsi="Times New Roman" w:cs="Times New Roman"/>
          <w:b/>
          <w:i/>
          <w:sz w:val="20"/>
          <w:szCs w:val="20"/>
        </w:rPr>
        <w:tab/>
      </w:r>
    </w:p>
    <w:p w14:paraId="1BA983B2" w14:textId="6FF68097" w:rsidR="00DA4646" w:rsidRPr="007A4753" w:rsidRDefault="0065709B" w:rsidP="00DA4646">
      <w:pPr>
        <w:spacing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 xml:space="preserve">Lợi nhuận chưa phân phối là số lãi hoặc lỗ từ các hoạt động của Quỹ sau khi trừ đi chi phí thuế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 doanh nghiệp của kỳ báo cáo.</w:t>
      </w:r>
    </w:p>
    <w:p w14:paraId="512DF87D"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Doanh thu</w:t>
      </w:r>
    </w:p>
    <w:p w14:paraId="6BA2AF6B" w14:textId="48790376" w:rsidR="00DA4646" w:rsidRPr="007A4753" w:rsidRDefault="0065709B"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Doanh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được ghi nhận khi Quỹ có khả năng tương đối chắc chắn nhận được các lợi ích kinh tế và các khoản doanh thu này có thể xác định được một cách đáng tin cậy.  Các điều kiện cụ thể sau đây phải được đáp ứng trước khi doanh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được ghi nhận.</w:t>
      </w:r>
    </w:p>
    <w:p w14:paraId="5B309E2C" w14:textId="77777777" w:rsidR="00DA4646" w:rsidRPr="007A4753" w:rsidRDefault="00DA4646" w:rsidP="00DA4646">
      <w:pPr>
        <w:pStyle w:val="ListParagraph"/>
        <w:numPr>
          <w:ilvl w:val="0"/>
          <w:numId w:val="21"/>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Thu nhập lãi tiền gửi và cổ tức</w:t>
      </w:r>
    </w:p>
    <w:p w14:paraId="57516F78" w14:textId="77777777" w:rsidR="005131BF" w:rsidRPr="005131BF" w:rsidRDefault="005131BF" w:rsidP="005131BF">
      <w:pPr>
        <w:spacing w:after="0" w:line="288" w:lineRule="auto"/>
        <w:ind w:left="851"/>
        <w:jc w:val="both"/>
        <w:rPr>
          <w:rFonts w:ascii="Times New Roman" w:hAnsi="Times New Roman" w:cs="Times New Roman"/>
          <w:sz w:val="20"/>
          <w:szCs w:val="20"/>
        </w:rPr>
      </w:pPr>
      <w:r w:rsidRPr="005131BF">
        <w:rPr>
          <w:rFonts w:ascii="Times New Roman" w:hAnsi="Times New Roman" w:cs="Times New Roman"/>
          <w:sz w:val="20"/>
          <w:szCs w:val="20"/>
        </w:rPr>
        <w:t xml:space="preserve">Thu nhập lãi tiền gửi được ghi nhận </w:t>
      </w:r>
      <w:proofErr w:type="gramStart"/>
      <w:r w:rsidRPr="005131BF">
        <w:rPr>
          <w:rFonts w:ascii="Times New Roman" w:hAnsi="Times New Roman" w:cs="Times New Roman"/>
          <w:sz w:val="20"/>
          <w:szCs w:val="20"/>
        </w:rPr>
        <w:t>theo</w:t>
      </w:r>
      <w:proofErr w:type="gramEnd"/>
      <w:r w:rsidRPr="005131BF">
        <w:rPr>
          <w:rFonts w:ascii="Times New Roman" w:hAnsi="Times New Roman" w:cs="Times New Roman"/>
          <w:sz w:val="20"/>
          <w:szCs w:val="20"/>
        </w:rPr>
        <w:t xml:space="preserve"> tỷ lệ tương ứng với thời gian dựa trên số dư gốc và lãi suất áp dụng.  Thu nhập lãi tiền gửi được ghi nhận trong báo cáo </w:t>
      </w:r>
      <w:proofErr w:type="gramStart"/>
      <w:r w:rsidRPr="005131BF">
        <w:rPr>
          <w:rFonts w:ascii="Times New Roman" w:hAnsi="Times New Roman" w:cs="Times New Roman"/>
          <w:sz w:val="20"/>
          <w:szCs w:val="20"/>
        </w:rPr>
        <w:t>thu</w:t>
      </w:r>
      <w:proofErr w:type="gramEnd"/>
      <w:r w:rsidRPr="005131BF">
        <w:rPr>
          <w:rFonts w:ascii="Times New Roman" w:hAnsi="Times New Roman" w:cs="Times New Roman"/>
          <w:sz w:val="20"/>
          <w:szCs w:val="20"/>
        </w:rPr>
        <w:t xml:space="preserve"> nhập trên cơ sở dồn tích trừ khi khả năng thu hồi là không chắc chắn.</w:t>
      </w:r>
    </w:p>
    <w:p w14:paraId="331C939A" w14:textId="081CB8A3" w:rsidR="00DA4646" w:rsidRPr="007A4753" w:rsidRDefault="005131BF" w:rsidP="005131BF">
      <w:pPr>
        <w:spacing w:after="0" w:line="288" w:lineRule="auto"/>
        <w:ind w:left="851"/>
        <w:jc w:val="both"/>
        <w:rPr>
          <w:rFonts w:ascii="Times New Roman" w:hAnsi="Times New Roman" w:cs="Times New Roman"/>
          <w:sz w:val="20"/>
          <w:szCs w:val="20"/>
        </w:rPr>
      </w:pPr>
      <w:r w:rsidRPr="005131BF">
        <w:rPr>
          <w:rFonts w:ascii="Times New Roman" w:hAnsi="Times New Roman" w:cs="Times New Roman"/>
          <w:sz w:val="20"/>
          <w:szCs w:val="20"/>
        </w:rPr>
        <w:t xml:space="preserve">Thu nhập từ cổ tức được ghi nhận trong báo cáo </w:t>
      </w:r>
      <w:proofErr w:type="gramStart"/>
      <w:r w:rsidRPr="005131BF">
        <w:rPr>
          <w:rFonts w:ascii="Times New Roman" w:hAnsi="Times New Roman" w:cs="Times New Roman"/>
          <w:sz w:val="20"/>
          <w:szCs w:val="20"/>
        </w:rPr>
        <w:t>thu</w:t>
      </w:r>
      <w:proofErr w:type="gramEnd"/>
      <w:r w:rsidRPr="005131BF">
        <w:rPr>
          <w:rFonts w:ascii="Times New Roman" w:hAnsi="Times New Roman" w:cs="Times New Roman"/>
          <w:sz w:val="20"/>
          <w:szCs w:val="20"/>
        </w:rPr>
        <w:t xml:space="preserve"> nhập khi quyền nhận cổ tức của Quỹ được xác lập.  Cổ tức bằng cổ phiếu không được ghi nhận là </w:t>
      </w:r>
      <w:proofErr w:type="gramStart"/>
      <w:r w:rsidRPr="005131BF">
        <w:rPr>
          <w:rFonts w:ascii="Times New Roman" w:hAnsi="Times New Roman" w:cs="Times New Roman"/>
          <w:sz w:val="20"/>
          <w:szCs w:val="20"/>
        </w:rPr>
        <w:t>thu</w:t>
      </w:r>
      <w:proofErr w:type="gramEnd"/>
      <w:r w:rsidRPr="005131BF">
        <w:rPr>
          <w:rFonts w:ascii="Times New Roman" w:hAnsi="Times New Roman" w:cs="Times New Roman"/>
          <w:sz w:val="20"/>
          <w:szCs w:val="20"/>
        </w:rPr>
        <w:t xml:space="preserve"> nhập.</w:t>
      </w:r>
    </w:p>
    <w:p w14:paraId="6A574FB0" w14:textId="77777777" w:rsidR="00DA4646" w:rsidRPr="007A4753" w:rsidRDefault="00DA4646" w:rsidP="00DA4646">
      <w:pPr>
        <w:pStyle w:val="ListParagraph"/>
        <w:numPr>
          <w:ilvl w:val="0"/>
          <w:numId w:val="21"/>
        </w:numPr>
        <w:spacing w:after="0" w:line="288" w:lineRule="auto"/>
        <w:ind w:left="851" w:hanging="142"/>
        <w:jc w:val="both"/>
        <w:rPr>
          <w:rFonts w:ascii="Times New Roman" w:hAnsi="Times New Roman" w:cs="Times New Roman"/>
          <w:b/>
          <w:i/>
          <w:sz w:val="20"/>
          <w:szCs w:val="20"/>
        </w:rPr>
      </w:pPr>
      <w:r w:rsidRPr="007A4753">
        <w:rPr>
          <w:rFonts w:ascii="Times New Roman" w:hAnsi="Times New Roman" w:cs="Times New Roman"/>
          <w:b/>
          <w:i/>
          <w:sz w:val="20"/>
          <w:szCs w:val="20"/>
        </w:rPr>
        <w:t>Thu nhập từ hoạt động kinh doanh chứng khoán</w:t>
      </w:r>
    </w:p>
    <w:p w14:paraId="3298FD7D" w14:textId="5C0EA7FC" w:rsidR="00DA4646" w:rsidRPr="007A4753" w:rsidRDefault="005131BF" w:rsidP="00DA4646">
      <w:pPr>
        <w:spacing w:after="0" w:line="288" w:lineRule="auto"/>
        <w:ind w:left="851"/>
        <w:jc w:val="both"/>
        <w:rPr>
          <w:rFonts w:ascii="Times New Roman" w:hAnsi="Times New Roman" w:cs="Times New Roman"/>
          <w:sz w:val="20"/>
          <w:szCs w:val="20"/>
        </w:rPr>
      </w:pPr>
      <w:r w:rsidRPr="005131BF">
        <w:rPr>
          <w:rFonts w:ascii="Times New Roman" w:hAnsi="Times New Roman" w:cs="Times New Roman"/>
          <w:sz w:val="20"/>
          <w:szCs w:val="20"/>
        </w:rPr>
        <w:t>Thu nhập từ hoạt động đầu tư chứng khoán được ghi nhận trong báo cáo thu nhập khi Quỹ nhận được thông báo kết quả giao dịch hoán đổi chứng chỉ quỹ, kết quả giao dịch chứng khoán từ Trung Tâm Lưu ký Chứng khoán Việt Nam đã được kiểm tra bởi Ngân hàng Giám sát (đối với chứng khoán niêm yết) và khi hoàn tất hợp đồng chuyển nhượng tài sản (đối với chứng khoán chưa niêm yế</w:t>
      </w:r>
      <w:r>
        <w:rPr>
          <w:rFonts w:ascii="Times New Roman" w:hAnsi="Times New Roman" w:cs="Times New Roman"/>
          <w:sz w:val="20"/>
          <w:szCs w:val="20"/>
        </w:rPr>
        <w:t>t)</w:t>
      </w:r>
      <w:r w:rsidR="00DA4646" w:rsidRPr="007A4753">
        <w:rPr>
          <w:rFonts w:ascii="Times New Roman" w:hAnsi="Times New Roman" w:cs="Times New Roman"/>
          <w:sz w:val="20"/>
          <w:szCs w:val="20"/>
        </w:rPr>
        <w:t>.</w:t>
      </w:r>
    </w:p>
    <w:p w14:paraId="32416320"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Chi phí</w:t>
      </w:r>
    </w:p>
    <w:p w14:paraId="11849DBE"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Các khoản chi phí được ghi nhận trong báo cáo </w:t>
      </w:r>
      <w:proofErr w:type="gramStart"/>
      <w:r w:rsidRPr="007A4753">
        <w:rPr>
          <w:rFonts w:ascii="Times New Roman" w:hAnsi="Times New Roman" w:cs="Times New Roman"/>
          <w:sz w:val="20"/>
          <w:szCs w:val="20"/>
        </w:rPr>
        <w:t>thu</w:t>
      </w:r>
      <w:proofErr w:type="gramEnd"/>
      <w:r w:rsidRPr="007A4753">
        <w:rPr>
          <w:rFonts w:ascii="Times New Roman" w:hAnsi="Times New Roman" w:cs="Times New Roman"/>
          <w:sz w:val="20"/>
          <w:szCs w:val="20"/>
        </w:rPr>
        <w:t xml:space="preserve"> nhập khi phát sinh.</w:t>
      </w:r>
    </w:p>
    <w:p w14:paraId="27A430B5"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Giá trị tài sản ròng trên mỗi chứng chỉ quỹ và giá trị tài sản ròng trên mỗi lô chứng chỉ quỹ</w:t>
      </w:r>
    </w:p>
    <w:p w14:paraId="22053DDA" w14:textId="77777777" w:rsidR="005131BF" w:rsidRPr="005131BF" w:rsidRDefault="005131BF" w:rsidP="005131BF">
      <w:pPr>
        <w:spacing w:after="0" w:line="288" w:lineRule="auto"/>
        <w:ind w:left="567"/>
        <w:jc w:val="both"/>
        <w:rPr>
          <w:rFonts w:ascii="Times New Roman" w:hAnsi="Times New Roman" w:cs="Times New Roman"/>
          <w:sz w:val="20"/>
          <w:szCs w:val="20"/>
        </w:rPr>
      </w:pPr>
      <w:r w:rsidRPr="005131BF">
        <w:rPr>
          <w:rFonts w:ascii="Times New Roman" w:hAnsi="Times New Roman" w:cs="Times New Roman"/>
          <w:sz w:val="20"/>
          <w:szCs w:val="20"/>
        </w:rPr>
        <w:t xml:space="preserve">Tất cả các chứng chỉ quỹ phát hành cho nhà đầu tư đều có quyền biểu quyết, quyền được bán lại và các quyền khác như nhau.  Mỗi chứng chỉ quỹ đã phát hành tương ứng với một quyền biểu quyết tại Đại hội Nhà Đầu tư của Quỹ.  </w:t>
      </w:r>
    </w:p>
    <w:p w14:paraId="4F22F2FD" w14:textId="77777777" w:rsidR="005131BF" w:rsidRPr="005131BF" w:rsidRDefault="005131BF" w:rsidP="005131BF">
      <w:pPr>
        <w:spacing w:after="0" w:line="288" w:lineRule="auto"/>
        <w:ind w:left="567"/>
        <w:jc w:val="both"/>
        <w:rPr>
          <w:rFonts w:ascii="Times New Roman" w:hAnsi="Times New Roman" w:cs="Times New Roman"/>
          <w:sz w:val="20"/>
          <w:szCs w:val="20"/>
        </w:rPr>
      </w:pPr>
      <w:r w:rsidRPr="005131BF">
        <w:rPr>
          <w:rFonts w:ascii="Times New Roman" w:hAnsi="Times New Roman" w:cs="Times New Roman"/>
          <w:sz w:val="20"/>
          <w:szCs w:val="20"/>
        </w:rPr>
        <w:t>Mỗi chứng chỉ quỹ có mệnh giá là 10.000 VND, một lô chứng chỉ quỹ tương ứng với 100.000 chứng chỉ quỹ.  Số lượng chứng chỉ quỹ tối thiểu của mỗi giao dịch hoán đổi là một lô chứng chỉ quỹ tương ứng với một trăm nghìn (100.000) chứng chỉ quỹ.</w:t>
      </w:r>
    </w:p>
    <w:p w14:paraId="2B9A3A20" w14:textId="67246F3E" w:rsidR="00DA4646" w:rsidRPr="007A4753" w:rsidRDefault="005131BF" w:rsidP="005131BF">
      <w:pPr>
        <w:spacing w:after="0" w:line="288" w:lineRule="auto"/>
        <w:ind w:left="567"/>
        <w:jc w:val="both"/>
        <w:rPr>
          <w:rFonts w:ascii="Times New Roman" w:hAnsi="Times New Roman" w:cs="Times New Roman"/>
          <w:sz w:val="20"/>
          <w:szCs w:val="20"/>
        </w:rPr>
      </w:pPr>
      <w:r w:rsidRPr="005131BF">
        <w:rPr>
          <w:rFonts w:ascii="Times New Roman" w:hAnsi="Times New Roman" w:cs="Times New Roman"/>
          <w:sz w:val="20"/>
          <w:szCs w:val="20"/>
        </w:rPr>
        <w:t>Giá trị tài sản ròng trên một lô chứng chỉ quỹ bằng giá trị tài sản ròng của Quỹ chia cho tổng số lô chứng chỉ quỹ đang lưu hành tại ngày kết thúc kỳ kế toán làm tròn xuống đến hàng đơn vị.  Giá trị tài sản ròng trên một chứng chỉ quỹ bằng giá trị tài sản ròng của Quỹ chia cho tổng số chứng chỉ quỹ đang lưu hành tại ngày kết thúc kỳ kế toán và làm tròn xuống lấy đến (02) số thập phân.  Giá trị tài sản ròng được xác định bằng cách lấy tổng tài sản trừ đi tổng nợ phải trả.</w:t>
      </w:r>
    </w:p>
    <w:p w14:paraId="56B4A495"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Báo cáo bộ phận</w:t>
      </w:r>
    </w:p>
    <w:p w14:paraId="6B1AC27D"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Quỹ hoạt động như một bộ phận kinh doanh, đầu tư chứng khoán và trong một vùng địa lý là Việt Nam.</w:t>
      </w:r>
    </w:p>
    <w:p w14:paraId="7CA437DB"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Các bên liên quan</w:t>
      </w:r>
    </w:p>
    <w:p w14:paraId="42FFD5E7"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 xml:space="preserve">Các bên được coi là bên liên quan của Quỹ nếu một bên có khả năng, trực tiếp hoặc gián tiếp, kiểm soát bên kia hoặc gây ảnh hưởng đáng kể tới bên kia trong việc ra các quyết định tài chính và hoạt động, hoặc khi Quỹ và bên kia cùng chịu sự kiểm soát chung hoặc ảnh hưởng đáng kể chung. Các bên liên quan có thể là các công ty hoặc các cá nhân, bao gồm cả các thành viên gia đình thân cận của các cá nhân được coi là liên quan. </w:t>
      </w:r>
    </w:p>
    <w:p w14:paraId="6BBDD6CE"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Các quỹ đầu tư khác dưới sự quản lý của Công ty Quản lý Quỹ và người có liên quan của Công ty Quản lý Quỹ được xem là các bên liên quan với Quỹ theo quy định tại Luật Chứng khoán. Khi xem xét mối quan hệ giữa các bên liên quan cần chú ý tới bản chất mối quan hệ và không chỉ đơn thuần là hình thức pháp lý</w:t>
      </w:r>
    </w:p>
    <w:p w14:paraId="6CE69F82" w14:textId="77777777" w:rsidR="00DA4646" w:rsidRPr="007A4753" w:rsidRDefault="00DA4646" w:rsidP="00DA4646">
      <w:pPr>
        <w:pStyle w:val="ListParagraph"/>
        <w:numPr>
          <w:ilvl w:val="0"/>
          <w:numId w:val="10"/>
        </w:numPr>
        <w:spacing w:after="0" w:line="288" w:lineRule="auto"/>
        <w:ind w:left="567" w:hanging="425"/>
        <w:jc w:val="both"/>
        <w:rPr>
          <w:rFonts w:ascii="Times New Roman" w:hAnsi="Times New Roman" w:cs="Times New Roman"/>
          <w:b/>
          <w:sz w:val="20"/>
          <w:szCs w:val="20"/>
        </w:rPr>
      </w:pPr>
      <w:r w:rsidRPr="007A4753">
        <w:rPr>
          <w:rFonts w:ascii="Times New Roman" w:hAnsi="Times New Roman" w:cs="Times New Roman"/>
          <w:b/>
          <w:sz w:val="20"/>
          <w:szCs w:val="20"/>
        </w:rPr>
        <w:t>Số dư bằng không</w:t>
      </w:r>
    </w:p>
    <w:p w14:paraId="66823609" w14:textId="77777777" w:rsidR="00DA4646" w:rsidRPr="007A4753" w:rsidRDefault="00DA4646" w:rsidP="00DA4646">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lastRenderedPageBreak/>
        <w:t>Các khoản mục hay số dư được quy định trong Thông tư số 181/2015/TT-BTC ngày 13 tháng 11 năm 2015 do Bộ Tài chính ban hành về chế độ kế toán áp dụng đối với quỹ hoán đổi danh mục không được thể hiện trong báo cáo tài chính giữa niên độ này thì được hiểu là có số dư bằng không.</w:t>
      </w:r>
    </w:p>
    <w:p w14:paraId="2C5FE232" w14:textId="77777777" w:rsidR="00DA4646" w:rsidRPr="007A4753" w:rsidRDefault="00DA4646" w:rsidP="00DA4646">
      <w:pPr>
        <w:pStyle w:val="ListParagraph"/>
        <w:numPr>
          <w:ilvl w:val="0"/>
          <w:numId w:val="1"/>
        </w:numPr>
        <w:spacing w:before="120" w:after="0" w:line="288" w:lineRule="auto"/>
        <w:ind w:left="284" w:hanging="284"/>
        <w:jc w:val="both"/>
        <w:rPr>
          <w:rFonts w:ascii="Times New Roman" w:hAnsi="Times New Roman" w:cs="Times New Roman"/>
          <w:b/>
          <w:sz w:val="20"/>
          <w:szCs w:val="20"/>
        </w:rPr>
      </w:pPr>
      <w:r w:rsidRPr="007A4753">
        <w:rPr>
          <w:rFonts w:ascii="Times New Roman" w:hAnsi="Times New Roman" w:cs="Times New Roman"/>
          <w:b/>
          <w:sz w:val="20"/>
          <w:szCs w:val="20"/>
        </w:rPr>
        <w:t>Các sự kiện hoặc giao dịch trọng yếu trong kỳ kế toán</w:t>
      </w:r>
    </w:p>
    <w:p w14:paraId="7575535B" w14:textId="77777777" w:rsidR="00DA4646" w:rsidRPr="007A4753" w:rsidRDefault="00DA4646" w:rsidP="001151B2">
      <w:pPr>
        <w:pStyle w:val="ListParagraph"/>
        <w:numPr>
          <w:ilvl w:val="0"/>
          <w:numId w:val="23"/>
        </w:numPr>
        <w:spacing w:after="0" w:line="288" w:lineRule="auto"/>
        <w:ind w:left="567"/>
        <w:jc w:val="both"/>
        <w:rPr>
          <w:rFonts w:ascii="Times New Roman" w:hAnsi="Times New Roman" w:cs="Times New Roman"/>
          <w:b/>
          <w:sz w:val="20"/>
          <w:szCs w:val="20"/>
        </w:rPr>
      </w:pPr>
      <w:r w:rsidRPr="007A4753">
        <w:rPr>
          <w:rFonts w:ascii="Times New Roman" w:hAnsi="Times New Roman" w:cs="Times New Roman"/>
          <w:b/>
          <w:sz w:val="20"/>
          <w:szCs w:val="20"/>
        </w:rPr>
        <w:t>Tiền gửi ngân hàng và các khoản tương đương tiề</w:t>
      </w:r>
      <w:r w:rsidR="001151B2" w:rsidRPr="007A4753">
        <w:rPr>
          <w:rFonts w:ascii="Times New Roman" w:hAnsi="Times New Roman" w:cs="Times New Roman"/>
          <w:b/>
          <w:sz w:val="20"/>
          <w:szCs w:val="20"/>
        </w:rPr>
        <w:t>n</w:t>
      </w:r>
    </w:p>
    <w:tbl>
      <w:tblPr>
        <w:tblW w:w="10270" w:type="dxa"/>
        <w:tblInd w:w="108" w:type="dxa"/>
        <w:tblLook w:val="04A0" w:firstRow="1" w:lastRow="0" w:firstColumn="1" w:lastColumn="0" w:noHBand="0" w:noVBand="1"/>
      </w:tblPr>
      <w:tblGrid>
        <w:gridCol w:w="6379"/>
        <w:gridCol w:w="1843"/>
        <w:gridCol w:w="2048"/>
      </w:tblGrid>
      <w:tr w:rsidR="004A0869" w:rsidRPr="007A4753" w14:paraId="79EAD2B0" w14:textId="77777777" w:rsidTr="004A0869">
        <w:trPr>
          <w:trHeight w:val="498"/>
        </w:trPr>
        <w:tc>
          <w:tcPr>
            <w:tcW w:w="6379" w:type="dxa"/>
            <w:shd w:val="clear" w:color="000000" w:fill="FFFFFF"/>
            <w:vAlign w:val="center"/>
            <w:hideMark/>
          </w:tcPr>
          <w:p w14:paraId="310BB6EE" w14:textId="77777777" w:rsidR="004A0869" w:rsidRPr="007A4753" w:rsidRDefault="004A0869" w:rsidP="004A0869">
            <w:pPr>
              <w:spacing w:after="0"/>
              <w:ind w:left="459"/>
              <w:rPr>
                <w:rFonts w:ascii="Times New Roman" w:eastAsia="Times New Roman" w:hAnsi="Times New Roman" w:cs="Times New Roman"/>
                <w:b/>
                <w:bCs/>
                <w:color w:val="000000"/>
                <w:sz w:val="20"/>
                <w:szCs w:val="20"/>
              </w:rPr>
            </w:pPr>
          </w:p>
        </w:tc>
        <w:tc>
          <w:tcPr>
            <w:tcW w:w="1843" w:type="dxa"/>
            <w:tcBorders>
              <w:bottom w:val="single" w:sz="4" w:space="0" w:color="auto"/>
            </w:tcBorders>
            <w:shd w:val="clear" w:color="000000" w:fill="FFFFFF"/>
            <w:vAlign w:val="center"/>
          </w:tcPr>
          <w:p w14:paraId="29759F74" w14:textId="552B08EC" w:rsidR="004A0869" w:rsidRPr="004A0869" w:rsidRDefault="004A0869" w:rsidP="004A0869">
            <w:pPr>
              <w:spacing w:after="0"/>
              <w:jc w:val="center"/>
              <w:rPr>
                <w:rFonts w:ascii="Times New Roman" w:eastAsia="Times New Roman" w:hAnsi="Times New Roman" w:cs="Times New Roman"/>
                <w:b/>
                <w:bCs/>
                <w:color w:val="000000"/>
                <w:sz w:val="20"/>
                <w:szCs w:val="20"/>
              </w:rPr>
            </w:pPr>
            <w:r w:rsidRPr="004A0869">
              <w:rPr>
                <w:rFonts w:ascii="Times New Roman" w:eastAsia="Times New Roman" w:hAnsi="Times New Roman" w:cs="Times New Roman"/>
                <w:b/>
                <w:bCs/>
                <w:color w:val="000000"/>
                <w:sz w:val="20"/>
                <w:szCs w:val="20"/>
              </w:rPr>
              <w:t>3</w:t>
            </w:r>
            <w:r w:rsidR="00D05104">
              <w:rPr>
                <w:rFonts w:ascii="Times New Roman" w:eastAsia="Times New Roman" w:hAnsi="Times New Roman" w:cs="Times New Roman"/>
                <w:b/>
                <w:bCs/>
                <w:color w:val="000000"/>
                <w:sz w:val="20"/>
                <w:szCs w:val="20"/>
              </w:rPr>
              <w:t>1</w:t>
            </w:r>
            <w:r w:rsidRPr="004A0869">
              <w:rPr>
                <w:rFonts w:ascii="Times New Roman" w:eastAsia="Times New Roman" w:hAnsi="Times New Roman" w:cs="Times New Roman"/>
                <w:b/>
                <w:bCs/>
                <w:color w:val="000000"/>
                <w:sz w:val="20"/>
                <w:szCs w:val="20"/>
              </w:rPr>
              <w:t>/</w:t>
            </w:r>
            <w:r w:rsidR="00D05104">
              <w:rPr>
                <w:rFonts w:ascii="Times New Roman" w:eastAsia="Times New Roman" w:hAnsi="Times New Roman" w:cs="Times New Roman"/>
                <w:b/>
                <w:bCs/>
                <w:color w:val="000000"/>
                <w:sz w:val="20"/>
                <w:szCs w:val="20"/>
              </w:rPr>
              <w:t>12</w:t>
            </w:r>
            <w:r w:rsidRPr="004A0869">
              <w:rPr>
                <w:rFonts w:ascii="Times New Roman" w:eastAsia="Times New Roman" w:hAnsi="Times New Roman" w:cs="Times New Roman"/>
                <w:b/>
                <w:bCs/>
                <w:color w:val="000000"/>
                <w:sz w:val="20"/>
                <w:szCs w:val="20"/>
              </w:rPr>
              <w:t>/2022</w:t>
            </w:r>
          </w:p>
          <w:p w14:paraId="2072FA90" w14:textId="77777777" w:rsidR="004A0869" w:rsidRPr="004A0869" w:rsidRDefault="004A0869" w:rsidP="004A0869">
            <w:pPr>
              <w:spacing w:after="0"/>
              <w:jc w:val="center"/>
              <w:rPr>
                <w:rFonts w:ascii="Times New Roman" w:eastAsia="Times New Roman" w:hAnsi="Times New Roman" w:cs="Times New Roman"/>
                <w:b/>
                <w:bCs/>
                <w:color w:val="000000"/>
                <w:sz w:val="20"/>
                <w:szCs w:val="20"/>
              </w:rPr>
            </w:pPr>
            <w:r w:rsidRPr="004A0869">
              <w:rPr>
                <w:rFonts w:ascii="Times New Roman" w:eastAsia="Times New Roman" w:hAnsi="Times New Roman" w:cs="Times New Roman"/>
                <w:b/>
                <w:bCs/>
                <w:color w:val="000000"/>
                <w:sz w:val="20"/>
                <w:szCs w:val="20"/>
              </w:rPr>
              <w:t>(VND)</w:t>
            </w:r>
          </w:p>
        </w:tc>
        <w:tc>
          <w:tcPr>
            <w:tcW w:w="2048" w:type="dxa"/>
            <w:tcBorders>
              <w:bottom w:val="single" w:sz="4" w:space="0" w:color="auto"/>
            </w:tcBorders>
            <w:shd w:val="clear" w:color="000000" w:fill="FFFFFF"/>
            <w:vAlign w:val="center"/>
          </w:tcPr>
          <w:p w14:paraId="59CA869A" w14:textId="6082A6AA" w:rsidR="004A0869" w:rsidRPr="004A0869" w:rsidRDefault="004A0869" w:rsidP="004A0869">
            <w:pPr>
              <w:spacing w:after="0"/>
              <w:jc w:val="center"/>
              <w:rPr>
                <w:rFonts w:ascii="Times New Roman" w:eastAsia="Times New Roman" w:hAnsi="Times New Roman" w:cs="Times New Roman"/>
                <w:b/>
                <w:bCs/>
                <w:color w:val="000000"/>
                <w:sz w:val="20"/>
                <w:szCs w:val="20"/>
              </w:rPr>
            </w:pPr>
            <w:r w:rsidRPr="004A0869">
              <w:rPr>
                <w:rFonts w:ascii="Times New Roman" w:eastAsia="Times New Roman" w:hAnsi="Times New Roman" w:cs="Times New Roman"/>
                <w:b/>
                <w:bCs/>
                <w:color w:val="000000"/>
                <w:sz w:val="20"/>
                <w:szCs w:val="20"/>
              </w:rPr>
              <w:t>30/0</w:t>
            </w:r>
            <w:r w:rsidR="00D05104">
              <w:rPr>
                <w:rFonts w:ascii="Times New Roman" w:eastAsia="Times New Roman" w:hAnsi="Times New Roman" w:cs="Times New Roman"/>
                <w:b/>
                <w:bCs/>
                <w:color w:val="000000"/>
                <w:sz w:val="20"/>
                <w:szCs w:val="20"/>
              </w:rPr>
              <w:t>9</w:t>
            </w:r>
            <w:r w:rsidRPr="004A0869">
              <w:rPr>
                <w:rFonts w:ascii="Times New Roman" w:eastAsia="Times New Roman" w:hAnsi="Times New Roman" w:cs="Times New Roman"/>
                <w:b/>
                <w:bCs/>
                <w:color w:val="000000"/>
                <w:sz w:val="20"/>
                <w:szCs w:val="20"/>
              </w:rPr>
              <w:t>/2022</w:t>
            </w:r>
          </w:p>
          <w:p w14:paraId="120CFC29" w14:textId="499AB0EA" w:rsidR="004A0869" w:rsidRPr="004A0869" w:rsidRDefault="004A0869" w:rsidP="004A0869">
            <w:pPr>
              <w:spacing w:after="0"/>
              <w:jc w:val="center"/>
              <w:rPr>
                <w:rFonts w:ascii="Times New Roman" w:eastAsia="Times New Roman" w:hAnsi="Times New Roman" w:cs="Times New Roman"/>
                <w:b/>
                <w:bCs/>
                <w:color w:val="000000"/>
                <w:sz w:val="20"/>
                <w:szCs w:val="20"/>
              </w:rPr>
            </w:pPr>
            <w:r w:rsidRPr="004A0869">
              <w:rPr>
                <w:rFonts w:ascii="Times New Roman" w:eastAsia="Times New Roman" w:hAnsi="Times New Roman" w:cs="Times New Roman"/>
                <w:b/>
                <w:bCs/>
                <w:color w:val="000000"/>
                <w:sz w:val="20"/>
                <w:szCs w:val="20"/>
              </w:rPr>
              <w:t>(VND)</w:t>
            </w:r>
          </w:p>
        </w:tc>
      </w:tr>
      <w:tr w:rsidR="004D1CFF" w:rsidRPr="007A4753" w14:paraId="62C61B5D" w14:textId="77777777" w:rsidTr="004A0869">
        <w:trPr>
          <w:trHeight w:val="432"/>
        </w:trPr>
        <w:tc>
          <w:tcPr>
            <w:tcW w:w="6379" w:type="dxa"/>
            <w:shd w:val="clear" w:color="000000" w:fill="FFFFFF"/>
            <w:hideMark/>
          </w:tcPr>
          <w:p w14:paraId="40A193A9" w14:textId="77777777" w:rsidR="004D1CFF" w:rsidRPr="007A4753" w:rsidRDefault="004D1CFF" w:rsidP="004D1CFF">
            <w:pPr>
              <w:spacing w:after="0"/>
              <w:ind w:left="459"/>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Tiền gửi ngân hàng cho hoạt động Quỹ ETF tại Ngân hàng TMCP Ngoại thương Việt Nam</w:t>
            </w:r>
          </w:p>
        </w:tc>
        <w:tc>
          <w:tcPr>
            <w:tcW w:w="1843" w:type="dxa"/>
            <w:tcBorders>
              <w:top w:val="single" w:sz="4" w:space="0" w:color="auto"/>
            </w:tcBorders>
            <w:shd w:val="clear" w:color="000000" w:fill="FFFFFF"/>
          </w:tcPr>
          <w:p w14:paraId="11AA9FA0" w14:textId="3C6FAC65" w:rsidR="004D1CFF" w:rsidRPr="004A0869" w:rsidRDefault="00CB5051" w:rsidP="00CB5051">
            <w:pPr>
              <w:jc w:val="right"/>
              <w:rPr>
                <w:rFonts w:ascii="Times New Roman" w:hAnsi="Times New Roman" w:cs="Times New Roman"/>
                <w:sz w:val="20"/>
                <w:szCs w:val="20"/>
              </w:rPr>
            </w:pPr>
            <w:r w:rsidRPr="00CB5051">
              <w:rPr>
                <w:rFonts w:ascii="Times New Roman" w:eastAsia="Times New Roman" w:hAnsi="Times New Roman" w:cs="Times New Roman"/>
                <w:color w:val="000000"/>
                <w:sz w:val="20"/>
                <w:szCs w:val="20"/>
              </w:rPr>
              <w:t>219</w:t>
            </w:r>
            <w:r>
              <w:rPr>
                <w:rFonts w:ascii="Times New Roman" w:eastAsia="Times New Roman" w:hAnsi="Times New Roman" w:cs="Times New Roman"/>
                <w:color w:val="000000"/>
                <w:sz w:val="20"/>
                <w:szCs w:val="20"/>
              </w:rPr>
              <w:t>,</w:t>
            </w:r>
            <w:r w:rsidRPr="00CB5051">
              <w:rPr>
                <w:rFonts w:ascii="Times New Roman" w:eastAsia="Times New Roman" w:hAnsi="Times New Roman" w:cs="Times New Roman"/>
                <w:color w:val="000000"/>
                <w:sz w:val="20"/>
                <w:szCs w:val="20"/>
              </w:rPr>
              <w:t>740</w:t>
            </w:r>
            <w:r>
              <w:rPr>
                <w:rFonts w:ascii="Times New Roman" w:eastAsia="Times New Roman" w:hAnsi="Times New Roman" w:cs="Times New Roman"/>
                <w:color w:val="000000"/>
                <w:sz w:val="20"/>
                <w:szCs w:val="20"/>
              </w:rPr>
              <w:t>,</w:t>
            </w:r>
            <w:r w:rsidRPr="00CB5051">
              <w:rPr>
                <w:rFonts w:ascii="Times New Roman" w:eastAsia="Times New Roman" w:hAnsi="Times New Roman" w:cs="Times New Roman"/>
                <w:color w:val="000000"/>
                <w:sz w:val="20"/>
                <w:szCs w:val="20"/>
              </w:rPr>
              <w:t>527</w:t>
            </w:r>
            <w:r>
              <w:rPr>
                <w:rFonts w:ascii="Times New Roman" w:eastAsia="Times New Roman" w:hAnsi="Times New Roman" w:cs="Times New Roman"/>
                <w:color w:val="000000"/>
                <w:sz w:val="20"/>
                <w:szCs w:val="20"/>
              </w:rPr>
              <w:t>,</w:t>
            </w:r>
            <w:r w:rsidRPr="00CB5051">
              <w:rPr>
                <w:rFonts w:ascii="Times New Roman" w:eastAsia="Times New Roman" w:hAnsi="Times New Roman" w:cs="Times New Roman"/>
                <w:color w:val="000000"/>
                <w:sz w:val="20"/>
                <w:szCs w:val="20"/>
              </w:rPr>
              <w:t>959</w:t>
            </w:r>
          </w:p>
        </w:tc>
        <w:tc>
          <w:tcPr>
            <w:tcW w:w="2048" w:type="dxa"/>
            <w:tcBorders>
              <w:top w:val="single" w:sz="4" w:space="0" w:color="auto"/>
            </w:tcBorders>
            <w:shd w:val="clear" w:color="000000" w:fill="FFFFFF"/>
          </w:tcPr>
          <w:p w14:paraId="03558148" w14:textId="4197EF08" w:rsidR="004D1CFF" w:rsidRPr="004A0869" w:rsidRDefault="004D1CFF" w:rsidP="004D1CFF">
            <w:pPr>
              <w:jc w:val="right"/>
              <w:rPr>
                <w:rFonts w:ascii="Times New Roman" w:eastAsia="Times New Roman" w:hAnsi="Times New Roman" w:cs="Times New Roman"/>
                <w:color w:val="000000"/>
                <w:sz w:val="20"/>
                <w:szCs w:val="20"/>
              </w:rPr>
            </w:pPr>
            <w:r w:rsidRPr="004A0869">
              <w:rPr>
                <w:rFonts w:ascii="Times New Roman" w:eastAsia="Times New Roman" w:hAnsi="Times New Roman" w:cs="Times New Roman"/>
                <w:color w:val="000000"/>
                <w:sz w:val="20"/>
                <w:szCs w:val="20"/>
              </w:rPr>
              <w:t>68,206,701,649</w:t>
            </w:r>
          </w:p>
        </w:tc>
      </w:tr>
      <w:tr w:rsidR="004A0869" w:rsidRPr="007A4753" w14:paraId="656A5995" w14:textId="77777777" w:rsidTr="004A0869">
        <w:trPr>
          <w:trHeight w:val="367"/>
        </w:trPr>
        <w:tc>
          <w:tcPr>
            <w:tcW w:w="6379" w:type="dxa"/>
            <w:shd w:val="clear" w:color="000000" w:fill="FFFFFF"/>
            <w:hideMark/>
          </w:tcPr>
          <w:p w14:paraId="65149F97" w14:textId="77777777" w:rsidR="004A0869" w:rsidRPr="007A4753" w:rsidRDefault="004A0869" w:rsidP="004A0869">
            <w:pPr>
              <w:spacing w:after="0"/>
              <w:ind w:left="459"/>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Tiền gửi của Nhà đầu tư cho hoạt động mua chứng chỉ quỹ</w:t>
            </w:r>
          </w:p>
        </w:tc>
        <w:tc>
          <w:tcPr>
            <w:tcW w:w="1843" w:type="dxa"/>
            <w:shd w:val="clear" w:color="000000" w:fill="FFFFFF"/>
          </w:tcPr>
          <w:p w14:paraId="633B57C5" w14:textId="5FAC70C8" w:rsidR="004A0869" w:rsidRPr="004A0869" w:rsidRDefault="004A0869" w:rsidP="004A0869">
            <w:pPr>
              <w:jc w:val="right"/>
              <w:rPr>
                <w:rFonts w:ascii="Times New Roman" w:hAnsi="Times New Roman" w:cs="Times New Roman"/>
                <w:sz w:val="20"/>
                <w:szCs w:val="20"/>
              </w:rPr>
            </w:pPr>
            <w:r w:rsidRPr="004A0869">
              <w:rPr>
                <w:rFonts w:ascii="Times New Roman" w:eastAsia="Times New Roman" w:hAnsi="Times New Roman" w:cs="Times New Roman"/>
                <w:color w:val="000000"/>
                <w:sz w:val="20"/>
                <w:szCs w:val="20"/>
              </w:rPr>
              <w:t>-</w:t>
            </w:r>
          </w:p>
        </w:tc>
        <w:tc>
          <w:tcPr>
            <w:tcW w:w="2048" w:type="dxa"/>
            <w:shd w:val="clear" w:color="000000" w:fill="FFFFFF"/>
          </w:tcPr>
          <w:p w14:paraId="6DF69ADF" w14:textId="66C3E7DB" w:rsidR="004A0869" w:rsidRPr="004A0869" w:rsidRDefault="004A0869" w:rsidP="004A0869">
            <w:pPr>
              <w:jc w:val="right"/>
              <w:rPr>
                <w:rFonts w:ascii="Times New Roman" w:eastAsia="Times New Roman" w:hAnsi="Times New Roman" w:cs="Times New Roman"/>
                <w:color w:val="000000"/>
                <w:sz w:val="20"/>
                <w:szCs w:val="20"/>
              </w:rPr>
            </w:pPr>
            <w:r w:rsidRPr="004A0869">
              <w:rPr>
                <w:rFonts w:ascii="Times New Roman" w:eastAsia="Times New Roman" w:hAnsi="Times New Roman" w:cs="Times New Roman"/>
                <w:color w:val="000000"/>
                <w:sz w:val="20"/>
                <w:szCs w:val="20"/>
              </w:rPr>
              <w:t>-</w:t>
            </w:r>
          </w:p>
        </w:tc>
      </w:tr>
      <w:tr w:rsidR="004A0869" w:rsidRPr="007A4753" w14:paraId="37B83495" w14:textId="77777777" w:rsidTr="004A0869">
        <w:trPr>
          <w:trHeight w:val="367"/>
        </w:trPr>
        <w:tc>
          <w:tcPr>
            <w:tcW w:w="6379" w:type="dxa"/>
            <w:shd w:val="clear" w:color="000000" w:fill="FFFFFF"/>
            <w:hideMark/>
          </w:tcPr>
          <w:p w14:paraId="3BFB86B7" w14:textId="77777777" w:rsidR="004A0869" w:rsidRPr="007A4753" w:rsidRDefault="004A0869" w:rsidP="004A0869">
            <w:pPr>
              <w:spacing w:after="0"/>
              <w:ind w:left="459"/>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Tiền gửi ký quỹ cho hoạt động đầu tư chứng khoán phái sinh</w:t>
            </w:r>
          </w:p>
        </w:tc>
        <w:tc>
          <w:tcPr>
            <w:tcW w:w="1843" w:type="dxa"/>
            <w:shd w:val="clear" w:color="000000" w:fill="FFFFFF"/>
          </w:tcPr>
          <w:p w14:paraId="3B6BEF4D" w14:textId="77777777" w:rsidR="004A0869" w:rsidRPr="004A0869" w:rsidRDefault="004A0869" w:rsidP="004A0869">
            <w:pPr>
              <w:jc w:val="right"/>
              <w:rPr>
                <w:rFonts w:ascii="Times New Roman" w:hAnsi="Times New Roman" w:cs="Times New Roman"/>
                <w:sz w:val="20"/>
                <w:szCs w:val="20"/>
              </w:rPr>
            </w:pPr>
            <w:r w:rsidRPr="004A0869">
              <w:rPr>
                <w:rFonts w:ascii="Times New Roman" w:hAnsi="Times New Roman" w:cs="Times New Roman"/>
                <w:sz w:val="20"/>
                <w:szCs w:val="20"/>
              </w:rPr>
              <w:t xml:space="preserve"> -   </w:t>
            </w:r>
          </w:p>
        </w:tc>
        <w:tc>
          <w:tcPr>
            <w:tcW w:w="2048" w:type="dxa"/>
            <w:shd w:val="clear" w:color="000000" w:fill="FFFFFF"/>
          </w:tcPr>
          <w:p w14:paraId="2B169061" w14:textId="04A2A7B6" w:rsidR="004A0869" w:rsidRPr="004A0869" w:rsidRDefault="004A0869" w:rsidP="004A0869">
            <w:pPr>
              <w:jc w:val="right"/>
              <w:rPr>
                <w:rFonts w:ascii="Times New Roman" w:hAnsi="Times New Roman" w:cs="Times New Roman"/>
                <w:sz w:val="20"/>
                <w:szCs w:val="20"/>
              </w:rPr>
            </w:pPr>
            <w:r w:rsidRPr="004A0869">
              <w:rPr>
                <w:rFonts w:ascii="Times New Roman" w:hAnsi="Times New Roman" w:cs="Times New Roman"/>
                <w:sz w:val="20"/>
                <w:szCs w:val="20"/>
              </w:rPr>
              <w:t xml:space="preserve"> -   </w:t>
            </w:r>
          </w:p>
        </w:tc>
      </w:tr>
      <w:tr w:rsidR="004A0869" w:rsidRPr="007A4753" w14:paraId="400C39E8" w14:textId="77777777" w:rsidTr="004A0869">
        <w:trPr>
          <w:trHeight w:val="367"/>
        </w:trPr>
        <w:tc>
          <w:tcPr>
            <w:tcW w:w="6379" w:type="dxa"/>
            <w:shd w:val="clear" w:color="000000" w:fill="FFFFFF"/>
            <w:hideMark/>
          </w:tcPr>
          <w:p w14:paraId="30C6139E" w14:textId="77777777" w:rsidR="004A0869" w:rsidRPr="007A4753" w:rsidRDefault="004A0869" w:rsidP="004A0869">
            <w:pPr>
              <w:spacing w:after="0"/>
              <w:ind w:left="459"/>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Tương đương tiền</w:t>
            </w:r>
          </w:p>
        </w:tc>
        <w:tc>
          <w:tcPr>
            <w:tcW w:w="1843" w:type="dxa"/>
            <w:shd w:val="clear" w:color="000000" w:fill="FFFFFF"/>
          </w:tcPr>
          <w:p w14:paraId="39EB65EC" w14:textId="77777777" w:rsidR="004A0869" w:rsidRPr="004A0869" w:rsidRDefault="004A0869" w:rsidP="004A0869">
            <w:pPr>
              <w:jc w:val="right"/>
              <w:rPr>
                <w:rFonts w:ascii="Times New Roman" w:hAnsi="Times New Roman" w:cs="Times New Roman"/>
                <w:sz w:val="20"/>
                <w:szCs w:val="20"/>
              </w:rPr>
            </w:pPr>
            <w:r w:rsidRPr="004A0869">
              <w:rPr>
                <w:rFonts w:ascii="Times New Roman" w:hAnsi="Times New Roman" w:cs="Times New Roman"/>
                <w:sz w:val="20"/>
                <w:szCs w:val="20"/>
              </w:rPr>
              <w:t xml:space="preserve"> -   </w:t>
            </w:r>
          </w:p>
        </w:tc>
        <w:tc>
          <w:tcPr>
            <w:tcW w:w="2048" w:type="dxa"/>
            <w:shd w:val="clear" w:color="000000" w:fill="FFFFFF"/>
          </w:tcPr>
          <w:p w14:paraId="6EB0DAFB" w14:textId="6F089ADA" w:rsidR="004A0869" w:rsidRPr="004A0869" w:rsidRDefault="004A0869" w:rsidP="004A0869">
            <w:pPr>
              <w:jc w:val="right"/>
              <w:rPr>
                <w:rFonts w:ascii="Times New Roman" w:hAnsi="Times New Roman" w:cs="Times New Roman"/>
                <w:sz w:val="20"/>
                <w:szCs w:val="20"/>
              </w:rPr>
            </w:pPr>
            <w:r w:rsidRPr="004A0869">
              <w:rPr>
                <w:rFonts w:ascii="Times New Roman" w:hAnsi="Times New Roman" w:cs="Times New Roman"/>
                <w:sz w:val="20"/>
                <w:szCs w:val="20"/>
              </w:rPr>
              <w:t xml:space="preserve"> -   </w:t>
            </w:r>
          </w:p>
        </w:tc>
      </w:tr>
      <w:tr w:rsidR="004D1CFF" w:rsidRPr="007A4753" w14:paraId="21140B0F" w14:textId="77777777" w:rsidTr="004A0869">
        <w:trPr>
          <w:trHeight w:val="367"/>
        </w:trPr>
        <w:tc>
          <w:tcPr>
            <w:tcW w:w="6379" w:type="dxa"/>
            <w:shd w:val="clear" w:color="000000" w:fill="FFFFFF"/>
            <w:hideMark/>
          </w:tcPr>
          <w:p w14:paraId="30164449" w14:textId="77777777" w:rsidR="004D1CFF" w:rsidRPr="007A4753" w:rsidRDefault="004D1CFF" w:rsidP="004D1CFF">
            <w:pPr>
              <w:spacing w:after="0"/>
              <w:ind w:left="459"/>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color w:val="000000"/>
                <w:sz w:val="20"/>
                <w:szCs w:val="20"/>
              </w:rPr>
              <w:t>Tổng cộng</w:t>
            </w:r>
          </w:p>
        </w:tc>
        <w:tc>
          <w:tcPr>
            <w:tcW w:w="1843" w:type="dxa"/>
            <w:tcBorders>
              <w:bottom w:val="double" w:sz="4" w:space="0" w:color="auto"/>
            </w:tcBorders>
            <w:shd w:val="clear" w:color="000000" w:fill="FFFFFF"/>
          </w:tcPr>
          <w:p w14:paraId="6146778A" w14:textId="29C1335B" w:rsidR="004D1CFF" w:rsidRPr="004A0869" w:rsidRDefault="00CB5051" w:rsidP="004D1CFF">
            <w:pPr>
              <w:jc w:val="right"/>
              <w:rPr>
                <w:rFonts w:ascii="Times New Roman" w:hAnsi="Times New Roman" w:cs="Times New Roman"/>
                <w:b/>
                <w:sz w:val="20"/>
                <w:szCs w:val="20"/>
              </w:rPr>
            </w:pPr>
            <w:r w:rsidRPr="00CB5051">
              <w:rPr>
                <w:rFonts w:ascii="Times New Roman" w:eastAsia="Times New Roman" w:hAnsi="Times New Roman" w:cs="Times New Roman"/>
                <w:b/>
                <w:color w:val="000000"/>
                <w:sz w:val="20"/>
                <w:szCs w:val="20"/>
              </w:rPr>
              <w:t>219</w:t>
            </w:r>
            <w:r>
              <w:rPr>
                <w:rFonts w:ascii="Times New Roman" w:eastAsia="Times New Roman" w:hAnsi="Times New Roman" w:cs="Times New Roman"/>
                <w:b/>
                <w:color w:val="000000"/>
                <w:sz w:val="20"/>
                <w:szCs w:val="20"/>
              </w:rPr>
              <w:t>,</w:t>
            </w:r>
            <w:r w:rsidRPr="00CB5051">
              <w:rPr>
                <w:rFonts w:ascii="Times New Roman" w:eastAsia="Times New Roman" w:hAnsi="Times New Roman" w:cs="Times New Roman"/>
                <w:b/>
                <w:color w:val="000000"/>
                <w:sz w:val="20"/>
                <w:szCs w:val="20"/>
              </w:rPr>
              <w:t>740</w:t>
            </w:r>
            <w:r>
              <w:rPr>
                <w:rFonts w:ascii="Times New Roman" w:eastAsia="Times New Roman" w:hAnsi="Times New Roman" w:cs="Times New Roman"/>
                <w:b/>
                <w:color w:val="000000"/>
                <w:sz w:val="20"/>
                <w:szCs w:val="20"/>
              </w:rPr>
              <w:t>,</w:t>
            </w:r>
            <w:r w:rsidRPr="00CB5051">
              <w:rPr>
                <w:rFonts w:ascii="Times New Roman" w:eastAsia="Times New Roman" w:hAnsi="Times New Roman" w:cs="Times New Roman"/>
                <w:b/>
                <w:color w:val="000000"/>
                <w:sz w:val="20"/>
                <w:szCs w:val="20"/>
              </w:rPr>
              <w:t>527</w:t>
            </w:r>
            <w:r>
              <w:rPr>
                <w:rFonts w:ascii="Times New Roman" w:eastAsia="Times New Roman" w:hAnsi="Times New Roman" w:cs="Times New Roman"/>
                <w:b/>
                <w:color w:val="000000"/>
                <w:sz w:val="20"/>
                <w:szCs w:val="20"/>
              </w:rPr>
              <w:t>,</w:t>
            </w:r>
            <w:r w:rsidRPr="00CB5051">
              <w:rPr>
                <w:rFonts w:ascii="Times New Roman" w:eastAsia="Times New Roman" w:hAnsi="Times New Roman" w:cs="Times New Roman"/>
                <w:b/>
                <w:color w:val="000000"/>
                <w:sz w:val="20"/>
                <w:szCs w:val="20"/>
              </w:rPr>
              <w:t>959</w:t>
            </w:r>
          </w:p>
        </w:tc>
        <w:tc>
          <w:tcPr>
            <w:tcW w:w="2048" w:type="dxa"/>
            <w:tcBorders>
              <w:bottom w:val="double" w:sz="4" w:space="0" w:color="auto"/>
            </w:tcBorders>
            <w:shd w:val="clear" w:color="000000" w:fill="FFFFFF"/>
          </w:tcPr>
          <w:p w14:paraId="202C7431" w14:textId="1DE3E686" w:rsidR="004D1CFF" w:rsidRPr="004A0869" w:rsidRDefault="004D1CFF" w:rsidP="004D1CFF">
            <w:pPr>
              <w:jc w:val="right"/>
              <w:rPr>
                <w:rFonts w:ascii="Times New Roman" w:eastAsia="Times New Roman" w:hAnsi="Times New Roman" w:cs="Times New Roman"/>
                <w:b/>
                <w:bCs/>
                <w:color w:val="000000"/>
                <w:sz w:val="20"/>
                <w:szCs w:val="20"/>
              </w:rPr>
            </w:pPr>
            <w:r w:rsidRPr="004A0869">
              <w:rPr>
                <w:rFonts w:ascii="Times New Roman" w:eastAsia="Times New Roman" w:hAnsi="Times New Roman" w:cs="Times New Roman"/>
                <w:b/>
                <w:color w:val="000000"/>
                <w:sz w:val="20"/>
                <w:szCs w:val="20"/>
              </w:rPr>
              <w:t>68,206,701,649</w:t>
            </w:r>
          </w:p>
        </w:tc>
      </w:tr>
    </w:tbl>
    <w:p w14:paraId="18F910F3" w14:textId="77777777" w:rsidR="001151B2" w:rsidRPr="007A4753" w:rsidRDefault="001151B2" w:rsidP="001151B2">
      <w:pPr>
        <w:pStyle w:val="ListParagraph"/>
        <w:numPr>
          <w:ilvl w:val="0"/>
          <w:numId w:val="23"/>
        </w:numPr>
        <w:spacing w:after="0" w:line="288" w:lineRule="auto"/>
        <w:ind w:left="567"/>
        <w:jc w:val="both"/>
        <w:rPr>
          <w:rFonts w:ascii="Times New Roman" w:hAnsi="Times New Roman" w:cs="Times New Roman"/>
          <w:b/>
          <w:sz w:val="20"/>
          <w:szCs w:val="20"/>
        </w:rPr>
      </w:pPr>
      <w:r w:rsidRPr="007A4753">
        <w:rPr>
          <w:rFonts w:ascii="Times New Roman" w:hAnsi="Times New Roman" w:cs="Times New Roman"/>
          <w:b/>
          <w:sz w:val="20"/>
          <w:szCs w:val="20"/>
        </w:rPr>
        <w:t>Các khoản đầu tư</w:t>
      </w:r>
    </w:p>
    <w:p w14:paraId="260BED3B" w14:textId="77777777" w:rsidR="001151B2" w:rsidRPr="007A4753" w:rsidRDefault="001151B2" w:rsidP="001151B2">
      <w:pPr>
        <w:spacing w:after="0" w:line="288" w:lineRule="auto"/>
        <w:ind w:left="567"/>
        <w:jc w:val="both"/>
        <w:rPr>
          <w:rFonts w:ascii="Times New Roman" w:hAnsi="Times New Roman" w:cs="Times New Roman"/>
          <w:sz w:val="20"/>
          <w:szCs w:val="20"/>
        </w:rPr>
      </w:pPr>
      <w:r w:rsidRPr="007A4753">
        <w:rPr>
          <w:rFonts w:ascii="Times New Roman" w:hAnsi="Times New Roman" w:cs="Times New Roman"/>
          <w:sz w:val="20"/>
          <w:szCs w:val="20"/>
        </w:rPr>
        <w:t>Bảng tình hình biến động giá thị trường hoặc giá trị hợp lý các khoản đầu tư của Quỹ ETF</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987"/>
        <w:gridCol w:w="1986"/>
        <w:gridCol w:w="1876"/>
        <w:gridCol w:w="1739"/>
        <w:gridCol w:w="1753"/>
      </w:tblGrid>
      <w:tr w:rsidR="001151B2" w:rsidRPr="007A4753" w14:paraId="4EB726AE" w14:textId="77777777" w:rsidTr="004A0869">
        <w:trPr>
          <w:trHeight w:val="323"/>
        </w:trPr>
        <w:tc>
          <w:tcPr>
            <w:tcW w:w="792" w:type="dxa"/>
            <w:vMerge w:val="restart"/>
            <w:shd w:val="clear" w:color="000000" w:fill="FFFFFF"/>
            <w:vAlign w:val="center"/>
            <w:hideMark/>
          </w:tcPr>
          <w:p w14:paraId="3298B7B1" w14:textId="77777777" w:rsidR="001151B2" w:rsidRPr="007A4753" w:rsidRDefault="001151B2" w:rsidP="004A0869">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Khoản đầu tư</w:t>
            </w:r>
          </w:p>
        </w:tc>
        <w:tc>
          <w:tcPr>
            <w:tcW w:w="1987" w:type="dxa"/>
            <w:vMerge w:val="restart"/>
            <w:shd w:val="clear" w:color="000000" w:fill="FFFFFF"/>
            <w:vAlign w:val="center"/>
            <w:hideMark/>
          </w:tcPr>
          <w:p w14:paraId="27CBD12D" w14:textId="77777777" w:rsidR="001151B2" w:rsidRPr="007A4753" w:rsidRDefault="001151B2" w:rsidP="004A0869">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Giá mua</w:t>
            </w:r>
          </w:p>
          <w:p w14:paraId="512476F3" w14:textId="77777777" w:rsidR="001151B2" w:rsidRPr="007A4753" w:rsidRDefault="001151B2" w:rsidP="004A0869">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Cs/>
                <w:color w:val="000000"/>
                <w:sz w:val="20"/>
                <w:szCs w:val="20"/>
              </w:rPr>
              <w:t>(VND)</w:t>
            </w:r>
          </w:p>
        </w:tc>
        <w:tc>
          <w:tcPr>
            <w:tcW w:w="1987" w:type="dxa"/>
            <w:vMerge w:val="restart"/>
            <w:shd w:val="clear" w:color="000000" w:fill="FFFFFF"/>
            <w:vAlign w:val="center"/>
            <w:hideMark/>
          </w:tcPr>
          <w:p w14:paraId="7EF42CAE" w14:textId="77777777" w:rsidR="001151B2" w:rsidRPr="007A4753" w:rsidRDefault="001151B2" w:rsidP="004A0869">
            <w:pPr>
              <w:tabs>
                <w:tab w:val="left" w:pos="1483"/>
              </w:tabs>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Giá trị thị trường</w:t>
            </w:r>
          </w:p>
          <w:p w14:paraId="7862F855" w14:textId="77777777" w:rsidR="001151B2" w:rsidRPr="007A4753" w:rsidRDefault="001151B2" w:rsidP="004A0869">
            <w:pPr>
              <w:tabs>
                <w:tab w:val="left" w:pos="1483"/>
              </w:tabs>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Cs/>
                <w:color w:val="000000"/>
                <w:sz w:val="20"/>
                <w:szCs w:val="20"/>
              </w:rPr>
              <w:t>(VND)</w:t>
            </w:r>
          </w:p>
        </w:tc>
        <w:tc>
          <w:tcPr>
            <w:tcW w:w="3617" w:type="dxa"/>
            <w:gridSpan w:val="2"/>
            <w:shd w:val="clear" w:color="000000" w:fill="FFFFFF"/>
            <w:vAlign w:val="center"/>
            <w:hideMark/>
          </w:tcPr>
          <w:p w14:paraId="07DDCF17" w14:textId="77777777" w:rsidR="001151B2" w:rsidRPr="007A4753" w:rsidRDefault="001151B2" w:rsidP="004A0869">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Chênh lệch đánh giá kỳ này</w:t>
            </w:r>
          </w:p>
        </w:tc>
        <w:tc>
          <w:tcPr>
            <w:tcW w:w="1754" w:type="dxa"/>
            <w:vMerge w:val="restart"/>
            <w:shd w:val="clear" w:color="000000" w:fill="FFFFFF"/>
            <w:vAlign w:val="center"/>
            <w:hideMark/>
          </w:tcPr>
          <w:p w14:paraId="635E62B8" w14:textId="77777777" w:rsidR="001151B2" w:rsidRPr="007A4753" w:rsidRDefault="001151B2" w:rsidP="004A0869">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Giá trị đánh giá lại</w:t>
            </w:r>
          </w:p>
          <w:p w14:paraId="36FE23FB" w14:textId="77777777" w:rsidR="001151B2" w:rsidRPr="007A4753" w:rsidRDefault="001151B2" w:rsidP="004A0869">
            <w:pPr>
              <w:spacing w:after="0"/>
              <w:jc w:val="center"/>
              <w:rPr>
                <w:rFonts w:ascii="Times New Roman" w:eastAsia="Times New Roman" w:hAnsi="Times New Roman" w:cs="Times New Roman"/>
                <w:bCs/>
                <w:color w:val="000000"/>
                <w:sz w:val="20"/>
                <w:szCs w:val="20"/>
              </w:rPr>
            </w:pPr>
            <w:r w:rsidRPr="007A4753">
              <w:rPr>
                <w:rFonts w:ascii="Times New Roman" w:eastAsia="Times New Roman" w:hAnsi="Times New Roman" w:cs="Times New Roman"/>
                <w:bCs/>
                <w:color w:val="000000"/>
                <w:sz w:val="20"/>
                <w:szCs w:val="20"/>
              </w:rPr>
              <w:t>(VND)</w:t>
            </w:r>
          </w:p>
        </w:tc>
      </w:tr>
      <w:tr w:rsidR="001151B2" w:rsidRPr="007A4753" w14:paraId="0221EE64" w14:textId="77777777" w:rsidTr="004A0869">
        <w:trPr>
          <w:trHeight w:val="343"/>
        </w:trPr>
        <w:tc>
          <w:tcPr>
            <w:tcW w:w="792" w:type="dxa"/>
            <w:vMerge/>
            <w:vAlign w:val="center"/>
            <w:hideMark/>
          </w:tcPr>
          <w:p w14:paraId="6353BA86" w14:textId="77777777" w:rsidR="001151B2" w:rsidRPr="007A4753" w:rsidRDefault="001151B2" w:rsidP="004A0869">
            <w:pPr>
              <w:spacing w:after="0"/>
              <w:jc w:val="right"/>
              <w:rPr>
                <w:rFonts w:ascii="Times New Roman" w:eastAsia="Times New Roman" w:hAnsi="Times New Roman" w:cs="Times New Roman"/>
                <w:b/>
                <w:bCs/>
                <w:color w:val="000000"/>
                <w:sz w:val="20"/>
                <w:szCs w:val="20"/>
              </w:rPr>
            </w:pPr>
          </w:p>
        </w:tc>
        <w:tc>
          <w:tcPr>
            <w:tcW w:w="1987" w:type="dxa"/>
            <w:vMerge/>
            <w:vAlign w:val="center"/>
            <w:hideMark/>
          </w:tcPr>
          <w:p w14:paraId="1E27944D" w14:textId="77777777" w:rsidR="001151B2" w:rsidRPr="007A4753" w:rsidRDefault="001151B2" w:rsidP="004A0869">
            <w:pPr>
              <w:spacing w:after="0"/>
              <w:jc w:val="right"/>
              <w:rPr>
                <w:rFonts w:ascii="Times New Roman" w:eastAsia="Times New Roman" w:hAnsi="Times New Roman" w:cs="Times New Roman"/>
                <w:b/>
                <w:bCs/>
                <w:color w:val="000000"/>
                <w:sz w:val="20"/>
                <w:szCs w:val="20"/>
              </w:rPr>
            </w:pPr>
          </w:p>
        </w:tc>
        <w:tc>
          <w:tcPr>
            <w:tcW w:w="1987" w:type="dxa"/>
            <w:vMerge/>
            <w:vAlign w:val="center"/>
            <w:hideMark/>
          </w:tcPr>
          <w:p w14:paraId="6F711DD8" w14:textId="77777777" w:rsidR="001151B2" w:rsidRPr="007A4753" w:rsidRDefault="001151B2" w:rsidP="004A0869">
            <w:pPr>
              <w:spacing w:after="0"/>
              <w:jc w:val="right"/>
              <w:rPr>
                <w:rFonts w:ascii="Times New Roman" w:eastAsia="Times New Roman" w:hAnsi="Times New Roman" w:cs="Times New Roman"/>
                <w:b/>
                <w:bCs/>
                <w:color w:val="000000"/>
                <w:sz w:val="20"/>
                <w:szCs w:val="20"/>
              </w:rPr>
            </w:pPr>
          </w:p>
        </w:tc>
        <w:tc>
          <w:tcPr>
            <w:tcW w:w="1877" w:type="dxa"/>
            <w:shd w:val="clear" w:color="000000" w:fill="FFFFFF"/>
            <w:vAlign w:val="center"/>
            <w:hideMark/>
          </w:tcPr>
          <w:p w14:paraId="6192D96F" w14:textId="77777777" w:rsidR="001151B2" w:rsidRPr="007A4753" w:rsidRDefault="001151B2" w:rsidP="004A0869">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Chênh lệch tăng</w:t>
            </w:r>
          </w:p>
          <w:p w14:paraId="59AC5BCD" w14:textId="77777777" w:rsidR="001151B2" w:rsidRPr="007A4753" w:rsidRDefault="001151B2" w:rsidP="004A0869">
            <w:pPr>
              <w:spacing w:after="0"/>
              <w:jc w:val="center"/>
              <w:rPr>
                <w:rFonts w:ascii="Times New Roman" w:eastAsia="Times New Roman" w:hAnsi="Times New Roman" w:cs="Times New Roman"/>
                <w:bCs/>
                <w:color w:val="000000"/>
                <w:sz w:val="20"/>
                <w:szCs w:val="20"/>
              </w:rPr>
            </w:pPr>
            <w:r w:rsidRPr="007A4753">
              <w:rPr>
                <w:rFonts w:ascii="Times New Roman" w:eastAsia="Times New Roman" w:hAnsi="Times New Roman" w:cs="Times New Roman"/>
                <w:bCs/>
                <w:color w:val="000000"/>
                <w:sz w:val="20"/>
                <w:szCs w:val="20"/>
              </w:rPr>
              <w:t>(VND)</w:t>
            </w:r>
          </w:p>
        </w:tc>
        <w:tc>
          <w:tcPr>
            <w:tcW w:w="1740" w:type="dxa"/>
            <w:shd w:val="clear" w:color="000000" w:fill="FFFFFF"/>
            <w:vAlign w:val="center"/>
            <w:hideMark/>
          </w:tcPr>
          <w:p w14:paraId="444AB791" w14:textId="77777777" w:rsidR="001151B2" w:rsidRPr="007A4753" w:rsidRDefault="001151B2" w:rsidP="004A0869">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Chênh lệch giảm</w:t>
            </w:r>
          </w:p>
          <w:p w14:paraId="01710554" w14:textId="77777777" w:rsidR="001151B2" w:rsidRPr="007A4753" w:rsidRDefault="001151B2" w:rsidP="004A0869">
            <w:pPr>
              <w:spacing w:after="0"/>
              <w:jc w:val="center"/>
              <w:rPr>
                <w:rFonts w:ascii="Times New Roman" w:eastAsia="Times New Roman" w:hAnsi="Times New Roman" w:cs="Times New Roman"/>
                <w:bCs/>
                <w:color w:val="000000"/>
                <w:sz w:val="20"/>
                <w:szCs w:val="20"/>
              </w:rPr>
            </w:pPr>
            <w:r w:rsidRPr="007A4753">
              <w:rPr>
                <w:rFonts w:ascii="Times New Roman" w:eastAsia="Times New Roman" w:hAnsi="Times New Roman" w:cs="Times New Roman"/>
                <w:bCs/>
                <w:color w:val="000000"/>
                <w:sz w:val="20"/>
                <w:szCs w:val="20"/>
              </w:rPr>
              <w:t>(VND)</w:t>
            </w:r>
          </w:p>
        </w:tc>
        <w:tc>
          <w:tcPr>
            <w:tcW w:w="1754" w:type="dxa"/>
            <w:vMerge/>
            <w:vAlign w:val="center"/>
            <w:hideMark/>
          </w:tcPr>
          <w:p w14:paraId="67E61E36" w14:textId="77777777" w:rsidR="001151B2" w:rsidRPr="007A4753" w:rsidRDefault="001151B2" w:rsidP="004A0869">
            <w:pPr>
              <w:spacing w:after="0"/>
              <w:jc w:val="right"/>
              <w:rPr>
                <w:rFonts w:ascii="Times New Roman" w:eastAsia="Times New Roman" w:hAnsi="Times New Roman" w:cs="Times New Roman"/>
                <w:b/>
                <w:bCs/>
                <w:color w:val="000000"/>
                <w:sz w:val="20"/>
                <w:szCs w:val="20"/>
              </w:rPr>
            </w:pPr>
          </w:p>
        </w:tc>
      </w:tr>
      <w:tr w:rsidR="004A0869" w:rsidRPr="007A4753" w14:paraId="2AB9C563" w14:textId="77777777" w:rsidTr="004A0869">
        <w:trPr>
          <w:trHeight w:val="365"/>
        </w:trPr>
        <w:tc>
          <w:tcPr>
            <w:tcW w:w="792" w:type="dxa"/>
            <w:shd w:val="clear" w:color="000000" w:fill="FFFFFF"/>
            <w:vAlign w:val="center"/>
            <w:hideMark/>
          </w:tcPr>
          <w:p w14:paraId="6AC31910" w14:textId="77777777" w:rsidR="004A0869" w:rsidRPr="007A4753" w:rsidRDefault="004A0869" w:rsidP="004A0869">
            <w:pPr>
              <w:spacing w:after="0" w:line="240" w:lineRule="auto"/>
              <w:jc w:val="center"/>
              <w:rPr>
                <w:rFonts w:ascii="Times New Roman" w:hAnsi="Times New Roman" w:cs="Times New Roman"/>
                <w:sz w:val="20"/>
                <w:szCs w:val="20"/>
              </w:rPr>
            </w:pPr>
            <w:r w:rsidRPr="007A4753">
              <w:rPr>
                <w:rFonts w:ascii="Times New Roman" w:hAnsi="Times New Roman" w:cs="Times New Roman"/>
                <w:sz w:val="20"/>
                <w:szCs w:val="20"/>
              </w:rPr>
              <w:t>Cổ phiếu</w:t>
            </w:r>
          </w:p>
        </w:tc>
        <w:tc>
          <w:tcPr>
            <w:tcW w:w="1987" w:type="dxa"/>
            <w:shd w:val="clear" w:color="000000" w:fill="FFFFFF"/>
            <w:noWrap/>
            <w:vAlign w:val="center"/>
          </w:tcPr>
          <w:p w14:paraId="59A5777F" w14:textId="0D1683AB" w:rsidR="004A0869" w:rsidRPr="004A0869" w:rsidRDefault="00151C68" w:rsidP="004A0869">
            <w:pPr>
              <w:spacing w:after="0" w:line="240" w:lineRule="auto"/>
              <w:jc w:val="right"/>
              <w:rPr>
                <w:rFonts w:ascii="Times New Roman" w:eastAsia="Times New Roman" w:hAnsi="Times New Roman" w:cs="Times New Roman"/>
                <w:color w:val="000000"/>
                <w:sz w:val="20"/>
                <w:szCs w:val="20"/>
              </w:rPr>
            </w:pPr>
            <w:r w:rsidRPr="00151C68">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447</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734</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585</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844</w:t>
            </w:r>
          </w:p>
        </w:tc>
        <w:tc>
          <w:tcPr>
            <w:tcW w:w="1987" w:type="dxa"/>
            <w:shd w:val="clear" w:color="000000" w:fill="FFFFFF"/>
            <w:noWrap/>
            <w:vAlign w:val="center"/>
          </w:tcPr>
          <w:p w14:paraId="3BE61735" w14:textId="7E8BEB1E" w:rsidR="004A0869" w:rsidRPr="004A0869" w:rsidRDefault="00151C68" w:rsidP="004A0869">
            <w:pPr>
              <w:spacing w:after="0" w:line="240" w:lineRule="auto"/>
              <w:jc w:val="right"/>
              <w:rPr>
                <w:rFonts w:ascii="Times New Roman" w:eastAsia="Times New Roman" w:hAnsi="Times New Roman" w:cs="Times New Roman"/>
                <w:color w:val="000000"/>
                <w:sz w:val="20"/>
                <w:szCs w:val="20"/>
              </w:rPr>
            </w:pPr>
            <w:r w:rsidRPr="00151C68">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985</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183</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516</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500</w:t>
            </w:r>
          </w:p>
        </w:tc>
        <w:tc>
          <w:tcPr>
            <w:tcW w:w="1877" w:type="dxa"/>
            <w:shd w:val="clear" w:color="000000" w:fill="FFFFFF"/>
            <w:noWrap/>
            <w:vAlign w:val="center"/>
          </w:tcPr>
          <w:p w14:paraId="05151E74" w14:textId="5ABF6732" w:rsidR="004A0869" w:rsidRPr="004A0869" w:rsidRDefault="00151C68" w:rsidP="004A0869">
            <w:pPr>
              <w:spacing w:after="0" w:line="240" w:lineRule="auto"/>
              <w:jc w:val="right"/>
              <w:rPr>
                <w:rFonts w:ascii="Times New Roman" w:eastAsia="Times New Roman" w:hAnsi="Times New Roman" w:cs="Times New Roman"/>
                <w:color w:val="000000"/>
                <w:sz w:val="20"/>
                <w:szCs w:val="20"/>
              </w:rPr>
            </w:pPr>
            <w:r w:rsidRPr="00151C6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133</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059</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593</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191</w:t>
            </w:r>
          </w:p>
        </w:tc>
        <w:tc>
          <w:tcPr>
            <w:tcW w:w="1740" w:type="dxa"/>
            <w:shd w:val="clear" w:color="000000" w:fill="FFFFFF"/>
            <w:noWrap/>
            <w:vAlign w:val="center"/>
          </w:tcPr>
          <w:p w14:paraId="163E0596" w14:textId="6C892924" w:rsidR="004A0869" w:rsidRPr="004A0869" w:rsidRDefault="00151C68" w:rsidP="004A0869">
            <w:pPr>
              <w:spacing w:after="0" w:line="240" w:lineRule="auto"/>
              <w:jc w:val="right"/>
              <w:rPr>
                <w:rFonts w:ascii="Times New Roman" w:eastAsia="Times New Roman" w:hAnsi="Times New Roman" w:cs="Times New Roman"/>
                <w:color w:val="000000"/>
                <w:sz w:val="20"/>
                <w:szCs w:val="20"/>
              </w:rPr>
            </w:pPr>
            <w:r w:rsidRPr="00151C6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595</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610</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662</w:t>
            </w:r>
            <w:r>
              <w:rPr>
                <w:rFonts w:ascii="Times New Roman" w:eastAsia="Times New Roman" w:hAnsi="Times New Roman" w:cs="Times New Roman"/>
                <w:color w:val="000000"/>
                <w:sz w:val="20"/>
                <w:szCs w:val="20"/>
              </w:rPr>
              <w:t>,</w:t>
            </w:r>
            <w:r w:rsidRPr="00151C68">
              <w:rPr>
                <w:rFonts w:ascii="Times New Roman" w:eastAsia="Times New Roman" w:hAnsi="Times New Roman" w:cs="Times New Roman"/>
                <w:color w:val="000000"/>
                <w:sz w:val="20"/>
                <w:szCs w:val="20"/>
              </w:rPr>
              <w:t>535</w:t>
            </w:r>
          </w:p>
        </w:tc>
        <w:tc>
          <w:tcPr>
            <w:tcW w:w="1754" w:type="dxa"/>
            <w:shd w:val="clear" w:color="000000" w:fill="FFFFFF"/>
            <w:noWrap/>
            <w:vAlign w:val="center"/>
          </w:tcPr>
          <w:p w14:paraId="6468FCDE" w14:textId="6ACD8F15" w:rsidR="004A0869" w:rsidRPr="004A0869" w:rsidRDefault="00C72A73" w:rsidP="004A086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2A73">
              <w:rPr>
                <w:rFonts w:ascii="Times New Roman" w:eastAsia="Times New Roman" w:hAnsi="Times New Roman" w:cs="Times New Roman"/>
                <w:color w:val="000000"/>
                <w:sz w:val="20"/>
                <w:szCs w:val="20"/>
              </w:rPr>
              <w:t>462</w:t>
            </w:r>
            <w:r>
              <w:rPr>
                <w:rFonts w:ascii="Times New Roman" w:eastAsia="Times New Roman" w:hAnsi="Times New Roman" w:cs="Times New Roman"/>
                <w:color w:val="000000"/>
                <w:sz w:val="20"/>
                <w:szCs w:val="20"/>
              </w:rPr>
              <w:t>,</w:t>
            </w:r>
            <w:r w:rsidRPr="00C72A73">
              <w:rPr>
                <w:rFonts w:ascii="Times New Roman" w:eastAsia="Times New Roman" w:hAnsi="Times New Roman" w:cs="Times New Roman"/>
                <w:color w:val="000000"/>
                <w:sz w:val="20"/>
                <w:szCs w:val="20"/>
              </w:rPr>
              <w:t>551</w:t>
            </w:r>
            <w:r>
              <w:rPr>
                <w:rFonts w:ascii="Times New Roman" w:eastAsia="Times New Roman" w:hAnsi="Times New Roman" w:cs="Times New Roman"/>
                <w:color w:val="000000"/>
                <w:sz w:val="20"/>
                <w:szCs w:val="20"/>
              </w:rPr>
              <w:t>,</w:t>
            </w:r>
            <w:r w:rsidRPr="00C72A73">
              <w:rPr>
                <w:rFonts w:ascii="Times New Roman" w:eastAsia="Times New Roman" w:hAnsi="Times New Roman" w:cs="Times New Roman"/>
                <w:color w:val="000000"/>
                <w:sz w:val="20"/>
                <w:szCs w:val="20"/>
              </w:rPr>
              <w:t>069</w:t>
            </w:r>
            <w:r>
              <w:rPr>
                <w:rFonts w:ascii="Times New Roman" w:eastAsia="Times New Roman" w:hAnsi="Times New Roman" w:cs="Times New Roman"/>
                <w:color w:val="000000"/>
                <w:sz w:val="20"/>
                <w:szCs w:val="20"/>
              </w:rPr>
              <w:t>,</w:t>
            </w:r>
            <w:r w:rsidRPr="00C72A73">
              <w:rPr>
                <w:rFonts w:ascii="Times New Roman" w:eastAsia="Times New Roman" w:hAnsi="Times New Roman" w:cs="Times New Roman"/>
                <w:color w:val="000000"/>
                <w:sz w:val="20"/>
                <w:szCs w:val="20"/>
              </w:rPr>
              <w:t>344</w:t>
            </w:r>
            <w:r>
              <w:rPr>
                <w:rFonts w:ascii="Times New Roman" w:eastAsia="Times New Roman" w:hAnsi="Times New Roman" w:cs="Times New Roman"/>
                <w:color w:val="000000"/>
                <w:sz w:val="20"/>
                <w:szCs w:val="20"/>
              </w:rPr>
              <w:t>)</w:t>
            </w:r>
          </w:p>
        </w:tc>
      </w:tr>
      <w:tr w:rsidR="004A0869" w:rsidRPr="004A0869" w14:paraId="2D433C0E" w14:textId="77777777" w:rsidTr="004A0869">
        <w:trPr>
          <w:trHeight w:val="475"/>
        </w:trPr>
        <w:tc>
          <w:tcPr>
            <w:tcW w:w="792" w:type="dxa"/>
            <w:shd w:val="clear" w:color="auto" w:fill="auto"/>
            <w:vAlign w:val="center"/>
            <w:hideMark/>
          </w:tcPr>
          <w:p w14:paraId="33D640A8" w14:textId="77777777" w:rsidR="004A0869" w:rsidRPr="004A0869" w:rsidRDefault="004A0869" w:rsidP="004A0869">
            <w:pPr>
              <w:spacing w:after="0" w:line="240" w:lineRule="auto"/>
              <w:jc w:val="center"/>
              <w:rPr>
                <w:rFonts w:ascii="Times New Roman" w:hAnsi="Times New Roman" w:cs="Times New Roman"/>
                <w:b/>
                <w:sz w:val="20"/>
                <w:szCs w:val="20"/>
              </w:rPr>
            </w:pPr>
            <w:r w:rsidRPr="004A0869">
              <w:rPr>
                <w:rFonts w:ascii="Times New Roman" w:hAnsi="Times New Roman" w:cs="Times New Roman"/>
                <w:b/>
                <w:sz w:val="20"/>
                <w:szCs w:val="20"/>
              </w:rPr>
              <w:t>Tổng cộng</w:t>
            </w:r>
          </w:p>
        </w:tc>
        <w:tc>
          <w:tcPr>
            <w:tcW w:w="1987" w:type="dxa"/>
            <w:shd w:val="clear" w:color="auto" w:fill="auto"/>
            <w:noWrap/>
            <w:vAlign w:val="center"/>
          </w:tcPr>
          <w:p w14:paraId="3D7B30C4" w14:textId="2AF7DF45" w:rsidR="004A0869" w:rsidRPr="004A0869" w:rsidRDefault="00151C68" w:rsidP="004A0869">
            <w:pPr>
              <w:spacing w:after="0" w:line="240" w:lineRule="auto"/>
              <w:jc w:val="right"/>
              <w:rPr>
                <w:rFonts w:ascii="Times New Roman" w:hAnsi="Times New Roman" w:cs="Times New Roman"/>
                <w:b/>
                <w:sz w:val="20"/>
                <w:szCs w:val="20"/>
              </w:rPr>
            </w:pPr>
            <w:r w:rsidRPr="00151C68">
              <w:rPr>
                <w:rFonts w:ascii="Times New Roman" w:eastAsia="Times New Roman" w:hAnsi="Times New Roman" w:cs="Times New Roman"/>
                <w:b/>
                <w:color w:val="000000"/>
                <w:sz w:val="20"/>
                <w:szCs w:val="20"/>
              </w:rPr>
              <w:t>18</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447</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734</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585</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844</w:t>
            </w:r>
          </w:p>
        </w:tc>
        <w:tc>
          <w:tcPr>
            <w:tcW w:w="1987" w:type="dxa"/>
            <w:shd w:val="clear" w:color="auto" w:fill="auto"/>
            <w:noWrap/>
            <w:vAlign w:val="center"/>
          </w:tcPr>
          <w:p w14:paraId="3A0AB0D6" w14:textId="05BA8B3C" w:rsidR="004A0869" w:rsidRPr="004A0869" w:rsidRDefault="00151C68" w:rsidP="004A0869">
            <w:pPr>
              <w:spacing w:after="0" w:line="240" w:lineRule="auto"/>
              <w:jc w:val="right"/>
              <w:rPr>
                <w:rFonts w:ascii="Times New Roman" w:hAnsi="Times New Roman" w:cs="Times New Roman"/>
                <w:b/>
                <w:sz w:val="20"/>
                <w:szCs w:val="20"/>
              </w:rPr>
            </w:pPr>
            <w:r w:rsidRPr="00151C68">
              <w:rPr>
                <w:rFonts w:ascii="Times New Roman" w:eastAsia="Times New Roman" w:hAnsi="Times New Roman" w:cs="Times New Roman"/>
                <w:b/>
                <w:color w:val="000000"/>
                <w:sz w:val="20"/>
                <w:szCs w:val="20"/>
              </w:rPr>
              <w:t>17</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985</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183</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516</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500</w:t>
            </w:r>
          </w:p>
        </w:tc>
        <w:tc>
          <w:tcPr>
            <w:tcW w:w="1877" w:type="dxa"/>
            <w:shd w:val="clear" w:color="auto" w:fill="auto"/>
            <w:noWrap/>
            <w:vAlign w:val="center"/>
          </w:tcPr>
          <w:p w14:paraId="472ECF38" w14:textId="2BB0AB25" w:rsidR="004A0869" w:rsidRPr="004A0869" w:rsidRDefault="00151C68" w:rsidP="004A0869">
            <w:pPr>
              <w:spacing w:after="0" w:line="240" w:lineRule="auto"/>
              <w:jc w:val="right"/>
              <w:rPr>
                <w:rFonts w:ascii="Times New Roman" w:hAnsi="Times New Roman" w:cs="Times New Roman"/>
                <w:b/>
                <w:sz w:val="20"/>
                <w:szCs w:val="20"/>
              </w:rPr>
            </w:pPr>
            <w:r w:rsidRPr="00151C68">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133</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059</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593</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191</w:t>
            </w:r>
          </w:p>
        </w:tc>
        <w:tc>
          <w:tcPr>
            <w:tcW w:w="1740" w:type="dxa"/>
            <w:shd w:val="clear" w:color="auto" w:fill="auto"/>
            <w:noWrap/>
            <w:vAlign w:val="center"/>
          </w:tcPr>
          <w:p w14:paraId="69D06A23" w14:textId="2B01188B" w:rsidR="004A0869" w:rsidRPr="004A0869" w:rsidRDefault="00151C68" w:rsidP="004A0869">
            <w:pPr>
              <w:spacing w:after="0" w:line="240" w:lineRule="auto"/>
              <w:jc w:val="right"/>
              <w:rPr>
                <w:rFonts w:ascii="Times New Roman" w:hAnsi="Times New Roman" w:cs="Times New Roman"/>
                <w:b/>
                <w:sz w:val="20"/>
                <w:szCs w:val="20"/>
              </w:rPr>
            </w:pPr>
            <w:r w:rsidRPr="00151C68">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595</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610</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662</w:t>
            </w:r>
            <w:r>
              <w:rPr>
                <w:rFonts w:ascii="Times New Roman" w:eastAsia="Times New Roman" w:hAnsi="Times New Roman" w:cs="Times New Roman"/>
                <w:b/>
                <w:color w:val="000000"/>
                <w:sz w:val="20"/>
                <w:szCs w:val="20"/>
              </w:rPr>
              <w:t>,</w:t>
            </w:r>
            <w:r w:rsidRPr="00151C68">
              <w:rPr>
                <w:rFonts w:ascii="Times New Roman" w:eastAsia="Times New Roman" w:hAnsi="Times New Roman" w:cs="Times New Roman"/>
                <w:b/>
                <w:color w:val="000000"/>
                <w:sz w:val="20"/>
                <w:szCs w:val="20"/>
              </w:rPr>
              <w:t>535</w:t>
            </w:r>
          </w:p>
        </w:tc>
        <w:tc>
          <w:tcPr>
            <w:tcW w:w="1754" w:type="dxa"/>
            <w:shd w:val="clear" w:color="auto" w:fill="auto"/>
            <w:noWrap/>
            <w:vAlign w:val="center"/>
          </w:tcPr>
          <w:p w14:paraId="7B84B5E6" w14:textId="02CDC835" w:rsidR="004A0869" w:rsidRPr="004A0869" w:rsidRDefault="00C72A73" w:rsidP="004A0869">
            <w:pPr>
              <w:spacing w:after="0" w:line="240" w:lineRule="auto"/>
              <w:jc w:val="right"/>
              <w:rPr>
                <w:rFonts w:ascii="Times New Roman" w:hAnsi="Times New Roman" w:cs="Times New Roman"/>
                <w:b/>
                <w:sz w:val="20"/>
                <w:szCs w:val="20"/>
              </w:rPr>
            </w:pPr>
            <w:r>
              <w:rPr>
                <w:rFonts w:ascii="Times New Roman" w:eastAsia="Times New Roman" w:hAnsi="Times New Roman" w:cs="Times New Roman"/>
                <w:b/>
                <w:color w:val="000000"/>
                <w:sz w:val="20"/>
                <w:szCs w:val="20"/>
              </w:rPr>
              <w:t>(</w:t>
            </w:r>
            <w:r w:rsidRPr="00C72A73">
              <w:rPr>
                <w:rFonts w:ascii="Times New Roman" w:eastAsia="Times New Roman" w:hAnsi="Times New Roman" w:cs="Times New Roman"/>
                <w:b/>
                <w:color w:val="000000"/>
                <w:sz w:val="20"/>
                <w:szCs w:val="20"/>
              </w:rPr>
              <w:t>462</w:t>
            </w:r>
            <w:r>
              <w:rPr>
                <w:rFonts w:ascii="Times New Roman" w:eastAsia="Times New Roman" w:hAnsi="Times New Roman" w:cs="Times New Roman"/>
                <w:b/>
                <w:color w:val="000000"/>
                <w:sz w:val="20"/>
                <w:szCs w:val="20"/>
              </w:rPr>
              <w:t>,</w:t>
            </w:r>
            <w:r w:rsidRPr="00C72A73">
              <w:rPr>
                <w:rFonts w:ascii="Times New Roman" w:eastAsia="Times New Roman" w:hAnsi="Times New Roman" w:cs="Times New Roman"/>
                <w:b/>
                <w:color w:val="000000"/>
                <w:sz w:val="20"/>
                <w:szCs w:val="20"/>
              </w:rPr>
              <w:t>551</w:t>
            </w:r>
            <w:r>
              <w:rPr>
                <w:rFonts w:ascii="Times New Roman" w:eastAsia="Times New Roman" w:hAnsi="Times New Roman" w:cs="Times New Roman"/>
                <w:b/>
                <w:color w:val="000000"/>
                <w:sz w:val="20"/>
                <w:szCs w:val="20"/>
              </w:rPr>
              <w:t>,</w:t>
            </w:r>
            <w:r w:rsidRPr="00C72A73">
              <w:rPr>
                <w:rFonts w:ascii="Times New Roman" w:eastAsia="Times New Roman" w:hAnsi="Times New Roman" w:cs="Times New Roman"/>
                <w:b/>
                <w:color w:val="000000"/>
                <w:sz w:val="20"/>
                <w:szCs w:val="20"/>
              </w:rPr>
              <w:t>069</w:t>
            </w:r>
            <w:r>
              <w:rPr>
                <w:rFonts w:ascii="Times New Roman" w:eastAsia="Times New Roman" w:hAnsi="Times New Roman" w:cs="Times New Roman"/>
                <w:b/>
                <w:color w:val="000000"/>
                <w:sz w:val="20"/>
                <w:szCs w:val="20"/>
              </w:rPr>
              <w:t>,</w:t>
            </w:r>
            <w:r w:rsidRPr="00C72A73">
              <w:rPr>
                <w:rFonts w:ascii="Times New Roman" w:eastAsia="Times New Roman" w:hAnsi="Times New Roman" w:cs="Times New Roman"/>
                <w:b/>
                <w:color w:val="000000"/>
                <w:sz w:val="20"/>
                <w:szCs w:val="20"/>
              </w:rPr>
              <w:t>344</w:t>
            </w:r>
            <w:r>
              <w:rPr>
                <w:rFonts w:ascii="Times New Roman" w:eastAsia="Times New Roman" w:hAnsi="Times New Roman" w:cs="Times New Roman"/>
                <w:b/>
                <w:color w:val="000000"/>
                <w:sz w:val="20"/>
                <w:szCs w:val="20"/>
              </w:rPr>
              <w:t>)</w:t>
            </w:r>
          </w:p>
        </w:tc>
      </w:tr>
    </w:tbl>
    <w:p w14:paraId="0763B689" w14:textId="77777777" w:rsidR="001151B2" w:rsidRPr="007A4753" w:rsidRDefault="001151B2" w:rsidP="001151B2">
      <w:pPr>
        <w:pStyle w:val="ListParagraph"/>
        <w:numPr>
          <w:ilvl w:val="0"/>
          <w:numId w:val="23"/>
        </w:numPr>
        <w:spacing w:before="120" w:after="0" w:line="288" w:lineRule="auto"/>
        <w:ind w:left="567" w:hanging="357"/>
        <w:jc w:val="both"/>
        <w:rPr>
          <w:rFonts w:ascii="Times New Roman" w:hAnsi="Times New Roman" w:cs="Times New Roman"/>
          <w:b/>
          <w:sz w:val="20"/>
          <w:szCs w:val="20"/>
        </w:rPr>
      </w:pPr>
      <w:r w:rsidRPr="007A4753">
        <w:rPr>
          <w:rFonts w:ascii="Times New Roman" w:hAnsi="Times New Roman" w:cs="Times New Roman"/>
          <w:b/>
          <w:sz w:val="20"/>
          <w:szCs w:val="20"/>
        </w:rPr>
        <w:t>Phải trả dịch vụ quản lý quỹ ETF</w:t>
      </w:r>
    </w:p>
    <w:p w14:paraId="175E6A42" w14:textId="77777777" w:rsidR="001151B2" w:rsidRPr="007A4753" w:rsidRDefault="001151B2" w:rsidP="001151B2">
      <w:pPr>
        <w:pStyle w:val="ListParagraph"/>
        <w:numPr>
          <w:ilvl w:val="0"/>
          <w:numId w:val="24"/>
        </w:numPr>
        <w:tabs>
          <w:tab w:val="left" w:pos="851"/>
        </w:tabs>
        <w:spacing w:before="120" w:after="0" w:line="288" w:lineRule="auto"/>
        <w:ind w:left="709"/>
        <w:jc w:val="both"/>
        <w:rPr>
          <w:rFonts w:ascii="Times New Roman" w:hAnsi="Times New Roman" w:cs="Times New Roman"/>
          <w:b/>
          <w:sz w:val="20"/>
          <w:szCs w:val="20"/>
        </w:rPr>
      </w:pPr>
      <w:r w:rsidRPr="007A4753">
        <w:rPr>
          <w:rFonts w:ascii="Times New Roman" w:hAnsi="Times New Roman" w:cs="Times New Roman"/>
          <w:b/>
          <w:sz w:val="20"/>
          <w:szCs w:val="20"/>
        </w:rPr>
        <w:t>Giá dịch vụ quản lý Quỹ</w:t>
      </w:r>
    </w:p>
    <w:p w14:paraId="1C1F1A34" w14:textId="77777777" w:rsidR="001151B2" w:rsidRPr="007A4753" w:rsidRDefault="001151B2" w:rsidP="001151B2">
      <w:pPr>
        <w:pStyle w:val="ListParagraph"/>
        <w:spacing w:before="120" w:after="0" w:line="288" w:lineRule="auto"/>
        <w:ind w:left="851"/>
        <w:jc w:val="both"/>
        <w:rPr>
          <w:rFonts w:ascii="Times New Roman" w:hAnsi="Times New Roman" w:cs="Times New Roman"/>
          <w:sz w:val="20"/>
          <w:szCs w:val="20"/>
        </w:rPr>
      </w:pPr>
      <w:r w:rsidRPr="007A4753">
        <w:rPr>
          <w:rFonts w:ascii="Times New Roman" w:hAnsi="Times New Roman" w:cs="Times New Roman"/>
          <w:sz w:val="20"/>
          <w:szCs w:val="20"/>
        </w:rPr>
        <w:t>Giá dịch vụ này được trả cho Công ty quản lý quỹ đầu tư Dragon Capital Việt Nam</w:t>
      </w:r>
      <w:r w:rsidR="00D72522" w:rsidRPr="007A4753">
        <w:rPr>
          <w:rFonts w:ascii="Times New Roman" w:hAnsi="Times New Roman" w:cs="Times New Roman"/>
          <w:sz w:val="20"/>
          <w:szCs w:val="20"/>
        </w:rPr>
        <w:t xml:space="preserve"> </w:t>
      </w:r>
      <w:r w:rsidRPr="007A4753">
        <w:rPr>
          <w:rFonts w:ascii="Times New Roman" w:hAnsi="Times New Roman" w:cs="Times New Roman"/>
          <w:sz w:val="20"/>
          <w:szCs w:val="20"/>
        </w:rPr>
        <w:t>(DCVFM) để thực hiện các dịch vụ quản lý cho Quỹ ETF DCVFMVN DIAMOND. Giá dịch vụ quản lý Quỹ được tính vào mỗi kỳ định giá dựa trên giá trị tài sản ròng trước phí tại ngày trước ngày định giá và được trả hàng tháng. Số giá dịch vụ trả hàng tháng là tổng số giá dịch vụ được tính cho các kỳ định giá thực hiện trong tháng. Giá dịch vụ quản lý quỹ là 0.8% NAV trước phí/năm.</w:t>
      </w:r>
    </w:p>
    <w:p w14:paraId="703D0784" w14:textId="77777777" w:rsidR="001151B2" w:rsidRDefault="001151B2" w:rsidP="001151B2">
      <w:pPr>
        <w:pStyle w:val="ListParagraph"/>
        <w:numPr>
          <w:ilvl w:val="0"/>
          <w:numId w:val="24"/>
        </w:numPr>
        <w:tabs>
          <w:tab w:val="left" w:pos="851"/>
        </w:tabs>
        <w:spacing w:before="120" w:after="0" w:line="288" w:lineRule="auto"/>
        <w:ind w:left="709"/>
        <w:jc w:val="both"/>
        <w:rPr>
          <w:rFonts w:ascii="Times New Roman" w:hAnsi="Times New Roman" w:cs="Times New Roman"/>
          <w:b/>
          <w:sz w:val="20"/>
          <w:szCs w:val="20"/>
        </w:rPr>
      </w:pPr>
      <w:r w:rsidRPr="007A4753">
        <w:rPr>
          <w:rFonts w:ascii="Times New Roman" w:hAnsi="Times New Roman" w:cs="Times New Roman"/>
          <w:b/>
          <w:sz w:val="20"/>
          <w:szCs w:val="20"/>
        </w:rPr>
        <w:t>Giá dịch vụ lưu ký, dịch vụ giám sát quỹ, dịch vụ quản trị quỹ</w:t>
      </w:r>
    </w:p>
    <w:p w14:paraId="7E8F6E5D" w14:textId="77777777" w:rsidR="00924E2D" w:rsidRPr="007A4753" w:rsidRDefault="00924E2D" w:rsidP="00924E2D">
      <w:pPr>
        <w:pStyle w:val="ListParagraph"/>
        <w:tabs>
          <w:tab w:val="left" w:pos="851"/>
        </w:tabs>
        <w:spacing w:before="120" w:after="0" w:line="288" w:lineRule="auto"/>
        <w:ind w:left="709"/>
        <w:jc w:val="both"/>
        <w:rPr>
          <w:rFonts w:ascii="Times New Roman" w:hAnsi="Times New Roman" w:cs="Times New Roman"/>
          <w:b/>
          <w:sz w:val="20"/>
          <w:szCs w:val="20"/>
        </w:rPr>
      </w:pPr>
    </w:p>
    <w:tbl>
      <w:tblPr>
        <w:tblW w:w="8928" w:type="dxa"/>
        <w:tblInd w:w="851" w:type="dxa"/>
        <w:tblBorders>
          <w:bottom w:val="double" w:sz="4" w:space="0" w:color="auto"/>
        </w:tblBorders>
        <w:tblLayout w:type="fixed"/>
        <w:tblLook w:val="0000" w:firstRow="0" w:lastRow="0" w:firstColumn="0" w:lastColumn="0" w:noHBand="0" w:noVBand="0"/>
      </w:tblPr>
      <w:tblGrid>
        <w:gridCol w:w="2700"/>
        <w:gridCol w:w="11"/>
        <w:gridCol w:w="6181"/>
        <w:gridCol w:w="36"/>
      </w:tblGrid>
      <w:tr w:rsidR="00924E2D" w:rsidRPr="00924E2D" w14:paraId="1A7267A6" w14:textId="77777777" w:rsidTr="00924E2D">
        <w:trPr>
          <w:gridAfter w:val="1"/>
          <w:wAfter w:w="36" w:type="dxa"/>
          <w:tblHeader/>
        </w:trPr>
        <w:tc>
          <w:tcPr>
            <w:tcW w:w="2700" w:type="dxa"/>
            <w:shd w:val="clear" w:color="auto" w:fill="auto"/>
          </w:tcPr>
          <w:p w14:paraId="1A4B5131" w14:textId="77777777" w:rsidR="00924E2D" w:rsidRPr="00924E2D" w:rsidRDefault="00924E2D" w:rsidP="00924E2D">
            <w:pPr>
              <w:keepNext/>
              <w:keepLines/>
              <w:overflowPunct w:val="0"/>
              <w:autoSpaceDE w:val="0"/>
              <w:autoSpaceDN w:val="0"/>
              <w:adjustRightInd w:val="0"/>
              <w:spacing w:after="0" w:line="240" w:lineRule="auto"/>
              <w:ind w:left="-18"/>
              <w:jc w:val="both"/>
              <w:textAlignment w:val="baseline"/>
              <w:rPr>
                <w:rFonts w:ascii="Times New Roman" w:eastAsia="Times New Roman" w:hAnsi="Times New Roman" w:cs="Times New Roman"/>
                <w:b/>
                <w:color w:val="000000"/>
                <w:sz w:val="20"/>
                <w:szCs w:val="20"/>
                <w:lang w:val="en-GB"/>
              </w:rPr>
            </w:pPr>
            <w:r w:rsidRPr="00924E2D">
              <w:rPr>
                <w:rFonts w:ascii="Times New Roman" w:eastAsia="Times New Roman" w:hAnsi="Times New Roman" w:cs="Times New Roman"/>
                <w:b/>
                <w:color w:val="000000"/>
                <w:sz w:val="20"/>
                <w:szCs w:val="20"/>
                <w:lang w:val="en-GB"/>
              </w:rPr>
              <w:t>Dịch vụ</w:t>
            </w:r>
          </w:p>
        </w:tc>
        <w:tc>
          <w:tcPr>
            <w:tcW w:w="6192" w:type="dxa"/>
            <w:gridSpan w:val="2"/>
            <w:shd w:val="clear" w:color="auto" w:fill="auto"/>
          </w:tcPr>
          <w:p w14:paraId="56767BA6" w14:textId="77777777" w:rsidR="00924E2D" w:rsidRPr="00924E2D" w:rsidRDefault="00924E2D" w:rsidP="00924E2D">
            <w:pPr>
              <w:keepNext/>
              <w:keepLines/>
              <w:overflowPunct w:val="0"/>
              <w:autoSpaceDE w:val="0"/>
              <w:autoSpaceDN w:val="0"/>
              <w:adjustRightInd w:val="0"/>
              <w:spacing w:after="0" w:line="240" w:lineRule="auto"/>
              <w:ind w:left="-18" w:right="-115"/>
              <w:textAlignment w:val="baseline"/>
              <w:rPr>
                <w:rFonts w:ascii="Times New Roman" w:eastAsia="Times New Roman" w:hAnsi="Times New Roman" w:cs="Times New Roman"/>
                <w:b/>
                <w:color w:val="000000"/>
                <w:sz w:val="20"/>
                <w:szCs w:val="20"/>
                <w:lang w:val="en-GB"/>
              </w:rPr>
            </w:pPr>
            <w:r w:rsidRPr="00924E2D">
              <w:rPr>
                <w:rFonts w:ascii="Times New Roman" w:eastAsia="Times New Roman" w:hAnsi="Times New Roman" w:cs="Times New Roman"/>
                <w:b/>
                <w:color w:val="000000"/>
                <w:sz w:val="20"/>
                <w:szCs w:val="20"/>
                <w:lang w:val="en-GB"/>
              </w:rPr>
              <w:t>Biểu phí</w:t>
            </w:r>
          </w:p>
        </w:tc>
      </w:tr>
      <w:tr w:rsidR="00924E2D" w:rsidRPr="00924E2D" w14:paraId="6016ED44" w14:textId="77777777" w:rsidTr="00924E2D">
        <w:trPr>
          <w:gridAfter w:val="1"/>
          <w:wAfter w:w="36" w:type="dxa"/>
          <w:tblHeader/>
        </w:trPr>
        <w:tc>
          <w:tcPr>
            <w:tcW w:w="2700" w:type="dxa"/>
            <w:shd w:val="clear" w:color="auto" w:fill="auto"/>
            <w:vAlign w:val="bottom"/>
          </w:tcPr>
          <w:p w14:paraId="31FF04B3" w14:textId="77777777" w:rsidR="00924E2D" w:rsidRPr="00924E2D" w:rsidRDefault="00924E2D" w:rsidP="00924E2D">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n-GB"/>
              </w:rPr>
            </w:pPr>
          </w:p>
        </w:tc>
        <w:tc>
          <w:tcPr>
            <w:tcW w:w="6192" w:type="dxa"/>
            <w:gridSpan w:val="2"/>
            <w:shd w:val="clear" w:color="auto" w:fill="auto"/>
            <w:vAlign w:val="bottom"/>
          </w:tcPr>
          <w:p w14:paraId="1F64261D" w14:textId="77777777" w:rsidR="00924E2D" w:rsidRPr="00924E2D" w:rsidRDefault="00924E2D" w:rsidP="00924E2D">
            <w:pPr>
              <w:keepNext/>
              <w:keepLines/>
              <w:overflowPunct w:val="0"/>
              <w:autoSpaceDE w:val="0"/>
              <w:autoSpaceDN w:val="0"/>
              <w:adjustRightInd w:val="0"/>
              <w:spacing w:after="0" w:line="240" w:lineRule="auto"/>
              <w:ind w:left="-18" w:right="-115"/>
              <w:jc w:val="center"/>
              <w:textAlignment w:val="baseline"/>
              <w:rPr>
                <w:rFonts w:ascii="Times New Roman" w:eastAsia="Times New Roman" w:hAnsi="Times New Roman" w:cs="Times New Roman"/>
                <w:b/>
                <w:color w:val="000000"/>
                <w:sz w:val="20"/>
                <w:szCs w:val="20"/>
                <w:lang w:val="en-GB"/>
              </w:rPr>
            </w:pPr>
          </w:p>
        </w:tc>
      </w:tr>
      <w:tr w:rsidR="00924E2D" w:rsidRPr="00924E2D" w14:paraId="760BB5FA" w14:textId="77777777" w:rsidTr="00924E2D">
        <w:tc>
          <w:tcPr>
            <w:tcW w:w="2711" w:type="dxa"/>
            <w:gridSpan w:val="2"/>
            <w:shd w:val="clear" w:color="auto" w:fill="auto"/>
          </w:tcPr>
          <w:p w14:paraId="6A993586" w14:textId="77777777" w:rsidR="00924E2D" w:rsidRPr="00924E2D" w:rsidRDefault="00924E2D" w:rsidP="00924E2D">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Lưu ký chứng khoán</w:t>
            </w:r>
          </w:p>
          <w:p w14:paraId="12A73E22" w14:textId="77777777" w:rsidR="00924E2D" w:rsidRPr="00924E2D" w:rsidRDefault="00924E2D" w:rsidP="00924E2D">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(không chịu thuế GTGT)</w:t>
            </w:r>
          </w:p>
        </w:tc>
        <w:tc>
          <w:tcPr>
            <w:tcW w:w="6217" w:type="dxa"/>
            <w:gridSpan w:val="2"/>
            <w:shd w:val="clear" w:color="auto" w:fill="auto"/>
            <w:vAlign w:val="bottom"/>
          </w:tcPr>
          <w:p w14:paraId="350759C5" w14:textId="77777777" w:rsidR="00924E2D" w:rsidRPr="00924E2D" w:rsidRDefault="00924E2D" w:rsidP="00924E2D">
            <w:pPr>
              <w:keepNext/>
              <w:keepLines/>
              <w:numPr>
                <w:ilvl w:val="0"/>
                <w:numId w:val="32"/>
              </w:numPr>
              <w:overflowPunct w:val="0"/>
              <w:autoSpaceDE w:val="0"/>
              <w:autoSpaceDN w:val="0"/>
              <w:adjustRightInd w:val="0"/>
              <w:spacing w:after="0" w:line="240" w:lineRule="auto"/>
              <w:ind w:left="396" w:right="-115"/>
              <w:jc w:val="both"/>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Tối đa 0</w:t>
            </w:r>
            <w:proofErr w:type="gramStart"/>
            <w:r w:rsidRPr="00924E2D">
              <w:rPr>
                <w:rFonts w:ascii="Times New Roman" w:eastAsia="Times New Roman" w:hAnsi="Times New Roman" w:cs="Times New Roman"/>
                <w:color w:val="000000"/>
                <w:sz w:val="20"/>
                <w:szCs w:val="20"/>
                <w:lang w:val="en-GB"/>
              </w:rPr>
              <w:t>,02</w:t>
            </w:r>
            <w:proofErr w:type="gramEnd"/>
            <w:r w:rsidRPr="00924E2D">
              <w:rPr>
                <w:rFonts w:ascii="Times New Roman" w:eastAsia="Times New Roman" w:hAnsi="Times New Roman" w:cs="Times New Roman"/>
                <w:color w:val="000000"/>
                <w:sz w:val="20"/>
                <w:szCs w:val="20"/>
                <w:lang w:val="en-GB"/>
              </w:rPr>
              <w:t>% NAV mỗi năm.</w:t>
            </w:r>
          </w:p>
        </w:tc>
      </w:tr>
      <w:tr w:rsidR="00924E2D" w:rsidRPr="00924E2D" w14:paraId="205675C3" w14:textId="77777777" w:rsidTr="00924E2D">
        <w:tc>
          <w:tcPr>
            <w:tcW w:w="2711" w:type="dxa"/>
            <w:gridSpan w:val="2"/>
            <w:tcBorders>
              <w:bottom w:val="nil"/>
            </w:tcBorders>
            <w:shd w:val="clear" w:color="auto" w:fill="auto"/>
            <w:vAlign w:val="center"/>
          </w:tcPr>
          <w:p w14:paraId="3A5128BD" w14:textId="77777777" w:rsidR="00924E2D" w:rsidRPr="00924E2D" w:rsidRDefault="00924E2D" w:rsidP="00924E2D">
            <w:pPr>
              <w:keepNext/>
              <w:keepLines/>
              <w:tabs>
                <w:tab w:val="num" w:pos="340"/>
              </w:tabs>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en-GB"/>
              </w:rPr>
            </w:pPr>
          </w:p>
        </w:tc>
        <w:tc>
          <w:tcPr>
            <w:tcW w:w="6217" w:type="dxa"/>
            <w:gridSpan w:val="2"/>
            <w:tcBorders>
              <w:bottom w:val="nil"/>
            </w:tcBorders>
            <w:shd w:val="clear" w:color="auto" w:fill="auto"/>
            <w:vAlign w:val="bottom"/>
          </w:tcPr>
          <w:p w14:paraId="5694AA4F" w14:textId="77777777" w:rsidR="00924E2D" w:rsidRPr="00924E2D" w:rsidRDefault="00924E2D" w:rsidP="00924E2D">
            <w:pPr>
              <w:keepNext/>
              <w:keepLines/>
              <w:widowControl w:val="0"/>
              <w:tabs>
                <w:tab w:val="decimal" w:pos="995"/>
              </w:tabs>
              <w:overflowPunct w:val="0"/>
              <w:autoSpaceDE w:val="0"/>
              <w:autoSpaceDN w:val="0"/>
              <w:adjustRightInd w:val="0"/>
              <w:spacing w:after="0" w:line="240" w:lineRule="auto"/>
              <w:ind w:left="396"/>
              <w:textAlignment w:val="baseline"/>
              <w:rPr>
                <w:rFonts w:ascii="Times New Roman" w:eastAsia="Times New Roman" w:hAnsi="Times New Roman" w:cs="Times New Roman"/>
                <w:color w:val="000000"/>
                <w:sz w:val="20"/>
                <w:szCs w:val="20"/>
                <w:lang w:val="en-GB"/>
              </w:rPr>
            </w:pPr>
          </w:p>
        </w:tc>
      </w:tr>
      <w:tr w:rsidR="00924E2D" w:rsidRPr="00924E2D" w14:paraId="7241843A" w14:textId="77777777" w:rsidTr="00924E2D">
        <w:trPr>
          <w:trHeight w:val="259"/>
          <w:tblHeader/>
        </w:trPr>
        <w:tc>
          <w:tcPr>
            <w:tcW w:w="2700" w:type="dxa"/>
            <w:shd w:val="clear" w:color="auto" w:fill="auto"/>
          </w:tcPr>
          <w:p w14:paraId="2FF0843F" w14:textId="77777777" w:rsidR="00924E2D" w:rsidRPr="00924E2D" w:rsidRDefault="00924E2D" w:rsidP="00924E2D">
            <w:pPr>
              <w:keepNext/>
              <w:keepLines/>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Giám sát tài sản</w:t>
            </w:r>
          </w:p>
          <w:p w14:paraId="390E2686" w14:textId="77777777" w:rsidR="00924E2D" w:rsidRPr="00924E2D" w:rsidRDefault="00924E2D" w:rsidP="00924E2D">
            <w:pPr>
              <w:keepNext/>
              <w:keepLines/>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(chưa bao gốm thuế GTGT)</w:t>
            </w:r>
          </w:p>
        </w:tc>
        <w:tc>
          <w:tcPr>
            <w:tcW w:w="6228" w:type="dxa"/>
            <w:gridSpan w:val="3"/>
            <w:shd w:val="clear" w:color="auto" w:fill="auto"/>
            <w:vAlign w:val="bottom"/>
          </w:tcPr>
          <w:p w14:paraId="6EE8C103" w14:textId="77777777" w:rsidR="00924E2D" w:rsidRPr="00924E2D" w:rsidRDefault="00924E2D" w:rsidP="00924E2D">
            <w:pPr>
              <w:keepNext/>
              <w:keepLines/>
              <w:widowControl w:val="0"/>
              <w:numPr>
                <w:ilvl w:val="0"/>
                <w:numId w:val="32"/>
              </w:numPr>
              <w:tabs>
                <w:tab w:val="decimal" w:pos="995"/>
              </w:tabs>
              <w:overflowPunct w:val="0"/>
              <w:autoSpaceDE w:val="0"/>
              <w:autoSpaceDN w:val="0"/>
              <w:adjustRightInd w:val="0"/>
              <w:spacing w:after="0" w:line="240" w:lineRule="auto"/>
              <w:ind w:left="396"/>
              <w:jc w:val="both"/>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Tối đa 0</w:t>
            </w:r>
            <w:proofErr w:type="gramStart"/>
            <w:r w:rsidRPr="00924E2D">
              <w:rPr>
                <w:rFonts w:ascii="Times New Roman" w:eastAsia="Times New Roman" w:hAnsi="Times New Roman" w:cs="Times New Roman"/>
                <w:color w:val="000000"/>
                <w:sz w:val="20"/>
                <w:szCs w:val="20"/>
                <w:lang w:val="en-GB"/>
              </w:rPr>
              <w:t>,06</w:t>
            </w:r>
            <w:proofErr w:type="gramEnd"/>
            <w:r w:rsidRPr="00924E2D">
              <w:rPr>
                <w:rFonts w:ascii="Times New Roman" w:eastAsia="Times New Roman" w:hAnsi="Times New Roman" w:cs="Times New Roman"/>
                <w:color w:val="000000"/>
                <w:sz w:val="20"/>
                <w:szCs w:val="20"/>
                <w:lang w:val="en-GB"/>
              </w:rPr>
              <w:t>% NAV mỗi năm.</w:t>
            </w:r>
          </w:p>
        </w:tc>
      </w:tr>
      <w:tr w:rsidR="00924E2D" w:rsidRPr="00924E2D" w14:paraId="0591E813" w14:textId="77777777" w:rsidTr="00924E2D">
        <w:trPr>
          <w:gridAfter w:val="1"/>
          <w:wAfter w:w="36" w:type="dxa"/>
          <w:trHeight w:val="259"/>
          <w:tblHeader/>
        </w:trPr>
        <w:tc>
          <w:tcPr>
            <w:tcW w:w="2700" w:type="dxa"/>
            <w:shd w:val="clear" w:color="auto" w:fill="auto"/>
          </w:tcPr>
          <w:p w14:paraId="567A93E3" w14:textId="77777777" w:rsidR="00924E2D" w:rsidRPr="00924E2D" w:rsidRDefault="00924E2D" w:rsidP="00924E2D">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n-GB"/>
              </w:rPr>
            </w:pPr>
          </w:p>
        </w:tc>
        <w:tc>
          <w:tcPr>
            <w:tcW w:w="6192" w:type="dxa"/>
            <w:gridSpan w:val="2"/>
            <w:shd w:val="clear" w:color="auto" w:fill="auto"/>
            <w:vAlign w:val="bottom"/>
          </w:tcPr>
          <w:p w14:paraId="37885E2E" w14:textId="77777777" w:rsidR="00924E2D" w:rsidRPr="00924E2D" w:rsidRDefault="00924E2D" w:rsidP="00924E2D">
            <w:pPr>
              <w:keepNext/>
              <w:keepLines/>
              <w:overflowPunct w:val="0"/>
              <w:autoSpaceDE w:val="0"/>
              <w:autoSpaceDN w:val="0"/>
              <w:adjustRightInd w:val="0"/>
              <w:spacing w:after="0" w:line="240" w:lineRule="auto"/>
              <w:ind w:left="396" w:right="-115"/>
              <w:textAlignment w:val="baseline"/>
              <w:rPr>
                <w:rFonts w:ascii="Times New Roman" w:eastAsia="Times New Roman" w:hAnsi="Times New Roman" w:cs="Times New Roman"/>
                <w:color w:val="000000"/>
                <w:sz w:val="20"/>
                <w:szCs w:val="20"/>
                <w:lang w:val="en-GB"/>
              </w:rPr>
            </w:pPr>
          </w:p>
        </w:tc>
      </w:tr>
      <w:tr w:rsidR="00924E2D" w:rsidRPr="00924E2D" w14:paraId="270C2B3B" w14:textId="77777777" w:rsidTr="00924E2D">
        <w:trPr>
          <w:gridAfter w:val="1"/>
          <w:wAfter w:w="36" w:type="dxa"/>
        </w:trPr>
        <w:tc>
          <w:tcPr>
            <w:tcW w:w="2700" w:type="dxa"/>
            <w:tcBorders>
              <w:bottom w:val="nil"/>
            </w:tcBorders>
            <w:shd w:val="clear" w:color="auto" w:fill="auto"/>
          </w:tcPr>
          <w:p w14:paraId="4980E0D1" w14:textId="77777777" w:rsidR="00924E2D" w:rsidRPr="00924E2D" w:rsidRDefault="00924E2D" w:rsidP="00924E2D">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Quản trị Quỹ</w:t>
            </w:r>
          </w:p>
          <w:p w14:paraId="703D8970" w14:textId="77777777" w:rsidR="00924E2D" w:rsidRPr="00924E2D" w:rsidRDefault="00924E2D" w:rsidP="00924E2D">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(chưa bao gồm thuế GTGT)</w:t>
            </w:r>
          </w:p>
        </w:tc>
        <w:tc>
          <w:tcPr>
            <w:tcW w:w="6192" w:type="dxa"/>
            <w:gridSpan w:val="2"/>
            <w:tcBorders>
              <w:bottom w:val="nil"/>
            </w:tcBorders>
            <w:shd w:val="clear" w:color="auto" w:fill="auto"/>
            <w:vAlign w:val="bottom"/>
          </w:tcPr>
          <w:p w14:paraId="03CE93E3" w14:textId="77777777" w:rsidR="00924E2D" w:rsidRPr="00924E2D" w:rsidRDefault="00924E2D" w:rsidP="00924E2D">
            <w:pPr>
              <w:keepNext/>
              <w:keepLines/>
              <w:widowControl w:val="0"/>
              <w:numPr>
                <w:ilvl w:val="0"/>
                <w:numId w:val="32"/>
              </w:numPr>
              <w:tabs>
                <w:tab w:val="decimal" w:pos="995"/>
              </w:tabs>
              <w:overflowPunct w:val="0"/>
              <w:autoSpaceDE w:val="0"/>
              <w:autoSpaceDN w:val="0"/>
              <w:adjustRightInd w:val="0"/>
              <w:spacing w:after="0" w:line="240" w:lineRule="auto"/>
              <w:ind w:left="396"/>
              <w:jc w:val="both"/>
              <w:textAlignment w:val="baseline"/>
              <w:rPr>
                <w:rFonts w:ascii="Times New Roman" w:eastAsia="Times New Roman" w:hAnsi="Times New Roman" w:cs="Times New Roman"/>
                <w:color w:val="000000"/>
                <w:sz w:val="20"/>
                <w:szCs w:val="20"/>
                <w:lang w:val="en-GB"/>
              </w:rPr>
            </w:pPr>
            <w:r w:rsidRPr="00924E2D">
              <w:rPr>
                <w:rFonts w:ascii="Times New Roman" w:eastAsia="Times New Roman" w:hAnsi="Times New Roman" w:cs="Times New Roman"/>
                <w:color w:val="000000"/>
                <w:sz w:val="20"/>
                <w:szCs w:val="20"/>
                <w:lang w:val="en-GB"/>
              </w:rPr>
              <w:t>Tối đa 0</w:t>
            </w:r>
            <w:proofErr w:type="gramStart"/>
            <w:r w:rsidRPr="00924E2D">
              <w:rPr>
                <w:rFonts w:ascii="Times New Roman" w:eastAsia="Times New Roman" w:hAnsi="Times New Roman" w:cs="Times New Roman"/>
                <w:color w:val="000000"/>
                <w:sz w:val="20"/>
                <w:szCs w:val="20"/>
                <w:lang w:val="en-GB"/>
              </w:rPr>
              <w:t>,03</w:t>
            </w:r>
            <w:proofErr w:type="gramEnd"/>
            <w:r w:rsidRPr="00924E2D">
              <w:rPr>
                <w:rFonts w:ascii="Times New Roman" w:eastAsia="Times New Roman" w:hAnsi="Times New Roman" w:cs="Times New Roman"/>
                <w:color w:val="000000"/>
                <w:sz w:val="20"/>
                <w:szCs w:val="20"/>
                <w:lang w:val="en-GB"/>
              </w:rPr>
              <w:t>% NAV mỗi năm.</w:t>
            </w:r>
          </w:p>
        </w:tc>
      </w:tr>
    </w:tbl>
    <w:p w14:paraId="2260E7BB" w14:textId="77777777" w:rsidR="00924E2D" w:rsidRPr="00924E2D" w:rsidRDefault="00924E2D" w:rsidP="00924E2D">
      <w:pPr>
        <w:pStyle w:val="ListParagraph"/>
        <w:spacing w:before="120" w:after="0" w:line="288" w:lineRule="auto"/>
        <w:ind w:left="851"/>
        <w:jc w:val="both"/>
        <w:rPr>
          <w:rFonts w:ascii="Times New Roman" w:hAnsi="Times New Roman" w:cs="Times New Roman"/>
          <w:sz w:val="20"/>
          <w:szCs w:val="20"/>
        </w:rPr>
      </w:pPr>
      <w:r w:rsidRPr="00924E2D">
        <w:rPr>
          <w:rFonts w:ascii="Times New Roman" w:hAnsi="Times New Roman" w:cs="Times New Roman"/>
          <w:sz w:val="20"/>
          <w:szCs w:val="20"/>
        </w:rPr>
        <w:t>Các phí trên được tính vào mỗi kỳ định giá dựa trên NAV trước phí tại ngày trước ngày định giá và được trả hàng tháng.  Số phí trả hàng tháng là tổng số phí được tính cho các kỳ định giá thực hiện trong tháng.</w:t>
      </w:r>
    </w:p>
    <w:p w14:paraId="325F3673" w14:textId="6B22A695" w:rsidR="001151B2" w:rsidRPr="007A4753" w:rsidRDefault="00924E2D" w:rsidP="00924E2D">
      <w:pPr>
        <w:pStyle w:val="ListParagraph"/>
        <w:spacing w:before="120" w:after="0" w:line="288" w:lineRule="auto"/>
        <w:ind w:left="851"/>
        <w:jc w:val="both"/>
        <w:rPr>
          <w:rFonts w:ascii="Times New Roman" w:hAnsi="Times New Roman" w:cs="Times New Roman"/>
          <w:sz w:val="20"/>
          <w:szCs w:val="20"/>
        </w:rPr>
      </w:pPr>
      <w:r w:rsidRPr="00924E2D">
        <w:rPr>
          <w:rFonts w:ascii="Times New Roman" w:hAnsi="Times New Roman" w:cs="Times New Roman"/>
          <w:sz w:val="20"/>
          <w:szCs w:val="20"/>
        </w:rPr>
        <w:t>Quỹ sẽ phải thanh toán cho Ngân hàng Giám sát chi phí giao dịch chứng khoán là 100.000 VND cho mỗi giao dịch</w:t>
      </w:r>
      <w:proofErr w:type="gramStart"/>
      <w:r w:rsidRPr="00924E2D">
        <w:rPr>
          <w:rFonts w:ascii="Times New Roman" w:hAnsi="Times New Roman" w:cs="Times New Roman"/>
          <w:sz w:val="20"/>
          <w:szCs w:val="20"/>
        </w:rPr>
        <w:t>.</w:t>
      </w:r>
      <w:r w:rsidR="001151B2" w:rsidRPr="007A4753">
        <w:rPr>
          <w:rFonts w:ascii="Times New Roman" w:hAnsi="Times New Roman" w:cs="Times New Roman"/>
          <w:sz w:val="20"/>
          <w:szCs w:val="20"/>
        </w:rPr>
        <w:t>.</w:t>
      </w:r>
      <w:proofErr w:type="gramEnd"/>
    </w:p>
    <w:p w14:paraId="09B89FD7" w14:textId="77777777" w:rsidR="001151B2" w:rsidRDefault="001151B2" w:rsidP="001151B2">
      <w:pPr>
        <w:pStyle w:val="ListParagraph"/>
        <w:numPr>
          <w:ilvl w:val="0"/>
          <w:numId w:val="24"/>
        </w:numPr>
        <w:tabs>
          <w:tab w:val="left" w:pos="851"/>
        </w:tabs>
        <w:spacing w:before="120" w:after="0" w:line="288" w:lineRule="auto"/>
        <w:ind w:left="851" w:hanging="567"/>
        <w:jc w:val="both"/>
        <w:rPr>
          <w:rFonts w:ascii="Times New Roman" w:hAnsi="Times New Roman" w:cs="Times New Roman"/>
          <w:b/>
          <w:sz w:val="20"/>
          <w:szCs w:val="20"/>
        </w:rPr>
      </w:pPr>
      <w:r w:rsidRPr="007A4753">
        <w:rPr>
          <w:rFonts w:ascii="Times New Roman" w:hAnsi="Times New Roman" w:cs="Times New Roman"/>
          <w:b/>
          <w:sz w:val="20"/>
          <w:szCs w:val="20"/>
        </w:rPr>
        <w:t>Giá dịch vụ cung cấp dịch vụ tính giá trị tài sản ròng tham chiếu (iNAV), giá dịch vụ quản lý và vận hành chỉ số tham chiếu</w:t>
      </w:r>
    </w:p>
    <w:tbl>
      <w:tblPr>
        <w:tblW w:w="9090" w:type="dxa"/>
        <w:tblInd w:w="846" w:type="dxa"/>
        <w:tblLook w:val="0000" w:firstRow="0" w:lastRow="0" w:firstColumn="0" w:lastColumn="0" w:noHBand="0" w:noVBand="0"/>
      </w:tblPr>
      <w:tblGrid>
        <w:gridCol w:w="2790"/>
        <w:gridCol w:w="6300"/>
      </w:tblGrid>
      <w:tr w:rsidR="00924E2D" w:rsidRPr="00924E2D" w14:paraId="09749FD9" w14:textId="77777777" w:rsidTr="00924E2D">
        <w:trPr>
          <w:tblHeader/>
        </w:trPr>
        <w:tc>
          <w:tcPr>
            <w:tcW w:w="2790" w:type="dxa"/>
            <w:shd w:val="clear" w:color="auto" w:fill="auto"/>
            <w:vAlign w:val="center"/>
          </w:tcPr>
          <w:p w14:paraId="64005422" w14:textId="77777777" w:rsidR="00924E2D" w:rsidRPr="00924E2D" w:rsidRDefault="00924E2D" w:rsidP="00B87DB1">
            <w:pPr>
              <w:keepNext/>
              <w:spacing w:after="0"/>
              <w:ind w:left="-18"/>
              <w:rPr>
                <w:rFonts w:ascii="Times New Roman" w:hAnsi="Times New Roman" w:cs="Times New Roman"/>
                <w:b/>
                <w:color w:val="000000"/>
                <w:sz w:val="20"/>
                <w:szCs w:val="20"/>
              </w:rPr>
            </w:pPr>
            <w:r w:rsidRPr="00924E2D">
              <w:rPr>
                <w:rFonts w:ascii="Times New Roman" w:hAnsi="Times New Roman" w:cs="Times New Roman"/>
                <w:b/>
                <w:color w:val="000000"/>
                <w:sz w:val="20"/>
                <w:szCs w:val="20"/>
              </w:rPr>
              <w:lastRenderedPageBreak/>
              <w:t>Dịch vụ</w:t>
            </w:r>
          </w:p>
        </w:tc>
        <w:tc>
          <w:tcPr>
            <w:tcW w:w="6300" w:type="dxa"/>
            <w:shd w:val="clear" w:color="auto" w:fill="auto"/>
            <w:vAlign w:val="center"/>
          </w:tcPr>
          <w:p w14:paraId="7BA87A9C" w14:textId="77777777" w:rsidR="00924E2D" w:rsidRPr="00924E2D" w:rsidRDefault="00924E2D" w:rsidP="00B87DB1">
            <w:pPr>
              <w:keepNext/>
              <w:spacing w:after="0"/>
              <w:ind w:left="-18" w:right="-115"/>
              <w:rPr>
                <w:rFonts w:ascii="Times New Roman" w:hAnsi="Times New Roman" w:cs="Times New Roman"/>
                <w:b/>
                <w:color w:val="000000"/>
                <w:sz w:val="20"/>
                <w:szCs w:val="20"/>
              </w:rPr>
            </w:pPr>
            <w:r w:rsidRPr="00924E2D">
              <w:rPr>
                <w:rFonts w:ascii="Times New Roman" w:hAnsi="Times New Roman" w:cs="Times New Roman"/>
                <w:b/>
                <w:color w:val="000000"/>
                <w:sz w:val="20"/>
                <w:szCs w:val="20"/>
              </w:rPr>
              <w:t>Biểu phí</w:t>
            </w:r>
          </w:p>
        </w:tc>
      </w:tr>
      <w:tr w:rsidR="00924E2D" w:rsidRPr="00924E2D" w14:paraId="01BE1BCD" w14:textId="77777777" w:rsidTr="00924E2D">
        <w:trPr>
          <w:trHeight w:val="259"/>
          <w:tblHeader/>
        </w:trPr>
        <w:tc>
          <w:tcPr>
            <w:tcW w:w="2790" w:type="dxa"/>
            <w:shd w:val="clear" w:color="auto" w:fill="auto"/>
            <w:vAlign w:val="center"/>
          </w:tcPr>
          <w:p w14:paraId="5A24EDF8" w14:textId="77777777" w:rsidR="00924E2D" w:rsidRPr="00924E2D" w:rsidRDefault="00924E2D" w:rsidP="00B87DB1">
            <w:pPr>
              <w:keepNext/>
              <w:spacing w:after="0"/>
              <w:rPr>
                <w:rFonts w:ascii="Times New Roman" w:hAnsi="Times New Roman" w:cs="Times New Roman"/>
                <w:color w:val="000000"/>
                <w:sz w:val="20"/>
                <w:szCs w:val="20"/>
              </w:rPr>
            </w:pPr>
            <w:r w:rsidRPr="00924E2D">
              <w:rPr>
                <w:rFonts w:ascii="Times New Roman" w:hAnsi="Times New Roman" w:cs="Times New Roman"/>
                <w:sz w:val="20"/>
                <w:szCs w:val="20"/>
              </w:rPr>
              <w:t>Phí trả cho HSX về quản lý và vận hành chỉ số tham chiếu</w:t>
            </w:r>
            <w:r>
              <w:rPr>
                <w:rFonts w:ascii="Times New Roman" w:hAnsi="Times New Roman" w:cs="Times New Roman"/>
                <w:sz w:val="20"/>
                <w:szCs w:val="20"/>
              </w:rPr>
              <w:t xml:space="preserve"> </w:t>
            </w:r>
            <w:r w:rsidRPr="00924E2D">
              <w:rPr>
                <w:rFonts w:ascii="Times New Roman" w:hAnsi="Times New Roman" w:cs="Times New Roman"/>
                <w:sz w:val="20"/>
                <w:szCs w:val="20"/>
              </w:rPr>
              <w:t>(không chịu thuế giá trị gia tăng (“GTGT”))</w:t>
            </w:r>
          </w:p>
        </w:tc>
        <w:tc>
          <w:tcPr>
            <w:tcW w:w="6300" w:type="dxa"/>
            <w:shd w:val="clear" w:color="auto" w:fill="auto"/>
            <w:vAlign w:val="center"/>
          </w:tcPr>
          <w:p w14:paraId="55CA2E64" w14:textId="77777777" w:rsidR="00924E2D" w:rsidRPr="00924E2D" w:rsidRDefault="00924E2D" w:rsidP="00B87DB1">
            <w:pPr>
              <w:keepNext/>
              <w:keepLines/>
              <w:widowControl w:val="0"/>
              <w:numPr>
                <w:ilvl w:val="0"/>
                <w:numId w:val="32"/>
              </w:numPr>
              <w:tabs>
                <w:tab w:val="decimal" w:pos="995"/>
              </w:tabs>
              <w:overflowPunct w:val="0"/>
              <w:autoSpaceDE w:val="0"/>
              <w:autoSpaceDN w:val="0"/>
              <w:adjustRightInd w:val="0"/>
              <w:spacing w:after="0" w:line="240" w:lineRule="auto"/>
              <w:ind w:left="396"/>
              <w:textAlignment w:val="baseline"/>
              <w:rPr>
                <w:rFonts w:ascii="Times New Roman" w:hAnsi="Times New Roman" w:cs="Times New Roman"/>
                <w:color w:val="000000"/>
                <w:sz w:val="20"/>
                <w:szCs w:val="20"/>
              </w:rPr>
            </w:pPr>
            <w:r w:rsidRPr="00924E2D">
              <w:rPr>
                <w:rFonts w:ascii="Times New Roman" w:hAnsi="Times New Roman" w:cs="Times New Roman"/>
                <w:color w:val="000000"/>
                <w:sz w:val="20"/>
                <w:szCs w:val="20"/>
              </w:rPr>
              <w:t>NAV dưới 500 tỷ VND: 0,080% NAV mỗi năm;</w:t>
            </w:r>
          </w:p>
          <w:p w14:paraId="4862905D" w14:textId="77777777" w:rsidR="00924E2D" w:rsidRDefault="00924E2D" w:rsidP="00B87DB1">
            <w:pPr>
              <w:keepNext/>
              <w:keepLines/>
              <w:widowControl w:val="0"/>
              <w:numPr>
                <w:ilvl w:val="0"/>
                <w:numId w:val="32"/>
              </w:numPr>
              <w:overflowPunct w:val="0"/>
              <w:autoSpaceDE w:val="0"/>
              <w:autoSpaceDN w:val="0"/>
              <w:adjustRightInd w:val="0"/>
              <w:spacing w:after="0" w:line="240" w:lineRule="auto"/>
              <w:ind w:left="396" w:right="-225"/>
              <w:textAlignment w:val="baseline"/>
              <w:rPr>
                <w:rFonts w:ascii="Times New Roman" w:hAnsi="Times New Roman" w:cs="Times New Roman"/>
                <w:color w:val="000000"/>
                <w:sz w:val="20"/>
                <w:szCs w:val="20"/>
              </w:rPr>
            </w:pPr>
            <w:r w:rsidRPr="00924E2D">
              <w:rPr>
                <w:rFonts w:ascii="Times New Roman" w:hAnsi="Times New Roman" w:cs="Times New Roman"/>
                <w:color w:val="000000"/>
                <w:sz w:val="20"/>
                <w:szCs w:val="20"/>
              </w:rPr>
              <w:t>NAV từ 500 tỷ VND đến dưới 1.000 tỷ VND: 0,065% NAV</w:t>
            </w:r>
            <w:r>
              <w:rPr>
                <w:rFonts w:ascii="Times New Roman" w:hAnsi="Times New Roman" w:cs="Times New Roman"/>
                <w:color w:val="000000"/>
                <w:sz w:val="20"/>
                <w:szCs w:val="20"/>
              </w:rPr>
              <w:t xml:space="preserve"> </w:t>
            </w:r>
            <w:r w:rsidRPr="00924E2D">
              <w:rPr>
                <w:rFonts w:ascii="Times New Roman" w:hAnsi="Times New Roman" w:cs="Times New Roman"/>
                <w:color w:val="000000"/>
                <w:sz w:val="20"/>
                <w:szCs w:val="20"/>
              </w:rPr>
              <w:t>mỗi năm;</w:t>
            </w:r>
          </w:p>
          <w:p w14:paraId="0849180E" w14:textId="77777777" w:rsidR="00924E2D" w:rsidRPr="00924E2D" w:rsidRDefault="00924E2D" w:rsidP="00B87DB1">
            <w:pPr>
              <w:keepNext/>
              <w:keepLines/>
              <w:widowControl w:val="0"/>
              <w:numPr>
                <w:ilvl w:val="0"/>
                <w:numId w:val="32"/>
              </w:numPr>
              <w:overflowPunct w:val="0"/>
              <w:autoSpaceDE w:val="0"/>
              <w:autoSpaceDN w:val="0"/>
              <w:adjustRightInd w:val="0"/>
              <w:spacing w:after="0" w:line="240" w:lineRule="auto"/>
              <w:ind w:left="396" w:right="-225"/>
              <w:textAlignment w:val="baseline"/>
              <w:rPr>
                <w:rFonts w:ascii="Times New Roman" w:hAnsi="Times New Roman" w:cs="Times New Roman"/>
                <w:color w:val="000000"/>
                <w:sz w:val="20"/>
                <w:szCs w:val="20"/>
              </w:rPr>
            </w:pPr>
            <w:r w:rsidRPr="00924E2D">
              <w:rPr>
                <w:rFonts w:ascii="Times New Roman" w:hAnsi="Times New Roman" w:cs="Times New Roman"/>
                <w:color w:val="000000"/>
                <w:sz w:val="20"/>
                <w:szCs w:val="20"/>
              </w:rPr>
              <w:t>NAV từ 1.000 tỷ VND đến dưới 2.000 tỷ VND: 0,055% NAV mỗi năm;</w:t>
            </w:r>
          </w:p>
          <w:p w14:paraId="772C8382" w14:textId="77777777" w:rsidR="00924E2D" w:rsidRPr="00924E2D" w:rsidRDefault="00924E2D" w:rsidP="00B87DB1">
            <w:pPr>
              <w:keepNext/>
              <w:keepLines/>
              <w:widowControl w:val="0"/>
              <w:numPr>
                <w:ilvl w:val="0"/>
                <w:numId w:val="32"/>
              </w:numPr>
              <w:overflowPunct w:val="0"/>
              <w:autoSpaceDE w:val="0"/>
              <w:autoSpaceDN w:val="0"/>
              <w:adjustRightInd w:val="0"/>
              <w:spacing w:after="0" w:line="240" w:lineRule="auto"/>
              <w:ind w:left="396" w:right="-225"/>
              <w:textAlignment w:val="baseline"/>
              <w:rPr>
                <w:rFonts w:ascii="Times New Roman" w:hAnsi="Times New Roman" w:cs="Times New Roman"/>
                <w:color w:val="000000"/>
                <w:sz w:val="20"/>
                <w:szCs w:val="20"/>
              </w:rPr>
            </w:pPr>
            <w:r w:rsidRPr="00924E2D">
              <w:rPr>
                <w:rFonts w:ascii="Times New Roman" w:hAnsi="Times New Roman" w:cs="Times New Roman"/>
                <w:color w:val="000000"/>
                <w:sz w:val="20"/>
                <w:szCs w:val="20"/>
              </w:rPr>
              <w:t>NAV từ 2.000 tỷ VND trở lên: 0,040% NAV mỗi năm.</w:t>
            </w:r>
          </w:p>
        </w:tc>
      </w:tr>
      <w:tr w:rsidR="00924E2D" w:rsidRPr="00924E2D" w14:paraId="5236C82C" w14:textId="77777777" w:rsidTr="00924E2D">
        <w:trPr>
          <w:trHeight w:val="1343"/>
        </w:trPr>
        <w:tc>
          <w:tcPr>
            <w:tcW w:w="2790" w:type="dxa"/>
            <w:shd w:val="clear" w:color="auto" w:fill="auto"/>
            <w:vAlign w:val="center"/>
          </w:tcPr>
          <w:p w14:paraId="753D2777" w14:textId="77777777" w:rsidR="00924E2D" w:rsidRPr="00924E2D" w:rsidRDefault="00924E2D" w:rsidP="00B87DB1">
            <w:pPr>
              <w:keepNext/>
              <w:tabs>
                <w:tab w:val="num" w:pos="340"/>
              </w:tabs>
              <w:spacing w:after="0"/>
              <w:ind w:right="-108"/>
              <w:rPr>
                <w:rFonts w:ascii="Times New Roman" w:hAnsi="Times New Roman" w:cs="Times New Roman"/>
                <w:sz w:val="20"/>
                <w:szCs w:val="20"/>
              </w:rPr>
            </w:pPr>
            <w:r w:rsidRPr="00924E2D">
              <w:rPr>
                <w:rFonts w:ascii="Times New Roman" w:hAnsi="Times New Roman" w:cs="Times New Roman"/>
                <w:sz w:val="20"/>
                <w:szCs w:val="20"/>
              </w:rPr>
              <w:t xml:space="preserve">Phí trả cho HSX về cung cấp dịch vụ tính giá trị tài sản ròng tham chiếu </w:t>
            </w:r>
            <w:r w:rsidRPr="00924E2D">
              <w:rPr>
                <w:rFonts w:ascii="Times New Roman" w:hAnsi="Times New Roman" w:cs="Times New Roman"/>
                <w:sz w:val="20"/>
                <w:szCs w:val="20"/>
                <w:lang w:val="vi-VN"/>
              </w:rPr>
              <w:t xml:space="preserve">trên một chứng chỉ Quỹ </w:t>
            </w:r>
            <w:r w:rsidRPr="00924E2D">
              <w:rPr>
                <w:rFonts w:ascii="Times New Roman" w:hAnsi="Times New Roman" w:cs="Times New Roman"/>
                <w:sz w:val="20"/>
                <w:szCs w:val="20"/>
              </w:rPr>
              <w:t>(iNAV)</w:t>
            </w:r>
            <w:r>
              <w:rPr>
                <w:rFonts w:ascii="Times New Roman" w:hAnsi="Times New Roman" w:cs="Times New Roman"/>
                <w:sz w:val="20"/>
                <w:szCs w:val="20"/>
              </w:rPr>
              <w:t xml:space="preserve"> </w:t>
            </w:r>
            <w:r w:rsidRPr="00924E2D">
              <w:rPr>
                <w:rFonts w:ascii="Times New Roman" w:hAnsi="Times New Roman" w:cs="Times New Roman"/>
                <w:sz w:val="20"/>
                <w:szCs w:val="20"/>
              </w:rPr>
              <w:t>(không chịu thuế GTGT)</w:t>
            </w:r>
          </w:p>
        </w:tc>
        <w:tc>
          <w:tcPr>
            <w:tcW w:w="6300" w:type="dxa"/>
            <w:shd w:val="clear" w:color="auto" w:fill="auto"/>
            <w:vAlign w:val="center"/>
          </w:tcPr>
          <w:p w14:paraId="461FEF94" w14:textId="77777777" w:rsidR="00924E2D" w:rsidRPr="00924E2D" w:rsidRDefault="00924E2D" w:rsidP="00B87DB1">
            <w:pPr>
              <w:keepNext/>
              <w:keepLines/>
              <w:widowControl w:val="0"/>
              <w:numPr>
                <w:ilvl w:val="0"/>
                <w:numId w:val="32"/>
              </w:numPr>
              <w:overflowPunct w:val="0"/>
              <w:autoSpaceDE w:val="0"/>
              <w:autoSpaceDN w:val="0"/>
              <w:adjustRightInd w:val="0"/>
              <w:spacing w:after="0" w:line="240" w:lineRule="auto"/>
              <w:ind w:left="396" w:right="-225"/>
              <w:textAlignment w:val="baseline"/>
              <w:rPr>
                <w:rFonts w:ascii="Times New Roman" w:hAnsi="Times New Roman" w:cs="Times New Roman"/>
                <w:color w:val="000000"/>
                <w:sz w:val="20"/>
                <w:szCs w:val="20"/>
              </w:rPr>
            </w:pPr>
            <w:r w:rsidRPr="00924E2D">
              <w:rPr>
                <w:rFonts w:ascii="Times New Roman" w:hAnsi="Times New Roman" w:cs="Times New Roman"/>
                <w:color w:val="000000"/>
                <w:sz w:val="20"/>
                <w:szCs w:val="20"/>
              </w:rPr>
              <w:t>0,05% NAV mỗi năm</w:t>
            </w:r>
          </w:p>
        </w:tc>
      </w:tr>
      <w:tr w:rsidR="00924E2D" w:rsidRPr="00924E2D" w14:paraId="127486C0" w14:textId="77777777" w:rsidTr="00924E2D">
        <w:tc>
          <w:tcPr>
            <w:tcW w:w="2790" w:type="dxa"/>
            <w:shd w:val="clear" w:color="auto" w:fill="auto"/>
            <w:vAlign w:val="center"/>
          </w:tcPr>
          <w:p w14:paraId="1AAA1DCC" w14:textId="77777777" w:rsidR="00924E2D" w:rsidRPr="00924E2D" w:rsidRDefault="00924E2D" w:rsidP="00B87DB1">
            <w:pPr>
              <w:keepNext/>
              <w:tabs>
                <w:tab w:val="num" w:pos="340"/>
              </w:tabs>
              <w:spacing w:after="0"/>
              <w:ind w:right="-108"/>
              <w:rPr>
                <w:rFonts w:ascii="Times New Roman" w:hAnsi="Times New Roman" w:cs="Times New Roman"/>
                <w:sz w:val="20"/>
                <w:szCs w:val="20"/>
              </w:rPr>
            </w:pPr>
            <w:r w:rsidRPr="00924E2D">
              <w:rPr>
                <w:rFonts w:ascii="Times New Roman" w:hAnsi="Times New Roman" w:cs="Times New Roman"/>
                <w:sz w:val="20"/>
                <w:szCs w:val="20"/>
              </w:rPr>
              <w:t>Phí dịch vụ tạo lập thị trường</w:t>
            </w:r>
          </w:p>
        </w:tc>
        <w:tc>
          <w:tcPr>
            <w:tcW w:w="6300" w:type="dxa"/>
            <w:shd w:val="clear" w:color="auto" w:fill="auto"/>
            <w:vAlign w:val="center"/>
          </w:tcPr>
          <w:p w14:paraId="0B45DE79" w14:textId="77777777" w:rsidR="00924E2D" w:rsidRPr="00924E2D" w:rsidRDefault="00924E2D" w:rsidP="00B87DB1">
            <w:pPr>
              <w:keepNext/>
              <w:keepLines/>
              <w:widowControl w:val="0"/>
              <w:numPr>
                <w:ilvl w:val="0"/>
                <w:numId w:val="32"/>
              </w:numPr>
              <w:overflowPunct w:val="0"/>
              <w:autoSpaceDE w:val="0"/>
              <w:autoSpaceDN w:val="0"/>
              <w:adjustRightInd w:val="0"/>
              <w:spacing w:after="0" w:line="240" w:lineRule="auto"/>
              <w:ind w:left="396" w:right="-225"/>
              <w:textAlignment w:val="baseline"/>
              <w:rPr>
                <w:rFonts w:ascii="Times New Roman" w:hAnsi="Times New Roman" w:cs="Times New Roman"/>
                <w:color w:val="000000"/>
                <w:sz w:val="20"/>
                <w:szCs w:val="20"/>
              </w:rPr>
            </w:pPr>
            <w:r w:rsidRPr="00924E2D">
              <w:rPr>
                <w:rFonts w:ascii="Times New Roman" w:hAnsi="Times New Roman" w:cs="Times New Roman"/>
                <w:color w:val="000000"/>
                <w:sz w:val="20"/>
                <w:szCs w:val="20"/>
              </w:rPr>
              <w:t>Tối đa 0,08% NAV mỗi năm</w:t>
            </w:r>
          </w:p>
        </w:tc>
      </w:tr>
    </w:tbl>
    <w:p w14:paraId="1520E981" w14:textId="77777777" w:rsidR="00924E2D" w:rsidRPr="00924E2D" w:rsidRDefault="00924E2D" w:rsidP="00924E2D">
      <w:pPr>
        <w:pStyle w:val="ListParagraph"/>
        <w:tabs>
          <w:tab w:val="left" w:pos="851"/>
        </w:tabs>
        <w:spacing w:before="120" w:after="0" w:line="288" w:lineRule="auto"/>
        <w:ind w:left="851"/>
        <w:jc w:val="both"/>
        <w:rPr>
          <w:rFonts w:ascii="Times New Roman" w:hAnsi="Times New Roman" w:cs="Times New Roman"/>
          <w:sz w:val="20"/>
          <w:szCs w:val="20"/>
        </w:rPr>
      </w:pPr>
      <w:r w:rsidRPr="00924E2D">
        <w:rPr>
          <w:rFonts w:ascii="Times New Roman" w:hAnsi="Times New Roman" w:cs="Times New Roman"/>
          <w:sz w:val="20"/>
          <w:szCs w:val="20"/>
        </w:rPr>
        <w:t>Phí trả cho HSX về quản lý và vận hành chỉ số tham chiếu tối thiểu là 240 triệu VND mỗi năm (không chịu thuế GTGT).</w:t>
      </w:r>
    </w:p>
    <w:p w14:paraId="73D69119" w14:textId="77777777" w:rsidR="00924E2D" w:rsidRPr="00924E2D" w:rsidRDefault="00924E2D" w:rsidP="00924E2D">
      <w:pPr>
        <w:pStyle w:val="ListParagraph"/>
        <w:tabs>
          <w:tab w:val="left" w:pos="851"/>
        </w:tabs>
        <w:spacing w:before="120" w:after="0" w:line="288" w:lineRule="auto"/>
        <w:ind w:left="851"/>
        <w:jc w:val="both"/>
        <w:rPr>
          <w:rFonts w:ascii="Times New Roman" w:hAnsi="Times New Roman" w:cs="Times New Roman"/>
          <w:sz w:val="20"/>
          <w:szCs w:val="20"/>
        </w:rPr>
      </w:pPr>
      <w:r w:rsidRPr="00924E2D">
        <w:rPr>
          <w:rFonts w:ascii="Times New Roman" w:hAnsi="Times New Roman" w:cs="Times New Roman"/>
          <w:sz w:val="20"/>
          <w:szCs w:val="20"/>
        </w:rPr>
        <w:t>Phí trả cho HSX về cung cấp dịch vụ tính giá trị tài sản ròng tham chiếu trên một chứng chỉ quỹ (iNAV) tối thiểu là 50 triệu VND mỗi năm (không chịu thuế GTGT).</w:t>
      </w:r>
    </w:p>
    <w:p w14:paraId="656E81F4" w14:textId="76B8CD86" w:rsidR="00924E2D" w:rsidRPr="00924E2D" w:rsidRDefault="00924E2D" w:rsidP="00924E2D">
      <w:pPr>
        <w:pStyle w:val="ListParagraph"/>
        <w:tabs>
          <w:tab w:val="left" w:pos="851"/>
        </w:tabs>
        <w:spacing w:before="120" w:after="0" w:line="288" w:lineRule="auto"/>
        <w:ind w:left="851"/>
        <w:jc w:val="both"/>
        <w:rPr>
          <w:rFonts w:ascii="Times New Roman" w:hAnsi="Times New Roman" w:cs="Times New Roman"/>
          <w:sz w:val="20"/>
          <w:szCs w:val="20"/>
        </w:rPr>
      </w:pPr>
      <w:r w:rsidRPr="00924E2D">
        <w:rPr>
          <w:rFonts w:ascii="Times New Roman" w:hAnsi="Times New Roman" w:cs="Times New Roman"/>
          <w:sz w:val="20"/>
          <w:szCs w:val="20"/>
        </w:rPr>
        <w:t xml:space="preserve">Các phí trên được tính </w:t>
      </w:r>
      <w:proofErr w:type="gramStart"/>
      <w:r w:rsidRPr="00924E2D">
        <w:rPr>
          <w:rFonts w:ascii="Times New Roman" w:hAnsi="Times New Roman" w:cs="Times New Roman"/>
          <w:sz w:val="20"/>
          <w:szCs w:val="20"/>
        </w:rPr>
        <w:t>theo</w:t>
      </w:r>
      <w:proofErr w:type="gramEnd"/>
      <w:r w:rsidRPr="00924E2D">
        <w:rPr>
          <w:rFonts w:ascii="Times New Roman" w:hAnsi="Times New Roman" w:cs="Times New Roman"/>
          <w:sz w:val="20"/>
          <w:szCs w:val="20"/>
        </w:rPr>
        <w:t xml:space="preserve"> từng kỳ định giá NAV tương ứng với ngày làm việc trong tháng. Số phí của mỗi kỳ định giá NAV được tính dựa trên NAV trước phí tại ngày trước ngày định giá và được trả mỗi sáu tháng một lần (“kỳ thanh toán”) đối với với phí trả HSX và được trả mỗi quý một lần đối với phí dịch vụ tạo lập thị trường.  Số phí trả trong mỗi kỳ thanh toán là tổng số phí được tính </w:t>
      </w:r>
      <w:proofErr w:type="gramStart"/>
      <w:r w:rsidRPr="00924E2D">
        <w:rPr>
          <w:rFonts w:ascii="Times New Roman" w:hAnsi="Times New Roman" w:cs="Times New Roman"/>
          <w:sz w:val="20"/>
          <w:szCs w:val="20"/>
        </w:rPr>
        <w:t>theo</w:t>
      </w:r>
      <w:proofErr w:type="gramEnd"/>
      <w:r w:rsidRPr="00924E2D">
        <w:rPr>
          <w:rFonts w:ascii="Times New Roman" w:hAnsi="Times New Roman" w:cs="Times New Roman"/>
          <w:sz w:val="20"/>
          <w:szCs w:val="20"/>
        </w:rPr>
        <w:t xml:space="preserve"> từng kỳ định giá NAV phát sinh trong kỳ thanh toán.</w:t>
      </w:r>
    </w:p>
    <w:p w14:paraId="5A5A57AB" w14:textId="77777777" w:rsidR="005B5FE4" w:rsidRPr="007A4753" w:rsidRDefault="005B5FE4" w:rsidP="005B5FE4">
      <w:pPr>
        <w:pStyle w:val="ListParagraph"/>
        <w:numPr>
          <w:ilvl w:val="0"/>
          <w:numId w:val="23"/>
        </w:numPr>
        <w:spacing w:before="120" w:after="0" w:line="288" w:lineRule="auto"/>
        <w:ind w:left="567" w:hanging="357"/>
        <w:jc w:val="both"/>
        <w:rPr>
          <w:rFonts w:ascii="Times New Roman" w:hAnsi="Times New Roman" w:cs="Times New Roman"/>
          <w:b/>
          <w:sz w:val="20"/>
          <w:szCs w:val="20"/>
        </w:rPr>
      </w:pPr>
      <w:r w:rsidRPr="007A4753">
        <w:rPr>
          <w:rFonts w:ascii="Times New Roman" w:hAnsi="Times New Roman" w:cs="Times New Roman"/>
          <w:b/>
          <w:sz w:val="20"/>
          <w:szCs w:val="20"/>
        </w:rPr>
        <w:t>Tình hình biến động vốn chủ sở hữu</w:t>
      </w:r>
    </w:p>
    <w:tbl>
      <w:tblPr>
        <w:tblW w:w="10138" w:type="dxa"/>
        <w:tblInd w:w="392" w:type="dxa"/>
        <w:tblLook w:val="04A0" w:firstRow="1" w:lastRow="0" w:firstColumn="1" w:lastColumn="0" w:noHBand="0" w:noVBand="1"/>
      </w:tblPr>
      <w:tblGrid>
        <w:gridCol w:w="3266"/>
        <w:gridCol w:w="1117"/>
        <w:gridCol w:w="1966"/>
        <w:gridCol w:w="1850"/>
        <w:gridCol w:w="1939"/>
      </w:tblGrid>
      <w:tr w:rsidR="00924E2D" w:rsidRPr="007A4753" w14:paraId="6FB14ABB" w14:textId="77777777" w:rsidTr="0081007D">
        <w:trPr>
          <w:trHeight w:val="349"/>
        </w:trPr>
        <w:tc>
          <w:tcPr>
            <w:tcW w:w="3266" w:type="dxa"/>
            <w:shd w:val="clear" w:color="000000" w:fill="FFFFFF"/>
            <w:vAlign w:val="center"/>
            <w:hideMark/>
          </w:tcPr>
          <w:p w14:paraId="56E2102A" w14:textId="77777777" w:rsidR="00924E2D" w:rsidRPr="007A4753" w:rsidRDefault="00924E2D" w:rsidP="00924E2D">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Chỉ tiêu</w:t>
            </w:r>
          </w:p>
        </w:tc>
        <w:tc>
          <w:tcPr>
            <w:tcW w:w="1117" w:type="dxa"/>
            <w:tcBorders>
              <w:bottom w:val="single" w:sz="4" w:space="0" w:color="auto"/>
            </w:tcBorders>
            <w:shd w:val="clear" w:color="000000" w:fill="FFFFFF"/>
            <w:vAlign w:val="center"/>
            <w:hideMark/>
          </w:tcPr>
          <w:p w14:paraId="3992FB51" w14:textId="77777777" w:rsidR="00924E2D" w:rsidRPr="007A4753" w:rsidRDefault="00924E2D" w:rsidP="00924E2D">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Đơn vị</w:t>
            </w:r>
          </w:p>
        </w:tc>
        <w:tc>
          <w:tcPr>
            <w:tcW w:w="1966" w:type="dxa"/>
            <w:tcBorders>
              <w:bottom w:val="single" w:sz="4" w:space="0" w:color="auto"/>
            </w:tcBorders>
            <w:shd w:val="clear" w:color="000000" w:fill="FFFFFF"/>
            <w:vAlign w:val="center"/>
          </w:tcPr>
          <w:p w14:paraId="48B8E6E0" w14:textId="04FDF290" w:rsidR="00924E2D" w:rsidRPr="007A4753" w:rsidRDefault="00924E2D" w:rsidP="008172B0">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0</w:t>
            </w:r>
            <w:r w:rsidRPr="007A4753">
              <w:rPr>
                <w:rFonts w:ascii="Times New Roman" w:eastAsia="Times New Roman" w:hAnsi="Times New Roman" w:cs="Times New Roman"/>
                <w:b/>
                <w:bCs/>
                <w:color w:val="000000"/>
                <w:sz w:val="20"/>
                <w:szCs w:val="20"/>
              </w:rPr>
              <w:t>/0</w:t>
            </w:r>
            <w:r w:rsidR="008172B0">
              <w:rPr>
                <w:rFonts w:ascii="Times New Roman" w:eastAsia="Times New Roman" w:hAnsi="Times New Roman" w:cs="Times New Roman"/>
                <w:b/>
                <w:bCs/>
                <w:color w:val="000000"/>
                <w:sz w:val="20"/>
                <w:szCs w:val="20"/>
              </w:rPr>
              <w:t>9</w:t>
            </w:r>
            <w:r w:rsidRPr="007A4753">
              <w:rPr>
                <w:rFonts w:ascii="Times New Roman" w:eastAsia="Times New Roman" w:hAnsi="Times New Roman" w:cs="Times New Roman"/>
                <w:b/>
                <w:bCs/>
                <w:color w:val="000000"/>
                <w:sz w:val="20"/>
                <w:szCs w:val="20"/>
              </w:rPr>
              <w:t>/2022</w:t>
            </w:r>
          </w:p>
        </w:tc>
        <w:tc>
          <w:tcPr>
            <w:tcW w:w="1850" w:type="dxa"/>
            <w:tcBorders>
              <w:bottom w:val="single" w:sz="4" w:space="0" w:color="auto"/>
            </w:tcBorders>
            <w:shd w:val="clear" w:color="000000" w:fill="FFFFFF"/>
            <w:vAlign w:val="center"/>
            <w:hideMark/>
          </w:tcPr>
          <w:p w14:paraId="24A5C76E" w14:textId="77777777" w:rsidR="00924E2D" w:rsidRPr="007A4753" w:rsidRDefault="00924E2D" w:rsidP="00924E2D">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Phát sinh trong kỳ</w:t>
            </w:r>
          </w:p>
        </w:tc>
        <w:tc>
          <w:tcPr>
            <w:tcW w:w="1939" w:type="dxa"/>
            <w:tcBorders>
              <w:bottom w:val="single" w:sz="4" w:space="0" w:color="auto"/>
            </w:tcBorders>
            <w:shd w:val="clear" w:color="000000" w:fill="FFFFFF"/>
            <w:vAlign w:val="center"/>
            <w:hideMark/>
          </w:tcPr>
          <w:p w14:paraId="06E08DEC" w14:textId="14E1CC76" w:rsidR="00924E2D" w:rsidRPr="007A4753" w:rsidRDefault="00924E2D" w:rsidP="008172B0">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3</w:t>
            </w:r>
            <w:r w:rsidR="008172B0">
              <w:rPr>
                <w:rFonts w:ascii="Times New Roman" w:eastAsia="Times New Roman" w:hAnsi="Times New Roman" w:cs="Times New Roman"/>
                <w:b/>
                <w:bCs/>
                <w:color w:val="000000"/>
                <w:sz w:val="20"/>
                <w:szCs w:val="20"/>
              </w:rPr>
              <w:t>1</w:t>
            </w:r>
            <w:r w:rsidRPr="007A4753">
              <w:rPr>
                <w:rFonts w:ascii="Times New Roman" w:eastAsia="Times New Roman" w:hAnsi="Times New Roman" w:cs="Times New Roman"/>
                <w:b/>
                <w:bCs/>
                <w:color w:val="000000"/>
                <w:sz w:val="20"/>
                <w:szCs w:val="20"/>
              </w:rPr>
              <w:t>/</w:t>
            </w:r>
            <w:r w:rsidR="008172B0">
              <w:rPr>
                <w:rFonts w:ascii="Times New Roman" w:eastAsia="Times New Roman" w:hAnsi="Times New Roman" w:cs="Times New Roman"/>
                <w:b/>
                <w:bCs/>
                <w:color w:val="000000"/>
                <w:sz w:val="20"/>
                <w:szCs w:val="20"/>
              </w:rPr>
              <w:t>12</w:t>
            </w:r>
            <w:r w:rsidRPr="007A4753">
              <w:rPr>
                <w:rFonts w:ascii="Times New Roman" w:eastAsia="Times New Roman" w:hAnsi="Times New Roman" w:cs="Times New Roman"/>
                <w:b/>
                <w:bCs/>
                <w:color w:val="000000"/>
                <w:sz w:val="20"/>
                <w:szCs w:val="20"/>
              </w:rPr>
              <w:t>/2022</w:t>
            </w:r>
          </w:p>
        </w:tc>
      </w:tr>
      <w:tr w:rsidR="00924E2D" w:rsidRPr="007A4753" w14:paraId="1DFB902D" w14:textId="77777777" w:rsidTr="0081007D">
        <w:trPr>
          <w:trHeight w:val="255"/>
        </w:trPr>
        <w:tc>
          <w:tcPr>
            <w:tcW w:w="3266" w:type="dxa"/>
            <w:shd w:val="clear" w:color="000000" w:fill="FFFFFF"/>
            <w:noWrap/>
            <w:vAlign w:val="center"/>
            <w:hideMark/>
          </w:tcPr>
          <w:p w14:paraId="7F8CEA61" w14:textId="77777777" w:rsidR="00924E2D" w:rsidRPr="007A4753" w:rsidRDefault="00924E2D" w:rsidP="00924E2D">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Vốn góp phát hành</w:t>
            </w:r>
          </w:p>
        </w:tc>
        <w:tc>
          <w:tcPr>
            <w:tcW w:w="1117" w:type="dxa"/>
            <w:tcBorders>
              <w:top w:val="single" w:sz="4" w:space="0" w:color="auto"/>
            </w:tcBorders>
            <w:shd w:val="clear" w:color="000000" w:fill="FFFFFF"/>
            <w:noWrap/>
            <w:hideMark/>
          </w:tcPr>
          <w:p w14:paraId="5C089495" w14:textId="77777777" w:rsidR="00924E2D" w:rsidRPr="007A4753" w:rsidRDefault="00924E2D" w:rsidP="00924E2D">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 </w:t>
            </w:r>
          </w:p>
        </w:tc>
        <w:tc>
          <w:tcPr>
            <w:tcW w:w="1966" w:type="dxa"/>
            <w:tcBorders>
              <w:top w:val="single" w:sz="4" w:space="0" w:color="auto"/>
            </w:tcBorders>
            <w:shd w:val="clear" w:color="000000" w:fill="FFFFFF"/>
            <w:vAlign w:val="center"/>
          </w:tcPr>
          <w:p w14:paraId="163E4897" w14:textId="77777777" w:rsidR="00924E2D" w:rsidRPr="007A4753" w:rsidRDefault="00924E2D" w:rsidP="00924E2D">
            <w:pPr>
              <w:spacing w:after="0"/>
              <w:jc w:val="right"/>
              <w:rPr>
                <w:rFonts w:ascii="Times New Roman" w:eastAsia="Times New Roman" w:hAnsi="Times New Roman" w:cs="Times New Roman"/>
                <w:bCs/>
                <w:color w:val="000000"/>
                <w:sz w:val="20"/>
                <w:szCs w:val="20"/>
              </w:rPr>
            </w:pPr>
          </w:p>
        </w:tc>
        <w:tc>
          <w:tcPr>
            <w:tcW w:w="1850" w:type="dxa"/>
            <w:tcBorders>
              <w:top w:val="single" w:sz="4" w:space="0" w:color="auto"/>
            </w:tcBorders>
            <w:shd w:val="clear" w:color="000000" w:fill="FFFFFF"/>
            <w:noWrap/>
            <w:vAlign w:val="center"/>
            <w:hideMark/>
          </w:tcPr>
          <w:p w14:paraId="335CCC21" w14:textId="77777777" w:rsidR="00924E2D" w:rsidRPr="007A4753" w:rsidRDefault="00924E2D" w:rsidP="00924E2D">
            <w:pPr>
              <w:spacing w:after="0"/>
              <w:jc w:val="right"/>
              <w:rPr>
                <w:rFonts w:ascii="Times New Roman" w:eastAsia="Times New Roman" w:hAnsi="Times New Roman" w:cs="Times New Roman"/>
                <w:b/>
                <w:bCs/>
                <w:color w:val="000000"/>
                <w:sz w:val="20"/>
                <w:szCs w:val="20"/>
              </w:rPr>
            </w:pPr>
          </w:p>
        </w:tc>
        <w:tc>
          <w:tcPr>
            <w:tcW w:w="1939" w:type="dxa"/>
            <w:tcBorders>
              <w:top w:val="single" w:sz="4" w:space="0" w:color="auto"/>
            </w:tcBorders>
            <w:shd w:val="clear" w:color="000000" w:fill="FFFFFF"/>
            <w:noWrap/>
            <w:vAlign w:val="center"/>
            <w:hideMark/>
          </w:tcPr>
          <w:p w14:paraId="0A0FDF70" w14:textId="77777777" w:rsidR="00924E2D" w:rsidRPr="007A4753" w:rsidRDefault="00924E2D" w:rsidP="00924E2D">
            <w:pPr>
              <w:jc w:val="right"/>
              <w:rPr>
                <w:rFonts w:ascii="Times New Roman" w:hAnsi="Times New Roman" w:cs="Times New Roman"/>
                <w:sz w:val="20"/>
                <w:szCs w:val="20"/>
              </w:rPr>
            </w:pPr>
          </w:p>
        </w:tc>
      </w:tr>
      <w:tr w:rsidR="008172B0" w:rsidRPr="007A4753" w14:paraId="1CECF669" w14:textId="77777777" w:rsidTr="0081007D">
        <w:trPr>
          <w:trHeight w:hRule="exact" w:val="284"/>
        </w:trPr>
        <w:tc>
          <w:tcPr>
            <w:tcW w:w="3266" w:type="dxa"/>
            <w:shd w:val="clear" w:color="000000" w:fill="FFFFFF"/>
            <w:noWrap/>
            <w:vAlign w:val="center"/>
            <w:hideMark/>
          </w:tcPr>
          <w:p w14:paraId="56D6C292"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Số lượng CCQ (1)</w:t>
            </w:r>
          </w:p>
        </w:tc>
        <w:tc>
          <w:tcPr>
            <w:tcW w:w="1117" w:type="dxa"/>
            <w:shd w:val="clear" w:color="000000" w:fill="FFFFFF"/>
            <w:noWrap/>
            <w:vAlign w:val="center"/>
            <w:hideMark/>
          </w:tcPr>
          <w:p w14:paraId="07F34C09"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CCQ</w:t>
            </w:r>
          </w:p>
        </w:tc>
        <w:tc>
          <w:tcPr>
            <w:tcW w:w="1966" w:type="dxa"/>
            <w:shd w:val="clear" w:color="000000" w:fill="FFFFFF"/>
          </w:tcPr>
          <w:p w14:paraId="635DED8B" w14:textId="68E758F6" w:rsidR="008172B0" w:rsidRPr="007A4753" w:rsidRDefault="008172B0" w:rsidP="008172B0">
            <w:pPr>
              <w:jc w:val="right"/>
              <w:rPr>
                <w:rFonts w:ascii="Times New Roman" w:hAnsi="Times New Roman" w:cs="Times New Roman"/>
                <w:sz w:val="20"/>
                <w:szCs w:val="20"/>
              </w:rPr>
            </w:pPr>
            <w:r w:rsidRPr="008B3870">
              <w:rPr>
                <w:rFonts w:ascii="Times New Roman" w:hAnsi="Times New Roman" w:cs="Times New Roman"/>
                <w:sz w:val="20"/>
                <w:szCs w:val="20"/>
              </w:rPr>
              <w:t xml:space="preserve">909,400,000 </w:t>
            </w:r>
          </w:p>
        </w:tc>
        <w:tc>
          <w:tcPr>
            <w:tcW w:w="1850" w:type="dxa"/>
            <w:shd w:val="clear" w:color="000000" w:fill="FFFFFF"/>
            <w:noWrap/>
          </w:tcPr>
          <w:p w14:paraId="15AFFEC0" w14:textId="2DBF931F" w:rsidR="008172B0" w:rsidRPr="007A4753" w:rsidRDefault="000A69BF" w:rsidP="008172B0">
            <w:pPr>
              <w:jc w:val="right"/>
              <w:rPr>
                <w:rFonts w:ascii="Times New Roman" w:hAnsi="Times New Roman" w:cs="Times New Roman"/>
                <w:sz w:val="20"/>
                <w:szCs w:val="20"/>
              </w:rPr>
            </w:pPr>
            <w:r w:rsidRPr="000A69BF">
              <w:rPr>
                <w:rFonts w:ascii="Times New Roman" w:hAnsi="Times New Roman" w:cs="Times New Roman"/>
                <w:sz w:val="20"/>
                <w:szCs w:val="20"/>
              </w:rPr>
              <w:t>196</w:t>
            </w:r>
            <w:r>
              <w:rPr>
                <w:rFonts w:ascii="Times New Roman" w:hAnsi="Times New Roman" w:cs="Times New Roman"/>
                <w:sz w:val="20"/>
                <w:szCs w:val="20"/>
              </w:rPr>
              <w:t>,</w:t>
            </w:r>
            <w:r w:rsidRPr="000A69BF">
              <w:rPr>
                <w:rFonts w:ascii="Times New Roman" w:hAnsi="Times New Roman" w:cs="Times New Roman"/>
                <w:sz w:val="20"/>
                <w:szCs w:val="20"/>
              </w:rPr>
              <w:t>400</w:t>
            </w:r>
            <w:r>
              <w:rPr>
                <w:rFonts w:ascii="Times New Roman" w:hAnsi="Times New Roman" w:cs="Times New Roman"/>
                <w:sz w:val="20"/>
                <w:szCs w:val="20"/>
              </w:rPr>
              <w:t>,</w:t>
            </w:r>
            <w:r w:rsidRPr="000A69BF">
              <w:rPr>
                <w:rFonts w:ascii="Times New Roman" w:hAnsi="Times New Roman" w:cs="Times New Roman"/>
                <w:sz w:val="20"/>
                <w:szCs w:val="20"/>
              </w:rPr>
              <w:t>000</w:t>
            </w:r>
          </w:p>
        </w:tc>
        <w:tc>
          <w:tcPr>
            <w:tcW w:w="1939" w:type="dxa"/>
            <w:shd w:val="clear" w:color="000000" w:fill="FFFFFF"/>
            <w:noWrap/>
          </w:tcPr>
          <w:p w14:paraId="1BCCDAA7" w14:textId="6862C58B" w:rsidR="008172B0" w:rsidRPr="007A4753" w:rsidRDefault="00517B20" w:rsidP="00517B20">
            <w:pPr>
              <w:jc w:val="right"/>
              <w:rPr>
                <w:rFonts w:ascii="Times New Roman" w:hAnsi="Times New Roman" w:cs="Times New Roman"/>
                <w:sz w:val="20"/>
                <w:szCs w:val="20"/>
              </w:rPr>
            </w:pPr>
            <w:r>
              <w:rPr>
                <w:rFonts w:ascii="Times New Roman" w:hAnsi="Times New Roman" w:cs="Times New Roman"/>
                <w:sz w:val="20"/>
                <w:szCs w:val="20"/>
              </w:rPr>
              <w:t>1,105</w:t>
            </w:r>
            <w:r w:rsidR="008172B0" w:rsidRPr="008B3870">
              <w:rPr>
                <w:rFonts w:ascii="Times New Roman" w:hAnsi="Times New Roman" w:cs="Times New Roman"/>
                <w:sz w:val="20"/>
                <w:szCs w:val="20"/>
              </w:rPr>
              <w:t>,</w:t>
            </w:r>
            <w:r>
              <w:rPr>
                <w:rFonts w:ascii="Times New Roman" w:hAnsi="Times New Roman" w:cs="Times New Roman"/>
                <w:sz w:val="20"/>
                <w:szCs w:val="20"/>
              </w:rPr>
              <w:t>8</w:t>
            </w:r>
            <w:r w:rsidR="008172B0" w:rsidRPr="008B3870">
              <w:rPr>
                <w:rFonts w:ascii="Times New Roman" w:hAnsi="Times New Roman" w:cs="Times New Roman"/>
                <w:sz w:val="20"/>
                <w:szCs w:val="20"/>
              </w:rPr>
              <w:t xml:space="preserve">00,000 </w:t>
            </w:r>
          </w:p>
        </w:tc>
      </w:tr>
      <w:tr w:rsidR="008172B0" w:rsidRPr="007A4753" w14:paraId="0827FD06" w14:textId="77777777" w:rsidTr="0081007D">
        <w:trPr>
          <w:trHeight w:hRule="exact" w:val="284"/>
        </w:trPr>
        <w:tc>
          <w:tcPr>
            <w:tcW w:w="3266" w:type="dxa"/>
            <w:shd w:val="clear" w:color="000000" w:fill="FFFFFF"/>
            <w:noWrap/>
            <w:vAlign w:val="center"/>
            <w:hideMark/>
          </w:tcPr>
          <w:p w14:paraId="49B5E765"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Giá trị ghi theo mệnh giá (2)</w:t>
            </w:r>
          </w:p>
        </w:tc>
        <w:tc>
          <w:tcPr>
            <w:tcW w:w="1117" w:type="dxa"/>
            <w:shd w:val="clear" w:color="000000" w:fill="FFFFFF"/>
            <w:noWrap/>
            <w:vAlign w:val="center"/>
            <w:hideMark/>
          </w:tcPr>
          <w:p w14:paraId="627AF1F2"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2962D791" w14:textId="3015487A"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 xml:space="preserve">9,094,000,000,000 </w:t>
            </w:r>
          </w:p>
        </w:tc>
        <w:tc>
          <w:tcPr>
            <w:tcW w:w="1850" w:type="dxa"/>
            <w:shd w:val="clear" w:color="000000" w:fill="FFFFFF"/>
            <w:noWrap/>
          </w:tcPr>
          <w:p w14:paraId="2BF73D75" w14:textId="52267600" w:rsidR="008172B0" w:rsidRPr="007A4753" w:rsidRDefault="000A69BF" w:rsidP="008172B0">
            <w:pPr>
              <w:jc w:val="right"/>
              <w:rPr>
                <w:rFonts w:ascii="Times New Roman" w:hAnsi="Times New Roman" w:cs="Times New Roman"/>
                <w:sz w:val="20"/>
                <w:szCs w:val="20"/>
              </w:rPr>
            </w:pPr>
            <w:r w:rsidRPr="000A69BF">
              <w:rPr>
                <w:rFonts w:ascii="Times New Roman" w:hAnsi="Times New Roman" w:cs="Times New Roman"/>
                <w:sz w:val="20"/>
                <w:szCs w:val="20"/>
              </w:rPr>
              <w:t>1</w:t>
            </w:r>
            <w:r>
              <w:rPr>
                <w:rFonts w:ascii="Times New Roman" w:hAnsi="Times New Roman" w:cs="Times New Roman"/>
                <w:sz w:val="20"/>
                <w:szCs w:val="20"/>
              </w:rPr>
              <w:t>,</w:t>
            </w:r>
            <w:r w:rsidRPr="000A69BF">
              <w:rPr>
                <w:rFonts w:ascii="Times New Roman" w:hAnsi="Times New Roman" w:cs="Times New Roman"/>
                <w:sz w:val="20"/>
                <w:szCs w:val="20"/>
              </w:rPr>
              <w:t>964</w:t>
            </w:r>
            <w:r>
              <w:rPr>
                <w:rFonts w:ascii="Times New Roman" w:hAnsi="Times New Roman" w:cs="Times New Roman"/>
                <w:sz w:val="20"/>
                <w:szCs w:val="20"/>
              </w:rPr>
              <w:t>,</w:t>
            </w:r>
            <w:r w:rsidRPr="000A69BF">
              <w:rPr>
                <w:rFonts w:ascii="Times New Roman" w:hAnsi="Times New Roman" w:cs="Times New Roman"/>
                <w:sz w:val="20"/>
                <w:szCs w:val="20"/>
              </w:rPr>
              <w:t>000</w:t>
            </w:r>
            <w:r>
              <w:rPr>
                <w:rFonts w:ascii="Times New Roman" w:hAnsi="Times New Roman" w:cs="Times New Roman"/>
                <w:sz w:val="20"/>
                <w:szCs w:val="20"/>
              </w:rPr>
              <w:t>,</w:t>
            </w:r>
            <w:r w:rsidRPr="000A69BF">
              <w:rPr>
                <w:rFonts w:ascii="Times New Roman" w:hAnsi="Times New Roman" w:cs="Times New Roman"/>
                <w:sz w:val="20"/>
                <w:szCs w:val="20"/>
              </w:rPr>
              <w:t>000</w:t>
            </w:r>
            <w:r>
              <w:rPr>
                <w:rFonts w:ascii="Times New Roman" w:hAnsi="Times New Roman" w:cs="Times New Roman"/>
                <w:sz w:val="20"/>
                <w:szCs w:val="20"/>
              </w:rPr>
              <w:t>,</w:t>
            </w:r>
            <w:r w:rsidRPr="000A69BF">
              <w:rPr>
                <w:rFonts w:ascii="Times New Roman" w:hAnsi="Times New Roman" w:cs="Times New Roman"/>
                <w:sz w:val="20"/>
                <w:szCs w:val="20"/>
              </w:rPr>
              <w:t>000</w:t>
            </w:r>
          </w:p>
        </w:tc>
        <w:tc>
          <w:tcPr>
            <w:tcW w:w="1939" w:type="dxa"/>
            <w:shd w:val="clear" w:color="000000" w:fill="FFFFFF"/>
            <w:noWrap/>
          </w:tcPr>
          <w:p w14:paraId="46FD8D71" w14:textId="568E61AF" w:rsidR="008172B0" w:rsidRPr="007A4753" w:rsidRDefault="00517B20" w:rsidP="00517B20">
            <w:pPr>
              <w:jc w:val="right"/>
              <w:rPr>
                <w:rFonts w:ascii="Times New Roman" w:hAnsi="Times New Roman" w:cs="Times New Roman"/>
                <w:sz w:val="20"/>
                <w:szCs w:val="20"/>
              </w:rPr>
            </w:pPr>
            <w:r>
              <w:rPr>
                <w:rFonts w:ascii="Times New Roman" w:hAnsi="Times New Roman" w:cs="Times New Roman"/>
                <w:sz w:val="20"/>
                <w:szCs w:val="20"/>
              </w:rPr>
              <w:t>11</w:t>
            </w:r>
            <w:r w:rsidR="008172B0" w:rsidRPr="008B3870">
              <w:rPr>
                <w:rFonts w:ascii="Times New Roman" w:hAnsi="Times New Roman" w:cs="Times New Roman"/>
                <w:sz w:val="20"/>
                <w:szCs w:val="20"/>
              </w:rPr>
              <w:t>,</w:t>
            </w:r>
            <w:r>
              <w:rPr>
                <w:rFonts w:ascii="Times New Roman" w:hAnsi="Times New Roman" w:cs="Times New Roman"/>
                <w:sz w:val="20"/>
                <w:szCs w:val="20"/>
              </w:rPr>
              <w:t>058</w:t>
            </w:r>
            <w:r w:rsidR="008172B0" w:rsidRPr="008B3870">
              <w:rPr>
                <w:rFonts w:ascii="Times New Roman" w:hAnsi="Times New Roman" w:cs="Times New Roman"/>
                <w:sz w:val="20"/>
                <w:szCs w:val="20"/>
              </w:rPr>
              <w:t xml:space="preserve">,000,000,000 </w:t>
            </w:r>
          </w:p>
        </w:tc>
      </w:tr>
      <w:tr w:rsidR="008172B0" w:rsidRPr="007A4753" w14:paraId="03AC2BBB" w14:textId="77777777" w:rsidTr="0081007D">
        <w:trPr>
          <w:trHeight w:hRule="exact" w:val="284"/>
        </w:trPr>
        <w:tc>
          <w:tcPr>
            <w:tcW w:w="3266" w:type="dxa"/>
            <w:shd w:val="clear" w:color="000000" w:fill="FFFFFF"/>
            <w:noWrap/>
            <w:vAlign w:val="center"/>
            <w:hideMark/>
          </w:tcPr>
          <w:p w14:paraId="012281E9"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Thặng dư vốn góp phát hành (3)</w:t>
            </w:r>
          </w:p>
        </w:tc>
        <w:tc>
          <w:tcPr>
            <w:tcW w:w="1117" w:type="dxa"/>
            <w:shd w:val="clear" w:color="000000" w:fill="FFFFFF"/>
            <w:noWrap/>
            <w:vAlign w:val="center"/>
            <w:hideMark/>
          </w:tcPr>
          <w:p w14:paraId="23DE7A00"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75F60F8A" w14:textId="423DA4B9" w:rsidR="008172B0" w:rsidRPr="007A4753" w:rsidRDefault="008172B0" w:rsidP="008172B0">
            <w:pPr>
              <w:jc w:val="right"/>
              <w:rPr>
                <w:rFonts w:ascii="Times New Roman" w:hAnsi="Times New Roman" w:cs="Times New Roman"/>
                <w:sz w:val="20"/>
                <w:szCs w:val="20"/>
              </w:rPr>
            </w:pPr>
            <w:r w:rsidRPr="008B3870">
              <w:rPr>
                <w:rFonts w:ascii="Times New Roman" w:hAnsi="Times New Roman" w:cs="Times New Roman"/>
                <w:sz w:val="20"/>
                <w:szCs w:val="20"/>
              </w:rPr>
              <w:t xml:space="preserve">9,527,727,672,004 </w:t>
            </w:r>
          </w:p>
        </w:tc>
        <w:tc>
          <w:tcPr>
            <w:tcW w:w="1850" w:type="dxa"/>
            <w:shd w:val="clear" w:color="000000" w:fill="FFFFFF"/>
            <w:noWrap/>
          </w:tcPr>
          <w:p w14:paraId="4169F25B" w14:textId="2935FA25" w:rsidR="008172B0" w:rsidRPr="007A4753" w:rsidRDefault="0032000B" w:rsidP="008172B0">
            <w:pPr>
              <w:jc w:val="right"/>
              <w:rPr>
                <w:rFonts w:ascii="Times New Roman" w:hAnsi="Times New Roman" w:cs="Times New Roman"/>
                <w:sz w:val="20"/>
                <w:szCs w:val="20"/>
              </w:rPr>
            </w:pPr>
            <w:r w:rsidRPr="0032000B">
              <w:rPr>
                <w:rFonts w:ascii="Times New Roman" w:hAnsi="Times New Roman" w:cs="Times New Roman"/>
                <w:sz w:val="20"/>
                <w:szCs w:val="20"/>
              </w:rPr>
              <w:t>2</w:t>
            </w:r>
            <w:r>
              <w:rPr>
                <w:rFonts w:ascii="Times New Roman" w:hAnsi="Times New Roman" w:cs="Times New Roman"/>
                <w:sz w:val="20"/>
                <w:szCs w:val="20"/>
              </w:rPr>
              <w:t>,</w:t>
            </w:r>
            <w:r w:rsidRPr="0032000B">
              <w:rPr>
                <w:rFonts w:ascii="Times New Roman" w:hAnsi="Times New Roman" w:cs="Times New Roman"/>
                <w:sz w:val="20"/>
                <w:szCs w:val="20"/>
              </w:rPr>
              <w:t>281</w:t>
            </w:r>
            <w:r>
              <w:rPr>
                <w:rFonts w:ascii="Times New Roman" w:hAnsi="Times New Roman" w:cs="Times New Roman"/>
                <w:sz w:val="20"/>
                <w:szCs w:val="20"/>
              </w:rPr>
              <w:t>,</w:t>
            </w:r>
            <w:r w:rsidRPr="0032000B">
              <w:rPr>
                <w:rFonts w:ascii="Times New Roman" w:hAnsi="Times New Roman" w:cs="Times New Roman"/>
                <w:sz w:val="20"/>
                <w:szCs w:val="20"/>
              </w:rPr>
              <w:t>769</w:t>
            </w:r>
            <w:r>
              <w:rPr>
                <w:rFonts w:ascii="Times New Roman" w:hAnsi="Times New Roman" w:cs="Times New Roman"/>
                <w:sz w:val="20"/>
                <w:szCs w:val="20"/>
              </w:rPr>
              <w:t>,</w:t>
            </w:r>
            <w:r w:rsidRPr="0032000B">
              <w:rPr>
                <w:rFonts w:ascii="Times New Roman" w:hAnsi="Times New Roman" w:cs="Times New Roman"/>
                <w:sz w:val="20"/>
                <w:szCs w:val="20"/>
              </w:rPr>
              <w:t>956</w:t>
            </w:r>
            <w:r>
              <w:rPr>
                <w:rFonts w:ascii="Times New Roman" w:hAnsi="Times New Roman" w:cs="Times New Roman"/>
                <w:sz w:val="20"/>
                <w:szCs w:val="20"/>
              </w:rPr>
              <w:t>,</w:t>
            </w:r>
            <w:r w:rsidRPr="0032000B">
              <w:rPr>
                <w:rFonts w:ascii="Times New Roman" w:hAnsi="Times New Roman" w:cs="Times New Roman"/>
                <w:sz w:val="20"/>
                <w:szCs w:val="20"/>
              </w:rPr>
              <w:t>361</w:t>
            </w:r>
          </w:p>
        </w:tc>
        <w:tc>
          <w:tcPr>
            <w:tcW w:w="1939" w:type="dxa"/>
            <w:shd w:val="clear" w:color="000000" w:fill="FFFFFF"/>
            <w:noWrap/>
          </w:tcPr>
          <w:p w14:paraId="18836451" w14:textId="42583933" w:rsidR="008172B0" w:rsidRPr="007A4753" w:rsidRDefault="008B39FA" w:rsidP="008172B0">
            <w:pPr>
              <w:jc w:val="right"/>
              <w:rPr>
                <w:rFonts w:ascii="Times New Roman" w:hAnsi="Times New Roman" w:cs="Times New Roman"/>
                <w:sz w:val="20"/>
                <w:szCs w:val="20"/>
              </w:rPr>
            </w:pPr>
            <w:r w:rsidRPr="008B39FA">
              <w:rPr>
                <w:rFonts w:ascii="Times New Roman" w:hAnsi="Times New Roman" w:cs="Times New Roman"/>
                <w:sz w:val="20"/>
                <w:szCs w:val="20"/>
              </w:rPr>
              <w:t>11</w:t>
            </w:r>
            <w:r>
              <w:rPr>
                <w:rFonts w:ascii="Times New Roman" w:hAnsi="Times New Roman" w:cs="Times New Roman"/>
                <w:sz w:val="20"/>
                <w:szCs w:val="20"/>
              </w:rPr>
              <w:t>,</w:t>
            </w:r>
            <w:r w:rsidRPr="008B39FA">
              <w:rPr>
                <w:rFonts w:ascii="Times New Roman" w:hAnsi="Times New Roman" w:cs="Times New Roman"/>
                <w:sz w:val="20"/>
                <w:szCs w:val="20"/>
              </w:rPr>
              <w:t>809</w:t>
            </w:r>
            <w:r>
              <w:rPr>
                <w:rFonts w:ascii="Times New Roman" w:hAnsi="Times New Roman" w:cs="Times New Roman"/>
                <w:sz w:val="20"/>
                <w:szCs w:val="20"/>
              </w:rPr>
              <w:t>,</w:t>
            </w:r>
            <w:r w:rsidRPr="008B39FA">
              <w:rPr>
                <w:rFonts w:ascii="Times New Roman" w:hAnsi="Times New Roman" w:cs="Times New Roman"/>
                <w:sz w:val="20"/>
                <w:szCs w:val="20"/>
              </w:rPr>
              <w:t>497</w:t>
            </w:r>
            <w:r>
              <w:rPr>
                <w:rFonts w:ascii="Times New Roman" w:hAnsi="Times New Roman" w:cs="Times New Roman"/>
                <w:sz w:val="20"/>
                <w:szCs w:val="20"/>
              </w:rPr>
              <w:t>,</w:t>
            </w:r>
            <w:r w:rsidRPr="008B39FA">
              <w:rPr>
                <w:rFonts w:ascii="Times New Roman" w:hAnsi="Times New Roman" w:cs="Times New Roman"/>
                <w:sz w:val="20"/>
                <w:szCs w:val="20"/>
              </w:rPr>
              <w:t>628</w:t>
            </w:r>
            <w:r>
              <w:rPr>
                <w:rFonts w:ascii="Times New Roman" w:hAnsi="Times New Roman" w:cs="Times New Roman"/>
                <w:sz w:val="20"/>
                <w:szCs w:val="20"/>
              </w:rPr>
              <w:t>,</w:t>
            </w:r>
            <w:r w:rsidRPr="008B39FA">
              <w:rPr>
                <w:rFonts w:ascii="Times New Roman" w:hAnsi="Times New Roman" w:cs="Times New Roman"/>
                <w:sz w:val="20"/>
                <w:szCs w:val="20"/>
              </w:rPr>
              <w:t>365</w:t>
            </w:r>
          </w:p>
        </w:tc>
      </w:tr>
      <w:tr w:rsidR="008172B0" w:rsidRPr="007A4753" w14:paraId="12662A82" w14:textId="77777777" w:rsidTr="0081007D">
        <w:trPr>
          <w:trHeight w:hRule="exact" w:val="550"/>
        </w:trPr>
        <w:tc>
          <w:tcPr>
            <w:tcW w:w="3266" w:type="dxa"/>
            <w:shd w:val="clear" w:color="000000" w:fill="FFFFFF"/>
            <w:noWrap/>
            <w:vAlign w:val="center"/>
            <w:hideMark/>
          </w:tcPr>
          <w:p w14:paraId="7F16502A"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Tổng giá trị phát hành CCQ (4)=(2)+(3)</w:t>
            </w:r>
          </w:p>
        </w:tc>
        <w:tc>
          <w:tcPr>
            <w:tcW w:w="1117" w:type="dxa"/>
            <w:shd w:val="clear" w:color="000000" w:fill="FFFFFF"/>
            <w:noWrap/>
            <w:vAlign w:val="center"/>
            <w:hideMark/>
          </w:tcPr>
          <w:p w14:paraId="160E540C"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6E633281" w14:textId="5F964357"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 xml:space="preserve">18,621,727,672,004 </w:t>
            </w:r>
          </w:p>
        </w:tc>
        <w:tc>
          <w:tcPr>
            <w:tcW w:w="1850" w:type="dxa"/>
            <w:shd w:val="clear" w:color="000000" w:fill="FFFFFF"/>
            <w:noWrap/>
          </w:tcPr>
          <w:p w14:paraId="266F8759" w14:textId="03E7240E" w:rsidR="008172B0" w:rsidRPr="007A4753" w:rsidRDefault="0032000B" w:rsidP="008172B0">
            <w:pPr>
              <w:jc w:val="right"/>
              <w:rPr>
                <w:rFonts w:ascii="Times New Roman" w:hAnsi="Times New Roman" w:cs="Times New Roman"/>
                <w:sz w:val="20"/>
                <w:szCs w:val="20"/>
              </w:rPr>
            </w:pPr>
            <w:r w:rsidRPr="0032000B">
              <w:rPr>
                <w:rFonts w:ascii="Times New Roman" w:hAnsi="Times New Roman" w:cs="Times New Roman"/>
                <w:sz w:val="20"/>
                <w:szCs w:val="20"/>
              </w:rPr>
              <w:t>4</w:t>
            </w:r>
            <w:r>
              <w:rPr>
                <w:rFonts w:ascii="Times New Roman" w:hAnsi="Times New Roman" w:cs="Times New Roman"/>
                <w:sz w:val="20"/>
                <w:szCs w:val="20"/>
              </w:rPr>
              <w:t>,</w:t>
            </w:r>
            <w:r w:rsidRPr="0032000B">
              <w:rPr>
                <w:rFonts w:ascii="Times New Roman" w:hAnsi="Times New Roman" w:cs="Times New Roman"/>
                <w:sz w:val="20"/>
                <w:szCs w:val="20"/>
              </w:rPr>
              <w:t>245</w:t>
            </w:r>
            <w:r>
              <w:rPr>
                <w:rFonts w:ascii="Times New Roman" w:hAnsi="Times New Roman" w:cs="Times New Roman"/>
                <w:sz w:val="20"/>
                <w:szCs w:val="20"/>
              </w:rPr>
              <w:t>,</w:t>
            </w:r>
            <w:r w:rsidRPr="0032000B">
              <w:rPr>
                <w:rFonts w:ascii="Times New Roman" w:hAnsi="Times New Roman" w:cs="Times New Roman"/>
                <w:sz w:val="20"/>
                <w:szCs w:val="20"/>
              </w:rPr>
              <w:t>769</w:t>
            </w:r>
            <w:r>
              <w:rPr>
                <w:rFonts w:ascii="Times New Roman" w:hAnsi="Times New Roman" w:cs="Times New Roman"/>
                <w:sz w:val="20"/>
                <w:szCs w:val="20"/>
              </w:rPr>
              <w:t>,</w:t>
            </w:r>
            <w:r w:rsidRPr="0032000B">
              <w:rPr>
                <w:rFonts w:ascii="Times New Roman" w:hAnsi="Times New Roman" w:cs="Times New Roman"/>
                <w:sz w:val="20"/>
                <w:szCs w:val="20"/>
              </w:rPr>
              <w:t>956</w:t>
            </w:r>
            <w:r>
              <w:rPr>
                <w:rFonts w:ascii="Times New Roman" w:hAnsi="Times New Roman" w:cs="Times New Roman"/>
                <w:sz w:val="20"/>
                <w:szCs w:val="20"/>
              </w:rPr>
              <w:t>,</w:t>
            </w:r>
            <w:r w:rsidRPr="0032000B">
              <w:rPr>
                <w:rFonts w:ascii="Times New Roman" w:hAnsi="Times New Roman" w:cs="Times New Roman"/>
                <w:sz w:val="20"/>
                <w:szCs w:val="20"/>
              </w:rPr>
              <w:t>361</w:t>
            </w:r>
          </w:p>
        </w:tc>
        <w:tc>
          <w:tcPr>
            <w:tcW w:w="1939" w:type="dxa"/>
            <w:shd w:val="clear" w:color="000000" w:fill="FFFFFF"/>
            <w:noWrap/>
          </w:tcPr>
          <w:p w14:paraId="1FA830D5" w14:textId="5FF1B8B3" w:rsidR="008172B0" w:rsidRPr="007A4753" w:rsidRDefault="0032000B" w:rsidP="008172B0">
            <w:pPr>
              <w:jc w:val="right"/>
              <w:rPr>
                <w:rFonts w:ascii="Times New Roman" w:hAnsi="Times New Roman" w:cs="Times New Roman"/>
                <w:sz w:val="20"/>
                <w:szCs w:val="20"/>
              </w:rPr>
            </w:pPr>
            <w:r w:rsidRPr="0032000B">
              <w:rPr>
                <w:rFonts w:ascii="Times New Roman" w:hAnsi="Times New Roman" w:cs="Times New Roman"/>
                <w:sz w:val="20"/>
                <w:szCs w:val="20"/>
              </w:rPr>
              <w:t>22</w:t>
            </w:r>
            <w:r>
              <w:rPr>
                <w:rFonts w:ascii="Times New Roman" w:hAnsi="Times New Roman" w:cs="Times New Roman"/>
                <w:sz w:val="20"/>
                <w:szCs w:val="20"/>
              </w:rPr>
              <w:t>,</w:t>
            </w:r>
            <w:r w:rsidRPr="0032000B">
              <w:rPr>
                <w:rFonts w:ascii="Times New Roman" w:hAnsi="Times New Roman" w:cs="Times New Roman"/>
                <w:sz w:val="20"/>
                <w:szCs w:val="20"/>
              </w:rPr>
              <w:t>867</w:t>
            </w:r>
            <w:r>
              <w:rPr>
                <w:rFonts w:ascii="Times New Roman" w:hAnsi="Times New Roman" w:cs="Times New Roman"/>
                <w:sz w:val="20"/>
                <w:szCs w:val="20"/>
              </w:rPr>
              <w:t>,</w:t>
            </w:r>
            <w:r w:rsidRPr="0032000B">
              <w:rPr>
                <w:rFonts w:ascii="Times New Roman" w:hAnsi="Times New Roman" w:cs="Times New Roman"/>
                <w:sz w:val="20"/>
                <w:szCs w:val="20"/>
              </w:rPr>
              <w:t>497</w:t>
            </w:r>
            <w:r>
              <w:rPr>
                <w:rFonts w:ascii="Times New Roman" w:hAnsi="Times New Roman" w:cs="Times New Roman"/>
                <w:sz w:val="20"/>
                <w:szCs w:val="20"/>
              </w:rPr>
              <w:t>,</w:t>
            </w:r>
            <w:r w:rsidRPr="0032000B">
              <w:rPr>
                <w:rFonts w:ascii="Times New Roman" w:hAnsi="Times New Roman" w:cs="Times New Roman"/>
                <w:sz w:val="20"/>
                <w:szCs w:val="20"/>
              </w:rPr>
              <w:t>628</w:t>
            </w:r>
            <w:r>
              <w:rPr>
                <w:rFonts w:ascii="Times New Roman" w:hAnsi="Times New Roman" w:cs="Times New Roman"/>
                <w:sz w:val="20"/>
                <w:szCs w:val="20"/>
              </w:rPr>
              <w:t>,</w:t>
            </w:r>
            <w:r w:rsidRPr="0032000B">
              <w:rPr>
                <w:rFonts w:ascii="Times New Roman" w:hAnsi="Times New Roman" w:cs="Times New Roman"/>
                <w:sz w:val="20"/>
                <w:szCs w:val="20"/>
              </w:rPr>
              <w:t>365</w:t>
            </w:r>
          </w:p>
        </w:tc>
      </w:tr>
      <w:tr w:rsidR="008172B0" w:rsidRPr="007A4753" w14:paraId="7D6B6EEB" w14:textId="77777777" w:rsidTr="0081007D">
        <w:trPr>
          <w:trHeight w:hRule="exact" w:val="284"/>
        </w:trPr>
        <w:tc>
          <w:tcPr>
            <w:tcW w:w="3266" w:type="dxa"/>
            <w:shd w:val="clear" w:color="000000" w:fill="FFFFFF"/>
            <w:noWrap/>
            <w:vAlign w:val="center"/>
            <w:hideMark/>
          </w:tcPr>
          <w:p w14:paraId="74796982" w14:textId="77777777" w:rsidR="008172B0" w:rsidRPr="007A4753" w:rsidRDefault="008172B0" w:rsidP="008172B0">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Vốn góp hoán đổi lại</w:t>
            </w:r>
          </w:p>
        </w:tc>
        <w:tc>
          <w:tcPr>
            <w:tcW w:w="1117" w:type="dxa"/>
            <w:shd w:val="clear" w:color="000000" w:fill="FFFFFF"/>
            <w:noWrap/>
            <w:hideMark/>
          </w:tcPr>
          <w:p w14:paraId="70D1877A" w14:textId="77777777" w:rsidR="008172B0" w:rsidRPr="007A4753" w:rsidRDefault="008172B0" w:rsidP="008172B0">
            <w:pPr>
              <w:spacing w:after="0"/>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 </w:t>
            </w:r>
          </w:p>
        </w:tc>
        <w:tc>
          <w:tcPr>
            <w:tcW w:w="1966" w:type="dxa"/>
            <w:shd w:val="clear" w:color="000000" w:fill="FFFFFF"/>
          </w:tcPr>
          <w:p w14:paraId="75EE1B4D" w14:textId="77777777" w:rsidR="008172B0" w:rsidRPr="007A4753" w:rsidRDefault="008172B0" w:rsidP="008172B0">
            <w:pPr>
              <w:jc w:val="right"/>
              <w:rPr>
                <w:rFonts w:ascii="Times New Roman" w:hAnsi="Times New Roman" w:cs="Times New Roman"/>
                <w:sz w:val="20"/>
                <w:szCs w:val="20"/>
              </w:rPr>
            </w:pPr>
          </w:p>
        </w:tc>
        <w:tc>
          <w:tcPr>
            <w:tcW w:w="1850" w:type="dxa"/>
            <w:shd w:val="clear" w:color="000000" w:fill="FFFFFF"/>
            <w:noWrap/>
          </w:tcPr>
          <w:p w14:paraId="145CBB78" w14:textId="77777777" w:rsidR="008172B0" w:rsidRPr="007A4753" w:rsidRDefault="008172B0" w:rsidP="008172B0">
            <w:pPr>
              <w:jc w:val="right"/>
              <w:rPr>
                <w:rFonts w:ascii="Times New Roman" w:hAnsi="Times New Roman" w:cs="Times New Roman"/>
                <w:sz w:val="20"/>
                <w:szCs w:val="20"/>
              </w:rPr>
            </w:pPr>
          </w:p>
        </w:tc>
        <w:tc>
          <w:tcPr>
            <w:tcW w:w="1939" w:type="dxa"/>
            <w:shd w:val="clear" w:color="000000" w:fill="FFFFFF"/>
            <w:noWrap/>
          </w:tcPr>
          <w:p w14:paraId="4490ADE1" w14:textId="77777777" w:rsidR="008172B0" w:rsidRPr="007A4753" w:rsidRDefault="008172B0" w:rsidP="008172B0">
            <w:pPr>
              <w:jc w:val="right"/>
              <w:rPr>
                <w:rFonts w:ascii="Times New Roman" w:hAnsi="Times New Roman" w:cs="Times New Roman"/>
                <w:sz w:val="20"/>
                <w:szCs w:val="20"/>
              </w:rPr>
            </w:pPr>
          </w:p>
        </w:tc>
      </w:tr>
      <w:tr w:rsidR="008172B0" w:rsidRPr="007A4753" w14:paraId="653805DE" w14:textId="77777777" w:rsidTr="0081007D">
        <w:trPr>
          <w:trHeight w:hRule="exact" w:val="284"/>
        </w:trPr>
        <w:tc>
          <w:tcPr>
            <w:tcW w:w="3266" w:type="dxa"/>
            <w:shd w:val="clear" w:color="000000" w:fill="FFFFFF"/>
            <w:noWrap/>
            <w:vAlign w:val="center"/>
            <w:hideMark/>
          </w:tcPr>
          <w:p w14:paraId="1D8B39F0"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Số lượng CCQ  (5)</w:t>
            </w:r>
          </w:p>
        </w:tc>
        <w:tc>
          <w:tcPr>
            <w:tcW w:w="1117" w:type="dxa"/>
            <w:shd w:val="clear" w:color="000000" w:fill="FFFFFF"/>
            <w:noWrap/>
            <w:vAlign w:val="center"/>
            <w:hideMark/>
          </w:tcPr>
          <w:p w14:paraId="013A7CBD"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CCQ</w:t>
            </w:r>
          </w:p>
        </w:tc>
        <w:tc>
          <w:tcPr>
            <w:tcW w:w="1966" w:type="dxa"/>
            <w:shd w:val="clear" w:color="000000" w:fill="FFFFFF"/>
          </w:tcPr>
          <w:p w14:paraId="1EDA5F68" w14:textId="462A27C2" w:rsidR="008172B0"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(287,000,000)</w:t>
            </w:r>
          </w:p>
        </w:tc>
        <w:tc>
          <w:tcPr>
            <w:tcW w:w="1850" w:type="dxa"/>
            <w:shd w:val="clear" w:color="000000" w:fill="FFFFFF"/>
            <w:noWrap/>
          </w:tcPr>
          <w:p w14:paraId="39D8A8EE" w14:textId="23469A31" w:rsidR="008172B0" w:rsidRPr="007A4753" w:rsidRDefault="00E33076" w:rsidP="008172B0">
            <w:pPr>
              <w:jc w:val="right"/>
              <w:rPr>
                <w:rFonts w:ascii="Times New Roman" w:hAnsi="Times New Roman" w:cs="Times New Roman"/>
                <w:sz w:val="20"/>
                <w:szCs w:val="20"/>
              </w:rPr>
            </w:pPr>
            <w:r>
              <w:rPr>
                <w:rFonts w:ascii="Times New Roman" w:hAnsi="Times New Roman" w:cs="Times New Roman"/>
                <w:sz w:val="20"/>
                <w:szCs w:val="20"/>
              </w:rPr>
              <w:t>(</w:t>
            </w:r>
            <w:r w:rsidRPr="00E33076">
              <w:rPr>
                <w:rFonts w:ascii="Times New Roman" w:hAnsi="Times New Roman" w:cs="Times New Roman"/>
                <w:sz w:val="20"/>
                <w:szCs w:val="20"/>
              </w:rPr>
              <w:t>9</w:t>
            </w:r>
            <w:r>
              <w:rPr>
                <w:rFonts w:ascii="Times New Roman" w:hAnsi="Times New Roman" w:cs="Times New Roman"/>
                <w:sz w:val="20"/>
                <w:szCs w:val="20"/>
              </w:rPr>
              <w:t>,</w:t>
            </w:r>
            <w:r w:rsidRPr="00E33076">
              <w:rPr>
                <w:rFonts w:ascii="Times New Roman" w:hAnsi="Times New Roman" w:cs="Times New Roman"/>
                <w:sz w:val="20"/>
                <w:szCs w:val="20"/>
              </w:rPr>
              <w:t>100</w:t>
            </w:r>
            <w:r>
              <w:rPr>
                <w:rFonts w:ascii="Times New Roman" w:hAnsi="Times New Roman" w:cs="Times New Roman"/>
                <w:sz w:val="20"/>
                <w:szCs w:val="20"/>
              </w:rPr>
              <w:t>,</w:t>
            </w:r>
            <w:r w:rsidRPr="00E33076">
              <w:rPr>
                <w:rFonts w:ascii="Times New Roman" w:hAnsi="Times New Roman" w:cs="Times New Roman"/>
                <w:sz w:val="20"/>
                <w:szCs w:val="20"/>
              </w:rPr>
              <w:t>000</w:t>
            </w:r>
            <w:r>
              <w:rPr>
                <w:rFonts w:ascii="Times New Roman" w:hAnsi="Times New Roman" w:cs="Times New Roman"/>
                <w:sz w:val="20"/>
                <w:szCs w:val="20"/>
              </w:rPr>
              <w:t>)</w:t>
            </w:r>
          </w:p>
        </w:tc>
        <w:tc>
          <w:tcPr>
            <w:tcW w:w="1939" w:type="dxa"/>
            <w:shd w:val="clear" w:color="000000" w:fill="FFFFFF"/>
            <w:noWrap/>
          </w:tcPr>
          <w:p w14:paraId="47D5840F" w14:textId="522C1B3F" w:rsidR="008172B0" w:rsidRPr="007A4753" w:rsidRDefault="008172B0" w:rsidP="00052863">
            <w:pPr>
              <w:jc w:val="right"/>
              <w:rPr>
                <w:rFonts w:ascii="Times New Roman" w:hAnsi="Times New Roman" w:cs="Times New Roman"/>
                <w:sz w:val="20"/>
                <w:szCs w:val="20"/>
              </w:rPr>
            </w:pPr>
            <w:r w:rsidRPr="008B3870">
              <w:rPr>
                <w:rFonts w:ascii="Times New Roman" w:hAnsi="Times New Roman" w:cs="Times New Roman"/>
                <w:sz w:val="20"/>
                <w:szCs w:val="20"/>
              </w:rPr>
              <w:t>(</w:t>
            </w:r>
            <w:r w:rsidR="00052863">
              <w:rPr>
                <w:rFonts w:ascii="Times New Roman" w:hAnsi="Times New Roman" w:cs="Times New Roman"/>
                <w:sz w:val="20"/>
                <w:szCs w:val="20"/>
              </w:rPr>
              <w:t>378</w:t>
            </w:r>
            <w:r w:rsidRPr="008B3870">
              <w:rPr>
                <w:rFonts w:ascii="Times New Roman" w:hAnsi="Times New Roman" w:cs="Times New Roman"/>
                <w:sz w:val="20"/>
                <w:szCs w:val="20"/>
              </w:rPr>
              <w:t>,000,000)</w:t>
            </w:r>
          </w:p>
        </w:tc>
      </w:tr>
      <w:tr w:rsidR="008172B0" w:rsidRPr="007A4753" w14:paraId="5F842541" w14:textId="77777777" w:rsidTr="0081007D">
        <w:trPr>
          <w:trHeight w:hRule="exact" w:val="284"/>
        </w:trPr>
        <w:tc>
          <w:tcPr>
            <w:tcW w:w="3266" w:type="dxa"/>
            <w:shd w:val="clear" w:color="000000" w:fill="FFFFFF"/>
            <w:noWrap/>
            <w:vAlign w:val="center"/>
            <w:hideMark/>
          </w:tcPr>
          <w:p w14:paraId="31460E5C"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Giá trị ghi theo mệnh giá (6)</w:t>
            </w:r>
          </w:p>
        </w:tc>
        <w:tc>
          <w:tcPr>
            <w:tcW w:w="1117" w:type="dxa"/>
            <w:shd w:val="clear" w:color="000000" w:fill="FFFFFF"/>
            <w:noWrap/>
            <w:vAlign w:val="center"/>
            <w:hideMark/>
          </w:tcPr>
          <w:p w14:paraId="67A1AACC"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7C57544A" w14:textId="7EE96AFE"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(2,870,000,000,000)</w:t>
            </w:r>
          </w:p>
        </w:tc>
        <w:tc>
          <w:tcPr>
            <w:tcW w:w="1850" w:type="dxa"/>
            <w:shd w:val="clear" w:color="000000" w:fill="FFFFFF"/>
            <w:noWrap/>
          </w:tcPr>
          <w:p w14:paraId="7E7CA494" w14:textId="133F72CF" w:rsidR="008172B0" w:rsidRPr="007A4753" w:rsidRDefault="008172B0" w:rsidP="00E33076">
            <w:pPr>
              <w:jc w:val="right"/>
              <w:rPr>
                <w:rFonts w:ascii="Times New Roman" w:hAnsi="Times New Roman" w:cs="Times New Roman"/>
                <w:sz w:val="20"/>
                <w:szCs w:val="20"/>
              </w:rPr>
            </w:pPr>
            <w:r w:rsidRPr="008B3870">
              <w:rPr>
                <w:rFonts w:ascii="Times New Roman" w:hAnsi="Times New Roman" w:cs="Times New Roman"/>
                <w:sz w:val="20"/>
                <w:szCs w:val="20"/>
              </w:rPr>
              <w:t>(</w:t>
            </w:r>
            <w:r w:rsidR="00E33076">
              <w:rPr>
                <w:rFonts w:ascii="Times New Roman" w:hAnsi="Times New Roman" w:cs="Times New Roman"/>
                <w:sz w:val="20"/>
                <w:szCs w:val="20"/>
              </w:rPr>
              <w:t>91</w:t>
            </w:r>
            <w:r w:rsidRPr="008B3870">
              <w:rPr>
                <w:rFonts w:ascii="Times New Roman" w:hAnsi="Times New Roman" w:cs="Times New Roman"/>
                <w:sz w:val="20"/>
                <w:szCs w:val="20"/>
              </w:rPr>
              <w:t>,000,000,000)</w:t>
            </w:r>
          </w:p>
        </w:tc>
        <w:tc>
          <w:tcPr>
            <w:tcW w:w="1939" w:type="dxa"/>
            <w:shd w:val="clear" w:color="000000" w:fill="FFFFFF"/>
            <w:noWrap/>
          </w:tcPr>
          <w:p w14:paraId="0EC2BAC7" w14:textId="4F021EF0" w:rsidR="008172B0" w:rsidRPr="007A4753" w:rsidRDefault="008172B0" w:rsidP="00052863">
            <w:pPr>
              <w:jc w:val="right"/>
              <w:rPr>
                <w:rFonts w:ascii="Times New Roman" w:hAnsi="Times New Roman" w:cs="Times New Roman"/>
                <w:sz w:val="20"/>
                <w:szCs w:val="20"/>
              </w:rPr>
            </w:pPr>
            <w:r w:rsidRPr="008B3870">
              <w:rPr>
                <w:rFonts w:ascii="Times New Roman" w:hAnsi="Times New Roman" w:cs="Times New Roman"/>
                <w:sz w:val="20"/>
                <w:szCs w:val="20"/>
              </w:rPr>
              <w:t>(</w:t>
            </w:r>
            <w:r w:rsidR="00052863">
              <w:rPr>
                <w:rFonts w:ascii="Times New Roman" w:hAnsi="Times New Roman" w:cs="Times New Roman"/>
                <w:sz w:val="20"/>
                <w:szCs w:val="20"/>
              </w:rPr>
              <w:t>3</w:t>
            </w:r>
            <w:r w:rsidRPr="008B3870">
              <w:rPr>
                <w:rFonts w:ascii="Times New Roman" w:hAnsi="Times New Roman" w:cs="Times New Roman"/>
                <w:sz w:val="20"/>
                <w:szCs w:val="20"/>
              </w:rPr>
              <w:t>,</w:t>
            </w:r>
            <w:r w:rsidR="00052863">
              <w:rPr>
                <w:rFonts w:ascii="Times New Roman" w:hAnsi="Times New Roman" w:cs="Times New Roman"/>
                <w:sz w:val="20"/>
                <w:szCs w:val="20"/>
              </w:rPr>
              <w:t>78</w:t>
            </w:r>
            <w:r w:rsidRPr="008B3870">
              <w:rPr>
                <w:rFonts w:ascii="Times New Roman" w:hAnsi="Times New Roman" w:cs="Times New Roman"/>
                <w:sz w:val="20"/>
                <w:szCs w:val="20"/>
              </w:rPr>
              <w:t>0,000,000,000)</w:t>
            </w:r>
          </w:p>
        </w:tc>
      </w:tr>
      <w:tr w:rsidR="008172B0" w:rsidRPr="007A4753" w14:paraId="248C4062" w14:textId="77777777" w:rsidTr="0081007D">
        <w:trPr>
          <w:trHeight w:hRule="exact" w:val="284"/>
        </w:trPr>
        <w:tc>
          <w:tcPr>
            <w:tcW w:w="3266" w:type="dxa"/>
            <w:shd w:val="clear" w:color="000000" w:fill="FFFFFF"/>
            <w:noWrap/>
            <w:vAlign w:val="center"/>
            <w:hideMark/>
          </w:tcPr>
          <w:p w14:paraId="6B961AF5"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Thặng dư vốn góp hoán đổi lại (7)</w:t>
            </w:r>
          </w:p>
        </w:tc>
        <w:tc>
          <w:tcPr>
            <w:tcW w:w="1117" w:type="dxa"/>
            <w:shd w:val="clear" w:color="000000" w:fill="FFFFFF"/>
            <w:noWrap/>
            <w:vAlign w:val="center"/>
            <w:hideMark/>
          </w:tcPr>
          <w:p w14:paraId="78951BDE"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4987E6EB" w14:textId="217ACE15"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(4,484,464,546,474)</w:t>
            </w:r>
          </w:p>
        </w:tc>
        <w:tc>
          <w:tcPr>
            <w:tcW w:w="1850" w:type="dxa"/>
            <w:shd w:val="clear" w:color="000000" w:fill="FFFFFF"/>
            <w:noWrap/>
          </w:tcPr>
          <w:p w14:paraId="3CF647E5" w14:textId="25127AF7" w:rsidR="008172B0" w:rsidRPr="007A4753" w:rsidRDefault="008172B0" w:rsidP="008172B0">
            <w:pPr>
              <w:jc w:val="right"/>
              <w:rPr>
                <w:rFonts w:ascii="Times New Roman" w:hAnsi="Times New Roman" w:cs="Times New Roman"/>
                <w:sz w:val="20"/>
                <w:szCs w:val="20"/>
              </w:rPr>
            </w:pPr>
            <w:r w:rsidRPr="008B3870">
              <w:rPr>
                <w:rFonts w:ascii="Times New Roman" w:hAnsi="Times New Roman" w:cs="Times New Roman"/>
                <w:sz w:val="20"/>
                <w:szCs w:val="20"/>
              </w:rPr>
              <w:t>(</w:t>
            </w:r>
            <w:r w:rsidR="001E1788" w:rsidRPr="001E1788">
              <w:rPr>
                <w:rFonts w:ascii="Times New Roman" w:hAnsi="Times New Roman" w:cs="Times New Roman"/>
                <w:sz w:val="20"/>
                <w:szCs w:val="20"/>
              </w:rPr>
              <w:t>109</w:t>
            </w:r>
            <w:r w:rsidR="001E1788">
              <w:rPr>
                <w:rFonts w:ascii="Times New Roman" w:hAnsi="Times New Roman" w:cs="Times New Roman"/>
                <w:sz w:val="20"/>
                <w:szCs w:val="20"/>
              </w:rPr>
              <w:t>,</w:t>
            </w:r>
            <w:r w:rsidR="001E1788" w:rsidRPr="001E1788">
              <w:rPr>
                <w:rFonts w:ascii="Times New Roman" w:hAnsi="Times New Roman" w:cs="Times New Roman"/>
                <w:sz w:val="20"/>
                <w:szCs w:val="20"/>
              </w:rPr>
              <w:t>020</w:t>
            </w:r>
            <w:r w:rsidR="001E1788">
              <w:rPr>
                <w:rFonts w:ascii="Times New Roman" w:hAnsi="Times New Roman" w:cs="Times New Roman"/>
                <w:sz w:val="20"/>
                <w:szCs w:val="20"/>
              </w:rPr>
              <w:t>,</w:t>
            </w:r>
            <w:r w:rsidR="001E1788" w:rsidRPr="001E1788">
              <w:rPr>
                <w:rFonts w:ascii="Times New Roman" w:hAnsi="Times New Roman" w:cs="Times New Roman"/>
                <w:sz w:val="20"/>
                <w:szCs w:val="20"/>
              </w:rPr>
              <w:t>071</w:t>
            </w:r>
            <w:r w:rsidR="001E1788">
              <w:rPr>
                <w:rFonts w:ascii="Times New Roman" w:hAnsi="Times New Roman" w:cs="Times New Roman"/>
                <w:sz w:val="20"/>
                <w:szCs w:val="20"/>
              </w:rPr>
              <w:t>,</w:t>
            </w:r>
            <w:r w:rsidR="001E1788" w:rsidRPr="001E1788">
              <w:rPr>
                <w:rFonts w:ascii="Times New Roman" w:hAnsi="Times New Roman" w:cs="Times New Roman"/>
                <w:sz w:val="20"/>
                <w:szCs w:val="20"/>
              </w:rPr>
              <w:t>359</w:t>
            </w:r>
            <w:r w:rsidRPr="008B3870">
              <w:rPr>
                <w:rFonts w:ascii="Times New Roman" w:hAnsi="Times New Roman" w:cs="Times New Roman"/>
                <w:sz w:val="20"/>
                <w:szCs w:val="20"/>
              </w:rPr>
              <w:t>)</w:t>
            </w:r>
          </w:p>
        </w:tc>
        <w:tc>
          <w:tcPr>
            <w:tcW w:w="1939" w:type="dxa"/>
            <w:shd w:val="clear" w:color="000000" w:fill="FFFFFF"/>
            <w:noWrap/>
          </w:tcPr>
          <w:p w14:paraId="4F30F74E" w14:textId="03ADD57E" w:rsidR="008172B0" w:rsidRPr="007A4753" w:rsidRDefault="008172B0" w:rsidP="008172B0">
            <w:pPr>
              <w:jc w:val="right"/>
              <w:rPr>
                <w:rFonts w:ascii="Times New Roman" w:hAnsi="Times New Roman" w:cs="Times New Roman"/>
                <w:sz w:val="20"/>
                <w:szCs w:val="20"/>
              </w:rPr>
            </w:pPr>
            <w:r w:rsidRPr="008B3870">
              <w:rPr>
                <w:rFonts w:ascii="Times New Roman" w:hAnsi="Times New Roman" w:cs="Times New Roman"/>
                <w:sz w:val="20"/>
                <w:szCs w:val="20"/>
              </w:rPr>
              <w:t>(</w:t>
            </w:r>
            <w:r w:rsidR="001E1788" w:rsidRPr="001E1788">
              <w:rPr>
                <w:rFonts w:ascii="Times New Roman" w:hAnsi="Times New Roman" w:cs="Times New Roman"/>
                <w:sz w:val="20"/>
                <w:szCs w:val="20"/>
              </w:rPr>
              <w:t>4</w:t>
            </w:r>
            <w:r w:rsidR="001E1788">
              <w:rPr>
                <w:rFonts w:ascii="Times New Roman" w:hAnsi="Times New Roman" w:cs="Times New Roman"/>
                <w:sz w:val="20"/>
                <w:szCs w:val="20"/>
              </w:rPr>
              <w:t>,</w:t>
            </w:r>
            <w:r w:rsidR="001E1788" w:rsidRPr="001E1788">
              <w:rPr>
                <w:rFonts w:ascii="Times New Roman" w:hAnsi="Times New Roman" w:cs="Times New Roman"/>
                <w:sz w:val="20"/>
                <w:szCs w:val="20"/>
              </w:rPr>
              <w:t>593</w:t>
            </w:r>
            <w:r w:rsidR="001E1788">
              <w:rPr>
                <w:rFonts w:ascii="Times New Roman" w:hAnsi="Times New Roman" w:cs="Times New Roman"/>
                <w:sz w:val="20"/>
                <w:szCs w:val="20"/>
              </w:rPr>
              <w:t>,</w:t>
            </w:r>
            <w:r w:rsidR="001E1788" w:rsidRPr="001E1788">
              <w:rPr>
                <w:rFonts w:ascii="Times New Roman" w:hAnsi="Times New Roman" w:cs="Times New Roman"/>
                <w:sz w:val="20"/>
                <w:szCs w:val="20"/>
              </w:rPr>
              <w:t>484</w:t>
            </w:r>
            <w:r w:rsidR="001E1788">
              <w:rPr>
                <w:rFonts w:ascii="Times New Roman" w:hAnsi="Times New Roman" w:cs="Times New Roman"/>
                <w:sz w:val="20"/>
                <w:szCs w:val="20"/>
              </w:rPr>
              <w:t>,</w:t>
            </w:r>
            <w:r w:rsidR="001E1788" w:rsidRPr="001E1788">
              <w:rPr>
                <w:rFonts w:ascii="Times New Roman" w:hAnsi="Times New Roman" w:cs="Times New Roman"/>
                <w:sz w:val="20"/>
                <w:szCs w:val="20"/>
              </w:rPr>
              <w:t>617</w:t>
            </w:r>
            <w:r w:rsidR="001E1788">
              <w:rPr>
                <w:rFonts w:ascii="Times New Roman" w:hAnsi="Times New Roman" w:cs="Times New Roman"/>
                <w:sz w:val="20"/>
                <w:szCs w:val="20"/>
              </w:rPr>
              <w:t>,</w:t>
            </w:r>
            <w:r w:rsidR="001E1788" w:rsidRPr="001E1788">
              <w:rPr>
                <w:rFonts w:ascii="Times New Roman" w:hAnsi="Times New Roman" w:cs="Times New Roman"/>
                <w:sz w:val="20"/>
                <w:szCs w:val="20"/>
              </w:rPr>
              <w:t>833</w:t>
            </w:r>
            <w:r w:rsidRPr="008B3870">
              <w:rPr>
                <w:rFonts w:ascii="Times New Roman" w:hAnsi="Times New Roman" w:cs="Times New Roman"/>
                <w:sz w:val="20"/>
                <w:szCs w:val="20"/>
              </w:rPr>
              <w:t>)</w:t>
            </w:r>
          </w:p>
        </w:tc>
      </w:tr>
      <w:tr w:rsidR="008172B0" w:rsidRPr="007A4753" w14:paraId="405DC80D" w14:textId="77777777" w:rsidTr="0081007D">
        <w:trPr>
          <w:trHeight w:hRule="exact" w:val="515"/>
        </w:trPr>
        <w:tc>
          <w:tcPr>
            <w:tcW w:w="3266" w:type="dxa"/>
            <w:shd w:val="clear" w:color="000000" w:fill="FFFFFF"/>
            <w:noWrap/>
            <w:vAlign w:val="center"/>
            <w:hideMark/>
          </w:tcPr>
          <w:p w14:paraId="338EA94C"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Tổng giá trị hoán đổi lại CCQ (8)=(6)+(7)</w:t>
            </w:r>
          </w:p>
        </w:tc>
        <w:tc>
          <w:tcPr>
            <w:tcW w:w="1117" w:type="dxa"/>
            <w:shd w:val="clear" w:color="000000" w:fill="FFFFFF"/>
            <w:noWrap/>
            <w:vAlign w:val="center"/>
            <w:hideMark/>
          </w:tcPr>
          <w:p w14:paraId="03019D35"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4764D9DE" w14:textId="74C31457"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(7,354,464,546,474)</w:t>
            </w:r>
          </w:p>
        </w:tc>
        <w:tc>
          <w:tcPr>
            <w:tcW w:w="1850" w:type="dxa"/>
            <w:shd w:val="clear" w:color="000000" w:fill="FFFFFF"/>
            <w:noWrap/>
          </w:tcPr>
          <w:p w14:paraId="32980BD3" w14:textId="67CEED8B" w:rsidR="008172B0" w:rsidRPr="007A4753" w:rsidRDefault="008172B0" w:rsidP="005830E7">
            <w:pPr>
              <w:jc w:val="right"/>
              <w:rPr>
                <w:rFonts w:ascii="Times New Roman" w:hAnsi="Times New Roman" w:cs="Times New Roman"/>
                <w:sz w:val="20"/>
                <w:szCs w:val="20"/>
              </w:rPr>
            </w:pPr>
            <w:r w:rsidRPr="008B3870">
              <w:rPr>
                <w:rFonts w:ascii="Times New Roman" w:hAnsi="Times New Roman" w:cs="Times New Roman"/>
                <w:sz w:val="20"/>
                <w:szCs w:val="20"/>
              </w:rPr>
              <w:t>(</w:t>
            </w:r>
            <w:r w:rsidR="005830E7">
              <w:rPr>
                <w:rFonts w:ascii="Times New Roman" w:hAnsi="Times New Roman" w:cs="Times New Roman"/>
                <w:sz w:val="20"/>
                <w:szCs w:val="20"/>
              </w:rPr>
              <w:t>200</w:t>
            </w:r>
            <w:r w:rsidRPr="008B3870">
              <w:rPr>
                <w:rFonts w:ascii="Times New Roman" w:hAnsi="Times New Roman" w:cs="Times New Roman"/>
                <w:sz w:val="20"/>
                <w:szCs w:val="20"/>
              </w:rPr>
              <w:t>,</w:t>
            </w:r>
            <w:r w:rsidR="005830E7">
              <w:rPr>
                <w:rFonts w:ascii="Times New Roman" w:hAnsi="Times New Roman" w:cs="Times New Roman"/>
                <w:sz w:val="20"/>
                <w:szCs w:val="20"/>
              </w:rPr>
              <w:t>020</w:t>
            </w:r>
            <w:r w:rsidRPr="008B3870">
              <w:rPr>
                <w:rFonts w:ascii="Times New Roman" w:hAnsi="Times New Roman" w:cs="Times New Roman"/>
                <w:sz w:val="20"/>
                <w:szCs w:val="20"/>
              </w:rPr>
              <w:t>,</w:t>
            </w:r>
            <w:r w:rsidR="005830E7">
              <w:rPr>
                <w:rFonts w:ascii="Times New Roman" w:hAnsi="Times New Roman" w:cs="Times New Roman"/>
                <w:sz w:val="20"/>
                <w:szCs w:val="20"/>
              </w:rPr>
              <w:t>0</w:t>
            </w:r>
            <w:r w:rsidRPr="008B3870">
              <w:rPr>
                <w:rFonts w:ascii="Times New Roman" w:hAnsi="Times New Roman" w:cs="Times New Roman"/>
                <w:sz w:val="20"/>
                <w:szCs w:val="20"/>
              </w:rPr>
              <w:t>71,</w:t>
            </w:r>
            <w:r w:rsidR="005830E7">
              <w:rPr>
                <w:rFonts w:ascii="Times New Roman" w:hAnsi="Times New Roman" w:cs="Times New Roman"/>
                <w:sz w:val="20"/>
                <w:szCs w:val="20"/>
              </w:rPr>
              <w:t>35</w:t>
            </w:r>
            <w:r w:rsidRPr="008B3870">
              <w:rPr>
                <w:rFonts w:ascii="Times New Roman" w:hAnsi="Times New Roman" w:cs="Times New Roman"/>
                <w:sz w:val="20"/>
                <w:szCs w:val="20"/>
              </w:rPr>
              <w:t>9)</w:t>
            </w:r>
          </w:p>
        </w:tc>
        <w:tc>
          <w:tcPr>
            <w:tcW w:w="1939" w:type="dxa"/>
            <w:shd w:val="clear" w:color="000000" w:fill="FFFFFF"/>
            <w:noWrap/>
          </w:tcPr>
          <w:p w14:paraId="0E0A68A9" w14:textId="58EFA3BC" w:rsidR="008172B0" w:rsidRPr="007A4753" w:rsidRDefault="008172B0" w:rsidP="00442A1A">
            <w:pPr>
              <w:jc w:val="right"/>
              <w:rPr>
                <w:rFonts w:ascii="Times New Roman" w:hAnsi="Times New Roman" w:cs="Times New Roman"/>
                <w:sz w:val="20"/>
                <w:szCs w:val="20"/>
              </w:rPr>
            </w:pPr>
            <w:r w:rsidRPr="008B3870">
              <w:rPr>
                <w:rFonts w:ascii="Times New Roman" w:hAnsi="Times New Roman" w:cs="Times New Roman"/>
                <w:sz w:val="20"/>
                <w:szCs w:val="20"/>
              </w:rPr>
              <w:t>(7,</w:t>
            </w:r>
            <w:r w:rsidR="00442A1A">
              <w:rPr>
                <w:rFonts w:ascii="Times New Roman" w:hAnsi="Times New Roman" w:cs="Times New Roman"/>
                <w:sz w:val="20"/>
                <w:szCs w:val="20"/>
              </w:rPr>
              <w:t>373</w:t>
            </w:r>
            <w:r w:rsidRPr="008B3870">
              <w:rPr>
                <w:rFonts w:ascii="Times New Roman" w:hAnsi="Times New Roman" w:cs="Times New Roman"/>
                <w:sz w:val="20"/>
                <w:szCs w:val="20"/>
              </w:rPr>
              <w:t>,4</w:t>
            </w:r>
            <w:r w:rsidR="00442A1A">
              <w:rPr>
                <w:rFonts w:ascii="Times New Roman" w:hAnsi="Times New Roman" w:cs="Times New Roman"/>
                <w:sz w:val="20"/>
                <w:szCs w:val="20"/>
              </w:rPr>
              <w:t>8</w:t>
            </w:r>
            <w:r w:rsidRPr="008B3870">
              <w:rPr>
                <w:rFonts w:ascii="Times New Roman" w:hAnsi="Times New Roman" w:cs="Times New Roman"/>
                <w:sz w:val="20"/>
                <w:szCs w:val="20"/>
              </w:rPr>
              <w:t>4,</w:t>
            </w:r>
            <w:r w:rsidR="00442A1A">
              <w:rPr>
                <w:rFonts w:ascii="Times New Roman" w:hAnsi="Times New Roman" w:cs="Times New Roman"/>
                <w:sz w:val="20"/>
                <w:szCs w:val="20"/>
              </w:rPr>
              <w:t>617</w:t>
            </w:r>
            <w:r w:rsidRPr="008B3870">
              <w:rPr>
                <w:rFonts w:ascii="Times New Roman" w:hAnsi="Times New Roman" w:cs="Times New Roman"/>
                <w:sz w:val="20"/>
                <w:szCs w:val="20"/>
              </w:rPr>
              <w:t>,</w:t>
            </w:r>
            <w:r w:rsidR="00442A1A">
              <w:rPr>
                <w:rFonts w:ascii="Times New Roman" w:hAnsi="Times New Roman" w:cs="Times New Roman"/>
                <w:sz w:val="20"/>
                <w:szCs w:val="20"/>
              </w:rPr>
              <w:t>833</w:t>
            </w:r>
            <w:r w:rsidRPr="008B3870">
              <w:rPr>
                <w:rFonts w:ascii="Times New Roman" w:hAnsi="Times New Roman" w:cs="Times New Roman"/>
                <w:sz w:val="20"/>
                <w:szCs w:val="20"/>
              </w:rPr>
              <w:t>)</w:t>
            </w:r>
          </w:p>
        </w:tc>
      </w:tr>
      <w:tr w:rsidR="008172B0" w:rsidRPr="007A4753" w14:paraId="1A8C1DF8" w14:textId="77777777" w:rsidTr="0081007D">
        <w:trPr>
          <w:trHeight w:hRule="exact" w:val="550"/>
        </w:trPr>
        <w:tc>
          <w:tcPr>
            <w:tcW w:w="3266" w:type="dxa"/>
            <w:shd w:val="clear" w:color="000000" w:fill="FFFFFF"/>
            <w:noWrap/>
            <w:vAlign w:val="center"/>
            <w:hideMark/>
          </w:tcPr>
          <w:p w14:paraId="68D07E73"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Số lượng chứng chỉ quỹ hiện hành  (9)=(1)+(5)</w:t>
            </w:r>
          </w:p>
        </w:tc>
        <w:tc>
          <w:tcPr>
            <w:tcW w:w="1117" w:type="dxa"/>
            <w:shd w:val="clear" w:color="000000" w:fill="FFFFFF"/>
            <w:noWrap/>
            <w:vAlign w:val="center"/>
            <w:hideMark/>
          </w:tcPr>
          <w:p w14:paraId="218FF8EA"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CCQ</w:t>
            </w:r>
          </w:p>
        </w:tc>
        <w:tc>
          <w:tcPr>
            <w:tcW w:w="1966" w:type="dxa"/>
            <w:shd w:val="clear" w:color="000000" w:fill="FFFFFF"/>
          </w:tcPr>
          <w:p w14:paraId="3E44823C" w14:textId="701F4D5B"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 xml:space="preserve">622,400,000.00 </w:t>
            </w:r>
          </w:p>
        </w:tc>
        <w:tc>
          <w:tcPr>
            <w:tcW w:w="1850" w:type="dxa"/>
            <w:shd w:val="clear" w:color="000000" w:fill="FFFFFF"/>
            <w:noWrap/>
          </w:tcPr>
          <w:p w14:paraId="43595D2E" w14:textId="7466CEE6" w:rsidR="008172B0" w:rsidRPr="007A4753" w:rsidRDefault="00882D86" w:rsidP="00882D86">
            <w:pPr>
              <w:jc w:val="right"/>
              <w:rPr>
                <w:rFonts w:ascii="Times New Roman" w:hAnsi="Times New Roman" w:cs="Times New Roman"/>
                <w:sz w:val="20"/>
                <w:szCs w:val="20"/>
              </w:rPr>
            </w:pPr>
            <w:r>
              <w:rPr>
                <w:rFonts w:ascii="Times New Roman" w:hAnsi="Times New Roman" w:cs="Times New Roman"/>
                <w:sz w:val="20"/>
                <w:szCs w:val="20"/>
              </w:rPr>
              <w:t>187</w:t>
            </w:r>
            <w:r w:rsidR="008172B0" w:rsidRPr="008B3870">
              <w:rPr>
                <w:rFonts w:ascii="Times New Roman" w:hAnsi="Times New Roman" w:cs="Times New Roman"/>
                <w:sz w:val="20"/>
                <w:szCs w:val="20"/>
              </w:rPr>
              <w:t>,300,000.00</w:t>
            </w:r>
          </w:p>
        </w:tc>
        <w:tc>
          <w:tcPr>
            <w:tcW w:w="1939" w:type="dxa"/>
            <w:shd w:val="clear" w:color="000000" w:fill="FFFFFF"/>
            <w:noWrap/>
          </w:tcPr>
          <w:p w14:paraId="565874F7" w14:textId="037553C8" w:rsidR="008172B0" w:rsidRPr="007A4753" w:rsidRDefault="00882D86" w:rsidP="00882D86">
            <w:pPr>
              <w:jc w:val="right"/>
              <w:rPr>
                <w:rFonts w:ascii="Times New Roman" w:hAnsi="Times New Roman" w:cs="Times New Roman"/>
                <w:sz w:val="20"/>
                <w:szCs w:val="20"/>
              </w:rPr>
            </w:pPr>
            <w:r>
              <w:rPr>
                <w:rFonts w:ascii="Times New Roman" w:hAnsi="Times New Roman" w:cs="Times New Roman"/>
                <w:sz w:val="20"/>
                <w:szCs w:val="20"/>
              </w:rPr>
              <w:t>809</w:t>
            </w:r>
            <w:r w:rsidR="008172B0" w:rsidRPr="008B3870">
              <w:rPr>
                <w:rFonts w:ascii="Times New Roman" w:hAnsi="Times New Roman" w:cs="Times New Roman"/>
                <w:sz w:val="20"/>
                <w:szCs w:val="20"/>
              </w:rPr>
              <w:t>,</w:t>
            </w:r>
            <w:r>
              <w:rPr>
                <w:rFonts w:ascii="Times New Roman" w:hAnsi="Times New Roman" w:cs="Times New Roman"/>
                <w:sz w:val="20"/>
                <w:szCs w:val="20"/>
              </w:rPr>
              <w:t>7</w:t>
            </w:r>
            <w:r w:rsidR="008172B0" w:rsidRPr="008B3870">
              <w:rPr>
                <w:rFonts w:ascii="Times New Roman" w:hAnsi="Times New Roman" w:cs="Times New Roman"/>
                <w:sz w:val="20"/>
                <w:szCs w:val="20"/>
              </w:rPr>
              <w:t xml:space="preserve">00,000.00 </w:t>
            </w:r>
          </w:p>
        </w:tc>
      </w:tr>
      <w:tr w:rsidR="008172B0" w:rsidRPr="007A4753" w14:paraId="65584A0A" w14:textId="77777777" w:rsidTr="0081007D">
        <w:trPr>
          <w:trHeight w:hRule="exact" w:val="498"/>
        </w:trPr>
        <w:tc>
          <w:tcPr>
            <w:tcW w:w="3266" w:type="dxa"/>
            <w:shd w:val="clear" w:color="000000" w:fill="FFFFFF"/>
            <w:noWrap/>
            <w:vAlign w:val="center"/>
            <w:hideMark/>
          </w:tcPr>
          <w:p w14:paraId="0C667EB3"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Giá trị vốn góp hiện hành (10)=(4)+(8)</w:t>
            </w:r>
          </w:p>
        </w:tc>
        <w:tc>
          <w:tcPr>
            <w:tcW w:w="1117" w:type="dxa"/>
            <w:shd w:val="clear" w:color="000000" w:fill="FFFFFF"/>
            <w:noWrap/>
            <w:vAlign w:val="center"/>
            <w:hideMark/>
          </w:tcPr>
          <w:p w14:paraId="53175711"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26B3F807" w14:textId="7F850688" w:rsidR="008172B0" w:rsidRPr="007A4753" w:rsidRDefault="008172B0" w:rsidP="008172B0">
            <w:pPr>
              <w:jc w:val="right"/>
              <w:rPr>
                <w:rFonts w:ascii="Times New Roman" w:hAnsi="Times New Roman" w:cs="Times New Roman"/>
                <w:sz w:val="20"/>
                <w:szCs w:val="20"/>
              </w:rPr>
            </w:pPr>
            <w:r w:rsidRPr="008B3870">
              <w:rPr>
                <w:rFonts w:ascii="Times New Roman" w:hAnsi="Times New Roman" w:cs="Times New Roman"/>
                <w:sz w:val="20"/>
                <w:szCs w:val="20"/>
              </w:rPr>
              <w:t xml:space="preserve">11,267,263,125,530 </w:t>
            </w:r>
          </w:p>
        </w:tc>
        <w:tc>
          <w:tcPr>
            <w:tcW w:w="1850" w:type="dxa"/>
            <w:shd w:val="clear" w:color="000000" w:fill="FFFFFF"/>
            <w:noWrap/>
          </w:tcPr>
          <w:p w14:paraId="1CA22DBF" w14:textId="08511800" w:rsidR="008172B0" w:rsidRPr="007A4753" w:rsidRDefault="008172B0" w:rsidP="008172B0">
            <w:pPr>
              <w:jc w:val="right"/>
              <w:rPr>
                <w:rFonts w:ascii="Times New Roman" w:hAnsi="Times New Roman" w:cs="Times New Roman"/>
                <w:sz w:val="20"/>
                <w:szCs w:val="20"/>
              </w:rPr>
            </w:pPr>
            <w:r w:rsidRPr="008B3870">
              <w:rPr>
                <w:rFonts w:ascii="Times New Roman" w:hAnsi="Times New Roman" w:cs="Times New Roman"/>
                <w:sz w:val="20"/>
                <w:szCs w:val="20"/>
              </w:rPr>
              <w:t>(</w:t>
            </w:r>
            <w:r w:rsidR="005112E8" w:rsidRPr="005112E8">
              <w:rPr>
                <w:rFonts w:ascii="Times New Roman" w:hAnsi="Times New Roman" w:cs="Times New Roman"/>
                <w:sz w:val="20"/>
                <w:szCs w:val="20"/>
              </w:rPr>
              <w:t>4</w:t>
            </w:r>
            <w:r w:rsidR="005112E8">
              <w:rPr>
                <w:rFonts w:ascii="Times New Roman" w:hAnsi="Times New Roman" w:cs="Times New Roman"/>
                <w:sz w:val="20"/>
                <w:szCs w:val="20"/>
              </w:rPr>
              <w:t>.</w:t>
            </w:r>
            <w:r w:rsidR="005112E8" w:rsidRPr="005112E8">
              <w:rPr>
                <w:rFonts w:ascii="Times New Roman" w:hAnsi="Times New Roman" w:cs="Times New Roman"/>
                <w:sz w:val="20"/>
                <w:szCs w:val="20"/>
              </w:rPr>
              <w:t>045</w:t>
            </w:r>
            <w:r w:rsidR="005112E8">
              <w:rPr>
                <w:rFonts w:ascii="Times New Roman" w:hAnsi="Times New Roman" w:cs="Times New Roman"/>
                <w:sz w:val="20"/>
                <w:szCs w:val="20"/>
              </w:rPr>
              <w:t>.</w:t>
            </w:r>
            <w:r w:rsidR="005112E8" w:rsidRPr="005112E8">
              <w:rPr>
                <w:rFonts w:ascii="Times New Roman" w:hAnsi="Times New Roman" w:cs="Times New Roman"/>
                <w:sz w:val="20"/>
                <w:szCs w:val="20"/>
              </w:rPr>
              <w:t>749</w:t>
            </w:r>
            <w:r w:rsidR="005112E8">
              <w:rPr>
                <w:rFonts w:ascii="Times New Roman" w:hAnsi="Times New Roman" w:cs="Times New Roman"/>
                <w:sz w:val="20"/>
                <w:szCs w:val="20"/>
              </w:rPr>
              <w:t>.</w:t>
            </w:r>
            <w:r w:rsidR="005112E8" w:rsidRPr="005112E8">
              <w:rPr>
                <w:rFonts w:ascii="Times New Roman" w:hAnsi="Times New Roman" w:cs="Times New Roman"/>
                <w:sz w:val="20"/>
                <w:szCs w:val="20"/>
              </w:rPr>
              <w:t>885</w:t>
            </w:r>
            <w:r w:rsidR="005112E8">
              <w:rPr>
                <w:rFonts w:ascii="Times New Roman" w:hAnsi="Times New Roman" w:cs="Times New Roman"/>
                <w:sz w:val="20"/>
                <w:szCs w:val="20"/>
              </w:rPr>
              <w:t>.</w:t>
            </w:r>
            <w:r w:rsidR="005112E8" w:rsidRPr="005112E8">
              <w:rPr>
                <w:rFonts w:ascii="Times New Roman" w:hAnsi="Times New Roman" w:cs="Times New Roman"/>
                <w:sz w:val="20"/>
                <w:szCs w:val="20"/>
              </w:rPr>
              <w:t>002</w:t>
            </w:r>
            <w:r w:rsidRPr="008B3870">
              <w:rPr>
                <w:rFonts w:ascii="Times New Roman" w:hAnsi="Times New Roman" w:cs="Times New Roman"/>
                <w:sz w:val="20"/>
                <w:szCs w:val="20"/>
              </w:rPr>
              <w:t>)</w:t>
            </w:r>
          </w:p>
        </w:tc>
        <w:tc>
          <w:tcPr>
            <w:tcW w:w="1939" w:type="dxa"/>
            <w:shd w:val="clear" w:color="000000" w:fill="FFFFFF"/>
            <w:noWrap/>
          </w:tcPr>
          <w:p w14:paraId="14C1AEB6" w14:textId="6B524DD7" w:rsidR="008172B0" w:rsidRPr="007A4753" w:rsidRDefault="0083753F" w:rsidP="008172B0">
            <w:pPr>
              <w:jc w:val="right"/>
              <w:rPr>
                <w:rFonts w:ascii="Times New Roman" w:hAnsi="Times New Roman" w:cs="Times New Roman"/>
                <w:sz w:val="20"/>
                <w:szCs w:val="20"/>
              </w:rPr>
            </w:pPr>
            <w:r w:rsidRPr="0083753F">
              <w:rPr>
                <w:rFonts w:ascii="Times New Roman" w:hAnsi="Times New Roman" w:cs="Times New Roman"/>
                <w:sz w:val="20"/>
                <w:szCs w:val="20"/>
              </w:rPr>
              <w:t>15</w:t>
            </w:r>
            <w:r>
              <w:rPr>
                <w:rFonts w:ascii="Times New Roman" w:hAnsi="Times New Roman" w:cs="Times New Roman"/>
                <w:sz w:val="20"/>
                <w:szCs w:val="20"/>
              </w:rPr>
              <w:t>,</w:t>
            </w:r>
            <w:r w:rsidRPr="0083753F">
              <w:rPr>
                <w:rFonts w:ascii="Times New Roman" w:hAnsi="Times New Roman" w:cs="Times New Roman"/>
                <w:sz w:val="20"/>
                <w:szCs w:val="20"/>
              </w:rPr>
              <w:t>494</w:t>
            </w:r>
            <w:r>
              <w:rPr>
                <w:rFonts w:ascii="Times New Roman" w:hAnsi="Times New Roman" w:cs="Times New Roman"/>
                <w:sz w:val="20"/>
                <w:szCs w:val="20"/>
              </w:rPr>
              <w:t>,</w:t>
            </w:r>
            <w:r w:rsidRPr="0083753F">
              <w:rPr>
                <w:rFonts w:ascii="Times New Roman" w:hAnsi="Times New Roman" w:cs="Times New Roman"/>
                <w:sz w:val="20"/>
                <w:szCs w:val="20"/>
              </w:rPr>
              <w:t>013</w:t>
            </w:r>
            <w:r>
              <w:rPr>
                <w:rFonts w:ascii="Times New Roman" w:hAnsi="Times New Roman" w:cs="Times New Roman"/>
                <w:sz w:val="20"/>
                <w:szCs w:val="20"/>
              </w:rPr>
              <w:t>,</w:t>
            </w:r>
            <w:r w:rsidRPr="0083753F">
              <w:rPr>
                <w:rFonts w:ascii="Times New Roman" w:hAnsi="Times New Roman" w:cs="Times New Roman"/>
                <w:sz w:val="20"/>
                <w:szCs w:val="20"/>
              </w:rPr>
              <w:t>010</w:t>
            </w:r>
            <w:r>
              <w:rPr>
                <w:rFonts w:ascii="Times New Roman" w:hAnsi="Times New Roman" w:cs="Times New Roman"/>
                <w:sz w:val="20"/>
                <w:szCs w:val="20"/>
              </w:rPr>
              <w:t>,</w:t>
            </w:r>
            <w:r w:rsidRPr="0083753F">
              <w:rPr>
                <w:rFonts w:ascii="Times New Roman" w:hAnsi="Times New Roman" w:cs="Times New Roman"/>
                <w:sz w:val="20"/>
                <w:szCs w:val="20"/>
              </w:rPr>
              <w:t>532</w:t>
            </w:r>
          </w:p>
        </w:tc>
      </w:tr>
      <w:tr w:rsidR="008172B0" w:rsidRPr="007A4753" w14:paraId="49B024B0" w14:textId="77777777" w:rsidTr="0081007D">
        <w:trPr>
          <w:trHeight w:hRule="exact" w:val="284"/>
        </w:trPr>
        <w:tc>
          <w:tcPr>
            <w:tcW w:w="3266" w:type="dxa"/>
            <w:shd w:val="clear" w:color="000000" w:fill="FFFFFF"/>
            <w:noWrap/>
            <w:vAlign w:val="center"/>
            <w:hideMark/>
          </w:tcPr>
          <w:p w14:paraId="071D5E3E"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Lãi/(lỗ) lũy kế (11)</w:t>
            </w:r>
          </w:p>
        </w:tc>
        <w:tc>
          <w:tcPr>
            <w:tcW w:w="1117" w:type="dxa"/>
            <w:shd w:val="clear" w:color="000000" w:fill="FFFFFF"/>
            <w:noWrap/>
            <w:vAlign w:val="center"/>
            <w:hideMark/>
          </w:tcPr>
          <w:p w14:paraId="0CB526A0"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47223940" w14:textId="38DDAD2E"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 xml:space="preserve">4,017,177,878,478 </w:t>
            </w:r>
          </w:p>
        </w:tc>
        <w:tc>
          <w:tcPr>
            <w:tcW w:w="1850" w:type="dxa"/>
            <w:shd w:val="clear" w:color="000000" w:fill="FFFFFF"/>
            <w:noWrap/>
          </w:tcPr>
          <w:p w14:paraId="7B424B0B" w14:textId="23697016" w:rsidR="008172B0" w:rsidRPr="007A4753" w:rsidRDefault="008172B0" w:rsidP="008172B0">
            <w:pPr>
              <w:jc w:val="right"/>
              <w:rPr>
                <w:rFonts w:ascii="Times New Roman" w:hAnsi="Times New Roman" w:cs="Times New Roman"/>
                <w:sz w:val="20"/>
                <w:szCs w:val="20"/>
              </w:rPr>
            </w:pPr>
            <w:r w:rsidRPr="008B3870">
              <w:rPr>
                <w:rFonts w:ascii="Times New Roman" w:hAnsi="Times New Roman" w:cs="Times New Roman"/>
                <w:sz w:val="20"/>
                <w:szCs w:val="20"/>
              </w:rPr>
              <w:t>(</w:t>
            </w:r>
            <w:r w:rsidR="0082705E" w:rsidRPr="0082705E">
              <w:rPr>
                <w:rFonts w:ascii="Times New Roman" w:hAnsi="Times New Roman" w:cs="Times New Roman"/>
                <w:sz w:val="20"/>
                <w:szCs w:val="20"/>
              </w:rPr>
              <w:t>1</w:t>
            </w:r>
            <w:r w:rsidR="0082705E">
              <w:rPr>
                <w:rFonts w:ascii="Times New Roman" w:hAnsi="Times New Roman" w:cs="Times New Roman"/>
                <w:sz w:val="20"/>
                <w:szCs w:val="20"/>
              </w:rPr>
              <w:t>,</w:t>
            </w:r>
            <w:bookmarkStart w:id="1" w:name="_GoBack"/>
            <w:bookmarkEnd w:id="1"/>
            <w:r w:rsidR="0082705E" w:rsidRPr="0082705E">
              <w:rPr>
                <w:rFonts w:ascii="Times New Roman" w:hAnsi="Times New Roman" w:cs="Times New Roman"/>
                <w:sz w:val="20"/>
                <w:szCs w:val="20"/>
              </w:rPr>
              <w:t>246</w:t>
            </w:r>
            <w:r w:rsidR="0082705E">
              <w:rPr>
                <w:rFonts w:ascii="Times New Roman" w:hAnsi="Times New Roman" w:cs="Times New Roman"/>
                <w:sz w:val="20"/>
                <w:szCs w:val="20"/>
              </w:rPr>
              <w:t>,</w:t>
            </w:r>
            <w:r w:rsidR="0082705E" w:rsidRPr="0082705E">
              <w:rPr>
                <w:rFonts w:ascii="Times New Roman" w:hAnsi="Times New Roman" w:cs="Times New Roman"/>
                <w:sz w:val="20"/>
                <w:szCs w:val="20"/>
              </w:rPr>
              <w:t>610</w:t>
            </w:r>
            <w:r w:rsidR="0082705E">
              <w:rPr>
                <w:rFonts w:ascii="Times New Roman" w:hAnsi="Times New Roman" w:cs="Times New Roman"/>
                <w:sz w:val="20"/>
                <w:szCs w:val="20"/>
              </w:rPr>
              <w:t>,</w:t>
            </w:r>
            <w:r w:rsidR="0082705E" w:rsidRPr="0082705E">
              <w:rPr>
                <w:rFonts w:ascii="Times New Roman" w:hAnsi="Times New Roman" w:cs="Times New Roman"/>
                <w:sz w:val="20"/>
                <w:szCs w:val="20"/>
              </w:rPr>
              <w:t>015</w:t>
            </w:r>
            <w:r w:rsidR="0082705E">
              <w:rPr>
                <w:rFonts w:ascii="Times New Roman" w:hAnsi="Times New Roman" w:cs="Times New Roman"/>
                <w:sz w:val="20"/>
                <w:szCs w:val="20"/>
              </w:rPr>
              <w:t>,</w:t>
            </w:r>
            <w:r w:rsidR="0082705E" w:rsidRPr="0082705E">
              <w:rPr>
                <w:rFonts w:ascii="Times New Roman" w:hAnsi="Times New Roman" w:cs="Times New Roman"/>
                <w:sz w:val="20"/>
                <w:szCs w:val="20"/>
              </w:rPr>
              <w:t>917</w:t>
            </w:r>
            <w:r w:rsidRPr="008B3870">
              <w:rPr>
                <w:rFonts w:ascii="Times New Roman" w:hAnsi="Times New Roman" w:cs="Times New Roman"/>
                <w:sz w:val="20"/>
                <w:szCs w:val="20"/>
              </w:rPr>
              <w:t>)</w:t>
            </w:r>
          </w:p>
        </w:tc>
        <w:tc>
          <w:tcPr>
            <w:tcW w:w="1939" w:type="dxa"/>
            <w:shd w:val="clear" w:color="000000" w:fill="FFFFFF"/>
            <w:noWrap/>
          </w:tcPr>
          <w:p w14:paraId="3945E6B3" w14:textId="70C73EAA" w:rsidR="008172B0" w:rsidRPr="007A4753" w:rsidRDefault="009F1C88" w:rsidP="008172B0">
            <w:pPr>
              <w:jc w:val="right"/>
              <w:rPr>
                <w:rFonts w:ascii="Times New Roman" w:hAnsi="Times New Roman" w:cs="Times New Roman"/>
                <w:sz w:val="20"/>
                <w:szCs w:val="20"/>
              </w:rPr>
            </w:pPr>
            <w:r w:rsidRPr="009F1C88">
              <w:rPr>
                <w:rFonts w:ascii="Times New Roman" w:hAnsi="Times New Roman" w:cs="Times New Roman"/>
                <w:sz w:val="20"/>
                <w:szCs w:val="20"/>
              </w:rPr>
              <w:t>2</w:t>
            </w:r>
            <w:r>
              <w:rPr>
                <w:rFonts w:ascii="Times New Roman" w:hAnsi="Times New Roman" w:cs="Times New Roman"/>
                <w:sz w:val="20"/>
                <w:szCs w:val="20"/>
              </w:rPr>
              <w:t>,</w:t>
            </w:r>
            <w:r w:rsidRPr="009F1C88">
              <w:rPr>
                <w:rFonts w:ascii="Times New Roman" w:hAnsi="Times New Roman" w:cs="Times New Roman"/>
                <w:sz w:val="20"/>
                <w:szCs w:val="20"/>
              </w:rPr>
              <w:t>770</w:t>
            </w:r>
            <w:r>
              <w:rPr>
                <w:rFonts w:ascii="Times New Roman" w:hAnsi="Times New Roman" w:cs="Times New Roman"/>
                <w:sz w:val="20"/>
                <w:szCs w:val="20"/>
              </w:rPr>
              <w:t>,</w:t>
            </w:r>
            <w:r w:rsidRPr="009F1C88">
              <w:rPr>
                <w:rFonts w:ascii="Times New Roman" w:hAnsi="Times New Roman" w:cs="Times New Roman"/>
                <w:sz w:val="20"/>
                <w:szCs w:val="20"/>
              </w:rPr>
              <w:t>567</w:t>
            </w:r>
            <w:r>
              <w:rPr>
                <w:rFonts w:ascii="Times New Roman" w:hAnsi="Times New Roman" w:cs="Times New Roman"/>
                <w:sz w:val="20"/>
                <w:szCs w:val="20"/>
              </w:rPr>
              <w:t>,</w:t>
            </w:r>
            <w:r w:rsidRPr="009F1C88">
              <w:rPr>
                <w:rFonts w:ascii="Times New Roman" w:hAnsi="Times New Roman" w:cs="Times New Roman"/>
                <w:sz w:val="20"/>
                <w:szCs w:val="20"/>
              </w:rPr>
              <w:t>862</w:t>
            </w:r>
            <w:r>
              <w:rPr>
                <w:rFonts w:ascii="Times New Roman" w:hAnsi="Times New Roman" w:cs="Times New Roman"/>
                <w:sz w:val="20"/>
                <w:szCs w:val="20"/>
              </w:rPr>
              <w:t>,</w:t>
            </w:r>
            <w:r w:rsidRPr="009F1C88">
              <w:rPr>
                <w:rFonts w:ascii="Times New Roman" w:hAnsi="Times New Roman" w:cs="Times New Roman"/>
                <w:sz w:val="20"/>
                <w:szCs w:val="20"/>
              </w:rPr>
              <w:t>561</w:t>
            </w:r>
          </w:p>
        </w:tc>
      </w:tr>
      <w:tr w:rsidR="008172B0" w:rsidRPr="007A4753" w14:paraId="7A6F9260" w14:textId="77777777" w:rsidTr="0081007D">
        <w:trPr>
          <w:trHeight w:hRule="exact" w:val="284"/>
        </w:trPr>
        <w:tc>
          <w:tcPr>
            <w:tcW w:w="3266" w:type="dxa"/>
            <w:shd w:val="clear" w:color="000000" w:fill="FFFFFF"/>
            <w:noWrap/>
            <w:vAlign w:val="center"/>
            <w:hideMark/>
          </w:tcPr>
          <w:p w14:paraId="057C4E9B"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NAV hiện hành (12) = (10) + (11)</w:t>
            </w:r>
          </w:p>
        </w:tc>
        <w:tc>
          <w:tcPr>
            <w:tcW w:w="1117" w:type="dxa"/>
            <w:shd w:val="clear" w:color="000000" w:fill="FFFFFF"/>
            <w:noWrap/>
            <w:vAlign w:val="center"/>
            <w:hideMark/>
          </w:tcPr>
          <w:p w14:paraId="0CE03B8C"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w:t>
            </w:r>
          </w:p>
        </w:tc>
        <w:tc>
          <w:tcPr>
            <w:tcW w:w="1966" w:type="dxa"/>
            <w:shd w:val="clear" w:color="000000" w:fill="FFFFFF"/>
          </w:tcPr>
          <w:p w14:paraId="6B7B3754" w14:textId="3F11875F"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 xml:space="preserve">15,284,441,004,008 </w:t>
            </w:r>
          </w:p>
        </w:tc>
        <w:tc>
          <w:tcPr>
            <w:tcW w:w="1850" w:type="dxa"/>
            <w:shd w:val="clear" w:color="000000" w:fill="FFFFFF"/>
            <w:noWrap/>
          </w:tcPr>
          <w:p w14:paraId="21AAAAB8" w14:textId="4A7204A5" w:rsidR="008172B0" w:rsidRPr="007A4753" w:rsidRDefault="008172B0" w:rsidP="008172B0">
            <w:pPr>
              <w:jc w:val="right"/>
              <w:rPr>
                <w:rFonts w:ascii="Times New Roman" w:hAnsi="Times New Roman" w:cs="Times New Roman"/>
                <w:sz w:val="20"/>
                <w:szCs w:val="20"/>
              </w:rPr>
            </w:pPr>
            <w:r w:rsidRPr="007A4753">
              <w:rPr>
                <w:rFonts w:ascii="Times New Roman" w:hAnsi="Times New Roman" w:cs="Times New Roman"/>
                <w:sz w:val="20"/>
                <w:szCs w:val="20"/>
              </w:rPr>
              <w:t>Không áp dụng</w:t>
            </w:r>
          </w:p>
          <w:p w14:paraId="2B642039" w14:textId="77777777" w:rsidR="008172B0" w:rsidRPr="007A4753" w:rsidRDefault="008172B0" w:rsidP="008172B0">
            <w:pPr>
              <w:jc w:val="right"/>
              <w:rPr>
                <w:rFonts w:ascii="Times New Roman" w:hAnsi="Times New Roman" w:cs="Times New Roman"/>
                <w:sz w:val="20"/>
                <w:szCs w:val="20"/>
              </w:rPr>
            </w:pPr>
          </w:p>
        </w:tc>
        <w:tc>
          <w:tcPr>
            <w:tcW w:w="1939" w:type="dxa"/>
            <w:shd w:val="clear" w:color="000000" w:fill="FFFFFF"/>
            <w:noWrap/>
          </w:tcPr>
          <w:p w14:paraId="3B34FA35" w14:textId="46D99AE7" w:rsidR="008172B0" w:rsidRPr="007A4753" w:rsidRDefault="00147D0E" w:rsidP="008172B0">
            <w:pPr>
              <w:jc w:val="right"/>
              <w:rPr>
                <w:rFonts w:ascii="Times New Roman" w:hAnsi="Times New Roman" w:cs="Times New Roman"/>
                <w:sz w:val="20"/>
                <w:szCs w:val="20"/>
              </w:rPr>
            </w:pPr>
            <w:r w:rsidRPr="00147D0E">
              <w:rPr>
                <w:rFonts w:ascii="Times New Roman" w:hAnsi="Times New Roman" w:cs="Times New Roman"/>
                <w:sz w:val="20"/>
                <w:szCs w:val="20"/>
              </w:rPr>
              <w:t>18</w:t>
            </w:r>
            <w:r>
              <w:rPr>
                <w:rFonts w:ascii="Times New Roman" w:hAnsi="Times New Roman" w:cs="Times New Roman"/>
                <w:sz w:val="20"/>
                <w:szCs w:val="20"/>
              </w:rPr>
              <w:t>,</w:t>
            </w:r>
            <w:r w:rsidRPr="00147D0E">
              <w:rPr>
                <w:rFonts w:ascii="Times New Roman" w:hAnsi="Times New Roman" w:cs="Times New Roman"/>
                <w:sz w:val="20"/>
                <w:szCs w:val="20"/>
              </w:rPr>
              <w:t>083</w:t>
            </w:r>
            <w:r>
              <w:rPr>
                <w:rFonts w:ascii="Times New Roman" w:hAnsi="Times New Roman" w:cs="Times New Roman"/>
                <w:sz w:val="20"/>
                <w:szCs w:val="20"/>
              </w:rPr>
              <w:t>,</w:t>
            </w:r>
            <w:r w:rsidRPr="00147D0E">
              <w:rPr>
                <w:rFonts w:ascii="Times New Roman" w:hAnsi="Times New Roman" w:cs="Times New Roman"/>
                <w:sz w:val="20"/>
                <w:szCs w:val="20"/>
              </w:rPr>
              <w:t>580</w:t>
            </w:r>
            <w:r>
              <w:rPr>
                <w:rFonts w:ascii="Times New Roman" w:hAnsi="Times New Roman" w:cs="Times New Roman"/>
                <w:sz w:val="20"/>
                <w:szCs w:val="20"/>
              </w:rPr>
              <w:t>,</w:t>
            </w:r>
            <w:r w:rsidRPr="00147D0E">
              <w:rPr>
                <w:rFonts w:ascii="Times New Roman" w:hAnsi="Times New Roman" w:cs="Times New Roman"/>
                <w:sz w:val="20"/>
                <w:szCs w:val="20"/>
              </w:rPr>
              <w:t>873</w:t>
            </w:r>
            <w:r>
              <w:rPr>
                <w:rFonts w:ascii="Times New Roman" w:hAnsi="Times New Roman" w:cs="Times New Roman"/>
                <w:sz w:val="20"/>
                <w:szCs w:val="20"/>
              </w:rPr>
              <w:t>,</w:t>
            </w:r>
            <w:r w:rsidRPr="00147D0E">
              <w:rPr>
                <w:rFonts w:ascii="Times New Roman" w:hAnsi="Times New Roman" w:cs="Times New Roman"/>
                <w:sz w:val="20"/>
                <w:szCs w:val="20"/>
              </w:rPr>
              <w:t>093</w:t>
            </w:r>
          </w:p>
        </w:tc>
      </w:tr>
      <w:tr w:rsidR="008172B0" w:rsidRPr="007A4753" w14:paraId="1BCFC3AF" w14:textId="77777777" w:rsidTr="008B1D2A">
        <w:trPr>
          <w:trHeight w:hRule="exact" w:val="567"/>
        </w:trPr>
        <w:tc>
          <w:tcPr>
            <w:tcW w:w="3266" w:type="dxa"/>
            <w:shd w:val="clear" w:color="000000" w:fill="FFFFFF"/>
            <w:noWrap/>
            <w:vAlign w:val="center"/>
            <w:hideMark/>
          </w:tcPr>
          <w:p w14:paraId="254F65E3"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 xml:space="preserve">NAV hiện hành/1 chứng chỉ quỹ </w:t>
            </w:r>
          </w:p>
          <w:p w14:paraId="7204766D"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(13) = (12)/(9)</w:t>
            </w:r>
          </w:p>
        </w:tc>
        <w:tc>
          <w:tcPr>
            <w:tcW w:w="1117" w:type="dxa"/>
            <w:shd w:val="clear" w:color="000000" w:fill="FFFFFF"/>
            <w:noWrap/>
            <w:vAlign w:val="center"/>
            <w:hideMark/>
          </w:tcPr>
          <w:p w14:paraId="30401FF2"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VND/CCQ</w:t>
            </w:r>
          </w:p>
        </w:tc>
        <w:tc>
          <w:tcPr>
            <w:tcW w:w="1966" w:type="dxa"/>
            <w:shd w:val="clear" w:color="000000" w:fill="FFFFFF"/>
          </w:tcPr>
          <w:p w14:paraId="209319BD" w14:textId="2880A169" w:rsidR="008172B0" w:rsidRPr="007A4753" w:rsidRDefault="008172B0" w:rsidP="008172B0">
            <w:pPr>
              <w:jc w:val="right"/>
              <w:rPr>
                <w:rFonts w:ascii="Times New Roman" w:hAnsi="Times New Roman" w:cs="Times New Roman"/>
                <w:sz w:val="20"/>
                <w:szCs w:val="20"/>
              </w:rPr>
            </w:pPr>
            <w:r w:rsidRPr="008B3870">
              <w:rPr>
                <w:rFonts w:ascii="Times New Roman" w:hAnsi="Times New Roman" w:cs="Times New Roman"/>
                <w:sz w:val="20"/>
                <w:szCs w:val="20"/>
              </w:rPr>
              <w:t xml:space="preserve">24,557.26 </w:t>
            </w:r>
          </w:p>
        </w:tc>
        <w:tc>
          <w:tcPr>
            <w:tcW w:w="1850" w:type="dxa"/>
            <w:shd w:val="clear" w:color="000000" w:fill="FFFFFF"/>
            <w:noWrap/>
          </w:tcPr>
          <w:p w14:paraId="7FA1B3D2" w14:textId="77777777" w:rsidR="008172B0" w:rsidRPr="007A4753" w:rsidRDefault="008172B0" w:rsidP="008172B0">
            <w:pPr>
              <w:jc w:val="right"/>
              <w:rPr>
                <w:rFonts w:ascii="Times New Roman" w:hAnsi="Times New Roman" w:cs="Times New Roman"/>
                <w:sz w:val="20"/>
                <w:szCs w:val="20"/>
              </w:rPr>
            </w:pPr>
            <w:r w:rsidRPr="007A4753">
              <w:rPr>
                <w:rFonts w:ascii="Times New Roman" w:hAnsi="Times New Roman" w:cs="Times New Roman"/>
                <w:sz w:val="20"/>
                <w:szCs w:val="20"/>
              </w:rPr>
              <w:t>Không áp dụng</w:t>
            </w:r>
          </w:p>
          <w:p w14:paraId="1E90B48D" w14:textId="77777777" w:rsidR="008172B0" w:rsidRPr="007A4753" w:rsidRDefault="008172B0" w:rsidP="008172B0">
            <w:pPr>
              <w:jc w:val="right"/>
              <w:rPr>
                <w:rFonts w:ascii="Times New Roman" w:hAnsi="Times New Roman" w:cs="Times New Roman"/>
                <w:sz w:val="20"/>
                <w:szCs w:val="20"/>
              </w:rPr>
            </w:pPr>
          </w:p>
        </w:tc>
        <w:tc>
          <w:tcPr>
            <w:tcW w:w="1939" w:type="dxa"/>
            <w:shd w:val="clear" w:color="000000" w:fill="FFFFFF"/>
            <w:noWrap/>
          </w:tcPr>
          <w:p w14:paraId="306B34A7" w14:textId="15FDB532" w:rsidR="008172B0" w:rsidRPr="007A4753" w:rsidRDefault="00134FF6" w:rsidP="008172B0">
            <w:pPr>
              <w:jc w:val="right"/>
              <w:rPr>
                <w:rFonts w:ascii="Times New Roman" w:hAnsi="Times New Roman" w:cs="Times New Roman"/>
                <w:sz w:val="20"/>
                <w:szCs w:val="20"/>
              </w:rPr>
            </w:pPr>
            <w:r w:rsidRPr="00134FF6">
              <w:rPr>
                <w:rFonts w:ascii="Times New Roman" w:hAnsi="Times New Roman" w:cs="Times New Roman"/>
                <w:sz w:val="20"/>
                <w:szCs w:val="20"/>
              </w:rPr>
              <w:t>22</w:t>
            </w:r>
            <w:r>
              <w:rPr>
                <w:rFonts w:ascii="Times New Roman" w:hAnsi="Times New Roman" w:cs="Times New Roman"/>
                <w:sz w:val="20"/>
                <w:szCs w:val="20"/>
              </w:rPr>
              <w:t>,</w:t>
            </w:r>
            <w:r w:rsidRPr="00134FF6">
              <w:rPr>
                <w:rFonts w:ascii="Times New Roman" w:hAnsi="Times New Roman" w:cs="Times New Roman"/>
                <w:sz w:val="20"/>
                <w:szCs w:val="20"/>
              </w:rPr>
              <w:t>333.68</w:t>
            </w:r>
          </w:p>
        </w:tc>
      </w:tr>
      <w:tr w:rsidR="008172B0" w:rsidRPr="007A4753" w14:paraId="1C3F4C1F" w14:textId="77777777" w:rsidTr="008B1D2A">
        <w:trPr>
          <w:trHeight w:hRule="exact" w:val="567"/>
        </w:trPr>
        <w:tc>
          <w:tcPr>
            <w:tcW w:w="3266" w:type="dxa"/>
            <w:shd w:val="clear" w:color="000000" w:fill="FFFFFF"/>
            <w:vAlign w:val="center"/>
            <w:hideMark/>
          </w:tcPr>
          <w:p w14:paraId="0C92E253"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NAV hiện hành/1 lô chứng chỉ quỹ</w:t>
            </w:r>
          </w:p>
          <w:p w14:paraId="7A014425" w14:textId="77777777" w:rsidR="008172B0" w:rsidRPr="007A4753" w:rsidRDefault="008172B0" w:rsidP="008172B0">
            <w:pPr>
              <w:spacing w:after="0"/>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(14) = (12)/[(9)/100.000 CCQ]</w:t>
            </w:r>
          </w:p>
        </w:tc>
        <w:tc>
          <w:tcPr>
            <w:tcW w:w="1117" w:type="dxa"/>
            <w:tcBorders>
              <w:bottom w:val="double" w:sz="4" w:space="0" w:color="auto"/>
            </w:tcBorders>
            <w:shd w:val="clear" w:color="000000" w:fill="FFFFFF"/>
            <w:noWrap/>
            <w:vAlign w:val="center"/>
            <w:hideMark/>
          </w:tcPr>
          <w:p w14:paraId="1DA02FE9" w14:textId="77777777" w:rsidR="008172B0" w:rsidRPr="007A4753" w:rsidRDefault="008172B0" w:rsidP="008172B0">
            <w:pPr>
              <w:spacing w:after="0"/>
              <w:jc w:val="center"/>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VND/ lô CCQ</w:t>
            </w:r>
          </w:p>
        </w:tc>
        <w:tc>
          <w:tcPr>
            <w:tcW w:w="1966" w:type="dxa"/>
            <w:tcBorders>
              <w:bottom w:val="double" w:sz="4" w:space="0" w:color="auto"/>
            </w:tcBorders>
            <w:shd w:val="clear" w:color="000000" w:fill="FFFFFF"/>
          </w:tcPr>
          <w:p w14:paraId="661B4501" w14:textId="13ED51F9" w:rsidR="008172B0" w:rsidRPr="00F97C11" w:rsidRDefault="008172B0" w:rsidP="008172B0">
            <w:pPr>
              <w:jc w:val="right"/>
              <w:rPr>
                <w:rFonts w:ascii="Times New Roman" w:eastAsia="Times New Roman" w:hAnsi="Times New Roman" w:cs="Times New Roman"/>
                <w:color w:val="000000"/>
                <w:sz w:val="20"/>
                <w:szCs w:val="20"/>
              </w:rPr>
            </w:pPr>
            <w:r w:rsidRPr="008B3870">
              <w:rPr>
                <w:rFonts w:ascii="Times New Roman" w:hAnsi="Times New Roman" w:cs="Times New Roman"/>
                <w:sz w:val="20"/>
                <w:szCs w:val="20"/>
              </w:rPr>
              <w:t xml:space="preserve">2,455,726,382 </w:t>
            </w:r>
          </w:p>
        </w:tc>
        <w:tc>
          <w:tcPr>
            <w:tcW w:w="1850" w:type="dxa"/>
            <w:tcBorders>
              <w:bottom w:val="double" w:sz="4" w:space="0" w:color="auto"/>
            </w:tcBorders>
            <w:shd w:val="clear" w:color="000000" w:fill="FFFFFF"/>
            <w:noWrap/>
          </w:tcPr>
          <w:p w14:paraId="797C8961" w14:textId="77777777" w:rsidR="008172B0" w:rsidRPr="007A4753" w:rsidRDefault="008172B0" w:rsidP="008172B0">
            <w:pPr>
              <w:jc w:val="right"/>
              <w:rPr>
                <w:rFonts w:ascii="Times New Roman" w:hAnsi="Times New Roman" w:cs="Times New Roman"/>
                <w:sz w:val="20"/>
                <w:szCs w:val="20"/>
              </w:rPr>
            </w:pPr>
            <w:r w:rsidRPr="007A4753">
              <w:rPr>
                <w:rFonts w:ascii="Times New Roman" w:hAnsi="Times New Roman" w:cs="Times New Roman"/>
                <w:sz w:val="20"/>
                <w:szCs w:val="20"/>
              </w:rPr>
              <w:t>Không áp dụng</w:t>
            </w:r>
          </w:p>
          <w:p w14:paraId="26FE5942" w14:textId="77777777" w:rsidR="008172B0" w:rsidRPr="007A4753" w:rsidRDefault="008172B0" w:rsidP="008172B0">
            <w:pPr>
              <w:jc w:val="right"/>
              <w:rPr>
                <w:rFonts w:ascii="Times New Roman" w:hAnsi="Times New Roman" w:cs="Times New Roman"/>
                <w:sz w:val="20"/>
                <w:szCs w:val="20"/>
              </w:rPr>
            </w:pPr>
            <w:r w:rsidRPr="007A4753">
              <w:rPr>
                <w:rFonts w:ascii="Times New Roman" w:hAnsi="Times New Roman" w:cs="Times New Roman"/>
                <w:sz w:val="20"/>
                <w:szCs w:val="20"/>
              </w:rPr>
              <w:t xml:space="preserve"> </w:t>
            </w:r>
          </w:p>
        </w:tc>
        <w:tc>
          <w:tcPr>
            <w:tcW w:w="1939" w:type="dxa"/>
            <w:tcBorders>
              <w:bottom w:val="double" w:sz="4" w:space="0" w:color="auto"/>
            </w:tcBorders>
            <w:shd w:val="clear" w:color="000000" w:fill="FFFFFF"/>
            <w:noWrap/>
          </w:tcPr>
          <w:p w14:paraId="06B30123" w14:textId="2A88EAFD" w:rsidR="008172B0" w:rsidRPr="007A4753" w:rsidRDefault="00134FF6" w:rsidP="008172B0">
            <w:pPr>
              <w:jc w:val="right"/>
              <w:rPr>
                <w:rFonts w:ascii="Times New Roman" w:hAnsi="Times New Roman" w:cs="Times New Roman"/>
                <w:sz w:val="20"/>
                <w:szCs w:val="20"/>
              </w:rPr>
            </w:pPr>
            <w:r w:rsidRPr="00134FF6">
              <w:rPr>
                <w:rFonts w:ascii="Times New Roman" w:hAnsi="Times New Roman" w:cs="Times New Roman"/>
                <w:sz w:val="20"/>
                <w:szCs w:val="20"/>
              </w:rPr>
              <w:t>2</w:t>
            </w:r>
            <w:r>
              <w:rPr>
                <w:rFonts w:ascii="Times New Roman" w:hAnsi="Times New Roman" w:cs="Times New Roman"/>
                <w:sz w:val="20"/>
                <w:szCs w:val="20"/>
              </w:rPr>
              <w:t>,</w:t>
            </w:r>
            <w:r w:rsidRPr="00134FF6">
              <w:rPr>
                <w:rFonts w:ascii="Times New Roman" w:hAnsi="Times New Roman" w:cs="Times New Roman"/>
                <w:sz w:val="20"/>
                <w:szCs w:val="20"/>
              </w:rPr>
              <w:t>233</w:t>
            </w:r>
            <w:r>
              <w:rPr>
                <w:rFonts w:ascii="Times New Roman" w:hAnsi="Times New Roman" w:cs="Times New Roman"/>
                <w:sz w:val="20"/>
                <w:szCs w:val="20"/>
              </w:rPr>
              <w:t>,</w:t>
            </w:r>
            <w:r w:rsidRPr="00134FF6">
              <w:rPr>
                <w:rFonts w:ascii="Times New Roman" w:hAnsi="Times New Roman" w:cs="Times New Roman"/>
                <w:sz w:val="20"/>
                <w:szCs w:val="20"/>
              </w:rPr>
              <w:t>368</w:t>
            </w:r>
            <w:r>
              <w:rPr>
                <w:rFonts w:ascii="Times New Roman" w:hAnsi="Times New Roman" w:cs="Times New Roman"/>
                <w:sz w:val="20"/>
                <w:szCs w:val="20"/>
              </w:rPr>
              <w:t>,</w:t>
            </w:r>
            <w:r w:rsidRPr="00134FF6">
              <w:rPr>
                <w:rFonts w:ascii="Times New Roman" w:hAnsi="Times New Roman" w:cs="Times New Roman"/>
                <w:sz w:val="20"/>
                <w:szCs w:val="20"/>
              </w:rPr>
              <w:t>021</w:t>
            </w:r>
          </w:p>
        </w:tc>
      </w:tr>
    </w:tbl>
    <w:p w14:paraId="435801C6" w14:textId="77777777" w:rsidR="005B5FE4" w:rsidRPr="007A4753" w:rsidRDefault="005B5FE4" w:rsidP="005B5FE4">
      <w:pPr>
        <w:pStyle w:val="ListParagraph"/>
        <w:spacing w:before="120" w:after="0" w:line="288" w:lineRule="auto"/>
        <w:ind w:left="567"/>
        <w:jc w:val="both"/>
        <w:rPr>
          <w:rFonts w:ascii="Times New Roman" w:hAnsi="Times New Roman" w:cs="Times New Roman"/>
          <w:b/>
          <w:sz w:val="20"/>
          <w:szCs w:val="20"/>
        </w:rPr>
      </w:pPr>
    </w:p>
    <w:p w14:paraId="2248F1D5" w14:textId="77777777" w:rsidR="001151B2" w:rsidRPr="007A4753" w:rsidRDefault="005B5FE4" w:rsidP="005B5FE4">
      <w:pPr>
        <w:pStyle w:val="ListParagraph"/>
        <w:numPr>
          <w:ilvl w:val="0"/>
          <w:numId w:val="23"/>
        </w:numPr>
        <w:spacing w:before="120" w:after="0" w:line="288" w:lineRule="auto"/>
        <w:ind w:left="567" w:hanging="357"/>
        <w:jc w:val="both"/>
        <w:rPr>
          <w:rFonts w:ascii="Times New Roman" w:hAnsi="Times New Roman" w:cs="Times New Roman"/>
          <w:b/>
          <w:sz w:val="20"/>
          <w:szCs w:val="20"/>
        </w:rPr>
      </w:pPr>
      <w:r w:rsidRPr="007A4753">
        <w:rPr>
          <w:rFonts w:ascii="Times New Roman" w:hAnsi="Times New Roman" w:cs="Times New Roman"/>
          <w:b/>
          <w:sz w:val="20"/>
          <w:szCs w:val="20"/>
        </w:rPr>
        <w:t>Lợi nhuận ch</w:t>
      </w:r>
      <w:r w:rsidRPr="007A4753">
        <w:rPr>
          <w:rFonts w:ascii="Times New Roman" w:hAnsi="Times New Roman" w:cs="Times New Roman" w:hint="cs"/>
          <w:b/>
          <w:sz w:val="20"/>
          <w:szCs w:val="20"/>
        </w:rPr>
        <w:t>ư</w:t>
      </w:r>
      <w:r w:rsidRPr="007A4753">
        <w:rPr>
          <w:rFonts w:ascii="Times New Roman" w:hAnsi="Times New Roman" w:cs="Times New Roman"/>
          <w:b/>
          <w:sz w:val="20"/>
          <w:szCs w:val="20"/>
        </w:rPr>
        <w:t>a phân phối</w:t>
      </w:r>
    </w:p>
    <w:tbl>
      <w:tblPr>
        <w:tblW w:w="9915" w:type="dxa"/>
        <w:tblInd w:w="93" w:type="dxa"/>
        <w:tblLook w:val="04A0" w:firstRow="1" w:lastRow="0" w:firstColumn="1" w:lastColumn="0" w:noHBand="0" w:noVBand="1"/>
      </w:tblPr>
      <w:tblGrid>
        <w:gridCol w:w="3615"/>
        <w:gridCol w:w="2160"/>
        <w:gridCol w:w="2070"/>
        <w:gridCol w:w="2070"/>
      </w:tblGrid>
      <w:tr w:rsidR="005B5FE4" w:rsidRPr="007A4753" w14:paraId="06B4581D" w14:textId="77777777" w:rsidTr="0053734A">
        <w:trPr>
          <w:trHeight w:val="600"/>
        </w:trPr>
        <w:tc>
          <w:tcPr>
            <w:tcW w:w="3615" w:type="dxa"/>
            <w:shd w:val="clear" w:color="000000" w:fill="FFFFFF"/>
            <w:vAlign w:val="center"/>
            <w:hideMark/>
          </w:tcPr>
          <w:p w14:paraId="6372373E" w14:textId="77777777" w:rsidR="005B5FE4" w:rsidRPr="007A4753" w:rsidRDefault="005B5FE4" w:rsidP="0053734A">
            <w:pPr>
              <w:spacing w:after="0"/>
              <w:ind w:firstLine="474"/>
              <w:jc w:val="right"/>
              <w:rPr>
                <w:rFonts w:ascii="Times New Roman" w:eastAsia="Times New Roman" w:hAnsi="Times New Roman" w:cs="Times New Roman"/>
                <w:b/>
                <w:bCs/>
                <w:color w:val="000000"/>
                <w:sz w:val="20"/>
                <w:szCs w:val="20"/>
              </w:rPr>
            </w:pPr>
          </w:p>
        </w:tc>
        <w:tc>
          <w:tcPr>
            <w:tcW w:w="2160" w:type="dxa"/>
            <w:tcBorders>
              <w:top w:val="single" w:sz="4" w:space="0" w:color="auto"/>
              <w:bottom w:val="single" w:sz="4" w:space="0" w:color="auto"/>
            </w:tcBorders>
            <w:shd w:val="clear" w:color="000000" w:fill="FFFFFF"/>
            <w:vAlign w:val="center"/>
            <w:hideMark/>
          </w:tcPr>
          <w:p w14:paraId="2FBE2E93" w14:textId="7C90F870" w:rsidR="005B5FE4" w:rsidRPr="007A4753" w:rsidRDefault="004A19F1"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Tại ngày 3</w:t>
            </w:r>
            <w:r w:rsidR="005C0D85">
              <w:rPr>
                <w:rFonts w:ascii="Times New Roman" w:eastAsia="Times New Roman" w:hAnsi="Times New Roman" w:cs="Times New Roman"/>
                <w:b/>
                <w:bCs/>
                <w:color w:val="000000"/>
                <w:sz w:val="20"/>
                <w:szCs w:val="20"/>
              </w:rPr>
              <w:t>0</w:t>
            </w:r>
            <w:r w:rsidR="005B5FE4" w:rsidRPr="007A4753">
              <w:rPr>
                <w:rFonts w:ascii="Times New Roman" w:eastAsia="Times New Roman" w:hAnsi="Times New Roman" w:cs="Times New Roman"/>
                <w:b/>
                <w:bCs/>
                <w:color w:val="000000"/>
                <w:sz w:val="20"/>
                <w:szCs w:val="20"/>
              </w:rPr>
              <w:t>/</w:t>
            </w:r>
            <w:r w:rsidR="00147DDF">
              <w:rPr>
                <w:rFonts w:ascii="Times New Roman" w:eastAsia="Times New Roman" w:hAnsi="Times New Roman" w:cs="Times New Roman"/>
                <w:b/>
                <w:bCs/>
                <w:color w:val="000000"/>
                <w:sz w:val="20"/>
                <w:szCs w:val="20"/>
              </w:rPr>
              <w:t>0</w:t>
            </w:r>
            <w:r w:rsidR="008917A9">
              <w:rPr>
                <w:rFonts w:ascii="Times New Roman" w:eastAsia="Times New Roman" w:hAnsi="Times New Roman" w:cs="Times New Roman"/>
                <w:b/>
                <w:bCs/>
                <w:color w:val="000000"/>
                <w:sz w:val="20"/>
                <w:szCs w:val="20"/>
              </w:rPr>
              <w:t>9</w:t>
            </w:r>
            <w:r w:rsidR="005B5FE4" w:rsidRPr="007A4753">
              <w:rPr>
                <w:rFonts w:ascii="Times New Roman" w:eastAsia="Times New Roman" w:hAnsi="Times New Roman" w:cs="Times New Roman"/>
                <w:b/>
                <w:bCs/>
                <w:color w:val="000000"/>
                <w:sz w:val="20"/>
                <w:szCs w:val="20"/>
              </w:rPr>
              <w:t>/202</w:t>
            </w:r>
            <w:r w:rsidR="00147DDF">
              <w:rPr>
                <w:rFonts w:ascii="Times New Roman" w:eastAsia="Times New Roman" w:hAnsi="Times New Roman" w:cs="Times New Roman"/>
                <w:b/>
                <w:bCs/>
                <w:color w:val="000000"/>
                <w:sz w:val="20"/>
                <w:szCs w:val="20"/>
              </w:rPr>
              <w:t>2</w:t>
            </w:r>
          </w:p>
          <w:p w14:paraId="2E0D8A35" w14:textId="77777777" w:rsidR="005B5FE4" w:rsidRPr="007A4753" w:rsidRDefault="005B5FE4"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Cs/>
                <w:color w:val="000000"/>
                <w:sz w:val="20"/>
                <w:szCs w:val="20"/>
              </w:rPr>
              <w:t xml:space="preserve"> (VND)</w:t>
            </w:r>
          </w:p>
        </w:tc>
        <w:tc>
          <w:tcPr>
            <w:tcW w:w="2070" w:type="dxa"/>
            <w:tcBorders>
              <w:top w:val="single" w:sz="4" w:space="0" w:color="auto"/>
              <w:bottom w:val="single" w:sz="4" w:space="0" w:color="auto"/>
            </w:tcBorders>
            <w:shd w:val="clear" w:color="000000" w:fill="FFFFFF"/>
            <w:vAlign w:val="center"/>
            <w:hideMark/>
          </w:tcPr>
          <w:p w14:paraId="587BCDB2" w14:textId="77777777" w:rsidR="005B5FE4" w:rsidRPr="007A4753" w:rsidRDefault="005B5FE4"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 xml:space="preserve">Phát sinh trong kỳ </w:t>
            </w:r>
            <w:r w:rsidRPr="007A4753">
              <w:rPr>
                <w:rFonts w:ascii="Times New Roman" w:eastAsia="Times New Roman" w:hAnsi="Times New Roman" w:cs="Times New Roman"/>
                <w:bCs/>
                <w:color w:val="000000"/>
                <w:sz w:val="20"/>
                <w:szCs w:val="20"/>
              </w:rPr>
              <w:t>(VND)</w:t>
            </w:r>
          </w:p>
        </w:tc>
        <w:tc>
          <w:tcPr>
            <w:tcW w:w="2070" w:type="dxa"/>
            <w:tcBorders>
              <w:top w:val="single" w:sz="4" w:space="0" w:color="auto"/>
              <w:bottom w:val="single" w:sz="4" w:space="0" w:color="auto"/>
            </w:tcBorders>
            <w:shd w:val="clear" w:color="000000" w:fill="FFFFFF"/>
            <w:vAlign w:val="center"/>
            <w:hideMark/>
          </w:tcPr>
          <w:p w14:paraId="208F1995" w14:textId="3DC01931" w:rsidR="005B5FE4" w:rsidRPr="007A4753" w:rsidRDefault="004D64F0" w:rsidP="0053734A">
            <w:pPr>
              <w:spacing w:after="0"/>
              <w:jc w:val="center"/>
              <w:rPr>
                <w:rFonts w:ascii="Times New Roman" w:eastAsia="Times New Roman" w:hAnsi="Times New Roman" w:cs="Times New Roman"/>
                <w:b/>
                <w:bCs/>
                <w:color w:val="000000"/>
                <w:sz w:val="20"/>
                <w:szCs w:val="20"/>
              </w:rPr>
            </w:pPr>
            <w:r w:rsidRPr="007A4753">
              <w:rPr>
                <w:rFonts w:ascii="Times New Roman" w:eastAsia="Times New Roman" w:hAnsi="Times New Roman" w:cs="Times New Roman"/>
                <w:b/>
                <w:bCs/>
                <w:color w:val="000000"/>
                <w:sz w:val="20"/>
                <w:szCs w:val="20"/>
              </w:rPr>
              <w:t>Tại ngày 3</w:t>
            </w:r>
            <w:r w:rsidR="008917A9">
              <w:rPr>
                <w:rFonts w:ascii="Times New Roman" w:eastAsia="Times New Roman" w:hAnsi="Times New Roman" w:cs="Times New Roman"/>
                <w:b/>
                <w:bCs/>
                <w:color w:val="000000"/>
                <w:sz w:val="20"/>
                <w:szCs w:val="20"/>
              </w:rPr>
              <w:t>1</w:t>
            </w:r>
            <w:r w:rsidR="004A19F1" w:rsidRPr="007A4753">
              <w:rPr>
                <w:rFonts w:ascii="Times New Roman" w:eastAsia="Times New Roman" w:hAnsi="Times New Roman" w:cs="Times New Roman"/>
                <w:b/>
                <w:bCs/>
                <w:color w:val="000000"/>
                <w:sz w:val="20"/>
                <w:szCs w:val="20"/>
              </w:rPr>
              <w:t>/</w:t>
            </w:r>
            <w:r w:rsidR="008917A9">
              <w:rPr>
                <w:rFonts w:ascii="Times New Roman" w:eastAsia="Times New Roman" w:hAnsi="Times New Roman" w:cs="Times New Roman"/>
                <w:b/>
                <w:bCs/>
                <w:color w:val="000000"/>
                <w:sz w:val="20"/>
                <w:szCs w:val="20"/>
              </w:rPr>
              <w:t>12</w:t>
            </w:r>
            <w:r w:rsidR="005B5FE4" w:rsidRPr="007A4753">
              <w:rPr>
                <w:rFonts w:ascii="Times New Roman" w:eastAsia="Times New Roman" w:hAnsi="Times New Roman" w:cs="Times New Roman"/>
                <w:b/>
                <w:bCs/>
                <w:color w:val="000000"/>
                <w:sz w:val="20"/>
                <w:szCs w:val="20"/>
              </w:rPr>
              <w:t>/202</w:t>
            </w:r>
            <w:r w:rsidR="001865BD">
              <w:rPr>
                <w:rFonts w:ascii="Times New Roman" w:eastAsia="Times New Roman" w:hAnsi="Times New Roman" w:cs="Times New Roman"/>
                <w:b/>
                <w:bCs/>
                <w:color w:val="000000"/>
                <w:sz w:val="20"/>
                <w:szCs w:val="20"/>
              </w:rPr>
              <w:t>2</w:t>
            </w:r>
          </w:p>
          <w:p w14:paraId="2CD51C88" w14:textId="77777777" w:rsidR="005B5FE4" w:rsidRPr="007A4753" w:rsidRDefault="005B5FE4" w:rsidP="0053734A">
            <w:pPr>
              <w:spacing w:after="0"/>
              <w:jc w:val="center"/>
              <w:rPr>
                <w:rFonts w:ascii="Times New Roman" w:eastAsia="Times New Roman" w:hAnsi="Times New Roman" w:cs="Times New Roman"/>
                <w:bCs/>
                <w:color w:val="000000"/>
                <w:sz w:val="20"/>
                <w:szCs w:val="20"/>
              </w:rPr>
            </w:pPr>
            <w:r w:rsidRPr="007A4753">
              <w:rPr>
                <w:rFonts w:ascii="Times New Roman" w:eastAsia="Times New Roman" w:hAnsi="Times New Roman" w:cs="Times New Roman"/>
                <w:bCs/>
                <w:color w:val="000000"/>
                <w:sz w:val="20"/>
                <w:szCs w:val="20"/>
              </w:rPr>
              <w:t>(VND)</w:t>
            </w:r>
          </w:p>
        </w:tc>
      </w:tr>
      <w:tr w:rsidR="00832E78" w:rsidRPr="007A4753" w14:paraId="1953033B" w14:textId="77777777" w:rsidTr="005B6EB5">
        <w:trPr>
          <w:trHeight w:val="449"/>
        </w:trPr>
        <w:tc>
          <w:tcPr>
            <w:tcW w:w="3615" w:type="dxa"/>
            <w:shd w:val="clear" w:color="000000" w:fill="FFFFFF"/>
            <w:noWrap/>
            <w:vAlign w:val="center"/>
            <w:hideMark/>
          </w:tcPr>
          <w:p w14:paraId="4FA507AF" w14:textId="77777777" w:rsidR="00832E78" w:rsidRPr="007A4753" w:rsidRDefault="00832E78" w:rsidP="00832E78">
            <w:pPr>
              <w:spacing w:after="120"/>
              <w:ind w:firstLine="474"/>
              <w:rPr>
                <w:rFonts w:ascii="Times New Roman" w:eastAsia="Times New Roman" w:hAnsi="Times New Roman" w:cs="Times New Roman"/>
                <w:color w:val="000000"/>
                <w:sz w:val="20"/>
                <w:szCs w:val="20"/>
              </w:rPr>
            </w:pPr>
            <w:r w:rsidRPr="007A4753">
              <w:rPr>
                <w:rFonts w:ascii="Times New Roman" w:eastAsia="Times New Roman" w:hAnsi="Times New Roman" w:cs="Times New Roman"/>
                <w:color w:val="000000"/>
                <w:sz w:val="20"/>
                <w:szCs w:val="20"/>
              </w:rPr>
              <w:t>Lợi nhuận chưa phân phối</w:t>
            </w:r>
          </w:p>
        </w:tc>
        <w:tc>
          <w:tcPr>
            <w:tcW w:w="2160" w:type="dxa"/>
            <w:tcBorders>
              <w:top w:val="single" w:sz="4" w:space="0" w:color="auto"/>
              <w:bottom w:val="double" w:sz="4" w:space="0" w:color="auto"/>
            </w:tcBorders>
            <w:shd w:val="clear" w:color="000000" w:fill="FFFFFF"/>
            <w:noWrap/>
            <w:hideMark/>
          </w:tcPr>
          <w:p w14:paraId="0924926E" w14:textId="20397C3E" w:rsidR="00832E78" w:rsidRPr="007A4753" w:rsidRDefault="008917A9" w:rsidP="00832E78">
            <w:pPr>
              <w:jc w:val="right"/>
              <w:rPr>
                <w:rFonts w:ascii="Times New Roman" w:hAnsi="Times New Roman" w:cs="Times New Roman"/>
                <w:sz w:val="20"/>
                <w:szCs w:val="20"/>
              </w:rPr>
            </w:pPr>
            <w:r w:rsidRPr="00832E78">
              <w:rPr>
                <w:rFonts w:ascii="Times New Roman" w:eastAsia="Times New Roman" w:hAnsi="Times New Roman" w:cs="Times New Roman"/>
                <w:color w:val="000000"/>
                <w:sz w:val="20"/>
                <w:szCs w:val="20"/>
              </w:rPr>
              <w:t xml:space="preserve">4,017,177,878,478 </w:t>
            </w:r>
            <w:r w:rsidR="00832E78" w:rsidRPr="007A4753">
              <w:rPr>
                <w:rFonts w:ascii="Times New Roman" w:hAnsi="Times New Roman" w:cs="Times New Roman"/>
                <w:sz w:val="20"/>
                <w:szCs w:val="20"/>
              </w:rPr>
              <w:t xml:space="preserve"> </w:t>
            </w:r>
          </w:p>
        </w:tc>
        <w:tc>
          <w:tcPr>
            <w:tcW w:w="2070" w:type="dxa"/>
            <w:tcBorders>
              <w:top w:val="single" w:sz="4" w:space="0" w:color="auto"/>
              <w:bottom w:val="double" w:sz="4" w:space="0" w:color="auto"/>
            </w:tcBorders>
            <w:shd w:val="clear" w:color="000000" w:fill="FFFFFF"/>
            <w:noWrap/>
          </w:tcPr>
          <w:p w14:paraId="5B122EDF" w14:textId="22724E93" w:rsidR="00832E78" w:rsidRPr="00832E78" w:rsidRDefault="00832E78" w:rsidP="00832E78">
            <w:pPr>
              <w:jc w:val="right"/>
              <w:rPr>
                <w:rFonts w:ascii="Times New Roman" w:eastAsia="Times New Roman" w:hAnsi="Times New Roman" w:cs="Times New Roman"/>
                <w:color w:val="000000"/>
                <w:sz w:val="20"/>
                <w:szCs w:val="20"/>
              </w:rPr>
            </w:pPr>
            <w:r w:rsidRPr="00832E78">
              <w:rPr>
                <w:rFonts w:ascii="Times New Roman" w:eastAsia="Times New Roman" w:hAnsi="Times New Roman" w:cs="Times New Roman"/>
                <w:color w:val="000000"/>
                <w:sz w:val="20"/>
                <w:szCs w:val="20"/>
              </w:rPr>
              <w:t>(</w:t>
            </w:r>
            <w:r w:rsidR="008917A9" w:rsidRPr="0082705E">
              <w:rPr>
                <w:rFonts w:ascii="Times New Roman" w:hAnsi="Times New Roman" w:cs="Times New Roman"/>
                <w:sz w:val="20"/>
                <w:szCs w:val="20"/>
              </w:rPr>
              <w:t>1</w:t>
            </w:r>
            <w:r w:rsidR="008917A9">
              <w:rPr>
                <w:rFonts w:ascii="Times New Roman" w:hAnsi="Times New Roman" w:cs="Times New Roman"/>
                <w:sz w:val="20"/>
                <w:szCs w:val="20"/>
              </w:rPr>
              <w:t>,</w:t>
            </w:r>
            <w:r w:rsidR="008917A9" w:rsidRPr="0082705E">
              <w:rPr>
                <w:rFonts w:ascii="Times New Roman" w:hAnsi="Times New Roman" w:cs="Times New Roman"/>
                <w:sz w:val="20"/>
                <w:szCs w:val="20"/>
              </w:rPr>
              <w:t>246</w:t>
            </w:r>
            <w:r w:rsidR="008917A9">
              <w:rPr>
                <w:rFonts w:ascii="Times New Roman" w:hAnsi="Times New Roman" w:cs="Times New Roman"/>
                <w:sz w:val="20"/>
                <w:szCs w:val="20"/>
              </w:rPr>
              <w:t>,</w:t>
            </w:r>
            <w:r w:rsidR="008917A9" w:rsidRPr="0082705E">
              <w:rPr>
                <w:rFonts w:ascii="Times New Roman" w:hAnsi="Times New Roman" w:cs="Times New Roman"/>
                <w:sz w:val="20"/>
                <w:szCs w:val="20"/>
              </w:rPr>
              <w:t>610</w:t>
            </w:r>
            <w:r w:rsidR="008917A9">
              <w:rPr>
                <w:rFonts w:ascii="Times New Roman" w:hAnsi="Times New Roman" w:cs="Times New Roman"/>
                <w:sz w:val="20"/>
                <w:szCs w:val="20"/>
              </w:rPr>
              <w:t>,</w:t>
            </w:r>
            <w:r w:rsidR="008917A9" w:rsidRPr="0082705E">
              <w:rPr>
                <w:rFonts w:ascii="Times New Roman" w:hAnsi="Times New Roman" w:cs="Times New Roman"/>
                <w:sz w:val="20"/>
                <w:szCs w:val="20"/>
              </w:rPr>
              <w:t>015</w:t>
            </w:r>
            <w:r w:rsidR="008917A9">
              <w:rPr>
                <w:rFonts w:ascii="Times New Roman" w:hAnsi="Times New Roman" w:cs="Times New Roman"/>
                <w:sz w:val="20"/>
                <w:szCs w:val="20"/>
              </w:rPr>
              <w:t>,</w:t>
            </w:r>
            <w:r w:rsidR="008917A9" w:rsidRPr="0082705E">
              <w:rPr>
                <w:rFonts w:ascii="Times New Roman" w:hAnsi="Times New Roman" w:cs="Times New Roman"/>
                <w:sz w:val="20"/>
                <w:szCs w:val="20"/>
              </w:rPr>
              <w:t>917</w:t>
            </w:r>
            <w:r w:rsidRPr="00832E78">
              <w:rPr>
                <w:rFonts w:ascii="Times New Roman" w:eastAsia="Times New Roman" w:hAnsi="Times New Roman" w:cs="Times New Roman"/>
                <w:color w:val="000000"/>
                <w:sz w:val="20"/>
                <w:szCs w:val="20"/>
              </w:rPr>
              <w:t>)</w:t>
            </w:r>
          </w:p>
        </w:tc>
        <w:tc>
          <w:tcPr>
            <w:tcW w:w="2070" w:type="dxa"/>
            <w:tcBorders>
              <w:top w:val="single" w:sz="4" w:space="0" w:color="auto"/>
              <w:bottom w:val="double" w:sz="4" w:space="0" w:color="auto"/>
            </w:tcBorders>
            <w:shd w:val="clear" w:color="000000" w:fill="FFFFFF"/>
            <w:noWrap/>
          </w:tcPr>
          <w:p w14:paraId="639D0198" w14:textId="25DB9265" w:rsidR="00832E78" w:rsidRPr="00832E78" w:rsidRDefault="008917A9" w:rsidP="00832E78">
            <w:pPr>
              <w:jc w:val="right"/>
              <w:rPr>
                <w:rFonts w:ascii="Times New Roman" w:eastAsia="Times New Roman" w:hAnsi="Times New Roman" w:cs="Times New Roman"/>
                <w:color w:val="000000"/>
                <w:sz w:val="20"/>
                <w:szCs w:val="20"/>
              </w:rPr>
            </w:pPr>
            <w:r w:rsidRPr="009F1C88">
              <w:rPr>
                <w:rFonts w:ascii="Times New Roman" w:hAnsi="Times New Roman" w:cs="Times New Roman"/>
                <w:sz w:val="20"/>
                <w:szCs w:val="20"/>
              </w:rPr>
              <w:t>2</w:t>
            </w:r>
            <w:r>
              <w:rPr>
                <w:rFonts w:ascii="Times New Roman" w:hAnsi="Times New Roman" w:cs="Times New Roman"/>
                <w:sz w:val="20"/>
                <w:szCs w:val="20"/>
              </w:rPr>
              <w:t>,</w:t>
            </w:r>
            <w:r w:rsidRPr="009F1C88">
              <w:rPr>
                <w:rFonts w:ascii="Times New Roman" w:hAnsi="Times New Roman" w:cs="Times New Roman"/>
                <w:sz w:val="20"/>
                <w:szCs w:val="20"/>
              </w:rPr>
              <w:t>770</w:t>
            </w:r>
            <w:r>
              <w:rPr>
                <w:rFonts w:ascii="Times New Roman" w:hAnsi="Times New Roman" w:cs="Times New Roman"/>
                <w:sz w:val="20"/>
                <w:szCs w:val="20"/>
              </w:rPr>
              <w:t>,</w:t>
            </w:r>
            <w:r w:rsidRPr="009F1C88">
              <w:rPr>
                <w:rFonts w:ascii="Times New Roman" w:hAnsi="Times New Roman" w:cs="Times New Roman"/>
                <w:sz w:val="20"/>
                <w:szCs w:val="20"/>
              </w:rPr>
              <w:t>567</w:t>
            </w:r>
            <w:r>
              <w:rPr>
                <w:rFonts w:ascii="Times New Roman" w:hAnsi="Times New Roman" w:cs="Times New Roman"/>
                <w:sz w:val="20"/>
                <w:szCs w:val="20"/>
              </w:rPr>
              <w:t>,</w:t>
            </w:r>
            <w:r w:rsidRPr="009F1C88">
              <w:rPr>
                <w:rFonts w:ascii="Times New Roman" w:hAnsi="Times New Roman" w:cs="Times New Roman"/>
                <w:sz w:val="20"/>
                <w:szCs w:val="20"/>
              </w:rPr>
              <w:t>862</w:t>
            </w:r>
            <w:r>
              <w:rPr>
                <w:rFonts w:ascii="Times New Roman" w:hAnsi="Times New Roman" w:cs="Times New Roman"/>
                <w:sz w:val="20"/>
                <w:szCs w:val="20"/>
              </w:rPr>
              <w:t>,</w:t>
            </w:r>
            <w:r w:rsidRPr="009F1C88">
              <w:rPr>
                <w:rFonts w:ascii="Times New Roman" w:hAnsi="Times New Roman" w:cs="Times New Roman"/>
                <w:sz w:val="20"/>
                <w:szCs w:val="20"/>
              </w:rPr>
              <w:t>561</w:t>
            </w:r>
            <w:r w:rsidR="00832E78" w:rsidRPr="00832E78">
              <w:rPr>
                <w:rFonts w:ascii="Times New Roman" w:eastAsia="Times New Roman" w:hAnsi="Times New Roman" w:cs="Times New Roman"/>
                <w:color w:val="000000"/>
                <w:sz w:val="20"/>
                <w:szCs w:val="20"/>
              </w:rPr>
              <w:t xml:space="preserve"> </w:t>
            </w:r>
          </w:p>
        </w:tc>
      </w:tr>
    </w:tbl>
    <w:p w14:paraId="20AFAE33" w14:textId="77777777" w:rsidR="005B5FE4" w:rsidRPr="007A4753" w:rsidRDefault="005B5FE4" w:rsidP="005B5FE4">
      <w:pPr>
        <w:pStyle w:val="ListParagraph"/>
        <w:numPr>
          <w:ilvl w:val="0"/>
          <w:numId w:val="1"/>
        </w:numPr>
        <w:spacing w:before="120" w:after="0" w:line="288" w:lineRule="auto"/>
        <w:ind w:left="284" w:hanging="284"/>
        <w:jc w:val="both"/>
        <w:rPr>
          <w:rFonts w:ascii="Times New Roman" w:hAnsi="Times New Roman" w:cs="Times New Roman"/>
          <w:b/>
          <w:sz w:val="20"/>
          <w:szCs w:val="20"/>
        </w:rPr>
      </w:pPr>
      <w:r w:rsidRPr="007A4753">
        <w:rPr>
          <w:rFonts w:ascii="Times New Roman" w:hAnsi="Times New Roman" w:cs="Times New Roman"/>
          <w:b/>
          <w:sz w:val="20"/>
          <w:szCs w:val="20"/>
        </w:rPr>
        <w:t>Sự kiện phát sinh sau ngày báo cáo tài chính</w:t>
      </w:r>
    </w:p>
    <w:p w14:paraId="0EBAA41C" w14:textId="77777777" w:rsidR="005B5FE4" w:rsidRPr="007A4753" w:rsidRDefault="005B5FE4" w:rsidP="005B5FE4">
      <w:pPr>
        <w:spacing w:after="0" w:line="288" w:lineRule="auto"/>
        <w:ind w:left="284"/>
        <w:jc w:val="both"/>
        <w:rPr>
          <w:rFonts w:ascii="Times New Roman" w:hAnsi="Times New Roman" w:cs="Times New Roman"/>
          <w:sz w:val="20"/>
          <w:szCs w:val="20"/>
        </w:rPr>
      </w:pPr>
      <w:r w:rsidRPr="007A4753">
        <w:rPr>
          <w:rFonts w:ascii="Times New Roman" w:hAnsi="Times New Roman" w:cs="Times New Roman"/>
          <w:sz w:val="20"/>
          <w:szCs w:val="20"/>
        </w:rPr>
        <w:t>Không có sự kiện phát sinh sau ngày lập báo cáo tài chính cần điều chỉnh hoặc trình bày trên báo cáo tài chính.</w:t>
      </w:r>
    </w:p>
    <w:p w14:paraId="293687E3" w14:textId="77777777" w:rsidR="005B5FE4" w:rsidRPr="007A4753" w:rsidRDefault="005B5FE4" w:rsidP="005B5FE4">
      <w:pPr>
        <w:spacing w:after="0" w:line="288" w:lineRule="auto"/>
        <w:ind w:left="284"/>
        <w:jc w:val="both"/>
        <w:rPr>
          <w:rFonts w:ascii="Times New Roman" w:hAnsi="Times New Roman" w:cs="Times New Roman"/>
          <w:sz w:val="20"/>
          <w:szCs w:val="20"/>
        </w:rPr>
      </w:pPr>
    </w:p>
    <w:p w14:paraId="2C07CE68" w14:textId="77777777" w:rsidR="005B5FE4" w:rsidRPr="007A4753" w:rsidRDefault="005B5FE4" w:rsidP="005B5FE4">
      <w:pPr>
        <w:spacing w:after="0" w:line="288" w:lineRule="auto"/>
        <w:ind w:left="284"/>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5B5FE4" w:rsidRPr="00F619EC" w14:paraId="6E9AB807" w14:textId="77777777" w:rsidTr="0053734A">
        <w:trPr>
          <w:jc w:val="center"/>
        </w:trPr>
        <w:tc>
          <w:tcPr>
            <w:tcW w:w="3301" w:type="dxa"/>
            <w:vAlign w:val="center"/>
          </w:tcPr>
          <w:p w14:paraId="42863570" w14:textId="77777777" w:rsidR="005B5FE4" w:rsidRPr="007A4753" w:rsidRDefault="005B5FE4"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Người lập</w:t>
            </w:r>
          </w:p>
          <w:p w14:paraId="31BCD25F" w14:textId="77777777" w:rsidR="005B5FE4" w:rsidRPr="007A4753" w:rsidRDefault="005B5FE4" w:rsidP="0053734A">
            <w:pPr>
              <w:spacing w:after="120"/>
              <w:jc w:val="center"/>
              <w:rPr>
                <w:rFonts w:ascii="Times New Roman" w:hAnsi="Times New Roman" w:cs="Times New Roman"/>
                <w:b/>
                <w:sz w:val="20"/>
                <w:szCs w:val="20"/>
              </w:rPr>
            </w:pPr>
          </w:p>
          <w:p w14:paraId="33DF4155" w14:textId="77777777" w:rsidR="005B5FE4" w:rsidRPr="007A4753" w:rsidRDefault="005B5FE4" w:rsidP="0053734A">
            <w:pPr>
              <w:spacing w:after="120"/>
              <w:jc w:val="center"/>
              <w:rPr>
                <w:rFonts w:ascii="Times New Roman" w:hAnsi="Times New Roman" w:cs="Times New Roman"/>
                <w:b/>
                <w:sz w:val="20"/>
                <w:szCs w:val="20"/>
              </w:rPr>
            </w:pPr>
          </w:p>
          <w:p w14:paraId="16DA23E9" w14:textId="77777777" w:rsidR="005B5FE4" w:rsidRPr="007A4753" w:rsidRDefault="005B5FE4" w:rsidP="0053734A">
            <w:pPr>
              <w:spacing w:after="120"/>
              <w:jc w:val="center"/>
              <w:rPr>
                <w:rFonts w:ascii="Times New Roman" w:hAnsi="Times New Roman" w:cs="Times New Roman"/>
                <w:b/>
                <w:sz w:val="20"/>
                <w:szCs w:val="20"/>
              </w:rPr>
            </w:pPr>
          </w:p>
          <w:p w14:paraId="49A066CE" w14:textId="77777777" w:rsidR="00875EF9" w:rsidRPr="007A4753" w:rsidRDefault="00875EF9" w:rsidP="0053734A">
            <w:pPr>
              <w:spacing w:after="120"/>
              <w:jc w:val="center"/>
              <w:rPr>
                <w:rFonts w:ascii="Times New Roman" w:hAnsi="Times New Roman" w:cs="Times New Roman"/>
                <w:b/>
                <w:sz w:val="20"/>
                <w:szCs w:val="20"/>
              </w:rPr>
            </w:pPr>
          </w:p>
          <w:p w14:paraId="2994B96A" w14:textId="77777777" w:rsidR="005B5FE4" w:rsidRPr="007A4753" w:rsidRDefault="005B5FE4" w:rsidP="0053734A">
            <w:pPr>
              <w:spacing w:after="120"/>
              <w:jc w:val="center"/>
              <w:rPr>
                <w:rFonts w:ascii="Times New Roman" w:hAnsi="Times New Roman" w:cs="Times New Roman"/>
                <w:b/>
                <w:sz w:val="20"/>
                <w:szCs w:val="20"/>
              </w:rPr>
            </w:pPr>
          </w:p>
          <w:p w14:paraId="4999E369" w14:textId="77777777" w:rsidR="005B5FE4" w:rsidRPr="007A4753" w:rsidRDefault="005B5FE4" w:rsidP="0053734A">
            <w:pPr>
              <w:spacing w:after="120"/>
              <w:jc w:val="center"/>
              <w:rPr>
                <w:rFonts w:ascii="Times New Roman" w:hAnsi="Times New Roman" w:cs="Times New Roman"/>
                <w:b/>
                <w:sz w:val="20"/>
                <w:szCs w:val="20"/>
              </w:rPr>
            </w:pPr>
          </w:p>
          <w:p w14:paraId="2FB60D0F" w14:textId="77777777" w:rsidR="005B5FE4" w:rsidRPr="007A4753" w:rsidRDefault="005B5FE4" w:rsidP="0053734A">
            <w:pPr>
              <w:spacing w:after="120"/>
              <w:jc w:val="center"/>
              <w:rPr>
                <w:rFonts w:ascii="Times New Roman" w:hAnsi="Times New Roman" w:cs="Times New Roman"/>
                <w:sz w:val="20"/>
                <w:szCs w:val="20"/>
              </w:rPr>
            </w:pPr>
            <w:r w:rsidRPr="007A4753">
              <w:rPr>
                <w:rFonts w:ascii="Times New Roman" w:hAnsi="Times New Roman" w:cs="Times New Roman"/>
                <w:b/>
                <w:sz w:val="20"/>
                <w:szCs w:val="20"/>
              </w:rPr>
              <w:t>Vương Thị Trâm Anh</w:t>
            </w:r>
          </w:p>
        </w:tc>
        <w:tc>
          <w:tcPr>
            <w:tcW w:w="3301" w:type="dxa"/>
            <w:vAlign w:val="center"/>
          </w:tcPr>
          <w:p w14:paraId="761FD116" w14:textId="77777777" w:rsidR="005B5FE4" w:rsidRPr="007A4753" w:rsidRDefault="005B5FE4"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Kế toán trưởng</w:t>
            </w:r>
          </w:p>
          <w:p w14:paraId="3DA534A0" w14:textId="77777777" w:rsidR="005B5FE4" w:rsidRPr="007A4753" w:rsidRDefault="005B5FE4" w:rsidP="0053734A">
            <w:pPr>
              <w:spacing w:after="120"/>
              <w:jc w:val="center"/>
              <w:rPr>
                <w:rFonts w:ascii="Times New Roman" w:hAnsi="Times New Roman" w:cs="Times New Roman"/>
                <w:b/>
                <w:sz w:val="20"/>
                <w:szCs w:val="20"/>
              </w:rPr>
            </w:pPr>
          </w:p>
          <w:p w14:paraId="05E0ACE1" w14:textId="77777777" w:rsidR="005B5FE4" w:rsidRPr="007A4753" w:rsidRDefault="005B5FE4" w:rsidP="0053734A">
            <w:pPr>
              <w:spacing w:after="120"/>
              <w:jc w:val="center"/>
              <w:rPr>
                <w:rFonts w:ascii="Times New Roman" w:hAnsi="Times New Roman" w:cs="Times New Roman"/>
                <w:b/>
                <w:sz w:val="20"/>
                <w:szCs w:val="20"/>
              </w:rPr>
            </w:pPr>
          </w:p>
          <w:p w14:paraId="1754E38C" w14:textId="77777777" w:rsidR="005B5FE4" w:rsidRPr="007A4753" w:rsidRDefault="005B5FE4" w:rsidP="0053734A">
            <w:pPr>
              <w:spacing w:after="120"/>
              <w:jc w:val="center"/>
              <w:rPr>
                <w:rFonts w:ascii="Times New Roman" w:hAnsi="Times New Roman" w:cs="Times New Roman"/>
                <w:b/>
                <w:sz w:val="20"/>
                <w:szCs w:val="20"/>
              </w:rPr>
            </w:pPr>
          </w:p>
          <w:p w14:paraId="2EAA20FE" w14:textId="77777777" w:rsidR="00875EF9" w:rsidRPr="007A4753" w:rsidRDefault="00875EF9" w:rsidP="0053734A">
            <w:pPr>
              <w:spacing w:after="120"/>
              <w:jc w:val="center"/>
              <w:rPr>
                <w:rFonts w:ascii="Times New Roman" w:hAnsi="Times New Roman" w:cs="Times New Roman"/>
                <w:b/>
                <w:sz w:val="20"/>
                <w:szCs w:val="20"/>
              </w:rPr>
            </w:pPr>
          </w:p>
          <w:p w14:paraId="4FC06D6A" w14:textId="77777777" w:rsidR="005B5FE4" w:rsidRPr="007A4753" w:rsidRDefault="005B5FE4" w:rsidP="0053734A">
            <w:pPr>
              <w:spacing w:after="120"/>
              <w:jc w:val="center"/>
              <w:rPr>
                <w:rFonts w:ascii="Times New Roman" w:hAnsi="Times New Roman" w:cs="Times New Roman"/>
                <w:b/>
                <w:sz w:val="20"/>
                <w:szCs w:val="20"/>
              </w:rPr>
            </w:pPr>
          </w:p>
          <w:p w14:paraId="24325DBE" w14:textId="77777777" w:rsidR="005B5FE4" w:rsidRPr="007A4753" w:rsidRDefault="005B5FE4" w:rsidP="0053734A">
            <w:pPr>
              <w:spacing w:after="120"/>
              <w:jc w:val="center"/>
              <w:rPr>
                <w:rFonts w:ascii="Times New Roman" w:hAnsi="Times New Roman" w:cs="Times New Roman"/>
                <w:b/>
                <w:sz w:val="20"/>
                <w:szCs w:val="20"/>
              </w:rPr>
            </w:pPr>
          </w:p>
          <w:p w14:paraId="3B42FA85" w14:textId="77777777" w:rsidR="005B5FE4" w:rsidRPr="007A4753" w:rsidRDefault="005B5FE4" w:rsidP="0053734A">
            <w:pPr>
              <w:spacing w:after="120"/>
              <w:jc w:val="center"/>
              <w:rPr>
                <w:rFonts w:ascii="Times New Roman" w:hAnsi="Times New Roman" w:cs="Times New Roman"/>
                <w:sz w:val="20"/>
                <w:szCs w:val="20"/>
              </w:rPr>
            </w:pPr>
            <w:r w:rsidRPr="007A4753">
              <w:rPr>
                <w:rFonts w:ascii="Times New Roman" w:hAnsi="Times New Roman" w:cs="Times New Roman"/>
                <w:b/>
                <w:sz w:val="20"/>
                <w:szCs w:val="20"/>
              </w:rPr>
              <w:t>Phạm Thanh Dũng</w:t>
            </w:r>
          </w:p>
        </w:tc>
        <w:tc>
          <w:tcPr>
            <w:tcW w:w="3302" w:type="dxa"/>
            <w:vAlign w:val="center"/>
          </w:tcPr>
          <w:p w14:paraId="13919883" w14:textId="77777777" w:rsidR="005B5FE4" w:rsidRPr="007A4753" w:rsidRDefault="005B5FE4"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Giám đốc điều hành</w:t>
            </w:r>
          </w:p>
          <w:p w14:paraId="5394850C" w14:textId="77777777" w:rsidR="005B5FE4" w:rsidRPr="007A4753" w:rsidRDefault="005B5FE4" w:rsidP="0053734A">
            <w:pPr>
              <w:spacing w:after="120"/>
              <w:jc w:val="center"/>
              <w:rPr>
                <w:rFonts w:ascii="Times New Roman" w:hAnsi="Times New Roman" w:cs="Times New Roman"/>
                <w:b/>
                <w:sz w:val="20"/>
                <w:szCs w:val="20"/>
              </w:rPr>
            </w:pPr>
            <w:r w:rsidRPr="007A4753">
              <w:rPr>
                <w:rFonts w:ascii="Times New Roman" w:hAnsi="Times New Roman" w:cs="Times New Roman"/>
                <w:b/>
                <w:sz w:val="20"/>
                <w:szCs w:val="20"/>
              </w:rPr>
              <w:t>Nghiệp vụ hỗ trợ đầu t</w:t>
            </w:r>
            <w:r w:rsidRPr="007A4753">
              <w:rPr>
                <w:rFonts w:ascii="Times New Roman" w:hAnsi="Times New Roman" w:cs="Times New Roman" w:hint="cs"/>
                <w:b/>
                <w:sz w:val="20"/>
                <w:szCs w:val="20"/>
              </w:rPr>
              <w:t>ư</w:t>
            </w:r>
          </w:p>
          <w:p w14:paraId="03C104B1" w14:textId="77777777" w:rsidR="005B5FE4" w:rsidRPr="007A4753" w:rsidRDefault="005B5FE4" w:rsidP="0053734A">
            <w:pPr>
              <w:spacing w:after="120"/>
              <w:jc w:val="center"/>
              <w:rPr>
                <w:rFonts w:ascii="Times New Roman" w:hAnsi="Times New Roman" w:cs="Times New Roman"/>
                <w:b/>
                <w:sz w:val="20"/>
                <w:szCs w:val="20"/>
              </w:rPr>
            </w:pPr>
          </w:p>
          <w:p w14:paraId="1EDD99EC" w14:textId="77777777" w:rsidR="005B5FE4" w:rsidRPr="007A4753" w:rsidRDefault="005B5FE4" w:rsidP="0053734A">
            <w:pPr>
              <w:spacing w:after="120"/>
              <w:jc w:val="center"/>
              <w:rPr>
                <w:rFonts w:ascii="Times New Roman" w:hAnsi="Times New Roman" w:cs="Times New Roman"/>
                <w:b/>
                <w:sz w:val="20"/>
                <w:szCs w:val="20"/>
              </w:rPr>
            </w:pPr>
          </w:p>
          <w:p w14:paraId="3666BF3D" w14:textId="77777777" w:rsidR="005B5FE4" w:rsidRPr="007A4753" w:rsidRDefault="005B5FE4" w:rsidP="0053734A">
            <w:pPr>
              <w:spacing w:after="120"/>
              <w:jc w:val="center"/>
              <w:rPr>
                <w:rFonts w:ascii="Times New Roman" w:hAnsi="Times New Roman" w:cs="Times New Roman"/>
                <w:b/>
                <w:sz w:val="20"/>
                <w:szCs w:val="20"/>
              </w:rPr>
            </w:pPr>
          </w:p>
          <w:p w14:paraId="1EC34C19" w14:textId="77777777" w:rsidR="00875EF9" w:rsidRPr="007A4753" w:rsidRDefault="00875EF9" w:rsidP="0053734A">
            <w:pPr>
              <w:spacing w:after="120"/>
              <w:jc w:val="center"/>
              <w:rPr>
                <w:rFonts w:ascii="Times New Roman" w:hAnsi="Times New Roman" w:cs="Times New Roman"/>
                <w:b/>
                <w:sz w:val="20"/>
                <w:szCs w:val="20"/>
              </w:rPr>
            </w:pPr>
          </w:p>
          <w:p w14:paraId="454B12C1" w14:textId="77777777" w:rsidR="005B5FE4" w:rsidRPr="007A4753" w:rsidRDefault="005B5FE4" w:rsidP="0053734A">
            <w:pPr>
              <w:spacing w:after="120"/>
              <w:jc w:val="center"/>
              <w:rPr>
                <w:rFonts w:ascii="Times New Roman" w:hAnsi="Times New Roman" w:cs="Times New Roman"/>
                <w:b/>
                <w:sz w:val="20"/>
                <w:szCs w:val="20"/>
              </w:rPr>
            </w:pPr>
          </w:p>
          <w:p w14:paraId="6C1B4E60" w14:textId="77777777" w:rsidR="005B5FE4" w:rsidRPr="00F619EC" w:rsidRDefault="005B5FE4" w:rsidP="0053734A">
            <w:pPr>
              <w:spacing w:after="120"/>
              <w:jc w:val="center"/>
              <w:rPr>
                <w:rFonts w:ascii="Times New Roman" w:hAnsi="Times New Roman" w:cs="Times New Roman"/>
                <w:sz w:val="20"/>
                <w:szCs w:val="20"/>
              </w:rPr>
            </w:pPr>
            <w:r w:rsidRPr="007A4753">
              <w:rPr>
                <w:rFonts w:ascii="Times New Roman" w:hAnsi="Times New Roman" w:cs="Times New Roman"/>
                <w:b/>
                <w:sz w:val="20"/>
                <w:szCs w:val="20"/>
              </w:rPr>
              <w:t>Nguyễn Minh Đăng Khánh</w:t>
            </w:r>
          </w:p>
        </w:tc>
      </w:tr>
    </w:tbl>
    <w:p w14:paraId="4092C7D3" w14:textId="77777777" w:rsidR="005B5FE4" w:rsidRPr="005B5FE4" w:rsidRDefault="005B5FE4" w:rsidP="005B5FE4">
      <w:pPr>
        <w:spacing w:after="0" w:line="288" w:lineRule="auto"/>
        <w:ind w:left="284"/>
        <w:jc w:val="both"/>
        <w:rPr>
          <w:rFonts w:ascii="Times New Roman" w:hAnsi="Times New Roman" w:cs="Times New Roman"/>
          <w:sz w:val="20"/>
          <w:szCs w:val="20"/>
        </w:rPr>
      </w:pPr>
    </w:p>
    <w:sectPr w:rsidR="005B5FE4" w:rsidRPr="005B5FE4" w:rsidSect="00DA4646">
      <w:pgSz w:w="12240" w:h="15840"/>
      <w:pgMar w:top="1418"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2DB"/>
    <w:multiLevelType w:val="hybridMultilevel"/>
    <w:tmpl w:val="A9F21CC0"/>
    <w:lvl w:ilvl="0" w:tplc="0409001B">
      <w:start w:val="1"/>
      <w:numFmt w:val="lowerRoman"/>
      <w:lvlText w:val="%1."/>
      <w:lvlJc w:val="right"/>
      <w:pPr>
        <w:ind w:left="720" w:hanging="360"/>
      </w:pPr>
    </w:lvl>
    <w:lvl w:ilvl="1" w:tplc="48288872">
      <w:start w:val="1"/>
      <w:numFmt w:val="lowerRoman"/>
      <w:lvlText w:val="%2."/>
      <w:lvlJc w:val="righ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F35BA"/>
    <w:multiLevelType w:val="hybridMultilevel"/>
    <w:tmpl w:val="19E23B5A"/>
    <w:lvl w:ilvl="0" w:tplc="57C20CC2">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3751"/>
    <w:multiLevelType w:val="hybridMultilevel"/>
    <w:tmpl w:val="01DE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D82"/>
    <w:multiLevelType w:val="hybridMultilevel"/>
    <w:tmpl w:val="390E3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B385C"/>
    <w:multiLevelType w:val="hybridMultilevel"/>
    <w:tmpl w:val="A164027E"/>
    <w:lvl w:ilvl="0" w:tplc="01E657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E0BD8"/>
    <w:multiLevelType w:val="hybridMultilevel"/>
    <w:tmpl w:val="327AE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776DE"/>
    <w:multiLevelType w:val="hybridMultilevel"/>
    <w:tmpl w:val="D0D62974"/>
    <w:lvl w:ilvl="0" w:tplc="BB8EB14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A92E01"/>
    <w:multiLevelType w:val="hybridMultilevel"/>
    <w:tmpl w:val="2B68C1F4"/>
    <w:lvl w:ilvl="0" w:tplc="D5F84104">
      <w:start w:val="1"/>
      <w:numFmt w:val="decimal"/>
      <w:lvlText w:val="4.%1."/>
      <w:lvlJc w:val="left"/>
      <w:pPr>
        <w:ind w:left="644" w:hanging="360"/>
      </w:pPr>
      <w:rPr>
        <w:rFonts w:hint="default"/>
        <w:b/>
      </w:rPr>
    </w:lvl>
    <w:lvl w:ilvl="1" w:tplc="2EBE7512">
      <w:start w:val="1"/>
      <w:numFmt w:val="lowerRoman"/>
      <w:lvlText w:val="%2."/>
      <w:lvlJc w:val="left"/>
      <w:pPr>
        <w:ind w:left="1004" w:hanging="720"/>
      </w:pPr>
      <w:rPr>
        <w:rFonts w:hint="default"/>
      </w:r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8" w15:restartNumberingAfterBreak="0">
    <w:nsid w:val="20AA3E9C"/>
    <w:multiLevelType w:val="hybridMultilevel"/>
    <w:tmpl w:val="AC4A31D2"/>
    <w:lvl w:ilvl="0" w:tplc="B6509F6A">
      <w:start w:val="1"/>
      <w:numFmt w:val="decimal"/>
      <w:lvlText w:val="5.%1."/>
      <w:lvlJc w:val="right"/>
      <w:pPr>
        <w:ind w:left="720" w:hanging="360"/>
      </w:pPr>
      <w:rPr>
        <w:rFonts w:hint="default"/>
      </w:rPr>
    </w:lvl>
    <w:lvl w:ilvl="1" w:tplc="B6509F6A">
      <w:start w:val="1"/>
      <w:numFmt w:val="decimal"/>
      <w:lvlText w:val="5.%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A4B68"/>
    <w:multiLevelType w:val="hybridMultilevel"/>
    <w:tmpl w:val="50FAD596"/>
    <w:lvl w:ilvl="0" w:tplc="51B628EC">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F2C46"/>
    <w:multiLevelType w:val="hybridMultilevel"/>
    <w:tmpl w:val="5FB07F9A"/>
    <w:lvl w:ilvl="0" w:tplc="F36AB1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8E2AED"/>
    <w:multiLevelType w:val="hybridMultilevel"/>
    <w:tmpl w:val="CF2445A6"/>
    <w:lvl w:ilvl="0" w:tplc="C91CF1F0">
      <w:start w:val="1"/>
      <w:numFmt w:val="decimal"/>
      <w:lvlText w:val="1.%1."/>
      <w:lvlJc w:val="left"/>
      <w:pPr>
        <w:ind w:left="720" w:hanging="360"/>
      </w:pPr>
      <w:rPr>
        <w:rFonts w:hint="default"/>
      </w:rPr>
    </w:lvl>
    <w:lvl w:ilvl="1" w:tplc="84948F36">
      <w:start w:val="1"/>
      <w:numFmt w:val="decimal"/>
      <w:lvlText w:val="1.%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30514"/>
    <w:multiLevelType w:val="hybridMultilevel"/>
    <w:tmpl w:val="149AB080"/>
    <w:lvl w:ilvl="0" w:tplc="9B9657DA">
      <w:start w:val="1"/>
      <w:numFmt w:val="decimal"/>
      <w:lvlText w:val="3.%1."/>
      <w:lvlJc w:val="left"/>
      <w:pPr>
        <w:ind w:left="720" w:hanging="360"/>
      </w:pPr>
      <w:rPr>
        <w:rFonts w:hint="default"/>
      </w:rPr>
    </w:lvl>
    <w:lvl w:ilvl="1" w:tplc="9B9657DA">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8489B"/>
    <w:multiLevelType w:val="hybridMultilevel"/>
    <w:tmpl w:val="4A2E44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44F83"/>
    <w:multiLevelType w:val="hybridMultilevel"/>
    <w:tmpl w:val="05FAC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80EBD"/>
    <w:multiLevelType w:val="hybridMultilevel"/>
    <w:tmpl w:val="59D4B714"/>
    <w:lvl w:ilvl="0" w:tplc="EAD242D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3BD77917"/>
    <w:multiLevelType w:val="hybridMultilevel"/>
    <w:tmpl w:val="6BFC1698"/>
    <w:lvl w:ilvl="0" w:tplc="357ADA9E">
      <w:start w:val="1"/>
      <w:numFmt w:val="decimal"/>
      <w:lvlText w:val="5.%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3764E67"/>
    <w:multiLevelType w:val="hybridMultilevel"/>
    <w:tmpl w:val="1FAA0576"/>
    <w:lvl w:ilvl="0" w:tplc="06E84056">
      <w:start w:val="1"/>
      <w:numFmt w:val="decimal"/>
      <w:lvlText w:val="5.3.%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B56D8"/>
    <w:multiLevelType w:val="hybridMultilevel"/>
    <w:tmpl w:val="EC3A0A82"/>
    <w:lvl w:ilvl="0" w:tplc="F36AB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C6B3D"/>
    <w:multiLevelType w:val="hybridMultilevel"/>
    <w:tmpl w:val="5DEEF594"/>
    <w:lvl w:ilvl="0" w:tplc="9D14A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11E73"/>
    <w:multiLevelType w:val="hybridMultilevel"/>
    <w:tmpl w:val="B930F322"/>
    <w:lvl w:ilvl="0" w:tplc="9D14A720">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2" w15:restartNumberingAfterBreak="0">
    <w:nsid w:val="5C403A80"/>
    <w:multiLevelType w:val="hybridMultilevel"/>
    <w:tmpl w:val="E79E1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B7F0F"/>
    <w:multiLevelType w:val="hybridMultilevel"/>
    <w:tmpl w:val="69D0C4B0"/>
    <w:lvl w:ilvl="0" w:tplc="9D14A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B413A"/>
    <w:multiLevelType w:val="hybridMultilevel"/>
    <w:tmpl w:val="5B0A1278"/>
    <w:lvl w:ilvl="0" w:tplc="6896A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7241D"/>
    <w:multiLevelType w:val="hybridMultilevel"/>
    <w:tmpl w:val="627209F2"/>
    <w:lvl w:ilvl="0" w:tplc="EAD242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A7A05"/>
    <w:multiLevelType w:val="hybridMultilevel"/>
    <w:tmpl w:val="FC4EFA34"/>
    <w:lvl w:ilvl="0" w:tplc="3D903618">
      <w:start w:val="1"/>
      <w:numFmt w:val="decimal"/>
      <w:pStyle w:val="Heading2"/>
      <w:lvlText w:val="%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B66E7"/>
    <w:multiLevelType w:val="hybridMultilevel"/>
    <w:tmpl w:val="DCD0B3DE"/>
    <w:lvl w:ilvl="0" w:tplc="0EC609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44817"/>
    <w:multiLevelType w:val="hybridMultilevel"/>
    <w:tmpl w:val="BA7A4AA6"/>
    <w:lvl w:ilvl="0" w:tplc="9B9657D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55C3E"/>
    <w:multiLevelType w:val="hybridMultilevel"/>
    <w:tmpl w:val="AC549910"/>
    <w:lvl w:ilvl="0" w:tplc="D29659D6">
      <w:start w:val="1"/>
      <w:numFmt w:val="decimal"/>
      <w:lvlText w:val="2.%1."/>
      <w:lvlJc w:val="left"/>
      <w:pPr>
        <w:ind w:left="720" w:hanging="360"/>
      </w:pPr>
      <w:rPr>
        <w:rFonts w:hint="default"/>
      </w:rPr>
    </w:lvl>
    <w:lvl w:ilvl="1" w:tplc="848ECA7A">
      <w:start w:val="1"/>
      <w:numFmt w:val="decimal"/>
      <w:lvlText w:val="2.%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7CD9"/>
    <w:multiLevelType w:val="multilevel"/>
    <w:tmpl w:val="F736991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901902"/>
    <w:multiLevelType w:val="hybridMultilevel"/>
    <w:tmpl w:val="9F087E66"/>
    <w:lvl w:ilvl="0" w:tplc="8A2A13A8">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5"/>
  </w:num>
  <w:num w:numId="4">
    <w:abstractNumId w:val="4"/>
  </w:num>
  <w:num w:numId="5">
    <w:abstractNumId w:val="3"/>
  </w:num>
  <w:num w:numId="6">
    <w:abstractNumId w:val="27"/>
  </w:num>
  <w:num w:numId="7">
    <w:abstractNumId w:val="29"/>
  </w:num>
  <w:num w:numId="8">
    <w:abstractNumId w:val="28"/>
  </w:num>
  <w:num w:numId="9">
    <w:abstractNumId w:val="12"/>
  </w:num>
  <w:num w:numId="10">
    <w:abstractNumId w:val="7"/>
  </w:num>
  <w:num w:numId="11">
    <w:abstractNumId w:val="1"/>
  </w:num>
  <w:num w:numId="12">
    <w:abstractNumId w:val="24"/>
  </w:num>
  <w:num w:numId="13">
    <w:abstractNumId w:val="14"/>
  </w:num>
  <w:num w:numId="14">
    <w:abstractNumId w:val="20"/>
  </w:num>
  <w:num w:numId="15">
    <w:abstractNumId w:val="9"/>
  </w:num>
  <w:num w:numId="16">
    <w:abstractNumId w:val="23"/>
  </w:num>
  <w:num w:numId="17">
    <w:abstractNumId w:val="21"/>
  </w:num>
  <w:num w:numId="18">
    <w:abstractNumId w:val="0"/>
  </w:num>
  <w:num w:numId="19">
    <w:abstractNumId w:val="31"/>
  </w:num>
  <w:num w:numId="20">
    <w:abstractNumId w:val="19"/>
  </w:num>
  <w:num w:numId="21">
    <w:abstractNumId w:val="13"/>
  </w:num>
  <w:num w:numId="22">
    <w:abstractNumId w:val="8"/>
  </w:num>
  <w:num w:numId="23">
    <w:abstractNumId w:val="17"/>
  </w:num>
  <w:num w:numId="24">
    <w:abstractNumId w:val="18"/>
  </w:num>
  <w:num w:numId="25">
    <w:abstractNumId w:val="10"/>
  </w:num>
  <w:num w:numId="26">
    <w:abstractNumId w:val="15"/>
  </w:num>
  <w:num w:numId="27">
    <w:abstractNumId w:val="2"/>
  </w:num>
  <w:num w:numId="28">
    <w:abstractNumId w:val="26"/>
  </w:num>
  <w:num w:numId="29">
    <w:abstractNumId w:val="25"/>
  </w:num>
  <w:num w:numId="30">
    <w:abstractNumId w:val="16"/>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E"/>
    <w:rsid w:val="00052863"/>
    <w:rsid w:val="00060569"/>
    <w:rsid w:val="0006458D"/>
    <w:rsid w:val="000925C0"/>
    <w:rsid w:val="000A151F"/>
    <w:rsid w:val="000A5523"/>
    <w:rsid w:val="000A69BF"/>
    <w:rsid w:val="000C16C3"/>
    <w:rsid w:val="000E1C4F"/>
    <w:rsid w:val="001151B2"/>
    <w:rsid w:val="00134FF6"/>
    <w:rsid w:val="00147420"/>
    <w:rsid w:val="00147D0E"/>
    <w:rsid w:val="00147DDF"/>
    <w:rsid w:val="00151C68"/>
    <w:rsid w:val="001865BD"/>
    <w:rsid w:val="001932F9"/>
    <w:rsid w:val="00197CCC"/>
    <w:rsid w:val="001D294F"/>
    <w:rsid w:val="001E1788"/>
    <w:rsid w:val="001E3832"/>
    <w:rsid w:val="00262A85"/>
    <w:rsid w:val="00293394"/>
    <w:rsid w:val="002F7365"/>
    <w:rsid w:val="003040E8"/>
    <w:rsid w:val="0032000B"/>
    <w:rsid w:val="00361CE7"/>
    <w:rsid w:val="00366138"/>
    <w:rsid w:val="00372D61"/>
    <w:rsid w:val="00374D7E"/>
    <w:rsid w:val="003D270E"/>
    <w:rsid w:val="003E5A57"/>
    <w:rsid w:val="004015E5"/>
    <w:rsid w:val="00442A1A"/>
    <w:rsid w:val="00497E79"/>
    <w:rsid w:val="004A0869"/>
    <w:rsid w:val="004A19F1"/>
    <w:rsid w:val="004D1CFF"/>
    <w:rsid w:val="004D64F0"/>
    <w:rsid w:val="004F5420"/>
    <w:rsid w:val="005112E8"/>
    <w:rsid w:val="005131BF"/>
    <w:rsid w:val="00517B20"/>
    <w:rsid w:val="005363B3"/>
    <w:rsid w:val="00572D36"/>
    <w:rsid w:val="00582625"/>
    <w:rsid w:val="005830E7"/>
    <w:rsid w:val="005B5FE4"/>
    <w:rsid w:val="005C0D85"/>
    <w:rsid w:val="005C0ED3"/>
    <w:rsid w:val="00617274"/>
    <w:rsid w:val="00625330"/>
    <w:rsid w:val="00651A0A"/>
    <w:rsid w:val="0065709B"/>
    <w:rsid w:val="006D4049"/>
    <w:rsid w:val="006D4D5E"/>
    <w:rsid w:val="00722F44"/>
    <w:rsid w:val="007A4753"/>
    <w:rsid w:val="007B18ED"/>
    <w:rsid w:val="007E7D93"/>
    <w:rsid w:val="0081007D"/>
    <w:rsid w:val="00810D2A"/>
    <w:rsid w:val="008172B0"/>
    <w:rsid w:val="00824D6C"/>
    <w:rsid w:val="0082705E"/>
    <w:rsid w:val="00832E78"/>
    <w:rsid w:val="0083753F"/>
    <w:rsid w:val="00875EF9"/>
    <w:rsid w:val="00882CEB"/>
    <w:rsid w:val="00882D86"/>
    <w:rsid w:val="008917A9"/>
    <w:rsid w:val="008B1D2A"/>
    <w:rsid w:val="008B3870"/>
    <w:rsid w:val="008B39FA"/>
    <w:rsid w:val="008B4E10"/>
    <w:rsid w:val="008C4025"/>
    <w:rsid w:val="008D6783"/>
    <w:rsid w:val="00916D39"/>
    <w:rsid w:val="00924E2D"/>
    <w:rsid w:val="00935F4E"/>
    <w:rsid w:val="009434B6"/>
    <w:rsid w:val="009702C0"/>
    <w:rsid w:val="009766BB"/>
    <w:rsid w:val="009F1C88"/>
    <w:rsid w:val="009F457C"/>
    <w:rsid w:val="00AD5AAE"/>
    <w:rsid w:val="00B4179D"/>
    <w:rsid w:val="00B939D5"/>
    <w:rsid w:val="00BD5FB0"/>
    <w:rsid w:val="00C35406"/>
    <w:rsid w:val="00C638DC"/>
    <w:rsid w:val="00C72A73"/>
    <w:rsid w:val="00CA7DFC"/>
    <w:rsid w:val="00CB5051"/>
    <w:rsid w:val="00CC160D"/>
    <w:rsid w:val="00CE5D04"/>
    <w:rsid w:val="00CF1EFE"/>
    <w:rsid w:val="00CF348D"/>
    <w:rsid w:val="00D05104"/>
    <w:rsid w:val="00D208A3"/>
    <w:rsid w:val="00D24045"/>
    <w:rsid w:val="00D72522"/>
    <w:rsid w:val="00D806AC"/>
    <w:rsid w:val="00D83D2F"/>
    <w:rsid w:val="00DA4646"/>
    <w:rsid w:val="00DA5845"/>
    <w:rsid w:val="00E1535E"/>
    <w:rsid w:val="00E33076"/>
    <w:rsid w:val="00E413B8"/>
    <w:rsid w:val="00E5225D"/>
    <w:rsid w:val="00E5334B"/>
    <w:rsid w:val="00E82173"/>
    <w:rsid w:val="00EC1161"/>
    <w:rsid w:val="00EC1A6A"/>
    <w:rsid w:val="00F2087E"/>
    <w:rsid w:val="00F40060"/>
    <w:rsid w:val="00F41B4C"/>
    <w:rsid w:val="00FB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5FEA"/>
  <w15:docId w15:val="{75A7C7C4-F769-4C4A-B248-B61D515A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link w:val="Heading2Char"/>
    <w:autoRedefine/>
    <w:qFormat/>
    <w:rsid w:val="00CE5D04"/>
    <w:pPr>
      <w:keepNext/>
      <w:widowControl w:val="0"/>
      <w:numPr>
        <w:numId w:val="28"/>
      </w:numPr>
      <w:spacing w:before="260" w:after="140"/>
      <w:ind w:left="0" w:hanging="634"/>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5E"/>
    <w:pPr>
      <w:ind w:left="720"/>
      <w:contextualSpacing/>
    </w:pPr>
  </w:style>
  <w:style w:type="table" w:styleId="TableGrid">
    <w:name w:val="Table Grid"/>
    <w:basedOn w:val="TableNormal"/>
    <w:uiPriority w:val="59"/>
    <w:rsid w:val="001151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60"/>
    <w:rPr>
      <w:rFonts w:ascii="Segoe UI" w:hAnsi="Segoe UI" w:cs="Segoe UI"/>
      <w:sz w:val="18"/>
      <w:szCs w:val="18"/>
    </w:rPr>
  </w:style>
  <w:style w:type="character" w:customStyle="1" w:styleId="Heading2Char">
    <w:name w:val="Heading 2 Char"/>
    <w:basedOn w:val="DefaultParagraphFont"/>
    <w:link w:val="Heading2"/>
    <w:rsid w:val="00CE5D04"/>
    <w:rPr>
      <w:rFonts w:ascii="Times New Roman" w:eastAsia="Times New Roman" w:hAnsi="Times New Roman" w:cs="Times New Roman"/>
      <w:b/>
      <w:bCs/>
      <w:sz w:val="28"/>
      <w:szCs w:val="20"/>
      <w:lang w:val="en-GB"/>
    </w:rPr>
  </w:style>
  <w:style w:type="paragraph" w:styleId="BodyText">
    <w:name w:val="Body Text"/>
    <w:basedOn w:val="Normal"/>
    <w:link w:val="BodyTextChar"/>
    <w:rsid w:val="00CE5D04"/>
    <w:pPr>
      <w:keepLine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CE5D0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6036">
      <w:bodyDiv w:val="1"/>
      <w:marLeft w:val="0"/>
      <w:marRight w:val="0"/>
      <w:marTop w:val="0"/>
      <w:marBottom w:val="0"/>
      <w:divBdr>
        <w:top w:val="none" w:sz="0" w:space="0" w:color="auto"/>
        <w:left w:val="none" w:sz="0" w:space="0" w:color="auto"/>
        <w:bottom w:val="none" w:sz="0" w:space="0" w:color="auto"/>
        <w:right w:val="none" w:sz="0" w:space="0" w:color="auto"/>
      </w:divBdr>
    </w:div>
    <w:div w:id="477452996">
      <w:bodyDiv w:val="1"/>
      <w:marLeft w:val="0"/>
      <w:marRight w:val="0"/>
      <w:marTop w:val="0"/>
      <w:marBottom w:val="0"/>
      <w:divBdr>
        <w:top w:val="none" w:sz="0" w:space="0" w:color="auto"/>
        <w:left w:val="none" w:sz="0" w:space="0" w:color="auto"/>
        <w:bottom w:val="none" w:sz="0" w:space="0" w:color="auto"/>
        <w:right w:val="none" w:sz="0" w:space="0" w:color="auto"/>
      </w:divBdr>
    </w:div>
    <w:div w:id="604970050">
      <w:bodyDiv w:val="1"/>
      <w:marLeft w:val="0"/>
      <w:marRight w:val="0"/>
      <w:marTop w:val="0"/>
      <w:marBottom w:val="0"/>
      <w:divBdr>
        <w:top w:val="none" w:sz="0" w:space="0" w:color="auto"/>
        <w:left w:val="none" w:sz="0" w:space="0" w:color="auto"/>
        <w:bottom w:val="none" w:sz="0" w:space="0" w:color="auto"/>
        <w:right w:val="none" w:sz="0" w:space="0" w:color="auto"/>
      </w:divBdr>
    </w:div>
    <w:div w:id="739719312">
      <w:bodyDiv w:val="1"/>
      <w:marLeft w:val="0"/>
      <w:marRight w:val="0"/>
      <w:marTop w:val="0"/>
      <w:marBottom w:val="0"/>
      <w:divBdr>
        <w:top w:val="none" w:sz="0" w:space="0" w:color="auto"/>
        <w:left w:val="none" w:sz="0" w:space="0" w:color="auto"/>
        <w:bottom w:val="none" w:sz="0" w:space="0" w:color="auto"/>
        <w:right w:val="none" w:sz="0" w:space="0" w:color="auto"/>
      </w:divBdr>
    </w:div>
    <w:div w:id="836992344">
      <w:bodyDiv w:val="1"/>
      <w:marLeft w:val="0"/>
      <w:marRight w:val="0"/>
      <w:marTop w:val="0"/>
      <w:marBottom w:val="0"/>
      <w:divBdr>
        <w:top w:val="none" w:sz="0" w:space="0" w:color="auto"/>
        <w:left w:val="none" w:sz="0" w:space="0" w:color="auto"/>
        <w:bottom w:val="none" w:sz="0" w:space="0" w:color="auto"/>
        <w:right w:val="none" w:sz="0" w:space="0" w:color="auto"/>
      </w:divBdr>
    </w:div>
    <w:div w:id="874856444">
      <w:bodyDiv w:val="1"/>
      <w:marLeft w:val="0"/>
      <w:marRight w:val="0"/>
      <w:marTop w:val="0"/>
      <w:marBottom w:val="0"/>
      <w:divBdr>
        <w:top w:val="none" w:sz="0" w:space="0" w:color="auto"/>
        <w:left w:val="none" w:sz="0" w:space="0" w:color="auto"/>
        <w:bottom w:val="none" w:sz="0" w:space="0" w:color="auto"/>
        <w:right w:val="none" w:sz="0" w:space="0" w:color="auto"/>
      </w:divBdr>
    </w:div>
    <w:div w:id="893855377">
      <w:bodyDiv w:val="1"/>
      <w:marLeft w:val="0"/>
      <w:marRight w:val="0"/>
      <w:marTop w:val="0"/>
      <w:marBottom w:val="0"/>
      <w:divBdr>
        <w:top w:val="none" w:sz="0" w:space="0" w:color="auto"/>
        <w:left w:val="none" w:sz="0" w:space="0" w:color="auto"/>
        <w:bottom w:val="none" w:sz="0" w:space="0" w:color="auto"/>
        <w:right w:val="none" w:sz="0" w:space="0" w:color="auto"/>
      </w:divBdr>
    </w:div>
    <w:div w:id="1144732972">
      <w:bodyDiv w:val="1"/>
      <w:marLeft w:val="0"/>
      <w:marRight w:val="0"/>
      <w:marTop w:val="0"/>
      <w:marBottom w:val="0"/>
      <w:divBdr>
        <w:top w:val="none" w:sz="0" w:space="0" w:color="auto"/>
        <w:left w:val="none" w:sz="0" w:space="0" w:color="auto"/>
        <w:bottom w:val="none" w:sz="0" w:space="0" w:color="auto"/>
        <w:right w:val="none" w:sz="0" w:space="0" w:color="auto"/>
      </w:divBdr>
    </w:div>
    <w:div w:id="1357727856">
      <w:bodyDiv w:val="1"/>
      <w:marLeft w:val="0"/>
      <w:marRight w:val="0"/>
      <w:marTop w:val="0"/>
      <w:marBottom w:val="0"/>
      <w:divBdr>
        <w:top w:val="none" w:sz="0" w:space="0" w:color="auto"/>
        <w:left w:val="none" w:sz="0" w:space="0" w:color="auto"/>
        <w:bottom w:val="none" w:sz="0" w:space="0" w:color="auto"/>
        <w:right w:val="none" w:sz="0" w:space="0" w:color="auto"/>
      </w:divBdr>
    </w:div>
    <w:div w:id="1462845118">
      <w:bodyDiv w:val="1"/>
      <w:marLeft w:val="0"/>
      <w:marRight w:val="0"/>
      <w:marTop w:val="0"/>
      <w:marBottom w:val="0"/>
      <w:divBdr>
        <w:top w:val="none" w:sz="0" w:space="0" w:color="auto"/>
        <w:left w:val="none" w:sz="0" w:space="0" w:color="auto"/>
        <w:bottom w:val="none" w:sz="0" w:space="0" w:color="auto"/>
        <w:right w:val="none" w:sz="0" w:space="0" w:color="auto"/>
      </w:divBdr>
    </w:div>
    <w:div w:id="1651788016">
      <w:bodyDiv w:val="1"/>
      <w:marLeft w:val="0"/>
      <w:marRight w:val="0"/>
      <w:marTop w:val="0"/>
      <w:marBottom w:val="0"/>
      <w:divBdr>
        <w:top w:val="none" w:sz="0" w:space="0" w:color="auto"/>
        <w:left w:val="none" w:sz="0" w:space="0" w:color="auto"/>
        <w:bottom w:val="none" w:sz="0" w:space="0" w:color="auto"/>
        <w:right w:val="none" w:sz="0" w:space="0" w:color="auto"/>
      </w:divBdr>
    </w:div>
    <w:div w:id="1655722935">
      <w:bodyDiv w:val="1"/>
      <w:marLeft w:val="0"/>
      <w:marRight w:val="0"/>
      <w:marTop w:val="0"/>
      <w:marBottom w:val="0"/>
      <w:divBdr>
        <w:top w:val="none" w:sz="0" w:space="0" w:color="auto"/>
        <w:left w:val="none" w:sz="0" w:space="0" w:color="auto"/>
        <w:bottom w:val="none" w:sz="0" w:space="0" w:color="auto"/>
        <w:right w:val="none" w:sz="0" w:space="0" w:color="auto"/>
      </w:divBdr>
    </w:div>
    <w:div w:id="1728456806">
      <w:bodyDiv w:val="1"/>
      <w:marLeft w:val="0"/>
      <w:marRight w:val="0"/>
      <w:marTop w:val="0"/>
      <w:marBottom w:val="0"/>
      <w:divBdr>
        <w:top w:val="none" w:sz="0" w:space="0" w:color="auto"/>
        <w:left w:val="none" w:sz="0" w:space="0" w:color="auto"/>
        <w:bottom w:val="none" w:sz="0" w:space="0" w:color="auto"/>
        <w:right w:val="none" w:sz="0" w:space="0" w:color="auto"/>
      </w:divBdr>
    </w:div>
    <w:div w:id="1818954268">
      <w:bodyDiv w:val="1"/>
      <w:marLeft w:val="0"/>
      <w:marRight w:val="0"/>
      <w:marTop w:val="0"/>
      <w:marBottom w:val="0"/>
      <w:divBdr>
        <w:top w:val="none" w:sz="0" w:space="0" w:color="auto"/>
        <w:left w:val="none" w:sz="0" w:space="0" w:color="auto"/>
        <w:bottom w:val="none" w:sz="0" w:space="0" w:color="auto"/>
        <w:right w:val="none" w:sz="0" w:space="0" w:color="auto"/>
      </w:divBdr>
    </w:div>
    <w:div w:id="20076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+BtXL233g0lfqqijogDFw8xS+88=</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wFF/IUvAvqqKHUQd5R1jfzwsFU8=</DigestValue>
    </Reference>
  </SignedInfo>
  <SignatureValue>ncFy1a8Ah1w93Gtr/mY4UAHeSaEzkeOQxItF5FyC31ZtZCYYRgOwE+TFsxqJduhy5eo7JN2iYlYi
fYVJHxVrWfk09EC0HdonE6C5AUr8cs+MhvomChtzvSqQuFI8XKE+O4RZyCSy1b4t4ewbFWRHQfAK
nZMVJPG9r7Ta945V4jA=</SignatureValue>
  <KeyInfo>
    <X509Data>
      <X509Certificate>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VUgKINDztIaPUwXpTkZFogIfSl8=</DigestValue>
      </Reference>
      <Reference URI="/word/fontTable.xml?ContentType=application/vnd.openxmlformats-officedocument.wordprocessingml.fontTable+xml">
        <DigestMethod Algorithm="http://www.w3.org/2000/09/xmldsig#sha1"/>
        <DigestValue>SDjxP4DMM1sXzK5MaW+zxOUjWyY=</DigestValue>
      </Reference>
      <Reference URI="/word/numbering.xml?ContentType=application/vnd.openxmlformats-officedocument.wordprocessingml.numbering+xml">
        <DigestMethod Algorithm="http://www.w3.org/2000/09/xmldsig#sha1"/>
        <DigestValue>DIgw2BuUGaasM8b6j0j/0NnXzKA=</DigestValue>
      </Reference>
      <Reference URI="/word/settings.xml?ContentType=application/vnd.openxmlformats-officedocument.wordprocessingml.settings+xml">
        <DigestMethod Algorithm="http://www.w3.org/2000/09/xmldsig#sha1"/>
        <DigestValue>PE8jAL8Jior5RfD3TnjS85A6OEI=</DigestValue>
      </Reference>
      <Reference URI="/word/styles.xml?ContentType=application/vnd.openxmlformats-officedocument.wordprocessingml.styles+xml">
        <DigestMethod Algorithm="http://www.w3.org/2000/09/xmldsig#sha1"/>
        <DigestValue>WG9Tc4dyf7maou0I5xMcP/4DSfw=</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He0W1nRtEodzW/9TE5P0rY64p+Q=</DigestValue>
      </Reference>
    </Manifest>
    <SignatureProperties>
      <SignatureProperty Id="idSignatureTime" Target="#idPackageSignature">
        <mdssi:SignatureTime xmlns:mdssi="http://schemas.openxmlformats.org/package/2006/digital-signature">
          <mdssi:Format>YYYY-MM-DDThh:mm:ssTZD</mdssi:Format>
          <mdssi:Value>2023-01-17T04:28:24Z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2023-01-17T04:28:24Z</xd:SigningTime>
          <xd:SigningCertificate>
            <xd:Cert>
              <xd:CertDigest>
                <DigestMethod Algorithm="http://www.w3.org/2000/09/xmldsig#sha1"/>
                <DigestValue>yIXzxgAMAVRpvBorEqzOf05h+Ig=</DigestValue>
              </xd:CertDigest>
              <xd:IssuerSerial>
                <X509IssuerName>CN=VNPT Certification Authority, OU=VNPT-CA Trust Network, O=VNPT Group, C=VN</X509IssuerName>
                <X509SerialNumber>111660364309614702100672038993267875920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32</TotalTime>
  <Pages>10</Pages>
  <Words>4657</Words>
  <Characters>26546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 TRA GIANG (DVKH TC2 - VCB HO CHI MINH)</dc:creator>
  <cp:lastModifiedBy>PHUNG DUONG SON (DVKH TC2 - VCB HO CHI MINH)</cp:lastModifiedBy>
  <cp:revision>27</cp:revision>
  <cp:lastPrinted>2022-01-17T08:40:00Z</cp:lastPrinted>
  <dcterms:created xsi:type="dcterms:W3CDTF">2023-01-03T02:55:00Z</dcterms:created>
  <dcterms:modified xsi:type="dcterms:W3CDTF">2023-01-06T04:21:00Z</dcterms:modified>
</cp:coreProperties>
</file>