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5C6A" w14:textId="4AABECE6" w:rsidR="008477D9" w:rsidRPr="008C36B7" w:rsidRDefault="008477D9" w:rsidP="008C36B7">
      <w:pPr>
        <w:jc w:val="center"/>
        <w:rPr>
          <w:rFonts w:ascii="Times New Roman" w:hAnsi="Times New Roman"/>
          <w:b/>
          <w:sz w:val="28"/>
          <w:szCs w:val="28"/>
          <w:lang w:val="nl-NL"/>
        </w:rPr>
      </w:pPr>
      <w:r w:rsidRPr="008C36B7">
        <w:rPr>
          <w:rFonts w:ascii="Times New Roman" w:hAnsi="Times New Roman"/>
          <w:b/>
          <w:sz w:val="28"/>
          <w:szCs w:val="28"/>
          <w:lang w:val="nl-NL"/>
        </w:rPr>
        <w:t>BÁO CÁO CỦA CÔNG TY QUẢN LÝ QUỸ</w:t>
      </w:r>
      <w:r w:rsidR="000035A5" w:rsidRPr="008C36B7">
        <w:rPr>
          <w:rFonts w:ascii="Times New Roman" w:hAnsi="Times New Roman"/>
          <w:b/>
          <w:sz w:val="28"/>
          <w:szCs w:val="28"/>
          <w:lang w:val="nl-NL"/>
        </w:rPr>
        <w:t xml:space="preserve"> QUÝ </w:t>
      </w:r>
      <w:r w:rsidR="001C16A5" w:rsidRPr="008C36B7">
        <w:rPr>
          <w:rFonts w:ascii="Times New Roman" w:hAnsi="Times New Roman"/>
          <w:b/>
          <w:sz w:val="28"/>
          <w:szCs w:val="28"/>
          <w:lang w:val="nl-NL"/>
        </w:rPr>
        <w:t>II</w:t>
      </w:r>
      <w:r w:rsidR="000035A5" w:rsidRPr="008C36B7">
        <w:rPr>
          <w:rFonts w:ascii="Times New Roman" w:hAnsi="Times New Roman"/>
          <w:b/>
          <w:sz w:val="28"/>
          <w:szCs w:val="28"/>
          <w:lang w:val="nl-NL"/>
        </w:rPr>
        <w:t>.202</w:t>
      </w:r>
      <w:r w:rsidR="00A11E25" w:rsidRPr="008C36B7">
        <w:rPr>
          <w:rFonts w:ascii="Times New Roman" w:hAnsi="Times New Roman"/>
          <w:b/>
          <w:sz w:val="28"/>
          <w:szCs w:val="28"/>
          <w:lang w:val="nl-NL"/>
        </w:rPr>
        <w:t>2</w:t>
      </w:r>
    </w:p>
    <w:p w14:paraId="64AB24D3" w14:textId="77777777" w:rsidR="008477D9" w:rsidRPr="008C36B7" w:rsidRDefault="008477D9" w:rsidP="008C36B7">
      <w:pPr>
        <w:rPr>
          <w:rFonts w:ascii="Times New Roman" w:hAnsi="Times New Roman"/>
          <w:b/>
          <w:sz w:val="24"/>
          <w:szCs w:val="24"/>
          <w:lang w:val="nl-NL"/>
        </w:rPr>
      </w:pPr>
    </w:p>
    <w:p w14:paraId="14B09616" w14:textId="004319F6" w:rsidR="008477D9" w:rsidRPr="008C36B7" w:rsidRDefault="008C36B7" w:rsidP="008C36B7">
      <w:pPr>
        <w:rPr>
          <w:rFonts w:ascii="Times New Roman" w:hAnsi="Times New Roman"/>
          <w:b/>
          <w:bCs/>
          <w:sz w:val="24"/>
          <w:szCs w:val="24"/>
        </w:rPr>
      </w:pPr>
      <w:r w:rsidRPr="008C36B7">
        <w:rPr>
          <w:rFonts w:ascii="Times New Roman" w:hAnsi="Times New Roman"/>
          <w:b/>
          <w:bCs/>
          <w:sz w:val="24"/>
          <w:szCs w:val="24"/>
        </w:rPr>
        <w:t xml:space="preserve">1. </w:t>
      </w:r>
      <w:r w:rsidR="008477D9" w:rsidRPr="008C36B7">
        <w:rPr>
          <w:rFonts w:ascii="Times New Roman" w:hAnsi="Times New Roman"/>
          <w:b/>
          <w:bCs/>
          <w:sz w:val="24"/>
          <w:szCs w:val="24"/>
        </w:rPr>
        <w:t xml:space="preserve">THÔNG TIN CHUNG VỀ </w:t>
      </w:r>
      <w:r w:rsidR="00057C06" w:rsidRPr="008C36B7">
        <w:rPr>
          <w:rFonts w:ascii="Times New Roman" w:hAnsi="Times New Roman"/>
          <w:b/>
          <w:bCs/>
          <w:sz w:val="24"/>
          <w:szCs w:val="24"/>
        </w:rPr>
        <w:t xml:space="preserve">QUỸ ĐẦU TƯ CHỨNG KHOÁN NĂNG ĐỘNG DC </w:t>
      </w:r>
      <w:r w:rsidR="008477D9" w:rsidRPr="008C36B7">
        <w:rPr>
          <w:rFonts w:ascii="Times New Roman" w:hAnsi="Times New Roman"/>
          <w:b/>
          <w:bCs/>
          <w:sz w:val="24"/>
          <w:szCs w:val="24"/>
        </w:rPr>
        <w:t>(“QUỸ”)</w:t>
      </w:r>
    </w:p>
    <w:p w14:paraId="5762D3CF" w14:textId="2BA5E438" w:rsidR="008477D9" w:rsidRPr="008C36B7" w:rsidRDefault="008477D9" w:rsidP="008C36B7">
      <w:pPr>
        <w:ind w:firstLine="284"/>
        <w:rPr>
          <w:rFonts w:ascii="Times New Roman" w:hAnsi="Times New Roman"/>
          <w:b/>
          <w:bCs/>
          <w:sz w:val="24"/>
          <w:szCs w:val="24"/>
        </w:rPr>
      </w:pPr>
      <w:r w:rsidRPr="008C36B7">
        <w:rPr>
          <w:rFonts w:ascii="Times New Roman" w:hAnsi="Times New Roman"/>
          <w:b/>
          <w:bCs/>
          <w:sz w:val="24"/>
          <w:szCs w:val="24"/>
        </w:rPr>
        <w:t>1.1</w:t>
      </w:r>
      <w:r w:rsidR="008C36B7" w:rsidRPr="008C36B7">
        <w:rPr>
          <w:rFonts w:ascii="Times New Roman" w:hAnsi="Times New Roman"/>
          <w:b/>
          <w:bCs/>
          <w:sz w:val="24"/>
          <w:szCs w:val="24"/>
        </w:rPr>
        <w:t xml:space="preserve">. </w:t>
      </w:r>
      <w:proofErr w:type="spellStart"/>
      <w:r w:rsidRPr="008C36B7">
        <w:rPr>
          <w:rFonts w:ascii="Times New Roman" w:hAnsi="Times New Roman"/>
          <w:b/>
          <w:bCs/>
          <w:sz w:val="24"/>
          <w:szCs w:val="24"/>
        </w:rPr>
        <w:t>Mục</w:t>
      </w:r>
      <w:proofErr w:type="spellEnd"/>
      <w:r w:rsidRPr="008C36B7">
        <w:rPr>
          <w:rFonts w:ascii="Times New Roman" w:hAnsi="Times New Roman"/>
          <w:b/>
          <w:bCs/>
          <w:sz w:val="24"/>
          <w:szCs w:val="24"/>
        </w:rPr>
        <w:t xml:space="preserve"> </w:t>
      </w:r>
      <w:proofErr w:type="spellStart"/>
      <w:r w:rsidRPr="008C36B7">
        <w:rPr>
          <w:rFonts w:ascii="Times New Roman" w:hAnsi="Times New Roman"/>
          <w:b/>
          <w:bCs/>
          <w:sz w:val="24"/>
          <w:szCs w:val="24"/>
        </w:rPr>
        <w:t>tiêu</w:t>
      </w:r>
      <w:proofErr w:type="spellEnd"/>
      <w:r w:rsidRPr="008C36B7">
        <w:rPr>
          <w:rFonts w:ascii="Times New Roman" w:hAnsi="Times New Roman"/>
          <w:b/>
          <w:bCs/>
          <w:sz w:val="24"/>
          <w:szCs w:val="24"/>
        </w:rPr>
        <w:t xml:space="preserve"> </w:t>
      </w:r>
      <w:proofErr w:type="spellStart"/>
      <w:r w:rsidRPr="008C36B7">
        <w:rPr>
          <w:rFonts w:ascii="Times New Roman" w:hAnsi="Times New Roman"/>
          <w:b/>
          <w:bCs/>
          <w:sz w:val="24"/>
          <w:szCs w:val="24"/>
        </w:rPr>
        <w:t>của</w:t>
      </w:r>
      <w:proofErr w:type="spellEnd"/>
      <w:r w:rsidRPr="008C36B7">
        <w:rPr>
          <w:rFonts w:ascii="Times New Roman" w:hAnsi="Times New Roman"/>
          <w:b/>
          <w:bCs/>
          <w:sz w:val="24"/>
          <w:szCs w:val="24"/>
        </w:rPr>
        <w:t xml:space="preserve"> </w:t>
      </w:r>
      <w:proofErr w:type="spellStart"/>
      <w:r w:rsidRPr="008C36B7">
        <w:rPr>
          <w:rFonts w:ascii="Times New Roman" w:hAnsi="Times New Roman"/>
          <w:b/>
          <w:bCs/>
          <w:sz w:val="24"/>
          <w:szCs w:val="24"/>
        </w:rPr>
        <w:t>Quỹ</w:t>
      </w:r>
      <w:proofErr w:type="spellEnd"/>
    </w:p>
    <w:p w14:paraId="7C2962CB" w14:textId="41577F27" w:rsidR="008477D9" w:rsidRDefault="008477D9" w:rsidP="008C36B7">
      <w:pPr>
        <w:spacing w:before="120"/>
        <w:ind w:firstLine="284"/>
        <w:rPr>
          <w:rFonts w:ascii="Times New Roman" w:hAnsi="Times New Roman"/>
          <w:bCs/>
          <w:sz w:val="24"/>
          <w:szCs w:val="24"/>
        </w:rPr>
      </w:pPr>
      <w:proofErr w:type="spellStart"/>
      <w:r w:rsidRPr="008C36B7">
        <w:rPr>
          <w:rFonts w:ascii="Times New Roman" w:hAnsi="Times New Roman"/>
          <w:bCs/>
          <w:sz w:val="24"/>
          <w:szCs w:val="24"/>
        </w:rPr>
        <w:t>Mục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tiêu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của</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Quỹ</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được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đặt</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ra</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phù</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hợp</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với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Giấy</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chứng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nhận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đăng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ký</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thành</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lập</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Quỹ</w:t>
      </w:r>
      <w:proofErr w:type="spellEnd"/>
      <w:r w:rsidRPr="008C36B7">
        <w:rPr>
          <w:rFonts w:ascii="Times New Roman" w:hAnsi="Times New Roman"/>
          <w:bCs/>
          <w:sz w:val="24"/>
          <w:szCs w:val="24"/>
        </w:rPr>
        <w:t xml:space="preserve"> do </w:t>
      </w:r>
      <w:proofErr w:type="spellStart"/>
      <w:r w:rsidRPr="008C36B7">
        <w:rPr>
          <w:rFonts w:ascii="Times New Roman" w:hAnsi="Times New Roman"/>
          <w:bCs/>
          <w:sz w:val="24"/>
          <w:szCs w:val="24"/>
        </w:rPr>
        <w:t>Ủy</w:t>
      </w:r>
      <w:proofErr w:type="spellEnd"/>
      <w:r w:rsidRPr="008C36B7">
        <w:rPr>
          <w:rFonts w:ascii="Times New Roman" w:hAnsi="Times New Roman"/>
          <w:bCs/>
          <w:sz w:val="24"/>
          <w:szCs w:val="24"/>
        </w:rPr>
        <w:t xml:space="preserve"> Ban </w:t>
      </w:r>
      <w:proofErr w:type="spellStart"/>
      <w:r w:rsidRPr="008C36B7">
        <w:rPr>
          <w:rFonts w:ascii="Times New Roman" w:hAnsi="Times New Roman"/>
          <w:bCs/>
          <w:sz w:val="24"/>
          <w:szCs w:val="24"/>
        </w:rPr>
        <w:t>Chứng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Khoán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Nhà</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Nước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cấp</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Điều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lệ</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và</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Bản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cáo</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bạch</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của</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Quỹ</w:t>
      </w:r>
      <w:proofErr w:type="spellEnd"/>
      <w:r w:rsidRPr="008C36B7">
        <w:rPr>
          <w:rFonts w:ascii="Times New Roman" w:hAnsi="Times New Roman"/>
          <w:bCs/>
          <w:sz w:val="24"/>
          <w:szCs w:val="24"/>
        </w:rPr>
        <w:t>.</w:t>
      </w:r>
    </w:p>
    <w:p w14:paraId="54B5C0ED" w14:textId="77777777" w:rsidR="008C36B7" w:rsidRPr="008C36B7" w:rsidRDefault="008C36B7" w:rsidP="008C36B7">
      <w:pPr>
        <w:spacing w:before="120"/>
        <w:ind w:firstLine="284"/>
        <w:rPr>
          <w:rFonts w:ascii="Times New Roman" w:hAnsi="Times New Roman"/>
          <w:bCs/>
          <w:sz w:val="24"/>
          <w:szCs w:val="24"/>
        </w:rPr>
      </w:pPr>
    </w:p>
    <w:p w14:paraId="130D3479" w14:textId="521506DB" w:rsidR="008477D9" w:rsidRPr="008C36B7" w:rsidRDefault="008477D9" w:rsidP="008C36B7">
      <w:pPr>
        <w:ind w:firstLine="284"/>
        <w:rPr>
          <w:rFonts w:ascii="Times New Roman" w:hAnsi="Times New Roman"/>
          <w:b/>
          <w:bCs/>
          <w:sz w:val="24"/>
          <w:szCs w:val="24"/>
        </w:rPr>
      </w:pPr>
      <w:r w:rsidRPr="008C36B7">
        <w:rPr>
          <w:rFonts w:ascii="Times New Roman" w:hAnsi="Times New Roman"/>
          <w:b/>
          <w:bCs/>
          <w:sz w:val="24"/>
          <w:szCs w:val="24"/>
        </w:rPr>
        <w:t>1.2</w:t>
      </w:r>
      <w:r w:rsidR="008C36B7" w:rsidRPr="008C36B7">
        <w:rPr>
          <w:rFonts w:ascii="Times New Roman" w:hAnsi="Times New Roman"/>
          <w:b/>
          <w:bCs/>
          <w:sz w:val="24"/>
          <w:szCs w:val="24"/>
        </w:rPr>
        <w:t xml:space="preserve">. </w:t>
      </w:r>
      <w:proofErr w:type="spellStart"/>
      <w:r w:rsidRPr="008C36B7">
        <w:rPr>
          <w:rFonts w:ascii="Times New Roman" w:hAnsi="Times New Roman"/>
          <w:b/>
          <w:bCs/>
          <w:sz w:val="24"/>
          <w:szCs w:val="24"/>
        </w:rPr>
        <w:t>Hiệu</w:t>
      </w:r>
      <w:proofErr w:type="spellEnd"/>
      <w:r w:rsidRPr="008C36B7">
        <w:rPr>
          <w:rFonts w:ascii="Times New Roman" w:hAnsi="Times New Roman"/>
          <w:b/>
          <w:bCs/>
          <w:sz w:val="24"/>
          <w:szCs w:val="24"/>
        </w:rPr>
        <w:t xml:space="preserve"> </w:t>
      </w:r>
      <w:proofErr w:type="spellStart"/>
      <w:r w:rsidRPr="008C36B7">
        <w:rPr>
          <w:rFonts w:ascii="Times New Roman" w:hAnsi="Times New Roman"/>
          <w:b/>
          <w:bCs/>
          <w:sz w:val="24"/>
          <w:szCs w:val="24"/>
        </w:rPr>
        <w:t>quả</w:t>
      </w:r>
      <w:proofErr w:type="spellEnd"/>
      <w:r w:rsidRPr="008C36B7">
        <w:rPr>
          <w:rFonts w:ascii="Times New Roman" w:hAnsi="Times New Roman"/>
          <w:b/>
          <w:bCs/>
          <w:sz w:val="24"/>
          <w:szCs w:val="24"/>
        </w:rPr>
        <w:t xml:space="preserve"> </w:t>
      </w:r>
      <w:proofErr w:type="spellStart"/>
      <w:r w:rsidRPr="008C36B7">
        <w:rPr>
          <w:rFonts w:ascii="Times New Roman" w:hAnsi="Times New Roman"/>
          <w:b/>
          <w:bCs/>
          <w:sz w:val="24"/>
          <w:szCs w:val="24"/>
        </w:rPr>
        <w:t>hoạt</w:t>
      </w:r>
      <w:proofErr w:type="spellEnd"/>
      <w:r w:rsidRPr="008C36B7">
        <w:rPr>
          <w:rFonts w:ascii="Times New Roman" w:hAnsi="Times New Roman"/>
          <w:b/>
          <w:bCs/>
          <w:sz w:val="24"/>
          <w:szCs w:val="24"/>
        </w:rPr>
        <w:t xml:space="preserve"> </w:t>
      </w:r>
      <w:proofErr w:type="spellStart"/>
      <w:r w:rsidRPr="008C36B7">
        <w:rPr>
          <w:rFonts w:ascii="Times New Roman" w:hAnsi="Times New Roman"/>
          <w:b/>
          <w:bCs/>
          <w:sz w:val="24"/>
          <w:szCs w:val="24"/>
        </w:rPr>
        <w:t>động</w:t>
      </w:r>
      <w:proofErr w:type="spellEnd"/>
      <w:r w:rsidRPr="008C36B7">
        <w:rPr>
          <w:rFonts w:ascii="Times New Roman" w:hAnsi="Times New Roman"/>
          <w:b/>
          <w:bCs/>
          <w:sz w:val="24"/>
          <w:szCs w:val="24"/>
        </w:rPr>
        <w:t xml:space="preserve"> </w:t>
      </w:r>
      <w:proofErr w:type="spellStart"/>
      <w:r w:rsidRPr="008C36B7">
        <w:rPr>
          <w:rFonts w:ascii="Times New Roman" w:hAnsi="Times New Roman"/>
          <w:b/>
          <w:bCs/>
          <w:sz w:val="24"/>
          <w:szCs w:val="24"/>
        </w:rPr>
        <w:t>của</w:t>
      </w:r>
      <w:proofErr w:type="spellEnd"/>
      <w:r w:rsidRPr="008C36B7">
        <w:rPr>
          <w:rFonts w:ascii="Times New Roman" w:hAnsi="Times New Roman"/>
          <w:b/>
          <w:bCs/>
          <w:sz w:val="24"/>
          <w:szCs w:val="24"/>
        </w:rPr>
        <w:t xml:space="preserve"> </w:t>
      </w:r>
      <w:proofErr w:type="spellStart"/>
      <w:r w:rsidRPr="008C36B7">
        <w:rPr>
          <w:rFonts w:ascii="Times New Roman" w:hAnsi="Times New Roman"/>
          <w:b/>
          <w:bCs/>
          <w:sz w:val="24"/>
          <w:szCs w:val="24"/>
        </w:rPr>
        <w:t>Quỹ</w:t>
      </w:r>
      <w:proofErr w:type="spellEnd"/>
    </w:p>
    <w:p w14:paraId="0C6B2993" w14:textId="3FF67C02" w:rsidR="008477D9" w:rsidRPr="00C72A0B" w:rsidRDefault="0074183D" w:rsidP="00C72A0B">
      <w:pPr>
        <w:spacing w:before="120"/>
        <w:ind w:firstLine="284"/>
        <w:rPr>
          <w:rFonts w:ascii="Times New Roman" w:hAnsi="Times New Roman"/>
          <w:bCs/>
          <w:sz w:val="24"/>
          <w:szCs w:val="24"/>
        </w:rPr>
      </w:pPr>
      <w:r w:rsidRPr="008C36B7">
        <w:rPr>
          <w:rFonts w:ascii="Times New Roman" w:hAnsi="Times New Roman"/>
          <w:bCs/>
          <w:sz w:val="24"/>
          <w:szCs w:val="24"/>
        </w:rPr>
        <w:t xml:space="preserve">Theo </w:t>
      </w:r>
      <w:proofErr w:type="spellStart"/>
      <w:r w:rsidRPr="008C36B7">
        <w:rPr>
          <w:rFonts w:ascii="Times New Roman" w:hAnsi="Times New Roman"/>
          <w:bCs/>
          <w:sz w:val="24"/>
          <w:szCs w:val="24"/>
        </w:rPr>
        <w:t>Báo</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cáo</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tài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chính</w:t>
      </w:r>
      <w:proofErr w:type="spellEnd"/>
      <w:r w:rsidRPr="008C36B7">
        <w:rPr>
          <w:rFonts w:ascii="Times New Roman" w:hAnsi="Times New Roman"/>
          <w:bCs/>
          <w:sz w:val="24"/>
          <w:szCs w:val="24"/>
        </w:rPr>
        <w:t xml:space="preserve"> của Quỹ đã được soát xét hoặc đã được kiểm toán, tính đến kỳ báo cáo, tổng giá trị tài sản ròng (NAV) của Quỹ tăng </w:t>
      </w:r>
      <w:r w:rsidRPr="008C36B7">
        <w:rPr>
          <w:rFonts w:ascii="Times New Roman" w:hAnsi="Times New Roman"/>
          <w:b/>
          <w:sz w:val="24"/>
          <w:szCs w:val="24"/>
        </w:rPr>
        <w:t>72.29</w:t>
      </w:r>
      <w:r w:rsidRPr="008C36B7">
        <w:rPr>
          <w:rFonts w:ascii="Times New Roman" w:hAnsi="Times New Roman"/>
          <w:bCs/>
          <w:sz w:val="24"/>
          <w:szCs w:val="24"/>
        </w:rPr>
        <w:t xml:space="preserve"> </w:t>
      </w:r>
      <w:r w:rsidRPr="008C36B7">
        <w:rPr>
          <w:rFonts w:ascii="Times New Roman" w:hAnsi="Times New Roman"/>
          <w:b/>
          <w:sz w:val="24"/>
          <w:szCs w:val="24"/>
        </w:rPr>
        <w:t>(%)</w:t>
      </w:r>
      <w:r w:rsidRPr="008C36B7">
        <w:rPr>
          <w:rFonts w:ascii="Times New Roman" w:hAnsi="Times New Roman"/>
          <w:bCs/>
          <w:sz w:val="24"/>
          <w:szCs w:val="24"/>
        </w:rPr>
        <w:t xml:space="preserve"> so với kỳ báo cáo (30/06/2021); thay </w:t>
      </w:r>
      <w:proofErr w:type="spellStart"/>
      <w:r w:rsidRPr="008C36B7">
        <w:rPr>
          <w:rFonts w:ascii="Times New Roman" w:hAnsi="Times New Roman"/>
          <w:bCs/>
          <w:sz w:val="24"/>
          <w:szCs w:val="24"/>
        </w:rPr>
        <w:t>đổi</w:t>
      </w:r>
      <w:proofErr w:type="spellEnd"/>
      <w:r w:rsidRPr="008C36B7">
        <w:rPr>
          <w:rFonts w:ascii="Times New Roman" w:hAnsi="Times New Roman"/>
          <w:bCs/>
          <w:sz w:val="24"/>
          <w:szCs w:val="24"/>
        </w:rPr>
        <w:t xml:space="preserve"> NAV/</w:t>
      </w:r>
      <w:proofErr w:type="spellStart"/>
      <w:r w:rsidRPr="008C36B7">
        <w:rPr>
          <w:rFonts w:ascii="Times New Roman" w:hAnsi="Times New Roman"/>
          <w:bCs/>
          <w:sz w:val="24"/>
          <w:szCs w:val="24"/>
        </w:rPr>
        <w:t>ccq</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cùng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kỳ</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là</w:t>
      </w:r>
      <w:proofErr w:type="spellEnd"/>
      <w:r w:rsidRPr="008C36B7">
        <w:rPr>
          <w:rFonts w:ascii="Times New Roman" w:hAnsi="Times New Roman"/>
          <w:bCs/>
          <w:sz w:val="24"/>
          <w:szCs w:val="24"/>
        </w:rPr>
        <w:t xml:space="preserve"> </w:t>
      </w:r>
      <w:r w:rsidRPr="008C36B7">
        <w:rPr>
          <w:rFonts w:ascii="Times New Roman" w:hAnsi="Times New Roman"/>
          <w:b/>
          <w:sz w:val="24"/>
          <w:szCs w:val="24"/>
        </w:rPr>
        <w:t>-12.36 (%)</w:t>
      </w:r>
      <w:r w:rsidR="00C72A0B">
        <w:rPr>
          <w:rFonts w:ascii="Times New Roman" w:hAnsi="Times New Roman"/>
          <w:bCs/>
          <w:sz w:val="24"/>
          <w:szCs w:val="24"/>
        </w:rPr>
        <w:t>.</w:t>
      </w:r>
    </w:p>
    <w:p w14:paraId="53ABF484" w14:textId="77777777" w:rsidR="00C72A0B" w:rsidRPr="00C72A0B" w:rsidRDefault="00C72A0B" w:rsidP="008C36B7">
      <w:pPr>
        <w:rPr>
          <w:rFonts w:ascii="Times New Roman" w:hAnsi="Times New Roman"/>
          <w:bCs/>
          <w:sz w:val="24"/>
          <w:szCs w:val="24"/>
          <w:lang w:val="nl-NL"/>
        </w:rPr>
      </w:pPr>
    </w:p>
    <w:p w14:paraId="06269B89" w14:textId="578A7948" w:rsidR="008477D9" w:rsidRPr="008C36B7" w:rsidRDefault="007C63D1" w:rsidP="00C72A0B">
      <w:pPr>
        <w:ind w:firstLine="284"/>
        <w:rPr>
          <w:rFonts w:ascii="Times New Roman" w:hAnsi="Times New Roman"/>
          <w:b/>
          <w:sz w:val="24"/>
          <w:szCs w:val="24"/>
          <w:lang w:val="nl-NL"/>
        </w:rPr>
      </w:pPr>
      <w:r w:rsidRPr="008C36B7">
        <w:rPr>
          <w:rFonts w:ascii="Times New Roman" w:hAnsi="Times New Roman"/>
          <w:b/>
          <w:sz w:val="24"/>
          <w:szCs w:val="24"/>
          <w:lang w:val="nl-NL"/>
        </w:rPr>
        <w:t>1.3</w:t>
      </w:r>
      <w:r w:rsidR="008C36B7" w:rsidRPr="008C36B7">
        <w:rPr>
          <w:rFonts w:ascii="Times New Roman" w:hAnsi="Times New Roman"/>
          <w:b/>
          <w:sz w:val="24"/>
          <w:szCs w:val="24"/>
          <w:lang w:val="nl-NL"/>
        </w:rPr>
        <w:t xml:space="preserve">. </w:t>
      </w:r>
      <w:r w:rsidR="008477D9" w:rsidRPr="008C36B7">
        <w:rPr>
          <w:rFonts w:ascii="Times New Roman" w:hAnsi="Times New Roman"/>
          <w:b/>
          <w:sz w:val="24"/>
          <w:szCs w:val="24"/>
          <w:lang w:val="nl-NL"/>
        </w:rPr>
        <w:t>Chính sách và chiến lược đầu tư của Quỹ</w:t>
      </w:r>
    </w:p>
    <w:p w14:paraId="601C33E0" w14:textId="1168F296" w:rsidR="008477D9" w:rsidRDefault="008477D9" w:rsidP="00C72A0B">
      <w:pPr>
        <w:spacing w:before="120"/>
        <w:ind w:firstLine="284"/>
        <w:rPr>
          <w:rFonts w:ascii="Times New Roman" w:hAnsi="Times New Roman"/>
          <w:bCs/>
          <w:sz w:val="24"/>
          <w:szCs w:val="24"/>
        </w:rPr>
      </w:pPr>
      <w:proofErr w:type="spellStart"/>
      <w:r w:rsidRPr="008C36B7">
        <w:rPr>
          <w:rFonts w:ascii="Times New Roman" w:hAnsi="Times New Roman"/>
          <w:bCs/>
          <w:sz w:val="24"/>
          <w:szCs w:val="24"/>
        </w:rPr>
        <w:t>Chiến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lược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đầu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tư</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của</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Quỹ</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là</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đầu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tư</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năng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động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vào</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các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loại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chứng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khoán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vốn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của</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các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công</w:t>
      </w:r>
      <w:proofErr w:type="spellEnd"/>
      <w:r w:rsidRPr="008C36B7">
        <w:rPr>
          <w:rFonts w:ascii="Times New Roman" w:hAnsi="Times New Roman"/>
          <w:bCs/>
          <w:sz w:val="24"/>
          <w:szCs w:val="24"/>
        </w:rPr>
        <w:t xml:space="preserve"> ty </w:t>
      </w:r>
      <w:proofErr w:type="spellStart"/>
      <w:r w:rsidRPr="008C36B7">
        <w:rPr>
          <w:rFonts w:ascii="Times New Roman" w:hAnsi="Times New Roman"/>
          <w:bCs/>
          <w:sz w:val="24"/>
          <w:szCs w:val="24"/>
        </w:rPr>
        <w:t>hoạt</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động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trên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thị</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trường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chứng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khoán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Việt</w:t>
      </w:r>
      <w:proofErr w:type="spellEnd"/>
      <w:r w:rsidRPr="008C36B7">
        <w:rPr>
          <w:rFonts w:ascii="Times New Roman" w:hAnsi="Times New Roman"/>
          <w:bCs/>
          <w:sz w:val="24"/>
          <w:szCs w:val="24"/>
        </w:rPr>
        <w:t xml:space="preserve"> Nam, </w:t>
      </w:r>
      <w:proofErr w:type="spellStart"/>
      <w:r w:rsidRPr="008C36B7">
        <w:rPr>
          <w:rFonts w:ascii="Times New Roman" w:hAnsi="Times New Roman"/>
          <w:bCs/>
          <w:sz w:val="24"/>
          <w:szCs w:val="24"/>
        </w:rPr>
        <w:t>trái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phiếu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chuyển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đổi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cùng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với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các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loại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chứng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khoán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nợ</w:t>
      </w:r>
      <w:proofErr w:type="spellEnd"/>
      <w:r w:rsidRPr="008C36B7">
        <w:rPr>
          <w:rFonts w:ascii="Times New Roman" w:hAnsi="Times New Roman"/>
          <w:bCs/>
          <w:sz w:val="24"/>
          <w:szCs w:val="24"/>
        </w:rPr>
        <w:t xml:space="preserve"> (bao </w:t>
      </w:r>
      <w:proofErr w:type="spellStart"/>
      <w:r w:rsidRPr="008C36B7">
        <w:rPr>
          <w:rFonts w:ascii="Times New Roman" w:hAnsi="Times New Roman"/>
          <w:bCs/>
          <w:sz w:val="24"/>
          <w:szCs w:val="24"/>
        </w:rPr>
        <w:t>gồm</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nhưng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không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giới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hạn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trái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phiếu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Chính</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phủ</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trái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phiếu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được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Chính</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phủ</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bảo</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lãnh</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trái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phiếu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chính</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quyền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địa</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phương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trái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phiếu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của</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các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tổ</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chức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phát</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hành</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hoạt</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động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theo</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pháp</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luật</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Việt</w:t>
      </w:r>
      <w:proofErr w:type="spellEnd"/>
      <w:r w:rsidRPr="008C36B7">
        <w:rPr>
          <w:rFonts w:ascii="Times New Roman" w:hAnsi="Times New Roman"/>
          <w:bCs/>
          <w:sz w:val="24"/>
          <w:szCs w:val="24"/>
        </w:rPr>
        <w:t xml:space="preserve"> Nam…), </w:t>
      </w:r>
      <w:proofErr w:type="spellStart"/>
      <w:r w:rsidRPr="008C36B7">
        <w:rPr>
          <w:rFonts w:ascii="Times New Roman" w:hAnsi="Times New Roman"/>
          <w:bCs/>
          <w:sz w:val="24"/>
          <w:szCs w:val="24"/>
        </w:rPr>
        <w:t>giấy</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tờ</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có</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giá</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và</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các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công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cụ</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thị</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trường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tiền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tệ</w:t>
      </w:r>
      <w:proofErr w:type="spellEnd"/>
      <w:r w:rsidRPr="008C36B7">
        <w:rPr>
          <w:rFonts w:ascii="Times New Roman" w:hAnsi="Times New Roman"/>
          <w:bCs/>
          <w:sz w:val="24"/>
          <w:szCs w:val="24"/>
        </w:rPr>
        <w:t xml:space="preserve">. Theo </w:t>
      </w:r>
      <w:proofErr w:type="spellStart"/>
      <w:r w:rsidRPr="008C36B7">
        <w:rPr>
          <w:rFonts w:ascii="Times New Roman" w:hAnsi="Times New Roman"/>
          <w:bCs/>
          <w:sz w:val="24"/>
          <w:szCs w:val="24"/>
        </w:rPr>
        <w:t>phân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loại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trong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danh</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mục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này</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trái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phiếu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chuyển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đổi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sẽ</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là</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một</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phần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trong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danh</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mục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chứng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khoán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nợ</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Trong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điều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kiện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bình</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thường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Quỹ</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sẽ</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duy</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trì</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mục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tiêu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phân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bổ</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đầu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tư</w:t>
      </w:r>
      <w:proofErr w:type="spellEnd"/>
      <w:r w:rsidRPr="008C36B7">
        <w:rPr>
          <w:rFonts w:ascii="Times New Roman" w:hAnsi="Times New Roman"/>
          <w:bCs/>
          <w:sz w:val="24"/>
          <w:szCs w:val="24"/>
        </w:rPr>
        <w:t xml:space="preserve"> bao </w:t>
      </w:r>
      <w:proofErr w:type="spellStart"/>
      <w:r w:rsidRPr="008C36B7">
        <w:rPr>
          <w:rFonts w:ascii="Times New Roman" w:hAnsi="Times New Roman"/>
          <w:bCs/>
          <w:sz w:val="24"/>
          <w:szCs w:val="24"/>
        </w:rPr>
        <w:t>gồm</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khoảng</w:t>
      </w:r>
      <w:proofErr w:type="spellEnd"/>
      <w:r w:rsidRPr="008C36B7">
        <w:rPr>
          <w:rFonts w:ascii="Times New Roman" w:hAnsi="Times New Roman"/>
          <w:bCs/>
          <w:sz w:val="24"/>
          <w:szCs w:val="24"/>
        </w:rPr>
        <w:t xml:space="preserve"> 20% </w:t>
      </w:r>
      <w:proofErr w:type="spellStart"/>
      <w:r w:rsidRPr="008C36B7">
        <w:rPr>
          <w:rFonts w:ascii="Times New Roman" w:hAnsi="Times New Roman"/>
          <w:bCs/>
          <w:sz w:val="24"/>
          <w:szCs w:val="24"/>
        </w:rPr>
        <w:t>giá</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trị</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tài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sản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ròng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của</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quỹ</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vào</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chứng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khoán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nợ</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và</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tiền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và</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khoảng</w:t>
      </w:r>
      <w:proofErr w:type="spellEnd"/>
      <w:r w:rsidRPr="008C36B7">
        <w:rPr>
          <w:rFonts w:ascii="Times New Roman" w:hAnsi="Times New Roman"/>
          <w:bCs/>
          <w:sz w:val="24"/>
          <w:szCs w:val="24"/>
        </w:rPr>
        <w:t xml:space="preserve"> 80% </w:t>
      </w:r>
      <w:proofErr w:type="spellStart"/>
      <w:r w:rsidRPr="008C36B7">
        <w:rPr>
          <w:rFonts w:ascii="Times New Roman" w:hAnsi="Times New Roman"/>
          <w:bCs/>
          <w:sz w:val="24"/>
          <w:szCs w:val="24"/>
        </w:rPr>
        <w:t>vào</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chứng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khoán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vốn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ưu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tiên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đầu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tư</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vào</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cổ</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phiếu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các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công</w:t>
      </w:r>
      <w:proofErr w:type="spellEnd"/>
      <w:r w:rsidRPr="008C36B7">
        <w:rPr>
          <w:rFonts w:ascii="Times New Roman" w:hAnsi="Times New Roman"/>
          <w:bCs/>
          <w:sz w:val="24"/>
          <w:szCs w:val="24"/>
        </w:rPr>
        <w:t xml:space="preserve"> ty </w:t>
      </w:r>
      <w:proofErr w:type="spellStart"/>
      <w:r w:rsidRPr="008C36B7">
        <w:rPr>
          <w:rFonts w:ascii="Times New Roman" w:hAnsi="Times New Roman"/>
          <w:bCs/>
          <w:sz w:val="24"/>
          <w:szCs w:val="24"/>
        </w:rPr>
        <w:t>có</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vốn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hoá</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lớn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và</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vừa</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có</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tiềm</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năng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tăng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trưởng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cao</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Trong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một</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số</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trường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hợp</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khi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điều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kiện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vĩ</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mô</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và</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tình</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hình</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thị</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trường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thay</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đổi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Quỹ</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có</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thể</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thay</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đổi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tỷ</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lệ</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phân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bổ</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tài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sản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giữa</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cổ</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phiếu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và</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trái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phiếu</w:t>
      </w:r>
      <w:proofErr w:type="spellEnd"/>
      <w:r w:rsidRPr="008C36B7">
        <w:rPr>
          <w:rFonts w:ascii="Times New Roman" w:hAnsi="Times New Roman"/>
          <w:bCs/>
          <w:sz w:val="24"/>
          <w:szCs w:val="24"/>
        </w:rPr>
        <w:t xml:space="preserve"> ở </w:t>
      </w:r>
      <w:proofErr w:type="spellStart"/>
      <w:r w:rsidRPr="008C36B7">
        <w:rPr>
          <w:rFonts w:ascii="Times New Roman" w:hAnsi="Times New Roman"/>
          <w:bCs/>
          <w:sz w:val="24"/>
          <w:szCs w:val="24"/>
        </w:rPr>
        <w:t>mức</w:t>
      </w:r>
      <w:proofErr w:type="spellEnd"/>
      <w:r w:rsidRPr="008C36B7">
        <w:rPr>
          <w:rFonts w:ascii="Times New Roman" w:hAnsi="Times New Roman"/>
          <w:bCs/>
          <w:sz w:val="24"/>
          <w:szCs w:val="24"/>
        </w:rPr>
        <w:t xml:space="preserve"> +/-10% </w:t>
      </w:r>
      <w:proofErr w:type="spellStart"/>
      <w:r w:rsidRPr="008C36B7">
        <w:rPr>
          <w:rFonts w:ascii="Times New Roman" w:hAnsi="Times New Roman"/>
          <w:bCs/>
          <w:sz w:val="24"/>
          <w:szCs w:val="24"/>
        </w:rPr>
        <w:t>giá</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trị</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tài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sản</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ròng</w:t>
      </w:r>
      <w:proofErr w:type="spellEnd"/>
      <w:r w:rsidRPr="008C36B7">
        <w:rPr>
          <w:rFonts w:ascii="Times New Roman" w:hAnsi="Times New Roman"/>
          <w:bCs/>
          <w:sz w:val="24"/>
          <w:szCs w:val="24"/>
        </w:rPr>
        <w:t xml:space="preserve"> so </w:t>
      </w:r>
      <w:proofErr w:type="spellStart"/>
      <w:r w:rsidRPr="008C36B7">
        <w:rPr>
          <w:rFonts w:ascii="Times New Roman" w:hAnsi="Times New Roman"/>
          <w:bCs/>
          <w:sz w:val="24"/>
          <w:szCs w:val="24"/>
        </w:rPr>
        <w:t>với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tỷ</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trọng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mục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tiêu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nhằm</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nắm</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bắt</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tốt</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nhất</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cơ</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hội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tăng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trưởng</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hoặc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giảm</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thiểu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rủi</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ro</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cho</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danh</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mục</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đầu</w:t>
      </w:r>
      <w:proofErr w:type="spellEnd"/>
      <w:r w:rsidRPr="008C36B7">
        <w:rPr>
          <w:rFonts w:ascii="Times New Roman" w:hAnsi="Times New Roman"/>
          <w:bCs/>
          <w:sz w:val="24"/>
          <w:szCs w:val="24"/>
        </w:rPr>
        <w:t xml:space="preserve"> </w:t>
      </w:r>
      <w:proofErr w:type="spellStart"/>
      <w:r w:rsidRPr="008C36B7">
        <w:rPr>
          <w:rFonts w:ascii="Times New Roman" w:hAnsi="Times New Roman"/>
          <w:bCs/>
          <w:sz w:val="24"/>
          <w:szCs w:val="24"/>
        </w:rPr>
        <w:t>tư</w:t>
      </w:r>
      <w:proofErr w:type="spellEnd"/>
      <w:r w:rsidRPr="008C36B7">
        <w:rPr>
          <w:rFonts w:ascii="Times New Roman" w:hAnsi="Times New Roman"/>
          <w:bCs/>
          <w:sz w:val="24"/>
          <w:szCs w:val="24"/>
        </w:rPr>
        <w:t>.</w:t>
      </w:r>
    </w:p>
    <w:p w14:paraId="022F20F7" w14:textId="77777777" w:rsidR="00C72A0B" w:rsidRPr="008C36B7" w:rsidRDefault="00C72A0B" w:rsidP="00C72A0B">
      <w:pPr>
        <w:spacing w:before="120"/>
        <w:ind w:firstLine="284"/>
        <w:rPr>
          <w:rFonts w:ascii="Times New Roman" w:hAnsi="Times New Roman"/>
          <w:bCs/>
          <w:sz w:val="24"/>
          <w:szCs w:val="24"/>
        </w:rPr>
      </w:pPr>
    </w:p>
    <w:p w14:paraId="345F90FD" w14:textId="2E3BE5AF" w:rsidR="008477D9" w:rsidRPr="008C36B7" w:rsidRDefault="008477D9" w:rsidP="00C72A0B">
      <w:pPr>
        <w:ind w:firstLine="426"/>
        <w:rPr>
          <w:rFonts w:ascii="Times New Roman" w:hAnsi="Times New Roman"/>
          <w:b/>
          <w:sz w:val="24"/>
          <w:szCs w:val="24"/>
          <w:lang w:val="nl-NL"/>
        </w:rPr>
      </w:pPr>
      <w:r w:rsidRPr="008C36B7">
        <w:rPr>
          <w:rFonts w:ascii="Times New Roman" w:hAnsi="Times New Roman"/>
          <w:b/>
          <w:sz w:val="24"/>
          <w:szCs w:val="24"/>
          <w:lang w:val="nl-NL"/>
        </w:rPr>
        <w:t>1.4</w:t>
      </w:r>
      <w:r w:rsidR="008C36B7" w:rsidRPr="008C36B7">
        <w:rPr>
          <w:rFonts w:ascii="Times New Roman" w:hAnsi="Times New Roman"/>
          <w:b/>
          <w:sz w:val="24"/>
          <w:szCs w:val="24"/>
          <w:lang w:val="nl-NL"/>
        </w:rPr>
        <w:t xml:space="preserve">. </w:t>
      </w:r>
      <w:r w:rsidRPr="008C36B7">
        <w:rPr>
          <w:rFonts w:ascii="Times New Roman" w:hAnsi="Times New Roman"/>
          <w:b/>
          <w:sz w:val="24"/>
          <w:szCs w:val="24"/>
          <w:lang w:val="nl-NL"/>
        </w:rPr>
        <w:t>Phân loại Quỹ</w:t>
      </w:r>
    </w:p>
    <w:p w14:paraId="20B0EC43" w14:textId="7B22347A" w:rsidR="008477D9" w:rsidRDefault="008477D9" w:rsidP="00C72A0B">
      <w:pPr>
        <w:spacing w:before="120"/>
        <w:ind w:firstLine="425"/>
        <w:rPr>
          <w:rFonts w:ascii="Times New Roman" w:hAnsi="Times New Roman"/>
          <w:sz w:val="24"/>
          <w:szCs w:val="24"/>
          <w:lang w:val="nl-NL"/>
        </w:rPr>
      </w:pPr>
      <w:r w:rsidRPr="008C36B7">
        <w:rPr>
          <w:rFonts w:ascii="Times New Roman" w:hAnsi="Times New Roman"/>
          <w:sz w:val="24"/>
          <w:szCs w:val="24"/>
          <w:lang w:val="nl-NL"/>
        </w:rPr>
        <w:t>Quỹ là quỹ công chúng dạng mở.</w:t>
      </w:r>
    </w:p>
    <w:p w14:paraId="6A442D92" w14:textId="77777777" w:rsidR="00C72A0B" w:rsidRPr="008C36B7" w:rsidRDefault="00C72A0B" w:rsidP="00C72A0B">
      <w:pPr>
        <w:spacing w:before="120"/>
        <w:ind w:firstLine="425"/>
        <w:rPr>
          <w:rFonts w:ascii="Times New Roman" w:hAnsi="Times New Roman"/>
          <w:sz w:val="24"/>
          <w:szCs w:val="24"/>
          <w:lang w:val="nl-NL"/>
        </w:rPr>
      </w:pPr>
    </w:p>
    <w:p w14:paraId="326818A8" w14:textId="1482C6DA" w:rsidR="008477D9" w:rsidRPr="008C36B7" w:rsidRDefault="008477D9" w:rsidP="00C72A0B">
      <w:pPr>
        <w:ind w:firstLine="426"/>
        <w:rPr>
          <w:rFonts w:ascii="Times New Roman" w:hAnsi="Times New Roman"/>
          <w:b/>
          <w:sz w:val="24"/>
          <w:szCs w:val="24"/>
          <w:lang w:val="nl-NL"/>
        </w:rPr>
      </w:pPr>
      <w:r w:rsidRPr="008C36B7">
        <w:rPr>
          <w:rFonts w:ascii="Times New Roman" w:hAnsi="Times New Roman"/>
          <w:b/>
          <w:sz w:val="24"/>
          <w:szCs w:val="24"/>
          <w:lang w:val="nl-NL"/>
        </w:rPr>
        <w:t>1.5</w:t>
      </w:r>
      <w:r w:rsidR="008C36B7" w:rsidRPr="008C36B7">
        <w:rPr>
          <w:rFonts w:ascii="Times New Roman" w:hAnsi="Times New Roman"/>
          <w:b/>
          <w:sz w:val="24"/>
          <w:szCs w:val="24"/>
          <w:lang w:val="nl-NL"/>
        </w:rPr>
        <w:t xml:space="preserve">. </w:t>
      </w:r>
      <w:r w:rsidRPr="008C36B7">
        <w:rPr>
          <w:rFonts w:ascii="Times New Roman" w:hAnsi="Times New Roman"/>
          <w:b/>
          <w:sz w:val="24"/>
          <w:szCs w:val="24"/>
          <w:lang w:val="nl-NL"/>
        </w:rPr>
        <w:t>Thời gian khuyến cáo đầu tư của Quỹ</w:t>
      </w:r>
    </w:p>
    <w:p w14:paraId="6F3346C3" w14:textId="74123536" w:rsidR="008477D9" w:rsidRDefault="008477D9" w:rsidP="00C72A0B">
      <w:pPr>
        <w:spacing w:before="120"/>
        <w:ind w:firstLine="425"/>
        <w:rPr>
          <w:rFonts w:ascii="Times New Roman" w:hAnsi="Times New Roman"/>
          <w:sz w:val="24"/>
          <w:szCs w:val="24"/>
          <w:lang w:val="nl-NL"/>
        </w:rPr>
      </w:pPr>
      <w:r w:rsidRPr="008C36B7">
        <w:rPr>
          <w:rFonts w:ascii="Times New Roman" w:hAnsi="Times New Roman"/>
          <w:sz w:val="24"/>
          <w:szCs w:val="24"/>
          <w:lang w:val="nl-NL"/>
        </w:rPr>
        <w:t xml:space="preserve">Quỹ không bị giới hạn về thời hạn hoạt động. </w:t>
      </w:r>
    </w:p>
    <w:p w14:paraId="79904DA7" w14:textId="77777777" w:rsidR="00C72A0B" w:rsidRPr="008C36B7" w:rsidRDefault="00C72A0B" w:rsidP="00C72A0B">
      <w:pPr>
        <w:spacing w:before="120"/>
        <w:ind w:firstLine="425"/>
        <w:rPr>
          <w:rFonts w:ascii="Times New Roman" w:hAnsi="Times New Roman"/>
          <w:sz w:val="24"/>
          <w:szCs w:val="24"/>
          <w:lang w:val="nl-NL"/>
        </w:rPr>
      </w:pPr>
    </w:p>
    <w:p w14:paraId="218EC589" w14:textId="5A701F58" w:rsidR="008477D9" w:rsidRPr="008C36B7" w:rsidRDefault="008477D9" w:rsidP="00C72A0B">
      <w:pPr>
        <w:ind w:firstLine="426"/>
        <w:rPr>
          <w:rFonts w:ascii="Times New Roman" w:hAnsi="Times New Roman"/>
          <w:b/>
          <w:sz w:val="24"/>
          <w:szCs w:val="24"/>
          <w:lang w:val="nl-NL"/>
        </w:rPr>
      </w:pPr>
      <w:r w:rsidRPr="008C36B7">
        <w:rPr>
          <w:rFonts w:ascii="Times New Roman" w:hAnsi="Times New Roman"/>
          <w:b/>
          <w:sz w:val="24"/>
          <w:szCs w:val="24"/>
          <w:lang w:val="nl-NL"/>
        </w:rPr>
        <w:t>1.6</w:t>
      </w:r>
      <w:r w:rsidR="008C36B7" w:rsidRPr="008C36B7">
        <w:rPr>
          <w:rFonts w:ascii="Times New Roman" w:hAnsi="Times New Roman"/>
          <w:b/>
          <w:sz w:val="24"/>
          <w:szCs w:val="24"/>
          <w:lang w:val="nl-NL"/>
        </w:rPr>
        <w:t xml:space="preserve">. </w:t>
      </w:r>
      <w:r w:rsidRPr="008C36B7">
        <w:rPr>
          <w:rFonts w:ascii="Times New Roman" w:hAnsi="Times New Roman"/>
          <w:b/>
          <w:sz w:val="24"/>
          <w:szCs w:val="24"/>
          <w:lang w:val="nl-NL"/>
        </w:rPr>
        <w:t>Mức độ rủi ro ngắn hạn</w:t>
      </w:r>
    </w:p>
    <w:p w14:paraId="23F25657" w14:textId="6F6F02B5" w:rsidR="008477D9" w:rsidRPr="008C36B7" w:rsidRDefault="008477D9" w:rsidP="00C72A0B">
      <w:pPr>
        <w:spacing w:before="120"/>
        <w:ind w:firstLine="425"/>
        <w:rPr>
          <w:rFonts w:ascii="Times New Roman" w:hAnsi="Times New Roman"/>
          <w:sz w:val="24"/>
          <w:szCs w:val="24"/>
          <w:lang w:val="nl-NL"/>
        </w:rPr>
      </w:pPr>
      <w:r w:rsidRPr="008C36B7">
        <w:rPr>
          <w:rFonts w:ascii="Times New Roman" w:hAnsi="Times New Roman"/>
          <w:sz w:val="24"/>
          <w:szCs w:val="24"/>
          <w:lang w:val="nl-NL"/>
        </w:rPr>
        <w:t xml:space="preserve">Quỹ có mức độ rủi ro ngắn hạn trung bình – cao. </w:t>
      </w:r>
    </w:p>
    <w:p w14:paraId="22E71169" w14:textId="77777777" w:rsidR="008477D9" w:rsidRPr="008C36B7" w:rsidRDefault="008477D9" w:rsidP="008C36B7">
      <w:pPr>
        <w:rPr>
          <w:rFonts w:ascii="Times New Roman" w:hAnsi="Times New Roman"/>
          <w:sz w:val="24"/>
          <w:szCs w:val="24"/>
          <w:lang w:val="nl-NL"/>
        </w:rPr>
      </w:pPr>
    </w:p>
    <w:p w14:paraId="1593BFC4" w14:textId="0F2FAD37" w:rsidR="008477D9" w:rsidRPr="008C36B7" w:rsidRDefault="008477D9" w:rsidP="00C72A0B">
      <w:pPr>
        <w:ind w:firstLine="426"/>
        <w:rPr>
          <w:rFonts w:ascii="Times New Roman" w:hAnsi="Times New Roman"/>
          <w:b/>
          <w:sz w:val="24"/>
          <w:szCs w:val="24"/>
          <w:lang w:val="nl-NL"/>
        </w:rPr>
      </w:pPr>
      <w:r w:rsidRPr="008C36B7">
        <w:rPr>
          <w:rFonts w:ascii="Times New Roman" w:hAnsi="Times New Roman"/>
          <w:b/>
          <w:sz w:val="24"/>
          <w:szCs w:val="24"/>
          <w:lang w:val="nl-NL"/>
        </w:rPr>
        <w:t>1.7</w:t>
      </w:r>
      <w:r w:rsidR="00C72A0B">
        <w:rPr>
          <w:rFonts w:ascii="Times New Roman" w:hAnsi="Times New Roman"/>
          <w:b/>
          <w:sz w:val="24"/>
          <w:szCs w:val="24"/>
          <w:lang w:val="nl-NL"/>
        </w:rPr>
        <w:t xml:space="preserve">. </w:t>
      </w:r>
      <w:r w:rsidRPr="008C36B7">
        <w:rPr>
          <w:rFonts w:ascii="Times New Roman" w:hAnsi="Times New Roman"/>
          <w:b/>
          <w:sz w:val="24"/>
          <w:szCs w:val="24"/>
          <w:lang w:val="nl-NL"/>
        </w:rPr>
        <w:t>Thời điểm bắt đầu hoạt động của Quỹ</w:t>
      </w:r>
    </w:p>
    <w:p w14:paraId="3DFCE76F" w14:textId="0A70DF24" w:rsidR="008477D9" w:rsidRPr="008C36B7" w:rsidRDefault="008477D9" w:rsidP="00C72A0B">
      <w:pPr>
        <w:spacing w:before="120"/>
        <w:ind w:firstLine="425"/>
        <w:rPr>
          <w:rFonts w:ascii="Times New Roman" w:hAnsi="Times New Roman"/>
          <w:sz w:val="24"/>
          <w:szCs w:val="24"/>
          <w:lang w:val="nl-NL"/>
        </w:rPr>
      </w:pPr>
      <w:r w:rsidRPr="008C36B7">
        <w:rPr>
          <w:rFonts w:ascii="Times New Roman" w:hAnsi="Times New Roman"/>
          <w:sz w:val="24"/>
          <w:szCs w:val="24"/>
          <w:lang w:val="nl-NL"/>
        </w:rPr>
        <w:t>Quỹ bắt đầu hoạt động từ ngày 20 tháng 5 năm 2004.</w:t>
      </w:r>
    </w:p>
    <w:p w14:paraId="2A4771CE" w14:textId="77777777" w:rsidR="008477D9" w:rsidRPr="008C36B7" w:rsidRDefault="008477D9" w:rsidP="008C36B7">
      <w:pPr>
        <w:rPr>
          <w:rFonts w:ascii="Times New Roman" w:hAnsi="Times New Roman"/>
          <w:sz w:val="24"/>
          <w:szCs w:val="24"/>
          <w:lang w:val="nl-NL"/>
        </w:rPr>
      </w:pPr>
    </w:p>
    <w:p w14:paraId="11E5B592" w14:textId="53F4BE64" w:rsidR="008477D9" w:rsidRPr="008C36B7" w:rsidRDefault="008477D9" w:rsidP="00C72A0B">
      <w:pPr>
        <w:ind w:firstLine="426"/>
        <w:rPr>
          <w:rFonts w:ascii="Times New Roman" w:hAnsi="Times New Roman"/>
          <w:b/>
          <w:sz w:val="24"/>
          <w:szCs w:val="24"/>
          <w:lang w:val="nl-NL"/>
        </w:rPr>
      </w:pPr>
      <w:r w:rsidRPr="008C36B7">
        <w:rPr>
          <w:rFonts w:ascii="Times New Roman" w:hAnsi="Times New Roman"/>
          <w:b/>
          <w:sz w:val="24"/>
          <w:szCs w:val="24"/>
          <w:lang w:val="nl-NL"/>
        </w:rPr>
        <w:t>1.8</w:t>
      </w:r>
      <w:r w:rsidR="00C72A0B">
        <w:rPr>
          <w:rFonts w:ascii="Times New Roman" w:hAnsi="Times New Roman"/>
          <w:b/>
          <w:sz w:val="24"/>
          <w:szCs w:val="24"/>
          <w:lang w:val="nl-NL"/>
        </w:rPr>
        <w:t xml:space="preserve">. </w:t>
      </w:r>
      <w:r w:rsidRPr="008C36B7">
        <w:rPr>
          <w:rFonts w:ascii="Times New Roman" w:hAnsi="Times New Roman"/>
          <w:b/>
          <w:sz w:val="24"/>
          <w:szCs w:val="24"/>
          <w:lang w:val="nl-NL"/>
        </w:rPr>
        <w:t>Quy mô Quỹ tại thời điểm báo cáo</w:t>
      </w:r>
    </w:p>
    <w:p w14:paraId="461D8C37" w14:textId="25F61CBD" w:rsidR="008477D9" w:rsidRPr="00C72A0B" w:rsidRDefault="003C4141" w:rsidP="00C72A0B">
      <w:pPr>
        <w:spacing w:before="120"/>
        <w:ind w:firstLine="425"/>
        <w:rPr>
          <w:rFonts w:ascii="Times New Roman" w:hAnsi="Times New Roman"/>
          <w:sz w:val="24"/>
          <w:szCs w:val="24"/>
          <w:lang w:val="en-US"/>
        </w:rPr>
      </w:pPr>
      <w:proofErr w:type="spellStart"/>
      <w:r w:rsidRPr="00C72A0B">
        <w:rPr>
          <w:rFonts w:ascii="Times New Roman" w:hAnsi="Times New Roman"/>
          <w:bCs/>
          <w:sz w:val="24"/>
          <w:szCs w:val="24"/>
        </w:rPr>
        <w:t>Tại</w:t>
      </w:r>
      <w:proofErr w:type="spellEnd"/>
      <w:r w:rsidRPr="00C72A0B">
        <w:rPr>
          <w:rFonts w:ascii="Times New Roman" w:hAnsi="Times New Roman"/>
          <w:bCs/>
          <w:sz w:val="24"/>
          <w:szCs w:val="24"/>
        </w:rPr>
        <w:t xml:space="preserve"> </w:t>
      </w:r>
      <w:proofErr w:type="spellStart"/>
      <w:r w:rsidRPr="00C72A0B">
        <w:rPr>
          <w:rFonts w:ascii="Times New Roman" w:hAnsi="Times New Roman"/>
          <w:bCs/>
          <w:sz w:val="24"/>
          <w:szCs w:val="24"/>
        </w:rPr>
        <w:t>ngày</w:t>
      </w:r>
      <w:proofErr w:type="spellEnd"/>
      <w:r w:rsidRPr="00C72A0B">
        <w:rPr>
          <w:rFonts w:ascii="Times New Roman" w:hAnsi="Times New Roman"/>
          <w:bCs/>
          <w:sz w:val="24"/>
          <w:szCs w:val="24"/>
        </w:rPr>
        <w:t xml:space="preserve"> </w:t>
      </w:r>
      <w:r w:rsidR="00A11E25" w:rsidRPr="00C72A0B">
        <w:rPr>
          <w:rFonts w:ascii="Times New Roman" w:hAnsi="Times New Roman"/>
          <w:bCs/>
          <w:sz w:val="24"/>
          <w:szCs w:val="24"/>
        </w:rPr>
        <w:t>3</w:t>
      </w:r>
      <w:r w:rsidR="00653170" w:rsidRPr="00C72A0B">
        <w:rPr>
          <w:rFonts w:ascii="Times New Roman" w:hAnsi="Times New Roman"/>
          <w:bCs/>
          <w:sz w:val="24"/>
          <w:szCs w:val="24"/>
        </w:rPr>
        <w:t>0</w:t>
      </w:r>
      <w:r w:rsidR="00A11E25" w:rsidRPr="00C72A0B">
        <w:rPr>
          <w:rFonts w:ascii="Times New Roman" w:hAnsi="Times New Roman"/>
          <w:bCs/>
          <w:sz w:val="24"/>
          <w:szCs w:val="24"/>
        </w:rPr>
        <w:t xml:space="preserve"> </w:t>
      </w:r>
      <w:proofErr w:type="spellStart"/>
      <w:r w:rsidR="00A11E25" w:rsidRPr="00C72A0B">
        <w:rPr>
          <w:rFonts w:ascii="Times New Roman" w:hAnsi="Times New Roman"/>
          <w:bCs/>
          <w:sz w:val="24"/>
          <w:szCs w:val="24"/>
        </w:rPr>
        <w:t>tháng</w:t>
      </w:r>
      <w:proofErr w:type="spellEnd"/>
      <w:r w:rsidR="00A11E25" w:rsidRPr="00C72A0B">
        <w:rPr>
          <w:rFonts w:ascii="Times New Roman" w:hAnsi="Times New Roman"/>
          <w:bCs/>
          <w:sz w:val="24"/>
          <w:szCs w:val="24"/>
        </w:rPr>
        <w:t xml:space="preserve"> 0</w:t>
      </w:r>
      <w:r w:rsidR="00653170" w:rsidRPr="00C72A0B">
        <w:rPr>
          <w:rFonts w:ascii="Times New Roman" w:hAnsi="Times New Roman"/>
          <w:bCs/>
          <w:sz w:val="24"/>
          <w:szCs w:val="24"/>
        </w:rPr>
        <w:t>6</w:t>
      </w:r>
      <w:r w:rsidR="00A11E25" w:rsidRPr="00C72A0B">
        <w:rPr>
          <w:rFonts w:ascii="Times New Roman" w:hAnsi="Times New Roman"/>
          <w:bCs/>
          <w:sz w:val="24"/>
          <w:szCs w:val="24"/>
        </w:rPr>
        <w:t xml:space="preserve"> </w:t>
      </w:r>
      <w:proofErr w:type="spellStart"/>
      <w:r w:rsidR="00A11E25" w:rsidRPr="00C72A0B">
        <w:rPr>
          <w:rFonts w:ascii="Times New Roman" w:hAnsi="Times New Roman"/>
          <w:bCs/>
          <w:sz w:val="24"/>
          <w:szCs w:val="24"/>
        </w:rPr>
        <w:t>năm</w:t>
      </w:r>
      <w:proofErr w:type="spellEnd"/>
      <w:r w:rsidR="00A11E25" w:rsidRPr="00C72A0B">
        <w:rPr>
          <w:rFonts w:ascii="Times New Roman" w:hAnsi="Times New Roman"/>
          <w:bCs/>
          <w:sz w:val="24"/>
          <w:szCs w:val="24"/>
        </w:rPr>
        <w:t xml:space="preserve"> 2022</w:t>
      </w:r>
      <w:r w:rsidR="008477D9" w:rsidRPr="00C72A0B">
        <w:rPr>
          <w:rFonts w:ascii="Times New Roman" w:hAnsi="Times New Roman"/>
          <w:bCs/>
          <w:sz w:val="24"/>
          <w:szCs w:val="24"/>
        </w:rPr>
        <w:t xml:space="preserve">, </w:t>
      </w:r>
      <w:proofErr w:type="spellStart"/>
      <w:r w:rsidR="008477D9" w:rsidRPr="00C72A0B">
        <w:rPr>
          <w:rFonts w:ascii="Times New Roman" w:hAnsi="Times New Roman"/>
          <w:bCs/>
          <w:sz w:val="24"/>
          <w:szCs w:val="24"/>
        </w:rPr>
        <w:t>giá</w:t>
      </w:r>
      <w:proofErr w:type="spellEnd"/>
      <w:r w:rsidR="008477D9" w:rsidRPr="00C72A0B">
        <w:rPr>
          <w:rFonts w:ascii="Times New Roman" w:hAnsi="Times New Roman"/>
          <w:bCs/>
          <w:sz w:val="24"/>
          <w:szCs w:val="24"/>
        </w:rPr>
        <w:t xml:space="preserve"> </w:t>
      </w:r>
      <w:proofErr w:type="spellStart"/>
      <w:r w:rsidR="008477D9" w:rsidRPr="00C72A0B">
        <w:rPr>
          <w:rFonts w:ascii="Times New Roman" w:hAnsi="Times New Roman"/>
          <w:bCs/>
          <w:sz w:val="24"/>
          <w:szCs w:val="24"/>
        </w:rPr>
        <w:t>trị</w:t>
      </w:r>
      <w:proofErr w:type="spellEnd"/>
      <w:r w:rsidR="008477D9" w:rsidRPr="00C72A0B">
        <w:rPr>
          <w:rFonts w:ascii="Times New Roman" w:hAnsi="Times New Roman"/>
          <w:bCs/>
          <w:sz w:val="24"/>
          <w:szCs w:val="24"/>
        </w:rPr>
        <w:t xml:space="preserve"> </w:t>
      </w:r>
      <w:proofErr w:type="spellStart"/>
      <w:r w:rsidR="008477D9" w:rsidRPr="00C72A0B">
        <w:rPr>
          <w:rFonts w:ascii="Times New Roman" w:hAnsi="Times New Roman"/>
          <w:bCs/>
          <w:sz w:val="24"/>
          <w:szCs w:val="24"/>
        </w:rPr>
        <w:t>tài</w:t>
      </w:r>
      <w:proofErr w:type="spellEnd"/>
      <w:r w:rsidR="008477D9" w:rsidRPr="00C72A0B">
        <w:rPr>
          <w:rFonts w:ascii="Times New Roman" w:hAnsi="Times New Roman"/>
          <w:bCs/>
          <w:sz w:val="24"/>
          <w:szCs w:val="24"/>
        </w:rPr>
        <w:t xml:space="preserve"> </w:t>
      </w:r>
      <w:proofErr w:type="spellStart"/>
      <w:r w:rsidR="008477D9" w:rsidRPr="00C72A0B">
        <w:rPr>
          <w:rFonts w:ascii="Times New Roman" w:hAnsi="Times New Roman"/>
          <w:bCs/>
          <w:sz w:val="24"/>
          <w:szCs w:val="24"/>
        </w:rPr>
        <w:t>sản</w:t>
      </w:r>
      <w:proofErr w:type="spellEnd"/>
      <w:r w:rsidR="008477D9" w:rsidRPr="00C72A0B">
        <w:rPr>
          <w:rFonts w:ascii="Times New Roman" w:hAnsi="Times New Roman"/>
          <w:bCs/>
          <w:sz w:val="24"/>
          <w:szCs w:val="24"/>
        </w:rPr>
        <w:t xml:space="preserve"> </w:t>
      </w:r>
      <w:proofErr w:type="spellStart"/>
      <w:r w:rsidR="008477D9" w:rsidRPr="00C72A0B">
        <w:rPr>
          <w:rFonts w:ascii="Times New Roman" w:hAnsi="Times New Roman"/>
          <w:bCs/>
          <w:sz w:val="24"/>
          <w:szCs w:val="24"/>
        </w:rPr>
        <w:t>ròng</w:t>
      </w:r>
      <w:proofErr w:type="spellEnd"/>
      <w:r w:rsidR="008477D9" w:rsidRPr="00C72A0B">
        <w:rPr>
          <w:rFonts w:ascii="Times New Roman" w:hAnsi="Times New Roman"/>
          <w:bCs/>
          <w:sz w:val="24"/>
          <w:szCs w:val="24"/>
        </w:rPr>
        <w:t xml:space="preserve"> </w:t>
      </w:r>
      <w:proofErr w:type="spellStart"/>
      <w:r w:rsidR="008477D9" w:rsidRPr="00C72A0B">
        <w:rPr>
          <w:rFonts w:ascii="Times New Roman" w:hAnsi="Times New Roman"/>
          <w:bCs/>
          <w:sz w:val="24"/>
          <w:szCs w:val="24"/>
        </w:rPr>
        <w:t>của</w:t>
      </w:r>
      <w:proofErr w:type="spellEnd"/>
      <w:r w:rsidR="008477D9" w:rsidRPr="00C72A0B">
        <w:rPr>
          <w:rFonts w:ascii="Times New Roman" w:hAnsi="Times New Roman"/>
          <w:bCs/>
          <w:sz w:val="24"/>
          <w:szCs w:val="24"/>
        </w:rPr>
        <w:t xml:space="preserve"> </w:t>
      </w:r>
      <w:proofErr w:type="spellStart"/>
      <w:r w:rsidR="008477D9" w:rsidRPr="00C72A0B">
        <w:rPr>
          <w:rFonts w:ascii="Times New Roman" w:hAnsi="Times New Roman"/>
          <w:bCs/>
          <w:sz w:val="24"/>
          <w:szCs w:val="24"/>
        </w:rPr>
        <w:t>Quỹ</w:t>
      </w:r>
      <w:proofErr w:type="spellEnd"/>
      <w:r w:rsidR="008477D9" w:rsidRPr="00C72A0B">
        <w:rPr>
          <w:rFonts w:ascii="Times New Roman" w:hAnsi="Times New Roman"/>
          <w:bCs/>
          <w:sz w:val="24"/>
          <w:szCs w:val="24"/>
        </w:rPr>
        <w:t xml:space="preserve"> </w:t>
      </w:r>
      <w:proofErr w:type="spellStart"/>
      <w:r w:rsidR="008477D9" w:rsidRPr="00C72A0B">
        <w:rPr>
          <w:rFonts w:ascii="Times New Roman" w:hAnsi="Times New Roman"/>
          <w:bCs/>
          <w:sz w:val="24"/>
          <w:szCs w:val="24"/>
        </w:rPr>
        <w:t>là</w:t>
      </w:r>
      <w:proofErr w:type="spellEnd"/>
      <w:r w:rsidR="008477D9" w:rsidRPr="00C72A0B">
        <w:rPr>
          <w:rFonts w:ascii="Times New Roman" w:hAnsi="Times New Roman"/>
          <w:bCs/>
          <w:sz w:val="24"/>
          <w:szCs w:val="24"/>
        </w:rPr>
        <w:t xml:space="preserve"> </w:t>
      </w:r>
      <w:r w:rsidR="00653170" w:rsidRPr="00C72A0B">
        <w:rPr>
          <w:rFonts w:ascii="Times New Roman" w:hAnsi="Times New Roman"/>
          <w:sz w:val="24"/>
          <w:szCs w:val="24"/>
          <w:lang w:val="en-US"/>
        </w:rPr>
        <w:t xml:space="preserve">1,561,678,860,275 </w:t>
      </w:r>
      <w:proofErr w:type="spellStart"/>
      <w:r w:rsidR="008477D9" w:rsidRPr="00C72A0B">
        <w:rPr>
          <w:rFonts w:ascii="Times New Roman" w:hAnsi="Times New Roman"/>
          <w:bCs/>
          <w:sz w:val="24"/>
          <w:szCs w:val="24"/>
        </w:rPr>
        <w:t>Đồng</w:t>
      </w:r>
      <w:proofErr w:type="spellEnd"/>
      <w:r w:rsidR="008477D9" w:rsidRPr="00C72A0B">
        <w:rPr>
          <w:rFonts w:ascii="Times New Roman" w:hAnsi="Times New Roman"/>
          <w:bCs/>
          <w:sz w:val="24"/>
          <w:szCs w:val="24"/>
        </w:rPr>
        <w:t xml:space="preserve"> </w:t>
      </w:r>
      <w:proofErr w:type="spellStart"/>
      <w:r w:rsidR="008477D9" w:rsidRPr="00C72A0B">
        <w:rPr>
          <w:rFonts w:ascii="Times New Roman" w:hAnsi="Times New Roman"/>
          <w:bCs/>
          <w:sz w:val="24"/>
          <w:szCs w:val="24"/>
        </w:rPr>
        <w:t>Việt</w:t>
      </w:r>
      <w:proofErr w:type="spellEnd"/>
      <w:r w:rsidR="008477D9" w:rsidRPr="00C72A0B">
        <w:rPr>
          <w:rFonts w:ascii="Times New Roman" w:hAnsi="Times New Roman"/>
          <w:bCs/>
          <w:sz w:val="24"/>
          <w:szCs w:val="24"/>
        </w:rPr>
        <w:t xml:space="preserve"> Nam, </w:t>
      </w:r>
      <w:proofErr w:type="spellStart"/>
      <w:r w:rsidR="008477D9" w:rsidRPr="00C72A0B">
        <w:rPr>
          <w:rFonts w:ascii="Times New Roman" w:hAnsi="Times New Roman"/>
          <w:bCs/>
          <w:sz w:val="24"/>
          <w:szCs w:val="24"/>
        </w:rPr>
        <w:t>tương</w:t>
      </w:r>
      <w:proofErr w:type="spellEnd"/>
      <w:r w:rsidR="008477D9" w:rsidRPr="00C72A0B">
        <w:rPr>
          <w:rFonts w:ascii="Times New Roman" w:hAnsi="Times New Roman"/>
          <w:bCs/>
          <w:sz w:val="24"/>
          <w:szCs w:val="24"/>
        </w:rPr>
        <w:t xml:space="preserve"> </w:t>
      </w:r>
      <w:proofErr w:type="spellStart"/>
      <w:r w:rsidR="008477D9" w:rsidRPr="00C72A0B">
        <w:rPr>
          <w:rFonts w:ascii="Times New Roman" w:hAnsi="Times New Roman"/>
          <w:bCs/>
          <w:sz w:val="24"/>
          <w:szCs w:val="24"/>
        </w:rPr>
        <w:t>ứng</w:t>
      </w:r>
      <w:proofErr w:type="spellEnd"/>
      <w:r w:rsidR="008477D9" w:rsidRPr="00C72A0B">
        <w:rPr>
          <w:rFonts w:ascii="Times New Roman" w:hAnsi="Times New Roman"/>
          <w:bCs/>
          <w:sz w:val="24"/>
          <w:szCs w:val="24"/>
        </w:rPr>
        <w:t xml:space="preserve"> </w:t>
      </w:r>
      <w:proofErr w:type="spellStart"/>
      <w:proofErr w:type="gramStart"/>
      <w:r w:rsidR="008477D9" w:rsidRPr="00C72A0B">
        <w:rPr>
          <w:rFonts w:ascii="Times New Roman" w:hAnsi="Times New Roman"/>
          <w:bCs/>
          <w:sz w:val="24"/>
          <w:szCs w:val="24"/>
        </w:rPr>
        <w:t>với</w:t>
      </w:r>
      <w:proofErr w:type="spellEnd"/>
      <w:r w:rsidR="00590C89" w:rsidRPr="00C72A0B">
        <w:rPr>
          <w:rFonts w:ascii="Times New Roman" w:hAnsi="Times New Roman"/>
          <w:bCs/>
          <w:sz w:val="24"/>
          <w:szCs w:val="24"/>
        </w:rPr>
        <w:t xml:space="preserve"> </w:t>
      </w:r>
      <w:r w:rsidR="00585FEF" w:rsidRPr="00C72A0B">
        <w:rPr>
          <w:rFonts w:ascii="Times New Roman" w:hAnsi="Times New Roman"/>
          <w:sz w:val="24"/>
          <w:szCs w:val="24"/>
          <w:lang w:val="en-US"/>
        </w:rPr>
        <w:t xml:space="preserve"> </w:t>
      </w:r>
      <w:r w:rsidR="00653170" w:rsidRPr="00C72A0B">
        <w:rPr>
          <w:rFonts w:ascii="Times New Roman" w:hAnsi="Times New Roman"/>
          <w:sz w:val="24"/>
          <w:szCs w:val="24"/>
          <w:lang w:val="en-US"/>
        </w:rPr>
        <w:t>25,785,277.55</w:t>
      </w:r>
      <w:proofErr w:type="gramEnd"/>
      <w:r w:rsidR="00653170" w:rsidRPr="00C72A0B">
        <w:rPr>
          <w:rFonts w:ascii="Times New Roman" w:hAnsi="Times New Roman"/>
          <w:sz w:val="24"/>
          <w:szCs w:val="24"/>
          <w:lang w:val="en-US"/>
        </w:rPr>
        <w:t xml:space="preserve"> </w:t>
      </w:r>
      <w:proofErr w:type="spellStart"/>
      <w:r w:rsidR="008477D9" w:rsidRPr="00C72A0B">
        <w:rPr>
          <w:rFonts w:ascii="Times New Roman" w:hAnsi="Times New Roman"/>
          <w:bCs/>
          <w:sz w:val="24"/>
          <w:szCs w:val="24"/>
        </w:rPr>
        <w:t>Chứng</w:t>
      </w:r>
      <w:proofErr w:type="spellEnd"/>
      <w:r w:rsidR="008477D9" w:rsidRPr="00C72A0B">
        <w:rPr>
          <w:rFonts w:ascii="Times New Roman" w:hAnsi="Times New Roman"/>
          <w:bCs/>
          <w:sz w:val="24"/>
          <w:szCs w:val="24"/>
        </w:rPr>
        <w:t xml:space="preserve"> </w:t>
      </w:r>
      <w:proofErr w:type="spellStart"/>
      <w:r w:rsidR="008477D9" w:rsidRPr="00C72A0B">
        <w:rPr>
          <w:rFonts w:ascii="Times New Roman" w:hAnsi="Times New Roman"/>
          <w:bCs/>
          <w:sz w:val="24"/>
          <w:szCs w:val="24"/>
        </w:rPr>
        <w:t>chỉ</w:t>
      </w:r>
      <w:proofErr w:type="spellEnd"/>
      <w:r w:rsidR="008477D9" w:rsidRPr="00C72A0B">
        <w:rPr>
          <w:rFonts w:ascii="Times New Roman" w:hAnsi="Times New Roman"/>
          <w:bCs/>
          <w:sz w:val="24"/>
          <w:szCs w:val="24"/>
        </w:rPr>
        <w:t xml:space="preserve"> </w:t>
      </w:r>
      <w:proofErr w:type="spellStart"/>
      <w:r w:rsidR="008477D9" w:rsidRPr="00C72A0B">
        <w:rPr>
          <w:rFonts w:ascii="Times New Roman" w:hAnsi="Times New Roman"/>
          <w:bCs/>
          <w:sz w:val="24"/>
          <w:szCs w:val="24"/>
        </w:rPr>
        <w:t>Quỹ</w:t>
      </w:r>
      <w:proofErr w:type="spellEnd"/>
      <w:r w:rsidR="008477D9" w:rsidRPr="00C72A0B">
        <w:rPr>
          <w:rFonts w:ascii="Times New Roman" w:hAnsi="Times New Roman"/>
          <w:bCs/>
          <w:sz w:val="24"/>
          <w:szCs w:val="24"/>
        </w:rPr>
        <w:t xml:space="preserve">. </w:t>
      </w:r>
    </w:p>
    <w:p w14:paraId="7698E462" w14:textId="77777777" w:rsidR="008477D9" w:rsidRPr="008C36B7" w:rsidRDefault="008477D9" w:rsidP="008C36B7">
      <w:pPr>
        <w:rPr>
          <w:rFonts w:ascii="Times New Roman" w:hAnsi="Times New Roman"/>
          <w:b/>
          <w:sz w:val="24"/>
          <w:szCs w:val="24"/>
          <w:lang w:val="nl-NL"/>
        </w:rPr>
      </w:pPr>
    </w:p>
    <w:p w14:paraId="26DED965" w14:textId="77777777" w:rsidR="00C72A0B" w:rsidRDefault="008477D9" w:rsidP="00C72A0B">
      <w:pPr>
        <w:ind w:firstLine="426"/>
        <w:rPr>
          <w:rFonts w:ascii="Times New Roman" w:hAnsi="Times New Roman"/>
          <w:b/>
          <w:sz w:val="24"/>
          <w:szCs w:val="24"/>
          <w:lang w:val="nl-NL"/>
        </w:rPr>
      </w:pPr>
      <w:r w:rsidRPr="008C36B7">
        <w:rPr>
          <w:rFonts w:ascii="Times New Roman" w:hAnsi="Times New Roman"/>
          <w:b/>
          <w:sz w:val="24"/>
          <w:szCs w:val="24"/>
          <w:lang w:val="nl-NL"/>
        </w:rPr>
        <w:t>1.</w:t>
      </w:r>
      <w:r w:rsidR="00C72A0B">
        <w:rPr>
          <w:rFonts w:ascii="Times New Roman" w:hAnsi="Times New Roman"/>
          <w:b/>
          <w:sz w:val="24"/>
          <w:szCs w:val="24"/>
          <w:lang w:val="nl-NL"/>
        </w:rPr>
        <w:t xml:space="preserve">9. </w:t>
      </w:r>
      <w:r w:rsidRPr="008C36B7">
        <w:rPr>
          <w:rFonts w:ascii="Times New Roman" w:hAnsi="Times New Roman"/>
          <w:b/>
          <w:sz w:val="24"/>
          <w:szCs w:val="24"/>
          <w:lang w:val="nl-NL"/>
        </w:rPr>
        <w:t>Chỉ số tham chiếu của Quỹ</w:t>
      </w:r>
    </w:p>
    <w:p w14:paraId="4C5384EE" w14:textId="0F86A3E2" w:rsidR="008477D9" w:rsidRDefault="008477D9" w:rsidP="00C72A0B">
      <w:pPr>
        <w:spacing w:before="120"/>
        <w:ind w:firstLine="425"/>
        <w:rPr>
          <w:rFonts w:ascii="Times New Roman" w:hAnsi="Times New Roman"/>
          <w:sz w:val="24"/>
          <w:szCs w:val="24"/>
          <w:lang w:val="nl-NL"/>
        </w:rPr>
      </w:pPr>
      <w:r w:rsidRPr="008C36B7">
        <w:rPr>
          <w:rFonts w:ascii="Times New Roman" w:hAnsi="Times New Roman"/>
          <w:sz w:val="24"/>
          <w:szCs w:val="24"/>
          <w:lang w:val="nl-NL"/>
        </w:rPr>
        <w:t xml:space="preserve">Quỹ không có chỉ số tham chiếu. </w:t>
      </w:r>
    </w:p>
    <w:p w14:paraId="44760FB1" w14:textId="72CF214E" w:rsidR="008477D9" w:rsidRPr="008C36B7" w:rsidRDefault="008477D9" w:rsidP="00C72A0B">
      <w:pPr>
        <w:ind w:firstLine="426"/>
        <w:rPr>
          <w:rFonts w:ascii="Times New Roman" w:hAnsi="Times New Roman"/>
          <w:b/>
          <w:sz w:val="24"/>
          <w:szCs w:val="24"/>
          <w:lang w:val="nl-NL"/>
        </w:rPr>
      </w:pPr>
      <w:r w:rsidRPr="008C36B7">
        <w:rPr>
          <w:rFonts w:ascii="Times New Roman" w:hAnsi="Times New Roman"/>
          <w:b/>
          <w:sz w:val="24"/>
          <w:szCs w:val="24"/>
          <w:lang w:val="nl-NL"/>
        </w:rPr>
        <w:lastRenderedPageBreak/>
        <w:t>1.10</w:t>
      </w:r>
      <w:r w:rsidR="00C72A0B">
        <w:rPr>
          <w:rFonts w:ascii="Times New Roman" w:hAnsi="Times New Roman"/>
          <w:b/>
          <w:sz w:val="24"/>
          <w:szCs w:val="24"/>
          <w:lang w:val="nl-NL"/>
        </w:rPr>
        <w:t xml:space="preserve">. </w:t>
      </w:r>
      <w:r w:rsidRPr="008C36B7">
        <w:rPr>
          <w:rFonts w:ascii="Times New Roman" w:hAnsi="Times New Roman"/>
          <w:b/>
          <w:sz w:val="24"/>
          <w:szCs w:val="24"/>
          <w:lang w:val="nl-NL"/>
        </w:rPr>
        <w:t>Chính sách phân phối lợi nhuận của Quỹ</w:t>
      </w:r>
    </w:p>
    <w:p w14:paraId="0044D7F0" w14:textId="28633F22" w:rsidR="008477D9" w:rsidRDefault="008477D9" w:rsidP="00C72A0B">
      <w:pPr>
        <w:spacing w:before="120"/>
        <w:ind w:firstLine="425"/>
        <w:rPr>
          <w:rFonts w:ascii="Times New Roman" w:hAnsi="Times New Roman"/>
          <w:sz w:val="24"/>
          <w:szCs w:val="24"/>
          <w:lang w:val="nl-NL"/>
        </w:rPr>
      </w:pPr>
      <w:r w:rsidRPr="008C36B7">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0279CADB" w14:textId="77777777" w:rsidR="00C72A0B" w:rsidRPr="008C36B7" w:rsidRDefault="00C72A0B" w:rsidP="00C72A0B">
      <w:pPr>
        <w:spacing w:before="120"/>
        <w:ind w:firstLine="425"/>
        <w:rPr>
          <w:rFonts w:ascii="Times New Roman" w:hAnsi="Times New Roman"/>
          <w:sz w:val="24"/>
          <w:szCs w:val="24"/>
          <w:lang w:val="nl-NL"/>
        </w:rPr>
      </w:pPr>
    </w:p>
    <w:p w14:paraId="6C1CD579" w14:textId="4D5C8894" w:rsidR="008477D9" w:rsidRPr="008C36B7" w:rsidRDefault="008477D9" w:rsidP="00C72A0B">
      <w:pPr>
        <w:ind w:firstLine="426"/>
        <w:rPr>
          <w:rFonts w:ascii="Times New Roman" w:hAnsi="Times New Roman"/>
          <w:b/>
          <w:sz w:val="24"/>
          <w:szCs w:val="24"/>
          <w:lang w:val="nl-NL"/>
        </w:rPr>
      </w:pPr>
      <w:r w:rsidRPr="008C36B7">
        <w:rPr>
          <w:rFonts w:ascii="Times New Roman" w:hAnsi="Times New Roman"/>
          <w:b/>
          <w:sz w:val="24"/>
          <w:szCs w:val="24"/>
          <w:lang w:val="nl-NL"/>
        </w:rPr>
        <w:t>1.11</w:t>
      </w:r>
      <w:r w:rsidR="00C72A0B">
        <w:rPr>
          <w:rFonts w:ascii="Times New Roman" w:hAnsi="Times New Roman"/>
          <w:b/>
          <w:sz w:val="24"/>
          <w:szCs w:val="24"/>
          <w:lang w:val="nl-NL"/>
        </w:rPr>
        <w:t xml:space="preserve">. </w:t>
      </w:r>
      <w:r w:rsidRPr="008C36B7">
        <w:rPr>
          <w:rFonts w:ascii="Times New Roman" w:hAnsi="Times New Roman"/>
          <w:b/>
          <w:sz w:val="24"/>
          <w:szCs w:val="24"/>
          <w:lang w:val="nl-NL"/>
        </w:rPr>
        <w:t xml:space="preserve">Lợi nhuận thuần thực tế phân phối trên một đơn vị Chứng chỉ quỹ Quỹ ở thời điểm báo cáo </w:t>
      </w:r>
    </w:p>
    <w:p w14:paraId="29366125" w14:textId="1E49C50C" w:rsidR="008477D9" w:rsidRPr="00C72A0B" w:rsidRDefault="008477D9" w:rsidP="00C72A0B">
      <w:pPr>
        <w:spacing w:before="120"/>
        <w:ind w:firstLine="425"/>
        <w:rPr>
          <w:rFonts w:ascii="Times New Roman" w:hAnsi="Times New Roman"/>
          <w:sz w:val="24"/>
          <w:szCs w:val="24"/>
          <w:lang w:val="nl-NL"/>
        </w:rPr>
      </w:pPr>
      <w:r w:rsidRPr="00C72A0B">
        <w:rPr>
          <w:rFonts w:ascii="Times New Roman" w:hAnsi="Times New Roman"/>
          <w:sz w:val="24"/>
          <w:szCs w:val="24"/>
          <w:lang w:val="nl-NL"/>
        </w:rPr>
        <w:t>Quỹ không có phân phối lợi nhuận cho nhà đầu tư từ khi chuyển đổ</w:t>
      </w:r>
      <w:r w:rsidR="003C4141" w:rsidRPr="00C72A0B">
        <w:rPr>
          <w:rFonts w:ascii="Times New Roman" w:hAnsi="Times New Roman"/>
          <w:sz w:val="24"/>
          <w:szCs w:val="24"/>
          <w:lang w:val="nl-NL"/>
        </w:rPr>
        <w:t xml:space="preserve">i cho đến ngày </w:t>
      </w:r>
      <w:r w:rsidR="008E1A14" w:rsidRPr="00C72A0B">
        <w:rPr>
          <w:rFonts w:ascii="Times New Roman" w:hAnsi="Times New Roman"/>
          <w:sz w:val="24"/>
          <w:szCs w:val="24"/>
          <w:lang w:val="nl-NL"/>
        </w:rPr>
        <w:t>3</w:t>
      </w:r>
      <w:r w:rsidR="00653170" w:rsidRPr="00C72A0B">
        <w:rPr>
          <w:rFonts w:ascii="Times New Roman" w:hAnsi="Times New Roman"/>
          <w:sz w:val="24"/>
          <w:szCs w:val="24"/>
          <w:lang w:val="nl-NL"/>
        </w:rPr>
        <w:t>0</w:t>
      </w:r>
      <w:r w:rsidR="008E1A14" w:rsidRPr="00C72A0B">
        <w:rPr>
          <w:rFonts w:ascii="Times New Roman" w:hAnsi="Times New Roman"/>
          <w:sz w:val="24"/>
          <w:szCs w:val="24"/>
          <w:lang w:val="nl-NL"/>
        </w:rPr>
        <w:t xml:space="preserve"> tháng 0</w:t>
      </w:r>
      <w:r w:rsidR="00653170" w:rsidRPr="00C72A0B">
        <w:rPr>
          <w:rFonts w:ascii="Times New Roman" w:hAnsi="Times New Roman"/>
          <w:sz w:val="24"/>
          <w:szCs w:val="24"/>
          <w:lang w:val="nl-NL"/>
        </w:rPr>
        <w:t>6</w:t>
      </w:r>
      <w:r w:rsidR="008E1A14" w:rsidRPr="00C72A0B">
        <w:rPr>
          <w:rFonts w:ascii="Times New Roman" w:hAnsi="Times New Roman"/>
          <w:sz w:val="24"/>
          <w:szCs w:val="24"/>
          <w:lang w:val="nl-NL"/>
        </w:rPr>
        <w:t xml:space="preserve"> năm 2022</w:t>
      </w:r>
      <w:r w:rsidRPr="00C72A0B">
        <w:rPr>
          <w:rFonts w:ascii="Times New Roman" w:hAnsi="Times New Roman"/>
          <w:sz w:val="24"/>
          <w:szCs w:val="24"/>
          <w:lang w:val="nl-NL"/>
        </w:rPr>
        <w:t>.</w:t>
      </w:r>
    </w:p>
    <w:p w14:paraId="263996BE" w14:textId="77777777" w:rsidR="00E42142" w:rsidRPr="00C72A0B" w:rsidRDefault="00E42142" w:rsidP="008C36B7">
      <w:pPr>
        <w:rPr>
          <w:rFonts w:ascii="Times New Roman" w:hAnsi="Times New Roman"/>
          <w:b/>
          <w:sz w:val="24"/>
          <w:szCs w:val="24"/>
          <w:lang w:val="nl-NL"/>
        </w:rPr>
      </w:pPr>
    </w:p>
    <w:p w14:paraId="0A58C9BF" w14:textId="70947E46" w:rsidR="008477D9" w:rsidRPr="008C36B7" w:rsidRDefault="00C72A0B" w:rsidP="008C36B7">
      <w:pPr>
        <w:rPr>
          <w:rFonts w:ascii="Times New Roman" w:hAnsi="Times New Roman"/>
          <w:b/>
          <w:sz w:val="24"/>
          <w:szCs w:val="24"/>
          <w:lang w:val="nl-NL"/>
        </w:rPr>
      </w:pPr>
      <w:r>
        <w:rPr>
          <w:rFonts w:ascii="Times New Roman" w:hAnsi="Times New Roman"/>
          <w:b/>
          <w:sz w:val="24"/>
          <w:szCs w:val="24"/>
          <w:lang w:val="nl-NL"/>
        </w:rPr>
        <w:t xml:space="preserve">2. </w:t>
      </w:r>
      <w:r w:rsidR="008477D9" w:rsidRPr="008C36B7">
        <w:rPr>
          <w:rFonts w:ascii="Times New Roman" w:hAnsi="Times New Roman"/>
          <w:b/>
          <w:sz w:val="24"/>
          <w:szCs w:val="24"/>
          <w:lang w:val="nl-NL"/>
        </w:rPr>
        <w:t>SỐ LIỆU HOẠT ĐỘNG</w:t>
      </w:r>
    </w:p>
    <w:p w14:paraId="418567C8" w14:textId="4B9F0B66" w:rsidR="008477D9" w:rsidRPr="008C36B7" w:rsidRDefault="008477D9" w:rsidP="00C72A0B">
      <w:pPr>
        <w:ind w:firstLine="426"/>
        <w:rPr>
          <w:rFonts w:ascii="Times New Roman" w:hAnsi="Times New Roman"/>
          <w:b/>
          <w:sz w:val="24"/>
          <w:szCs w:val="24"/>
          <w:lang w:val="nl-NL"/>
        </w:rPr>
      </w:pPr>
      <w:r w:rsidRPr="008C36B7">
        <w:rPr>
          <w:rFonts w:ascii="Times New Roman" w:hAnsi="Times New Roman"/>
          <w:b/>
          <w:sz w:val="24"/>
          <w:szCs w:val="24"/>
          <w:lang w:val="nl-NL"/>
        </w:rPr>
        <w:t>2.1. Cơ cấu tài sản của Quỹ</w:t>
      </w:r>
    </w:p>
    <w:p w14:paraId="299F3FFC" w14:textId="5D666051" w:rsidR="00590C89" w:rsidRPr="00C72A0B" w:rsidRDefault="00590C89" w:rsidP="008C36B7">
      <w:pPr>
        <w:rPr>
          <w:rFonts w:ascii="Times New Roman" w:hAnsi="Times New Roman"/>
          <w:b/>
          <w:sz w:val="24"/>
          <w:szCs w:val="24"/>
          <w:lang w:val="nl-NL"/>
        </w:rPr>
      </w:pPr>
    </w:p>
    <w:tbl>
      <w:tblPr>
        <w:tblW w:w="9502" w:type="dxa"/>
        <w:tblLook w:val="04A0" w:firstRow="1" w:lastRow="0" w:firstColumn="1" w:lastColumn="0" w:noHBand="0" w:noVBand="1"/>
      </w:tblPr>
      <w:tblGrid>
        <w:gridCol w:w="2835"/>
        <w:gridCol w:w="2127"/>
        <w:gridCol w:w="2315"/>
        <w:gridCol w:w="2225"/>
      </w:tblGrid>
      <w:tr w:rsidR="00C72A0B" w:rsidRPr="00C72A0B" w14:paraId="75B11313" w14:textId="77777777" w:rsidTr="00A102A4">
        <w:trPr>
          <w:trHeight w:val="270"/>
        </w:trPr>
        <w:tc>
          <w:tcPr>
            <w:tcW w:w="2835" w:type="dxa"/>
            <w:shd w:val="clear" w:color="auto" w:fill="auto"/>
            <w:vAlign w:val="center"/>
            <w:hideMark/>
          </w:tcPr>
          <w:p w14:paraId="169821EC" w14:textId="77777777" w:rsidR="00653170" w:rsidRPr="00C72A0B" w:rsidRDefault="00653170" w:rsidP="008C36B7">
            <w:pPr>
              <w:rPr>
                <w:rFonts w:ascii="Times New Roman" w:hAnsi="Times New Roman"/>
                <w:b/>
                <w:bCs/>
                <w:sz w:val="24"/>
                <w:szCs w:val="24"/>
                <w:lang w:val="en-US"/>
              </w:rPr>
            </w:pPr>
            <w:proofErr w:type="spellStart"/>
            <w:r w:rsidRPr="00C72A0B">
              <w:rPr>
                <w:rFonts w:ascii="Times New Roman" w:hAnsi="Times New Roman"/>
                <w:b/>
                <w:bCs/>
                <w:sz w:val="24"/>
                <w:szCs w:val="24"/>
                <w:lang w:val="en-US"/>
              </w:rPr>
              <w:t>Cơ</w:t>
            </w:r>
            <w:proofErr w:type="spellEnd"/>
            <w:r w:rsidRPr="00C72A0B">
              <w:rPr>
                <w:rFonts w:ascii="Times New Roman" w:hAnsi="Times New Roman"/>
                <w:b/>
                <w:bCs/>
                <w:sz w:val="24"/>
                <w:szCs w:val="24"/>
                <w:lang w:val="en-US"/>
              </w:rPr>
              <w:t xml:space="preserve"> </w:t>
            </w:r>
            <w:proofErr w:type="spellStart"/>
            <w:r w:rsidRPr="00C72A0B">
              <w:rPr>
                <w:rFonts w:ascii="Times New Roman" w:hAnsi="Times New Roman"/>
                <w:b/>
                <w:bCs/>
                <w:sz w:val="24"/>
                <w:szCs w:val="24"/>
                <w:lang w:val="en-US"/>
              </w:rPr>
              <w:t>cấu</w:t>
            </w:r>
            <w:proofErr w:type="spellEnd"/>
            <w:r w:rsidRPr="00C72A0B">
              <w:rPr>
                <w:rFonts w:ascii="Times New Roman" w:hAnsi="Times New Roman"/>
                <w:b/>
                <w:bCs/>
                <w:sz w:val="24"/>
                <w:szCs w:val="24"/>
                <w:lang w:val="en-US"/>
              </w:rPr>
              <w:t xml:space="preserve"> </w:t>
            </w:r>
            <w:proofErr w:type="spellStart"/>
            <w:r w:rsidRPr="00C72A0B">
              <w:rPr>
                <w:rFonts w:ascii="Times New Roman" w:hAnsi="Times New Roman"/>
                <w:b/>
                <w:bCs/>
                <w:sz w:val="24"/>
                <w:szCs w:val="24"/>
                <w:lang w:val="en-US"/>
              </w:rPr>
              <w:t>tài</w:t>
            </w:r>
            <w:proofErr w:type="spellEnd"/>
            <w:r w:rsidRPr="00C72A0B">
              <w:rPr>
                <w:rFonts w:ascii="Times New Roman" w:hAnsi="Times New Roman"/>
                <w:b/>
                <w:bCs/>
                <w:sz w:val="24"/>
                <w:szCs w:val="24"/>
                <w:lang w:val="en-US"/>
              </w:rPr>
              <w:t xml:space="preserve"> </w:t>
            </w:r>
            <w:proofErr w:type="spellStart"/>
            <w:r w:rsidRPr="00C72A0B">
              <w:rPr>
                <w:rFonts w:ascii="Times New Roman" w:hAnsi="Times New Roman"/>
                <w:b/>
                <w:bCs/>
                <w:sz w:val="24"/>
                <w:szCs w:val="24"/>
                <w:lang w:val="en-US"/>
              </w:rPr>
              <w:t>sản</w:t>
            </w:r>
            <w:proofErr w:type="spellEnd"/>
            <w:r w:rsidRPr="00C72A0B">
              <w:rPr>
                <w:rFonts w:ascii="Times New Roman" w:hAnsi="Times New Roman"/>
                <w:b/>
                <w:bCs/>
                <w:sz w:val="24"/>
                <w:szCs w:val="24"/>
                <w:lang w:val="en-US"/>
              </w:rPr>
              <w:t xml:space="preserve"> </w:t>
            </w:r>
            <w:proofErr w:type="spellStart"/>
            <w:r w:rsidRPr="00C72A0B">
              <w:rPr>
                <w:rFonts w:ascii="Times New Roman" w:hAnsi="Times New Roman"/>
                <w:b/>
                <w:bCs/>
                <w:sz w:val="24"/>
                <w:szCs w:val="24"/>
                <w:lang w:val="en-US"/>
              </w:rPr>
              <w:t>quỹ</w:t>
            </w:r>
            <w:proofErr w:type="spellEnd"/>
          </w:p>
        </w:tc>
        <w:tc>
          <w:tcPr>
            <w:tcW w:w="2127" w:type="dxa"/>
            <w:shd w:val="clear" w:color="auto" w:fill="auto"/>
            <w:vAlign w:val="center"/>
            <w:hideMark/>
          </w:tcPr>
          <w:p w14:paraId="655A1447" w14:textId="685EFDA8" w:rsidR="00653170" w:rsidRPr="00C72A0B" w:rsidRDefault="00653170" w:rsidP="00C72A0B">
            <w:pPr>
              <w:jc w:val="right"/>
              <w:rPr>
                <w:rFonts w:ascii="Times New Roman" w:hAnsi="Times New Roman"/>
                <w:b/>
                <w:bCs/>
                <w:sz w:val="24"/>
                <w:szCs w:val="24"/>
                <w:lang w:val="en-US"/>
              </w:rPr>
            </w:pPr>
            <w:r w:rsidRPr="00C72A0B">
              <w:rPr>
                <w:rFonts w:ascii="Times New Roman" w:hAnsi="Times New Roman"/>
                <w:b/>
                <w:bCs/>
                <w:sz w:val="24"/>
                <w:szCs w:val="24"/>
              </w:rPr>
              <w:t>30/06/2022</w:t>
            </w:r>
          </w:p>
        </w:tc>
        <w:tc>
          <w:tcPr>
            <w:tcW w:w="2315" w:type="dxa"/>
            <w:shd w:val="clear" w:color="auto" w:fill="auto"/>
            <w:vAlign w:val="center"/>
            <w:hideMark/>
          </w:tcPr>
          <w:p w14:paraId="4BC8D4D0" w14:textId="747F2153" w:rsidR="00653170" w:rsidRPr="00C72A0B" w:rsidRDefault="00653170" w:rsidP="00C72A0B">
            <w:pPr>
              <w:jc w:val="right"/>
              <w:rPr>
                <w:rFonts w:ascii="Times New Roman" w:hAnsi="Times New Roman"/>
                <w:b/>
                <w:bCs/>
                <w:sz w:val="24"/>
                <w:szCs w:val="24"/>
                <w:lang w:val="en-US"/>
              </w:rPr>
            </w:pPr>
            <w:r w:rsidRPr="00C72A0B">
              <w:rPr>
                <w:rFonts w:ascii="Times New Roman" w:hAnsi="Times New Roman"/>
                <w:b/>
                <w:bCs/>
                <w:sz w:val="24"/>
                <w:szCs w:val="24"/>
              </w:rPr>
              <w:t>30/06/2021</w:t>
            </w:r>
          </w:p>
        </w:tc>
        <w:tc>
          <w:tcPr>
            <w:tcW w:w="2225" w:type="dxa"/>
            <w:shd w:val="clear" w:color="auto" w:fill="auto"/>
            <w:vAlign w:val="center"/>
            <w:hideMark/>
          </w:tcPr>
          <w:p w14:paraId="7299146A" w14:textId="2C84E977" w:rsidR="00653170" w:rsidRPr="00C72A0B" w:rsidRDefault="00653170" w:rsidP="00C72A0B">
            <w:pPr>
              <w:jc w:val="right"/>
              <w:rPr>
                <w:rFonts w:ascii="Times New Roman" w:hAnsi="Times New Roman"/>
                <w:b/>
                <w:bCs/>
                <w:sz w:val="24"/>
                <w:szCs w:val="24"/>
                <w:lang w:val="en-US"/>
              </w:rPr>
            </w:pPr>
            <w:r w:rsidRPr="00C72A0B">
              <w:rPr>
                <w:rFonts w:ascii="Times New Roman" w:hAnsi="Times New Roman"/>
                <w:b/>
                <w:bCs/>
                <w:sz w:val="24"/>
                <w:szCs w:val="24"/>
              </w:rPr>
              <w:t>30/06/2020</w:t>
            </w:r>
          </w:p>
        </w:tc>
      </w:tr>
      <w:tr w:rsidR="00C72A0B" w:rsidRPr="00C72A0B" w14:paraId="4FE0DD96" w14:textId="77777777" w:rsidTr="00A102A4">
        <w:trPr>
          <w:trHeight w:val="476"/>
        </w:trPr>
        <w:tc>
          <w:tcPr>
            <w:tcW w:w="2835" w:type="dxa"/>
            <w:shd w:val="clear" w:color="auto" w:fill="auto"/>
            <w:vAlign w:val="center"/>
            <w:hideMark/>
          </w:tcPr>
          <w:p w14:paraId="4461FA03" w14:textId="04C1328B" w:rsidR="00653170" w:rsidRPr="00C72A0B" w:rsidRDefault="00653170" w:rsidP="008C36B7">
            <w:pPr>
              <w:rPr>
                <w:rFonts w:ascii="Times New Roman" w:hAnsi="Times New Roman"/>
                <w:sz w:val="24"/>
                <w:szCs w:val="24"/>
                <w:lang w:val="en-US"/>
              </w:rPr>
            </w:pPr>
            <w:proofErr w:type="spellStart"/>
            <w:r w:rsidRPr="00C72A0B">
              <w:rPr>
                <w:rFonts w:ascii="Times New Roman" w:hAnsi="Times New Roman"/>
                <w:sz w:val="24"/>
                <w:szCs w:val="24"/>
                <w:lang w:val="en-US"/>
              </w:rPr>
              <w:t>Danh</w:t>
            </w:r>
            <w:proofErr w:type="spellEnd"/>
            <w:r w:rsidRPr="00C72A0B">
              <w:rPr>
                <w:rFonts w:ascii="Times New Roman" w:hAnsi="Times New Roman"/>
                <w:sz w:val="24"/>
                <w:szCs w:val="24"/>
                <w:lang w:val="en-US"/>
              </w:rPr>
              <w:t xml:space="preserve"> </w:t>
            </w:r>
            <w:proofErr w:type="spellStart"/>
            <w:r w:rsidRPr="00C72A0B">
              <w:rPr>
                <w:rFonts w:ascii="Times New Roman" w:hAnsi="Times New Roman"/>
                <w:sz w:val="24"/>
                <w:szCs w:val="24"/>
                <w:lang w:val="en-US"/>
              </w:rPr>
              <w:t>mục</w:t>
            </w:r>
            <w:proofErr w:type="spellEnd"/>
            <w:r w:rsidRPr="00C72A0B">
              <w:rPr>
                <w:rFonts w:ascii="Times New Roman" w:hAnsi="Times New Roman"/>
                <w:sz w:val="24"/>
                <w:szCs w:val="24"/>
                <w:lang w:val="en-US"/>
              </w:rPr>
              <w:t xml:space="preserve"> </w:t>
            </w:r>
            <w:proofErr w:type="spellStart"/>
            <w:r w:rsidRPr="00C72A0B">
              <w:rPr>
                <w:rFonts w:ascii="Times New Roman" w:hAnsi="Times New Roman"/>
                <w:sz w:val="24"/>
                <w:szCs w:val="24"/>
                <w:lang w:val="en-US"/>
              </w:rPr>
              <w:t>chứng</w:t>
            </w:r>
            <w:proofErr w:type="spellEnd"/>
            <w:r w:rsidRPr="00C72A0B">
              <w:rPr>
                <w:rFonts w:ascii="Times New Roman" w:hAnsi="Times New Roman"/>
                <w:sz w:val="24"/>
                <w:szCs w:val="24"/>
                <w:lang w:val="en-US"/>
              </w:rPr>
              <w:t xml:space="preserve"> </w:t>
            </w:r>
            <w:proofErr w:type="spellStart"/>
            <w:r w:rsidRPr="00C72A0B">
              <w:rPr>
                <w:rFonts w:ascii="Times New Roman" w:hAnsi="Times New Roman"/>
                <w:sz w:val="24"/>
                <w:szCs w:val="24"/>
                <w:lang w:val="en-US"/>
              </w:rPr>
              <w:t>khoán</w:t>
            </w:r>
            <w:proofErr w:type="spellEnd"/>
            <w:r w:rsidRPr="00C72A0B">
              <w:rPr>
                <w:rFonts w:ascii="Times New Roman" w:hAnsi="Times New Roman"/>
                <w:sz w:val="24"/>
                <w:szCs w:val="24"/>
                <w:lang w:val="en-US"/>
              </w:rPr>
              <w:t xml:space="preserve"> </w:t>
            </w:r>
          </w:p>
        </w:tc>
        <w:tc>
          <w:tcPr>
            <w:tcW w:w="2127" w:type="dxa"/>
            <w:shd w:val="clear" w:color="auto" w:fill="auto"/>
            <w:vAlign w:val="center"/>
          </w:tcPr>
          <w:p w14:paraId="7DC1279E" w14:textId="584A90A6" w:rsidR="00653170" w:rsidRPr="00C72A0B" w:rsidRDefault="00653170" w:rsidP="00C72A0B">
            <w:pPr>
              <w:jc w:val="right"/>
              <w:rPr>
                <w:rFonts w:ascii="Times New Roman" w:hAnsi="Times New Roman"/>
                <w:sz w:val="24"/>
                <w:szCs w:val="24"/>
                <w:lang w:val="en-US"/>
              </w:rPr>
            </w:pPr>
            <w:r w:rsidRPr="00C72A0B">
              <w:rPr>
                <w:rFonts w:ascii="Times New Roman" w:hAnsi="Times New Roman"/>
                <w:sz w:val="24"/>
                <w:szCs w:val="24"/>
              </w:rPr>
              <w:t>89.23%</w:t>
            </w:r>
          </w:p>
        </w:tc>
        <w:tc>
          <w:tcPr>
            <w:tcW w:w="2315" w:type="dxa"/>
            <w:shd w:val="clear" w:color="auto" w:fill="auto"/>
            <w:vAlign w:val="center"/>
            <w:hideMark/>
          </w:tcPr>
          <w:p w14:paraId="7619D321" w14:textId="628B449A" w:rsidR="00653170" w:rsidRPr="00C72A0B" w:rsidRDefault="00653170" w:rsidP="00C72A0B">
            <w:pPr>
              <w:jc w:val="right"/>
              <w:rPr>
                <w:rFonts w:ascii="Times New Roman" w:hAnsi="Times New Roman"/>
                <w:sz w:val="24"/>
                <w:szCs w:val="24"/>
                <w:lang w:val="en-US"/>
              </w:rPr>
            </w:pPr>
            <w:r w:rsidRPr="00C72A0B">
              <w:rPr>
                <w:rFonts w:ascii="Times New Roman" w:hAnsi="Times New Roman"/>
                <w:sz w:val="24"/>
                <w:szCs w:val="24"/>
              </w:rPr>
              <w:t>88.10%</w:t>
            </w:r>
          </w:p>
        </w:tc>
        <w:tc>
          <w:tcPr>
            <w:tcW w:w="2225" w:type="dxa"/>
            <w:shd w:val="clear" w:color="auto" w:fill="auto"/>
            <w:vAlign w:val="center"/>
            <w:hideMark/>
          </w:tcPr>
          <w:p w14:paraId="57C58735" w14:textId="38C18FE4" w:rsidR="00653170" w:rsidRPr="00C72A0B" w:rsidRDefault="00653170" w:rsidP="00C72A0B">
            <w:pPr>
              <w:jc w:val="right"/>
              <w:rPr>
                <w:rFonts w:ascii="Times New Roman" w:hAnsi="Times New Roman"/>
                <w:sz w:val="24"/>
                <w:szCs w:val="24"/>
                <w:lang w:val="en-US"/>
              </w:rPr>
            </w:pPr>
            <w:r w:rsidRPr="00C72A0B">
              <w:rPr>
                <w:rFonts w:ascii="Times New Roman" w:hAnsi="Times New Roman"/>
                <w:sz w:val="24"/>
                <w:szCs w:val="24"/>
              </w:rPr>
              <w:t>82.91%</w:t>
            </w:r>
          </w:p>
        </w:tc>
      </w:tr>
      <w:tr w:rsidR="00C72A0B" w:rsidRPr="00C72A0B" w14:paraId="53B5B814" w14:textId="77777777" w:rsidTr="00A102A4">
        <w:trPr>
          <w:trHeight w:val="403"/>
        </w:trPr>
        <w:tc>
          <w:tcPr>
            <w:tcW w:w="2835" w:type="dxa"/>
            <w:tcBorders>
              <w:bottom w:val="double" w:sz="4" w:space="0" w:color="auto"/>
            </w:tcBorders>
            <w:shd w:val="clear" w:color="auto" w:fill="auto"/>
            <w:vAlign w:val="center"/>
            <w:hideMark/>
          </w:tcPr>
          <w:p w14:paraId="00A19B76" w14:textId="77777777" w:rsidR="00653170" w:rsidRPr="00C72A0B" w:rsidRDefault="00653170" w:rsidP="008C36B7">
            <w:pPr>
              <w:rPr>
                <w:rFonts w:ascii="Times New Roman" w:hAnsi="Times New Roman"/>
                <w:sz w:val="24"/>
                <w:szCs w:val="24"/>
                <w:lang w:val="en-US"/>
              </w:rPr>
            </w:pPr>
            <w:proofErr w:type="spellStart"/>
            <w:r w:rsidRPr="00C72A0B">
              <w:rPr>
                <w:rFonts w:ascii="Times New Roman" w:hAnsi="Times New Roman"/>
                <w:sz w:val="24"/>
                <w:szCs w:val="24"/>
                <w:lang w:val="en-US"/>
              </w:rPr>
              <w:t>Tài</w:t>
            </w:r>
            <w:proofErr w:type="spellEnd"/>
            <w:r w:rsidRPr="00C72A0B">
              <w:rPr>
                <w:rFonts w:ascii="Times New Roman" w:hAnsi="Times New Roman"/>
                <w:sz w:val="24"/>
                <w:szCs w:val="24"/>
                <w:lang w:val="en-US"/>
              </w:rPr>
              <w:t xml:space="preserve"> </w:t>
            </w:r>
            <w:proofErr w:type="spellStart"/>
            <w:r w:rsidRPr="00C72A0B">
              <w:rPr>
                <w:rFonts w:ascii="Times New Roman" w:hAnsi="Times New Roman"/>
                <w:sz w:val="24"/>
                <w:szCs w:val="24"/>
                <w:lang w:val="en-US"/>
              </w:rPr>
              <w:t>sản</w:t>
            </w:r>
            <w:proofErr w:type="spellEnd"/>
            <w:r w:rsidRPr="00C72A0B">
              <w:rPr>
                <w:rFonts w:ascii="Times New Roman" w:hAnsi="Times New Roman"/>
                <w:sz w:val="24"/>
                <w:szCs w:val="24"/>
                <w:lang w:val="en-US"/>
              </w:rPr>
              <w:t xml:space="preserve"> </w:t>
            </w:r>
            <w:proofErr w:type="spellStart"/>
            <w:r w:rsidRPr="00C72A0B">
              <w:rPr>
                <w:rFonts w:ascii="Times New Roman" w:hAnsi="Times New Roman"/>
                <w:sz w:val="24"/>
                <w:szCs w:val="24"/>
                <w:lang w:val="en-US"/>
              </w:rPr>
              <w:t>khác</w:t>
            </w:r>
            <w:proofErr w:type="spellEnd"/>
          </w:p>
        </w:tc>
        <w:tc>
          <w:tcPr>
            <w:tcW w:w="2127" w:type="dxa"/>
            <w:tcBorders>
              <w:bottom w:val="double" w:sz="4" w:space="0" w:color="auto"/>
            </w:tcBorders>
            <w:shd w:val="clear" w:color="auto" w:fill="auto"/>
            <w:vAlign w:val="center"/>
          </w:tcPr>
          <w:p w14:paraId="52D5BAC8" w14:textId="1C4E1915" w:rsidR="00653170" w:rsidRPr="00C72A0B" w:rsidRDefault="00653170" w:rsidP="00C72A0B">
            <w:pPr>
              <w:jc w:val="right"/>
              <w:rPr>
                <w:rFonts w:ascii="Times New Roman" w:hAnsi="Times New Roman"/>
                <w:sz w:val="24"/>
                <w:szCs w:val="24"/>
                <w:lang w:val="en-US"/>
              </w:rPr>
            </w:pPr>
            <w:r w:rsidRPr="00C72A0B">
              <w:rPr>
                <w:rFonts w:ascii="Times New Roman" w:hAnsi="Times New Roman"/>
                <w:sz w:val="24"/>
                <w:szCs w:val="24"/>
              </w:rPr>
              <w:t>10.77%</w:t>
            </w:r>
          </w:p>
        </w:tc>
        <w:tc>
          <w:tcPr>
            <w:tcW w:w="2315" w:type="dxa"/>
            <w:tcBorders>
              <w:bottom w:val="double" w:sz="4" w:space="0" w:color="auto"/>
            </w:tcBorders>
            <w:shd w:val="clear" w:color="auto" w:fill="auto"/>
            <w:vAlign w:val="center"/>
            <w:hideMark/>
          </w:tcPr>
          <w:p w14:paraId="6C6B7E58" w14:textId="53EEC68C" w:rsidR="00653170" w:rsidRPr="00C72A0B" w:rsidRDefault="00653170" w:rsidP="00C72A0B">
            <w:pPr>
              <w:jc w:val="right"/>
              <w:rPr>
                <w:rFonts w:ascii="Times New Roman" w:hAnsi="Times New Roman"/>
                <w:sz w:val="24"/>
                <w:szCs w:val="24"/>
                <w:lang w:val="en-US"/>
              </w:rPr>
            </w:pPr>
            <w:r w:rsidRPr="00C72A0B">
              <w:rPr>
                <w:rFonts w:ascii="Times New Roman" w:hAnsi="Times New Roman"/>
                <w:sz w:val="24"/>
                <w:szCs w:val="24"/>
              </w:rPr>
              <w:t>11.90%</w:t>
            </w:r>
          </w:p>
        </w:tc>
        <w:tc>
          <w:tcPr>
            <w:tcW w:w="2225" w:type="dxa"/>
            <w:tcBorders>
              <w:bottom w:val="double" w:sz="4" w:space="0" w:color="auto"/>
            </w:tcBorders>
            <w:shd w:val="clear" w:color="auto" w:fill="auto"/>
            <w:vAlign w:val="center"/>
            <w:hideMark/>
          </w:tcPr>
          <w:p w14:paraId="72DAECA7" w14:textId="66010E25" w:rsidR="00653170" w:rsidRPr="00C72A0B" w:rsidRDefault="00653170" w:rsidP="00C72A0B">
            <w:pPr>
              <w:jc w:val="right"/>
              <w:rPr>
                <w:rFonts w:ascii="Times New Roman" w:hAnsi="Times New Roman"/>
                <w:sz w:val="24"/>
                <w:szCs w:val="24"/>
                <w:lang w:val="en-US"/>
              </w:rPr>
            </w:pPr>
            <w:r w:rsidRPr="00C72A0B">
              <w:rPr>
                <w:rFonts w:ascii="Times New Roman" w:hAnsi="Times New Roman"/>
                <w:sz w:val="24"/>
                <w:szCs w:val="24"/>
              </w:rPr>
              <w:t>17.09%</w:t>
            </w:r>
          </w:p>
        </w:tc>
      </w:tr>
      <w:tr w:rsidR="00C72A0B" w:rsidRPr="00C72A0B" w14:paraId="7FBFBAE4" w14:textId="77777777" w:rsidTr="00A102A4">
        <w:trPr>
          <w:trHeight w:val="289"/>
        </w:trPr>
        <w:tc>
          <w:tcPr>
            <w:tcW w:w="2835" w:type="dxa"/>
            <w:tcBorders>
              <w:top w:val="double" w:sz="4" w:space="0" w:color="auto"/>
              <w:bottom w:val="double" w:sz="4" w:space="0" w:color="auto"/>
            </w:tcBorders>
            <w:shd w:val="clear" w:color="auto" w:fill="auto"/>
            <w:vAlign w:val="center"/>
            <w:hideMark/>
          </w:tcPr>
          <w:p w14:paraId="7A5C76FB" w14:textId="77777777" w:rsidR="00590C89" w:rsidRPr="00C72A0B" w:rsidRDefault="00590C89" w:rsidP="008C36B7">
            <w:pPr>
              <w:rPr>
                <w:rFonts w:ascii="Times New Roman" w:hAnsi="Times New Roman"/>
                <w:b/>
                <w:bCs/>
                <w:sz w:val="24"/>
                <w:szCs w:val="24"/>
                <w:lang w:val="en-US"/>
              </w:rPr>
            </w:pPr>
            <w:proofErr w:type="spellStart"/>
            <w:r w:rsidRPr="00C72A0B">
              <w:rPr>
                <w:rFonts w:ascii="Times New Roman" w:hAnsi="Times New Roman"/>
                <w:b/>
                <w:bCs/>
                <w:sz w:val="24"/>
                <w:szCs w:val="24"/>
                <w:lang w:val="en-US"/>
              </w:rPr>
              <w:t>Cộng</w:t>
            </w:r>
            <w:proofErr w:type="spellEnd"/>
          </w:p>
        </w:tc>
        <w:tc>
          <w:tcPr>
            <w:tcW w:w="2127" w:type="dxa"/>
            <w:tcBorders>
              <w:top w:val="double" w:sz="4" w:space="0" w:color="auto"/>
              <w:bottom w:val="double" w:sz="4" w:space="0" w:color="auto"/>
            </w:tcBorders>
            <w:shd w:val="clear" w:color="auto" w:fill="auto"/>
            <w:vAlign w:val="center"/>
            <w:hideMark/>
          </w:tcPr>
          <w:p w14:paraId="484D74DE" w14:textId="77777777" w:rsidR="00590C89" w:rsidRPr="00C72A0B" w:rsidRDefault="00590C89" w:rsidP="00C72A0B">
            <w:pPr>
              <w:jc w:val="right"/>
              <w:rPr>
                <w:rFonts w:ascii="Times New Roman" w:hAnsi="Times New Roman"/>
                <w:b/>
                <w:bCs/>
                <w:sz w:val="24"/>
                <w:szCs w:val="24"/>
                <w:lang w:val="en-US"/>
              </w:rPr>
            </w:pPr>
            <w:r w:rsidRPr="00C72A0B">
              <w:rPr>
                <w:rFonts w:ascii="Times New Roman" w:hAnsi="Times New Roman"/>
                <w:b/>
                <w:bCs/>
                <w:sz w:val="24"/>
                <w:szCs w:val="24"/>
                <w:lang w:val="en-US"/>
              </w:rPr>
              <w:t>100.00%</w:t>
            </w:r>
          </w:p>
        </w:tc>
        <w:tc>
          <w:tcPr>
            <w:tcW w:w="2315" w:type="dxa"/>
            <w:tcBorders>
              <w:top w:val="double" w:sz="4" w:space="0" w:color="auto"/>
              <w:bottom w:val="double" w:sz="4" w:space="0" w:color="auto"/>
            </w:tcBorders>
            <w:shd w:val="clear" w:color="auto" w:fill="auto"/>
            <w:vAlign w:val="center"/>
            <w:hideMark/>
          </w:tcPr>
          <w:p w14:paraId="5E8941E3" w14:textId="77777777" w:rsidR="00590C89" w:rsidRPr="00C72A0B" w:rsidRDefault="00590C89" w:rsidP="00C72A0B">
            <w:pPr>
              <w:jc w:val="right"/>
              <w:rPr>
                <w:rFonts w:ascii="Times New Roman" w:hAnsi="Times New Roman"/>
                <w:b/>
                <w:bCs/>
                <w:sz w:val="24"/>
                <w:szCs w:val="24"/>
                <w:lang w:val="en-US"/>
              </w:rPr>
            </w:pPr>
            <w:r w:rsidRPr="00C72A0B">
              <w:rPr>
                <w:rFonts w:ascii="Times New Roman" w:hAnsi="Times New Roman"/>
                <w:b/>
                <w:bCs/>
                <w:sz w:val="24"/>
                <w:szCs w:val="24"/>
                <w:lang w:val="en-US"/>
              </w:rPr>
              <w:t>100.00%</w:t>
            </w:r>
          </w:p>
        </w:tc>
        <w:tc>
          <w:tcPr>
            <w:tcW w:w="2225" w:type="dxa"/>
            <w:tcBorders>
              <w:top w:val="double" w:sz="4" w:space="0" w:color="auto"/>
              <w:bottom w:val="double" w:sz="4" w:space="0" w:color="auto"/>
            </w:tcBorders>
            <w:shd w:val="clear" w:color="auto" w:fill="auto"/>
            <w:vAlign w:val="center"/>
            <w:hideMark/>
          </w:tcPr>
          <w:p w14:paraId="52B1881E" w14:textId="77777777" w:rsidR="00590C89" w:rsidRPr="00C72A0B" w:rsidRDefault="00590C89" w:rsidP="00C72A0B">
            <w:pPr>
              <w:jc w:val="right"/>
              <w:rPr>
                <w:rFonts w:ascii="Times New Roman" w:hAnsi="Times New Roman"/>
                <w:b/>
                <w:bCs/>
                <w:sz w:val="24"/>
                <w:szCs w:val="24"/>
                <w:lang w:val="en-US"/>
              </w:rPr>
            </w:pPr>
            <w:r w:rsidRPr="00C72A0B">
              <w:rPr>
                <w:rFonts w:ascii="Times New Roman" w:hAnsi="Times New Roman"/>
                <w:b/>
                <w:bCs/>
                <w:sz w:val="24"/>
                <w:szCs w:val="24"/>
                <w:lang w:val="en-US"/>
              </w:rPr>
              <w:t>100.00%</w:t>
            </w:r>
          </w:p>
        </w:tc>
      </w:tr>
    </w:tbl>
    <w:p w14:paraId="3B89DEFD" w14:textId="333C6867" w:rsidR="00590C89" w:rsidRPr="008C36B7" w:rsidRDefault="00590C89" w:rsidP="008C36B7">
      <w:pPr>
        <w:rPr>
          <w:rFonts w:ascii="Times New Roman" w:hAnsi="Times New Roman"/>
          <w:b/>
          <w:sz w:val="24"/>
          <w:szCs w:val="24"/>
          <w:lang w:val="nl-NL"/>
        </w:rPr>
      </w:pPr>
    </w:p>
    <w:p w14:paraId="50BBF229" w14:textId="088C7417" w:rsidR="008477D9" w:rsidRDefault="008477D9" w:rsidP="00A102A4">
      <w:pPr>
        <w:ind w:firstLine="426"/>
        <w:rPr>
          <w:rFonts w:ascii="Times New Roman" w:hAnsi="Times New Roman"/>
          <w:b/>
          <w:sz w:val="24"/>
          <w:szCs w:val="24"/>
          <w:lang w:val="nl-NL"/>
        </w:rPr>
      </w:pPr>
      <w:r w:rsidRPr="008C36B7">
        <w:rPr>
          <w:rFonts w:ascii="Times New Roman" w:hAnsi="Times New Roman"/>
          <w:b/>
          <w:sz w:val="24"/>
          <w:szCs w:val="24"/>
          <w:lang w:val="nl-NL"/>
        </w:rPr>
        <w:t>2.2</w:t>
      </w:r>
      <w:r w:rsidR="00A102A4">
        <w:rPr>
          <w:rFonts w:ascii="Times New Roman" w:hAnsi="Times New Roman"/>
          <w:b/>
          <w:sz w:val="24"/>
          <w:szCs w:val="24"/>
          <w:lang w:val="nl-NL"/>
        </w:rPr>
        <w:t xml:space="preserve">. </w:t>
      </w:r>
      <w:r w:rsidRPr="008C36B7">
        <w:rPr>
          <w:rFonts w:ascii="Times New Roman" w:hAnsi="Times New Roman"/>
          <w:b/>
          <w:sz w:val="24"/>
          <w:szCs w:val="24"/>
          <w:lang w:val="nl-NL"/>
        </w:rPr>
        <w:t>Chi tiết chỉ tiêu hoạt động</w:t>
      </w:r>
    </w:p>
    <w:p w14:paraId="0F4E4989" w14:textId="77777777" w:rsidR="00A102A4" w:rsidRPr="008C36B7" w:rsidRDefault="00A102A4" w:rsidP="00A102A4">
      <w:pPr>
        <w:ind w:firstLine="426"/>
        <w:rPr>
          <w:rFonts w:ascii="Times New Roman" w:hAnsi="Times New Roman"/>
          <w:b/>
          <w:sz w:val="24"/>
          <w:szCs w:val="24"/>
          <w:lang w:val="nl-NL"/>
        </w:rPr>
      </w:pPr>
    </w:p>
    <w:tbl>
      <w:tblPr>
        <w:tblW w:w="10000" w:type="dxa"/>
        <w:tblLook w:val="04A0" w:firstRow="1" w:lastRow="0" w:firstColumn="1" w:lastColumn="0" w:noHBand="0" w:noVBand="1"/>
      </w:tblPr>
      <w:tblGrid>
        <w:gridCol w:w="2500"/>
        <w:gridCol w:w="2500"/>
        <w:gridCol w:w="2500"/>
        <w:gridCol w:w="2500"/>
      </w:tblGrid>
      <w:tr w:rsidR="00653170" w:rsidRPr="008C36B7" w14:paraId="40B86628" w14:textId="77777777" w:rsidTr="005254BB">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45DE05" w14:textId="71CB4D6D" w:rsidR="00653170" w:rsidRPr="008C36B7" w:rsidRDefault="00653170" w:rsidP="00A102A4">
            <w:pPr>
              <w:jc w:val="center"/>
              <w:rPr>
                <w:rFonts w:ascii="Times New Roman" w:hAnsi="Times New Roman"/>
                <w:b/>
                <w:bCs/>
                <w:sz w:val="24"/>
                <w:szCs w:val="24"/>
                <w:lang w:val="en-US"/>
              </w:rPr>
            </w:pPr>
            <w:proofErr w:type="spellStart"/>
            <w:r w:rsidRPr="008C36B7">
              <w:rPr>
                <w:rFonts w:ascii="Times New Roman" w:hAnsi="Times New Roman"/>
                <w:b/>
                <w:bCs/>
                <w:sz w:val="24"/>
                <w:szCs w:val="24"/>
                <w:lang w:val="en-US"/>
              </w:rPr>
              <w:t>Ch</w:t>
            </w:r>
            <w:r w:rsidR="00A102A4">
              <w:rPr>
                <w:rFonts w:ascii="Times New Roman" w:hAnsi="Times New Roman"/>
                <w:b/>
                <w:bCs/>
                <w:sz w:val="24"/>
                <w:szCs w:val="24"/>
                <w:lang w:val="en-US"/>
              </w:rPr>
              <w:t>ỉ</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tiêu</w:t>
            </w:r>
            <w:proofErr w:type="spellEnd"/>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74633876" w14:textId="708F450D" w:rsidR="00653170" w:rsidRPr="00A102A4" w:rsidRDefault="00653170" w:rsidP="00A102A4">
            <w:pPr>
              <w:jc w:val="center"/>
              <w:rPr>
                <w:rFonts w:ascii="Times New Roman" w:hAnsi="Times New Roman"/>
                <w:b/>
                <w:bCs/>
                <w:sz w:val="24"/>
                <w:szCs w:val="24"/>
                <w:lang w:val="en-US"/>
              </w:rPr>
            </w:pPr>
            <w:r w:rsidRPr="00A102A4">
              <w:rPr>
                <w:rFonts w:ascii="Times New Roman" w:hAnsi="Times New Roman"/>
                <w:b/>
                <w:bCs/>
                <w:sz w:val="24"/>
                <w:szCs w:val="24"/>
              </w:rPr>
              <w:t>30/06/2022</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1D79EE1F" w14:textId="45AB52DE" w:rsidR="00653170" w:rsidRPr="00A102A4" w:rsidRDefault="00653170" w:rsidP="00A102A4">
            <w:pPr>
              <w:jc w:val="center"/>
              <w:rPr>
                <w:rFonts w:ascii="Times New Roman" w:hAnsi="Times New Roman"/>
                <w:b/>
                <w:bCs/>
                <w:sz w:val="24"/>
                <w:szCs w:val="24"/>
                <w:lang w:val="en-US"/>
              </w:rPr>
            </w:pPr>
            <w:r w:rsidRPr="00A102A4">
              <w:rPr>
                <w:rFonts w:ascii="Times New Roman" w:hAnsi="Times New Roman"/>
                <w:b/>
                <w:bCs/>
                <w:sz w:val="24"/>
                <w:szCs w:val="24"/>
              </w:rPr>
              <w:t>30/06/2021</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69B0DA6D" w14:textId="2EF4C582" w:rsidR="00653170" w:rsidRPr="00A102A4" w:rsidRDefault="00653170" w:rsidP="00A102A4">
            <w:pPr>
              <w:jc w:val="center"/>
              <w:rPr>
                <w:rFonts w:ascii="Times New Roman" w:hAnsi="Times New Roman"/>
                <w:b/>
                <w:bCs/>
                <w:sz w:val="24"/>
                <w:szCs w:val="24"/>
                <w:lang w:val="en-US"/>
              </w:rPr>
            </w:pPr>
            <w:r w:rsidRPr="00A102A4">
              <w:rPr>
                <w:rFonts w:ascii="Times New Roman" w:hAnsi="Times New Roman"/>
                <w:b/>
                <w:bCs/>
                <w:sz w:val="24"/>
                <w:szCs w:val="24"/>
              </w:rPr>
              <w:t>30/06/2020</w:t>
            </w:r>
          </w:p>
        </w:tc>
      </w:tr>
      <w:tr w:rsidR="00653170" w:rsidRPr="008C36B7" w14:paraId="5D310BBC" w14:textId="77777777" w:rsidTr="005F1FC7">
        <w:trPr>
          <w:trHeight w:val="718"/>
        </w:trPr>
        <w:tc>
          <w:tcPr>
            <w:tcW w:w="2500" w:type="dxa"/>
            <w:tcBorders>
              <w:top w:val="nil"/>
              <w:left w:val="single" w:sz="8" w:space="0" w:color="auto"/>
              <w:bottom w:val="single" w:sz="8" w:space="0" w:color="auto"/>
              <w:right w:val="single" w:sz="8" w:space="0" w:color="auto"/>
            </w:tcBorders>
            <w:shd w:val="clear" w:color="auto" w:fill="auto"/>
            <w:vAlign w:val="center"/>
          </w:tcPr>
          <w:p w14:paraId="43ED60FF" w14:textId="49236846" w:rsidR="00653170" w:rsidRPr="008C36B7" w:rsidRDefault="00653170" w:rsidP="008C36B7">
            <w:pPr>
              <w:rPr>
                <w:rFonts w:ascii="Times New Roman" w:hAnsi="Times New Roman"/>
                <w:sz w:val="24"/>
                <w:szCs w:val="24"/>
                <w:lang w:val="en-US"/>
              </w:rPr>
            </w:pPr>
            <w:r w:rsidRPr="008C36B7">
              <w:rPr>
                <w:rFonts w:ascii="Times New Roman" w:hAnsi="Times New Roman"/>
                <w:color w:val="000000"/>
                <w:sz w:val="24"/>
                <w:szCs w:val="24"/>
              </w:rPr>
              <w:t>2.</w:t>
            </w:r>
            <w:proofErr w:type="gramStart"/>
            <w:r w:rsidRPr="008C36B7">
              <w:rPr>
                <w:rFonts w:ascii="Times New Roman" w:hAnsi="Times New Roman"/>
                <w:color w:val="000000"/>
                <w:sz w:val="24"/>
                <w:szCs w:val="24"/>
              </w:rPr>
              <w:t>1.Giá</w:t>
            </w:r>
            <w:proofErr w:type="gram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trị</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tài</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sản</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ròng</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của</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Quỹ</w:t>
            </w:r>
            <w:proofErr w:type="spellEnd"/>
            <w:r w:rsidRPr="008C36B7">
              <w:rPr>
                <w:rFonts w:ascii="Times New Roman" w:hAnsi="Times New Roman"/>
                <w:color w:val="000000"/>
                <w:sz w:val="24"/>
                <w:szCs w:val="24"/>
              </w:rPr>
              <w:t xml:space="preserve"> (VND)</w:t>
            </w:r>
          </w:p>
        </w:tc>
        <w:tc>
          <w:tcPr>
            <w:tcW w:w="2500" w:type="dxa"/>
            <w:tcBorders>
              <w:top w:val="nil"/>
              <w:left w:val="nil"/>
              <w:bottom w:val="single" w:sz="8" w:space="0" w:color="auto"/>
              <w:right w:val="single" w:sz="8" w:space="0" w:color="auto"/>
            </w:tcBorders>
            <w:shd w:val="clear" w:color="auto" w:fill="auto"/>
            <w:vAlign w:val="center"/>
          </w:tcPr>
          <w:p w14:paraId="04AEE9BC" w14:textId="0179E915" w:rsidR="00653170" w:rsidRPr="008C36B7" w:rsidRDefault="00653170" w:rsidP="00A102A4">
            <w:pPr>
              <w:jc w:val="right"/>
              <w:rPr>
                <w:rFonts w:ascii="Times New Roman" w:hAnsi="Times New Roman"/>
                <w:color w:val="FF0000"/>
                <w:sz w:val="24"/>
                <w:szCs w:val="24"/>
              </w:rPr>
            </w:pPr>
            <w:r w:rsidRPr="008C36B7">
              <w:rPr>
                <w:rFonts w:ascii="Times New Roman" w:hAnsi="Times New Roman"/>
                <w:sz w:val="24"/>
                <w:szCs w:val="24"/>
              </w:rPr>
              <w:t>1,561,678,860,275</w:t>
            </w:r>
          </w:p>
        </w:tc>
        <w:tc>
          <w:tcPr>
            <w:tcW w:w="2500" w:type="dxa"/>
            <w:tcBorders>
              <w:top w:val="nil"/>
              <w:left w:val="nil"/>
              <w:bottom w:val="single" w:sz="8" w:space="0" w:color="auto"/>
              <w:right w:val="single" w:sz="8" w:space="0" w:color="auto"/>
            </w:tcBorders>
            <w:shd w:val="clear" w:color="auto" w:fill="auto"/>
            <w:vAlign w:val="center"/>
          </w:tcPr>
          <w:p w14:paraId="454995A2" w14:textId="4C5251A2" w:rsidR="00653170" w:rsidRPr="008C36B7" w:rsidRDefault="00653170" w:rsidP="00A102A4">
            <w:pPr>
              <w:jc w:val="right"/>
              <w:rPr>
                <w:rFonts w:ascii="Times New Roman" w:hAnsi="Times New Roman"/>
                <w:color w:val="FF0000"/>
                <w:sz w:val="24"/>
                <w:szCs w:val="24"/>
              </w:rPr>
            </w:pPr>
            <w:r w:rsidRPr="008C36B7">
              <w:rPr>
                <w:rFonts w:ascii="Times New Roman" w:hAnsi="Times New Roman"/>
                <w:sz w:val="24"/>
                <w:szCs w:val="24"/>
              </w:rPr>
              <w:t>906,450,326,555</w:t>
            </w:r>
          </w:p>
        </w:tc>
        <w:tc>
          <w:tcPr>
            <w:tcW w:w="2500" w:type="dxa"/>
            <w:tcBorders>
              <w:top w:val="nil"/>
              <w:left w:val="nil"/>
              <w:bottom w:val="single" w:sz="8" w:space="0" w:color="auto"/>
              <w:right w:val="single" w:sz="8" w:space="0" w:color="auto"/>
            </w:tcBorders>
            <w:shd w:val="clear" w:color="auto" w:fill="auto"/>
            <w:vAlign w:val="center"/>
          </w:tcPr>
          <w:p w14:paraId="32FE3481" w14:textId="1E7BD253" w:rsidR="00653170" w:rsidRPr="008C36B7" w:rsidRDefault="00653170" w:rsidP="00A102A4">
            <w:pPr>
              <w:jc w:val="right"/>
              <w:rPr>
                <w:rFonts w:ascii="Times New Roman" w:hAnsi="Times New Roman"/>
                <w:color w:val="FF0000"/>
                <w:sz w:val="24"/>
                <w:szCs w:val="24"/>
              </w:rPr>
            </w:pPr>
            <w:r w:rsidRPr="008C36B7">
              <w:rPr>
                <w:rFonts w:ascii="Times New Roman" w:hAnsi="Times New Roman"/>
                <w:sz w:val="24"/>
                <w:szCs w:val="24"/>
              </w:rPr>
              <w:t>505,669,391,303</w:t>
            </w:r>
          </w:p>
        </w:tc>
      </w:tr>
      <w:tr w:rsidR="00653170" w:rsidRPr="008C36B7" w14:paraId="4AB82759" w14:textId="77777777" w:rsidTr="005254BB">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D9C0117" w14:textId="4C1D9001" w:rsidR="00653170" w:rsidRPr="008C36B7" w:rsidRDefault="00653170" w:rsidP="008C36B7">
            <w:pPr>
              <w:rPr>
                <w:rFonts w:ascii="Times New Roman" w:hAnsi="Times New Roman"/>
                <w:sz w:val="24"/>
                <w:szCs w:val="24"/>
                <w:lang w:val="en-US"/>
              </w:rPr>
            </w:pPr>
            <w:r w:rsidRPr="008C36B7">
              <w:rPr>
                <w:rFonts w:ascii="Times New Roman" w:hAnsi="Times New Roman"/>
                <w:color w:val="000000"/>
                <w:sz w:val="24"/>
                <w:szCs w:val="24"/>
              </w:rPr>
              <w:t>2.</w:t>
            </w:r>
            <w:proofErr w:type="gramStart"/>
            <w:r w:rsidRPr="008C36B7">
              <w:rPr>
                <w:rFonts w:ascii="Times New Roman" w:hAnsi="Times New Roman"/>
                <w:color w:val="000000"/>
                <w:sz w:val="24"/>
                <w:szCs w:val="24"/>
              </w:rPr>
              <w:t>2.Tổng</w:t>
            </w:r>
            <w:proofErr w:type="gram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số</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chứng</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chỉ</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quỹ</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đang</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lưu</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hành</w:t>
            </w:r>
            <w:proofErr w:type="spellEnd"/>
            <w:r w:rsidRPr="008C36B7">
              <w:rPr>
                <w:rFonts w:ascii="Times New Roman" w:hAnsi="Times New Roman"/>
                <w:color w:val="000000"/>
                <w:sz w:val="24"/>
                <w:szCs w:val="24"/>
              </w:rPr>
              <w:t xml:space="preserve"> (VND)</w:t>
            </w:r>
          </w:p>
        </w:tc>
        <w:tc>
          <w:tcPr>
            <w:tcW w:w="2500" w:type="dxa"/>
            <w:tcBorders>
              <w:top w:val="nil"/>
              <w:left w:val="nil"/>
              <w:bottom w:val="single" w:sz="8" w:space="0" w:color="auto"/>
              <w:right w:val="single" w:sz="8" w:space="0" w:color="auto"/>
            </w:tcBorders>
            <w:shd w:val="clear" w:color="auto" w:fill="auto"/>
            <w:vAlign w:val="center"/>
          </w:tcPr>
          <w:p w14:paraId="24E2A85F" w14:textId="38C5881D"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 xml:space="preserve">                          25,785,277.55 </w:t>
            </w:r>
          </w:p>
        </w:tc>
        <w:tc>
          <w:tcPr>
            <w:tcW w:w="2500" w:type="dxa"/>
            <w:tcBorders>
              <w:top w:val="nil"/>
              <w:left w:val="nil"/>
              <w:bottom w:val="single" w:sz="8" w:space="0" w:color="auto"/>
              <w:right w:val="single" w:sz="8" w:space="0" w:color="auto"/>
            </w:tcBorders>
            <w:shd w:val="clear" w:color="auto" w:fill="auto"/>
            <w:vAlign w:val="center"/>
          </w:tcPr>
          <w:p w14:paraId="26621643" w14:textId="5D910EB1"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 xml:space="preserve">                    13,116,249.15 </w:t>
            </w:r>
          </w:p>
        </w:tc>
        <w:tc>
          <w:tcPr>
            <w:tcW w:w="2500" w:type="dxa"/>
            <w:tcBorders>
              <w:top w:val="nil"/>
              <w:left w:val="nil"/>
              <w:bottom w:val="single" w:sz="8" w:space="0" w:color="auto"/>
              <w:right w:val="single" w:sz="8" w:space="0" w:color="auto"/>
            </w:tcBorders>
            <w:shd w:val="clear" w:color="auto" w:fill="auto"/>
            <w:vAlign w:val="center"/>
          </w:tcPr>
          <w:p w14:paraId="1BFCC256" w14:textId="553282B3"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 xml:space="preserve">                    13,891,291.00 </w:t>
            </w:r>
          </w:p>
        </w:tc>
      </w:tr>
      <w:tr w:rsidR="00653170" w:rsidRPr="008C36B7" w14:paraId="33BD7D18" w14:textId="77777777" w:rsidTr="005254BB">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15CA4D76" w14:textId="50EDF663" w:rsidR="00653170" w:rsidRPr="008C36B7" w:rsidRDefault="00653170" w:rsidP="008C36B7">
            <w:pPr>
              <w:rPr>
                <w:rFonts w:ascii="Times New Roman" w:hAnsi="Times New Roman"/>
                <w:sz w:val="24"/>
                <w:szCs w:val="24"/>
                <w:lang w:val="en-US"/>
              </w:rPr>
            </w:pPr>
            <w:r w:rsidRPr="008C36B7">
              <w:rPr>
                <w:rFonts w:ascii="Times New Roman" w:hAnsi="Times New Roman"/>
                <w:color w:val="000000"/>
                <w:sz w:val="24"/>
                <w:szCs w:val="24"/>
              </w:rPr>
              <w:t>2.</w:t>
            </w:r>
            <w:proofErr w:type="gramStart"/>
            <w:r w:rsidRPr="008C36B7">
              <w:rPr>
                <w:rFonts w:ascii="Times New Roman" w:hAnsi="Times New Roman"/>
                <w:color w:val="000000"/>
                <w:sz w:val="24"/>
                <w:szCs w:val="24"/>
              </w:rPr>
              <w:t>3.Giá</w:t>
            </w:r>
            <w:proofErr w:type="gram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trị</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tài</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sản</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ròng</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của</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một</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đơn</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vị</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Chứng</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chỉ</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quỹ</w:t>
            </w:r>
            <w:proofErr w:type="spellEnd"/>
            <w:r w:rsidRPr="008C36B7">
              <w:rPr>
                <w:rFonts w:ascii="Times New Roman" w:hAnsi="Times New Roman"/>
                <w:color w:val="000000"/>
                <w:sz w:val="24"/>
                <w:szCs w:val="24"/>
              </w:rPr>
              <w:t xml:space="preserve"> (CCQ) (VND)</w:t>
            </w:r>
          </w:p>
        </w:tc>
        <w:tc>
          <w:tcPr>
            <w:tcW w:w="2500" w:type="dxa"/>
            <w:tcBorders>
              <w:top w:val="nil"/>
              <w:left w:val="nil"/>
              <w:bottom w:val="single" w:sz="8" w:space="0" w:color="auto"/>
              <w:right w:val="single" w:sz="8" w:space="0" w:color="auto"/>
            </w:tcBorders>
            <w:shd w:val="clear" w:color="auto" w:fill="auto"/>
            <w:vAlign w:val="center"/>
          </w:tcPr>
          <w:p w14:paraId="0D0A7054" w14:textId="0B25E8C7"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60,564.74</w:t>
            </w:r>
          </w:p>
        </w:tc>
        <w:tc>
          <w:tcPr>
            <w:tcW w:w="2500" w:type="dxa"/>
            <w:tcBorders>
              <w:top w:val="nil"/>
              <w:left w:val="nil"/>
              <w:bottom w:val="single" w:sz="8" w:space="0" w:color="auto"/>
              <w:right w:val="single" w:sz="8" w:space="0" w:color="auto"/>
            </w:tcBorders>
            <w:shd w:val="clear" w:color="auto" w:fill="auto"/>
            <w:vAlign w:val="center"/>
          </w:tcPr>
          <w:p w14:paraId="6483EC6D" w14:textId="1F03E921"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69,108.95</w:t>
            </w:r>
          </w:p>
        </w:tc>
        <w:tc>
          <w:tcPr>
            <w:tcW w:w="2500" w:type="dxa"/>
            <w:tcBorders>
              <w:top w:val="nil"/>
              <w:left w:val="nil"/>
              <w:bottom w:val="single" w:sz="8" w:space="0" w:color="auto"/>
              <w:right w:val="single" w:sz="8" w:space="0" w:color="auto"/>
            </w:tcBorders>
            <w:shd w:val="clear" w:color="auto" w:fill="auto"/>
            <w:vAlign w:val="center"/>
          </w:tcPr>
          <w:p w14:paraId="34120E5B" w14:textId="2392639A"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36,401.90</w:t>
            </w:r>
          </w:p>
        </w:tc>
      </w:tr>
      <w:tr w:rsidR="00653170" w:rsidRPr="008C36B7" w14:paraId="6DD3CE28" w14:textId="77777777" w:rsidTr="005254BB">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0774D8DD" w14:textId="49C5F3D5" w:rsidR="00653170" w:rsidRPr="008C36B7" w:rsidRDefault="00653170" w:rsidP="008C36B7">
            <w:pPr>
              <w:rPr>
                <w:rFonts w:ascii="Times New Roman" w:hAnsi="Times New Roman"/>
                <w:sz w:val="24"/>
                <w:szCs w:val="24"/>
                <w:lang w:val="en-US"/>
              </w:rPr>
            </w:pPr>
            <w:r w:rsidRPr="008C36B7">
              <w:rPr>
                <w:rFonts w:ascii="Times New Roman" w:hAnsi="Times New Roman"/>
                <w:color w:val="000000"/>
                <w:sz w:val="24"/>
                <w:szCs w:val="24"/>
              </w:rPr>
              <w:t>2.</w:t>
            </w:r>
            <w:proofErr w:type="gramStart"/>
            <w:r w:rsidRPr="008C36B7">
              <w:rPr>
                <w:rFonts w:ascii="Times New Roman" w:hAnsi="Times New Roman"/>
                <w:color w:val="000000"/>
                <w:sz w:val="24"/>
                <w:szCs w:val="24"/>
              </w:rPr>
              <w:t>4.Giá</w:t>
            </w:r>
            <w:proofErr w:type="gram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trị</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tài</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sản</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ròng</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cao</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nhất</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của</w:t>
            </w:r>
            <w:proofErr w:type="spellEnd"/>
            <w:r w:rsidRPr="008C36B7">
              <w:rPr>
                <w:rFonts w:ascii="Times New Roman" w:hAnsi="Times New Roman"/>
                <w:color w:val="000000"/>
                <w:sz w:val="24"/>
                <w:szCs w:val="24"/>
              </w:rPr>
              <w:t xml:space="preserve"> 1 </w:t>
            </w:r>
            <w:proofErr w:type="spellStart"/>
            <w:r w:rsidRPr="008C36B7">
              <w:rPr>
                <w:rFonts w:ascii="Times New Roman" w:hAnsi="Times New Roman"/>
                <w:color w:val="000000"/>
                <w:sz w:val="24"/>
                <w:szCs w:val="24"/>
              </w:rPr>
              <w:t>đơn</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vị</w:t>
            </w:r>
            <w:proofErr w:type="spellEnd"/>
            <w:r w:rsidRPr="008C36B7">
              <w:rPr>
                <w:rFonts w:ascii="Times New Roman" w:hAnsi="Times New Roman"/>
                <w:color w:val="000000"/>
                <w:sz w:val="24"/>
                <w:szCs w:val="24"/>
              </w:rPr>
              <w:t xml:space="preserve"> CCQ </w:t>
            </w:r>
            <w:proofErr w:type="spellStart"/>
            <w:r w:rsidRPr="008C36B7">
              <w:rPr>
                <w:rFonts w:ascii="Times New Roman" w:hAnsi="Times New Roman"/>
                <w:color w:val="000000"/>
                <w:sz w:val="24"/>
                <w:szCs w:val="24"/>
              </w:rPr>
              <w:t>trong</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kỳ</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báo</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cáo</w:t>
            </w:r>
            <w:proofErr w:type="spellEnd"/>
            <w:r w:rsidRPr="008C36B7">
              <w:rPr>
                <w:rFonts w:ascii="Times New Roman" w:hAnsi="Times New Roman"/>
                <w:color w:val="000000"/>
                <w:sz w:val="24"/>
                <w:szCs w:val="24"/>
              </w:rPr>
              <w:t xml:space="preserve"> (VND)</w:t>
            </w:r>
          </w:p>
        </w:tc>
        <w:tc>
          <w:tcPr>
            <w:tcW w:w="2500" w:type="dxa"/>
            <w:tcBorders>
              <w:top w:val="nil"/>
              <w:left w:val="nil"/>
              <w:bottom w:val="single" w:sz="8" w:space="0" w:color="auto"/>
              <w:right w:val="single" w:sz="8" w:space="0" w:color="auto"/>
            </w:tcBorders>
            <w:shd w:val="clear" w:color="auto" w:fill="auto"/>
            <w:vAlign w:val="center"/>
          </w:tcPr>
          <w:p w14:paraId="28B05347" w14:textId="280B601C"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78,994.11</w:t>
            </w:r>
          </w:p>
        </w:tc>
        <w:tc>
          <w:tcPr>
            <w:tcW w:w="2500" w:type="dxa"/>
            <w:tcBorders>
              <w:top w:val="nil"/>
              <w:left w:val="nil"/>
              <w:bottom w:val="single" w:sz="8" w:space="0" w:color="auto"/>
              <w:right w:val="single" w:sz="8" w:space="0" w:color="auto"/>
            </w:tcBorders>
            <w:shd w:val="clear" w:color="auto" w:fill="auto"/>
            <w:vAlign w:val="center"/>
          </w:tcPr>
          <w:p w14:paraId="0F779F17" w14:textId="6D765089"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69,129.10</w:t>
            </w:r>
          </w:p>
        </w:tc>
        <w:tc>
          <w:tcPr>
            <w:tcW w:w="2500" w:type="dxa"/>
            <w:tcBorders>
              <w:top w:val="nil"/>
              <w:left w:val="nil"/>
              <w:bottom w:val="single" w:sz="8" w:space="0" w:color="auto"/>
              <w:right w:val="single" w:sz="8" w:space="0" w:color="auto"/>
            </w:tcBorders>
            <w:shd w:val="clear" w:color="auto" w:fill="auto"/>
            <w:vAlign w:val="center"/>
          </w:tcPr>
          <w:p w14:paraId="7B1EF617" w14:textId="6BE8F6FE"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39,638.40</w:t>
            </w:r>
          </w:p>
        </w:tc>
      </w:tr>
      <w:tr w:rsidR="00653170" w:rsidRPr="008C36B7" w14:paraId="133A41DA" w14:textId="77777777" w:rsidTr="005254BB">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7198D3D5" w14:textId="13FBF64D" w:rsidR="00653170" w:rsidRPr="008C36B7" w:rsidRDefault="00653170" w:rsidP="008C36B7">
            <w:pPr>
              <w:rPr>
                <w:rFonts w:ascii="Times New Roman" w:hAnsi="Times New Roman"/>
                <w:sz w:val="24"/>
                <w:szCs w:val="24"/>
                <w:lang w:val="en-US"/>
              </w:rPr>
            </w:pPr>
            <w:r w:rsidRPr="008C36B7">
              <w:rPr>
                <w:rFonts w:ascii="Times New Roman" w:hAnsi="Times New Roman"/>
                <w:color w:val="000000"/>
                <w:sz w:val="24"/>
                <w:szCs w:val="24"/>
              </w:rPr>
              <w:t>2.</w:t>
            </w:r>
            <w:proofErr w:type="gramStart"/>
            <w:r w:rsidRPr="008C36B7">
              <w:rPr>
                <w:rFonts w:ascii="Times New Roman" w:hAnsi="Times New Roman"/>
                <w:color w:val="000000"/>
                <w:sz w:val="24"/>
                <w:szCs w:val="24"/>
              </w:rPr>
              <w:t>5.Giá</w:t>
            </w:r>
            <w:proofErr w:type="gram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trị</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tài</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sản</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ròng</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thấp</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nhất</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của</w:t>
            </w:r>
            <w:proofErr w:type="spellEnd"/>
            <w:r w:rsidRPr="008C36B7">
              <w:rPr>
                <w:rFonts w:ascii="Times New Roman" w:hAnsi="Times New Roman"/>
                <w:color w:val="000000"/>
                <w:sz w:val="24"/>
                <w:szCs w:val="24"/>
              </w:rPr>
              <w:t xml:space="preserve"> 1 </w:t>
            </w:r>
            <w:proofErr w:type="spellStart"/>
            <w:r w:rsidRPr="008C36B7">
              <w:rPr>
                <w:rFonts w:ascii="Times New Roman" w:hAnsi="Times New Roman"/>
                <w:color w:val="000000"/>
                <w:sz w:val="24"/>
                <w:szCs w:val="24"/>
              </w:rPr>
              <w:t>đơn</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vị</w:t>
            </w:r>
            <w:proofErr w:type="spellEnd"/>
            <w:r w:rsidRPr="008C36B7">
              <w:rPr>
                <w:rFonts w:ascii="Times New Roman" w:hAnsi="Times New Roman"/>
                <w:color w:val="000000"/>
                <w:sz w:val="24"/>
                <w:szCs w:val="24"/>
              </w:rPr>
              <w:t xml:space="preserve"> CCQ </w:t>
            </w:r>
            <w:proofErr w:type="spellStart"/>
            <w:r w:rsidRPr="008C36B7">
              <w:rPr>
                <w:rFonts w:ascii="Times New Roman" w:hAnsi="Times New Roman"/>
                <w:color w:val="000000"/>
                <w:sz w:val="24"/>
                <w:szCs w:val="24"/>
              </w:rPr>
              <w:t>trong</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kỳ</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báo</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cáo</w:t>
            </w:r>
            <w:proofErr w:type="spellEnd"/>
            <w:r w:rsidRPr="008C36B7">
              <w:rPr>
                <w:rFonts w:ascii="Times New Roman" w:hAnsi="Times New Roman"/>
                <w:color w:val="000000"/>
                <w:sz w:val="24"/>
                <w:szCs w:val="24"/>
              </w:rPr>
              <w:t xml:space="preserve"> (VND)</w:t>
            </w:r>
          </w:p>
        </w:tc>
        <w:tc>
          <w:tcPr>
            <w:tcW w:w="2500" w:type="dxa"/>
            <w:tcBorders>
              <w:top w:val="nil"/>
              <w:left w:val="nil"/>
              <w:bottom w:val="single" w:sz="8" w:space="0" w:color="auto"/>
              <w:right w:val="single" w:sz="8" w:space="0" w:color="auto"/>
            </w:tcBorders>
            <w:shd w:val="clear" w:color="auto" w:fill="auto"/>
            <w:vAlign w:val="center"/>
          </w:tcPr>
          <w:p w14:paraId="0F038399" w14:textId="52AA0F08"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57,171.90</w:t>
            </w:r>
          </w:p>
        </w:tc>
        <w:tc>
          <w:tcPr>
            <w:tcW w:w="2500" w:type="dxa"/>
            <w:tcBorders>
              <w:top w:val="nil"/>
              <w:left w:val="nil"/>
              <w:bottom w:val="single" w:sz="8" w:space="0" w:color="auto"/>
              <w:right w:val="single" w:sz="8" w:space="0" w:color="auto"/>
            </w:tcBorders>
            <w:shd w:val="clear" w:color="auto" w:fill="auto"/>
            <w:vAlign w:val="center"/>
          </w:tcPr>
          <w:p w14:paraId="14DC49BE" w14:textId="2C6D9F7F"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56,927.47</w:t>
            </w:r>
          </w:p>
        </w:tc>
        <w:tc>
          <w:tcPr>
            <w:tcW w:w="2500" w:type="dxa"/>
            <w:tcBorders>
              <w:top w:val="nil"/>
              <w:left w:val="nil"/>
              <w:bottom w:val="single" w:sz="8" w:space="0" w:color="auto"/>
              <w:right w:val="single" w:sz="8" w:space="0" w:color="auto"/>
            </w:tcBorders>
            <w:shd w:val="clear" w:color="auto" w:fill="auto"/>
            <w:vAlign w:val="center"/>
          </w:tcPr>
          <w:p w14:paraId="6205CA99" w14:textId="221AC293"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30,470.52</w:t>
            </w:r>
          </w:p>
        </w:tc>
      </w:tr>
      <w:tr w:rsidR="00961728" w:rsidRPr="008C36B7" w14:paraId="2640D17E" w14:textId="77777777" w:rsidTr="005254BB">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CFCFBBF" w14:textId="656D1544" w:rsidR="00961728" w:rsidRPr="008C36B7" w:rsidRDefault="00961728" w:rsidP="008C36B7">
            <w:pPr>
              <w:rPr>
                <w:rFonts w:ascii="Times New Roman" w:hAnsi="Times New Roman"/>
                <w:color w:val="000000"/>
                <w:sz w:val="24"/>
                <w:szCs w:val="24"/>
                <w:lang w:val="en-US"/>
              </w:rPr>
            </w:pPr>
            <w:r w:rsidRPr="008C36B7">
              <w:rPr>
                <w:rFonts w:ascii="Times New Roman" w:hAnsi="Times New Roman"/>
                <w:color w:val="000000"/>
                <w:sz w:val="24"/>
                <w:szCs w:val="24"/>
              </w:rPr>
              <w:t>2.</w:t>
            </w:r>
            <w:proofErr w:type="gramStart"/>
            <w:r w:rsidRPr="008C36B7">
              <w:rPr>
                <w:rFonts w:ascii="Times New Roman" w:hAnsi="Times New Roman"/>
                <w:color w:val="000000"/>
                <w:sz w:val="24"/>
                <w:szCs w:val="24"/>
              </w:rPr>
              <w:t>6.Giá</w:t>
            </w:r>
            <w:proofErr w:type="gram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cuối</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ngày</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của</w:t>
            </w:r>
            <w:proofErr w:type="spellEnd"/>
            <w:r w:rsidRPr="008C36B7">
              <w:rPr>
                <w:rFonts w:ascii="Times New Roman" w:hAnsi="Times New Roman"/>
                <w:color w:val="000000"/>
                <w:sz w:val="24"/>
                <w:szCs w:val="24"/>
              </w:rPr>
              <w:t xml:space="preserve"> 1 </w:t>
            </w:r>
            <w:proofErr w:type="spellStart"/>
            <w:r w:rsidRPr="008C36B7">
              <w:rPr>
                <w:rFonts w:ascii="Times New Roman" w:hAnsi="Times New Roman"/>
                <w:color w:val="000000"/>
                <w:sz w:val="24"/>
                <w:szCs w:val="24"/>
              </w:rPr>
              <w:t>đơn</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vị</w:t>
            </w:r>
            <w:proofErr w:type="spellEnd"/>
            <w:r w:rsidRPr="008C36B7">
              <w:rPr>
                <w:rFonts w:ascii="Times New Roman" w:hAnsi="Times New Roman"/>
                <w:color w:val="000000"/>
                <w:sz w:val="24"/>
                <w:szCs w:val="24"/>
              </w:rPr>
              <w:t xml:space="preserve"> CCQ </w:t>
            </w:r>
            <w:proofErr w:type="spellStart"/>
            <w:r w:rsidRPr="008C36B7">
              <w:rPr>
                <w:rFonts w:ascii="Times New Roman" w:hAnsi="Times New Roman"/>
                <w:color w:val="000000"/>
                <w:sz w:val="24"/>
                <w:szCs w:val="24"/>
              </w:rPr>
              <w:t>tại</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ngày</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báo</w:t>
            </w:r>
            <w:proofErr w:type="spellEnd"/>
            <w:r w:rsidRPr="008C36B7">
              <w:rPr>
                <w:rFonts w:ascii="Times New Roman" w:hAnsi="Times New Roman"/>
                <w:color w:val="000000"/>
                <w:sz w:val="24"/>
                <w:szCs w:val="24"/>
              </w:rPr>
              <w:t xml:space="preserve"> </w:t>
            </w:r>
            <w:proofErr w:type="spellStart"/>
            <w:r w:rsidRPr="008C36B7">
              <w:rPr>
                <w:rFonts w:ascii="Times New Roman" w:hAnsi="Times New Roman"/>
                <w:color w:val="000000"/>
                <w:sz w:val="24"/>
                <w:szCs w:val="24"/>
              </w:rPr>
              <w:t>cáo</w:t>
            </w:r>
            <w:proofErr w:type="spellEnd"/>
            <w:r w:rsidRPr="008C36B7">
              <w:rPr>
                <w:rFonts w:ascii="Times New Roman" w:hAnsi="Times New Roman"/>
                <w:color w:val="000000"/>
                <w:sz w:val="24"/>
                <w:szCs w:val="24"/>
              </w:rPr>
              <w:t xml:space="preserve"> (VND)</w:t>
            </w:r>
          </w:p>
        </w:tc>
        <w:tc>
          <w:tcPr>
            <w:tcW w:w="2500" w:type="dxa"/>
            <w:tcBorders>
              <w:top w:val="nil"/>
              <w:left w:val="nil"/>
              <w:bottom w:val="single" w:sz="8" w:space="0" w:color="auto"/>
              <w:right w:val="single" w:sz="8" w:space="0" w:color="auto"/>
            </w:tcBorders>
            <w:shd w:val="clear" w:color="auto" w:fill="auto"/>
            <w:vAlign w:val="center"/>
          </w:tcPr>
          <w:p w14:paraId="5052A707" w14:textId="08818D4C" w:rsidR="00961728" w:rsidRPr="00A102A4" w:rsidRDefault="00961728" w:rsidP="00A102A4">
            <w:pPr>
              <w:jc w:val="right"/>
              <w:rPr>
                <w:rFonts w:ascii="Times New Roman" w:hAnsi="Times New Roman"/>
                <w:sz w:val="24"/>
                <w:szCs w:val="24"/>
              </w:rPr>
            </w:pPr>
            <w:r w:rsidRPr="00A102A4">
              <w:rPr>
                <w:rFonts w:ascii="Times New Roman" w:hAnsi="Times New Roman"/>
                <w:sz w:val="24"/>
                <w:szCs w:val="24"/>
              </w:rPr>
              <w:t>N/A</w:t>
            </w:r>
          </w:p>
        </w:tc>
        <w:tc>
          <w:tcPr>
            <w:tcW w:w="2500" w:type="dxa"/>
            <w:tcBorders>
              <w:top w:val="nil"/>
              <w:left w:val="nil"/>
              <w:bottom w:val="single" w:sz="8" w:space="0" w:color="auto"/>
              <w:right w:val="single" w:sz="8" w:space="0" w:color="auto"/>
            </w:tcBorders>
            <w:shd w:val="clear" w:color="auto" w:fill="auto"/>
            <w:vAlign w:val="center"/>
          </w:tcPr>
          <w:p w14:paraId="0DDE8CD1" w14:textId="6D166164" w:rsidR="00961728" w:rsidRPr="00A102A4" w:rsidRDefault="00961728" w:rsidP="00A102A4">
            <w:pPr>
              <w:jc w:val="right"/>
              <w:rPr>
                <w:rFonts w:ascii="Times New Roman" w:hAnsi="Times New Roman"/>
                <w:sz w:val="24"/>
                <w:szCs w:val="24"/>
              </w:rPr>
            </w:pPr>
            <w:r w:rsidRPr="00A102A4">
              <w:rPr>
                <w:rFonts w:ascii="Times New Roman" w:hAnsi="Times New Roman"/>
                <w:sz w:val="24"/>
                <w:szCs w:val="24"/>
              </w:rPr>
              <w:t>N/A</w:t>
            </w:r>
          </w:p>
        </w:tc>
        <w:tc>
          <w:tcPr>
            <w:tcW w:w="2500" w:type="dxa"/>
            <w:tcBorders>
              <w:top w:val="nil"/>
              <w:left w:val="nil"/>
              <w:bottom w:val="single" w:sz="8" w:space="0" w:color="auto"/>
              <w:right w:val="single" w:sz="8" w:space="0" w:color="auto"/>
            </w:tcBorders>
            <w:shd w:val="clear" w:color="auto" w:fill="auto"/>
            <w:vAlign w:val="center"/>
          </w:tcPr>
          <w:p w14:paraId="2DCCD62A" w14:textId="0EA32FCB" w:rsidR="00961728" w:rsidRPr="00A102A4" w:rsidRDefault="00961728" w:rsidP="00A102A4">
            <w:pPr>
              <w:jc w:val="right"/>
              <w:rPr>
                <w:rFonts w:ascii="Times New Roman" w:hAnsi="Times New Roman"/>
                <w:sz w:val="24"/>
                <w:szCs w:val="24"/>
              </w:rPr>
            </w:pPr>
            <w:r w:rsidRPr="00A102A4">
              <w:rPr>
                <w:rFonts w:ascii="Times New Roman" w:hAnsi="Times New Roman"/>
                <w:sz w:val="24"/>
                <w:szCs w:val="24"/>
              </w:rPr>
              <w:t>N/A</w:t>
            </w:r>
          </w:p>
        </w:tc>
      </w:tr>
      <w:tr w:rsidR="00961728" w:rsidRPr="008C36B7" w14:paraId="2AE6E0CD" w14:textId="77777777" w:rsidTr="00F6501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D33EF35" w14:textId="77777777" w:rsidR="00961728" w:rsidRPr="008C36B7" w:rsidRDefault="00961728" w:rsidP="008C36B7">
            <w:pPr>
              <w:rPr>
                <w:rFonts w:ascii="Times New Roman" w:hAnsi="Times New Roman"/>
                <w:sz w:val="24"/>
                <w:szCs w:val="24"/>
                <w:lang w:val="en-US"/>
              </w:rPr>
            </w:pPr>
            <w:r w:rsidRPr="008C36B7">
              <w:rPr>
                <w:rFonts w:ascii="Times New Roman" w:hAnsi="Times New Roman"/>
                <w:sz w:val="24"/>
                <w:szCs w:val="24"/>
                <w:lang w:val="en-US"/>
              </w:rPr>
              <w:t>2.</w:t>
            </w:r>
            <w:proofErr w:type="gramStart"/>
            <w:r w:rsidRPr="008C36B7">
              <w:rPr>
                <w:rFonts w:ascii="Times New Roman" w:hAnsi="Times New Roman"/>
                <w:sz w:val="24"/>
                <w:szCs w:val="24"/>
                <w:lang w:val="en-US"/>
              </w:rPr>
              <w:t>7.Giá</w:t>
            </w:r>
            <w:proofErr w:type="gram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cuối</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ngày</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cao</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nhất</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của</w:t>
            </w:r>
            <w:proofErr w:type="spellEnd"/>
            <w:r w:rsidRPr="008C36B7">
              <w:rPr>
                <w:rFonts w:ascii="Times New Roman" w:hAnsi="Times New Roman"/>
                <w:sz w:val="24"/>
                <w:szCs w:val="24"/>
                <w:lang w:val="en-US"/>
              </w:rPr>
              <w:t xml:space="preserve"> 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 </w:t>
            </w:r>
            <w:proofErr w:type="spellStart"/>
            <w:r w:rsidRPr="008C36B7">
              <w:rPr>
                <w:rFonts w:ascii="Times New Roman" w:hAnsi="Times New Roman"/>
                <w:sz w:val="24"/>
                <w:szCs w:val="24"/>
                <w:lang w:val="en-US"/>
              </w:rPr>
              <w:t>trong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kỳ</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báo</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cáo</w:t>
            </w:r>
            <w:proofErr w:type="spellEnd"/>
          </w:p>
        </w:tc>
        <w:tc>
          <w:tcPr>
            <w:tcW w:w="2500" w:type="dxa"/>
            <w:tcBorders>
              <w:top w:val="nil"/>
              <w:left w:val="nil"/>
              <w:bottom w:val="single" w:sz="8" w:space="0" w:color="auto"/>
              <w:right w:val="single" w:sz="8" w:space="0" w:color="auto"/>
            </w:tcBorders>
            <w:shd w:val="clear" w:color="auto" w:fill="auto"/>
            <w:vAlign w:val="center"/>
          </w:tcPr>
          <w:p w14:paraId="4C6CCCEC" w14:textId="256D38F8" w:rsidR="00961728" w:rsidRPr="00A102A4" w:rsidRDefault="00961728" w:rsidP="00A102A4">
            <w:pPr>
              <w:jc w:val="right"/>
              <w:rPr>
                <w:rFonts w:ascii="Times New Roman" w:hAnsi="Times New Roman"/>
                <w:sz w:val="24"/>
                <w:szCs w:val="24"/>
                <w:lang w:val="en-US"/>
              </w:rPr>
            </w:pPr>
            <w:r w:rsidRPr="00A102A4">
              <w:rPr>
                <w:rFonts w:ascii="Times New Roman" w:hAnsi="Times New Roman"/>
                <w:sz w:val="24"/>
                <w:szCs w:val="24"/>
              </w:rPr>
              <w:t>N/A</w:t>
            </w:r>
          </w:p>
        </w:tc>
        <w:tc>
          <w:tcPr>
            <w:tcW w:w="2500" w:type="dxa"/>
            <w:tcBorders>
              <w:top w:val="nil"/>
              <w:left w:val="nil"/>
              <w:bottom w:val="single" w:sz="8" w:space="0" w:color="auto"/>
              <w:right w:val="single" w:sz="8" w:space="0" w:color="auto"/>
            </w:tcBorders>
            <w:shd w:val="clear" w:color="auto" w:fill="auto"/>
            <w:vAlign w:val="center"/>
          </w:tcPr>
          <w:p w14:paraId="04FE5F91" w14:textId="6A2F3ABD" w:rsidR="00961728" w:rsidRPr="00A102A4" w:rsidRDefault="00961728" w:rsidP="00A102A4">
            <w:pPr>
              <w:jc w:val="right"/>
              <w:rPr>
                <w:rFonts w:ascii="Times New Roman" w:hAnsi="Times New Roman"/>
                <w:sz w:val="24"/>
                <w:szCs w:val="24"/>
                <w:lang w:val="en-US"/>
              </w:rPr>
            </w:pPr>
            <w:r w:rsidRPr="00A102A4">
              <w:rPr>
                <w:rFonts w:ascii="Times New Roman" w:hAnsi="Times New Roman"/>
                <w:sz w:val="24"/>
                <w:szCs w:val="24"/>
              </w:rPr>
              <w:t>N/A</w:t>
            </w:r>
          </w:p>
        </w:tc>
        <w:tc>
          <w:tcPr>
            <w:tcW w:w="2500" w:type="dxa"/>
            <w:tcBorders>
              <w:top w:val="nil"/>
              <w:left w:val="nil"/>
              <w:bottom w:val="single" w:sz="8" w:space="0" w:color="auto"/>
              <w:right w:val="single" w:sz="8" w:space="0" w:color="auto"/>
            </w:tcBorders>
            <w:shd w:val="clear" w:color="auto" w:fill="auto"/>
            <w:vAlign w:val="center"/>
          </w:tcPr>
          <w:p w14:paraId="2DA4EB62" w14:textId="30ED4ACA" w:rsidR="00961728" w:rsidRPr="00A102A4" w:rsidRDefault="00961728" w:rsidP="00A102A4">
            <w:pPr>
              <w:jc w:val="right"/>
              <w:rPr>
                <w:rFonts w:ascii="Times New Roman" w:hAnsi="Times New Roman"/>
                <w:sz w:val="24"/>
                <w:szCs w:val="24"/>
                <w:lang w:val="en-US"/>
              </w:rPr>
            </w:pPr>
            <w:r w:rsidRPr="00A102A4">
              <w:rPr>
                <w:rFonts w:ascii="Times New Roman" w:hAnsi="Times New Roman"/>
                <w:sz w:val="24"/>
                <w:szCs w:val="24"/>
              </w:rPr>
              <w:t>N/A</w:t>
            </w:r>
          </w:p>
        </w:tc>
      </w:tr>
      <w:tr w:rsidR="00961728" w:rsidRPr="008C36B7" w14:paraId="6B29E30D" w14:textId="77777777" w:rsidTr="00F6501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64AD5E9" w14:textId="77777777" w:rsidR="00961728" w:rsidRPr="008C36B7" w:rsidRDefault="00961728" w:rsidP="008C36B7">
            <w:pPr>
              <w:rPr>
                <w:rFonts w:ascii="Times New Roman" w:hAnsi="Times New Roman"/>
                <w:sz w:val="24"/>
                <w:szCs w:val="24"/>
                <w:lang w:val="en-US"/>
              </w:rPr>
            </w:pPr>
            <w:r w:rsidRPr="008C36B7">
              <w:rPr>
                <w:rFonts w:ascii="Times New Roman" w:hAnsi="Times New Roman"/>
                <w:sz w:val="24"/>
                <w:szCs w:val="24"/>
                <w:lang w:val="en-US"/>
              </w:rPr>
              <w:t>2.</w:t>
            </w:r>
            <w:proofErr w:type="gramStart"/>
            <w:r w:rsidRPr="008C36B7">
              <w:rPr>
                <w:rFonts w:ascii="Times New Roman" w:hAnsi="Times New Roman"/>
                <w:sz w:val="24"/>
                <w:szCs w:val="24"/>
                <w:lang w:val="en-US"/>
              </w:rPr>
              <w:t>8.Giá</w:t>
            </w:r>
            <w:proofErr w:type="gram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cuối</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ngày</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thấp</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nhất</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của</w:t>
            </w:r>
            <w:proofErr w:type="spellEnd"/>
            <w:r w:rsidRPr="008C36B7">
              <w:rPr>
                <w:rFonts w:ascii="Times New Roman" w:hAnsi="Times New Roman"/>
                <w:sz w:val="24"/>
                <w:szCs w:val="24"/>
                <w:lang w:val="en-US"/>
              </w:rPr>
              <w:t xml:space="preserve"> 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 </w:t>
            </w:r>
            <w:proofErr w:type="spellStart"/>
            <w:r w:rsidRPr="008C36B7">
              <w:rPr>
                <w:rFonts w:ascii="Times New Roman" w:hAnsi="Times New Roman"/>
                <w:sz w:val="24"/>
                <w:szCs w:val="24"/>
                <w:lang w:val="en-US"/>
              </w:rPr>
              <w:t>trong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kỳ</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báo</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cáo</w:t>
            </w:r>
            <w:proofErr w:type="spellEnd"/>
          </w:p>
        </w:tc>
        <w:tc>
          <w:tcPr>
            <w:tcW w:w="2500" w:type="dxa"/>
            <w:tcBorders>
              <w:top w:val="nil"/>
              <w:left w:val="nil"/>
              <w:bottom w:val="single" w:sz="8" w:space="0" w:color="auto"/>
              <w:right w:val="single" w:sz="8" w:space="0" w:color="auto"/>
            </w:tcBorders>
            <w:shd w:val="clear" w:color="auto" w:fill="auto"/>
            <w:vAlign w:val="center"/>
          </w:tcPr>
          <w:p w14:paraId="2FFD49C0" w14:textId="1A5AF0F7" w:rsidR="00961728" w:rsidRPr="00A102A4" w:rsidRDefault="00961728" w:rsidP="00A102A4">
            <w:pPr>
              <w:jc w:val="right"/>
              <w:rPr>
                <w:rFonts w:ascii="Times New Roman" w:hAnsi="Times New Roman"/>
                <w:sz w:val="24"/>
                <w:szCs w:val="24"/>
              </w:rPr>
            </w:pPr>
            <w:r w:rsidRPr="00A102A4">
              <w:rPr>
                <w:rFonts w:ascii="Times New Roman" w:hAnsi="Times New Roman"/>
                <w:sz w:val="24"/>
                <w:szCs w:val="24"/>
              </w:rPr>
              <w:t>N/A</w:t>
            </w:r>
          </w:p>
        </w:tc>
        <w:tc>
          <w:tcPr>
            <w:tcW w:w="2500" w:type="dxa"/>
            <w:tcBorders>
              <w:top w:val="nil"/>
              <w:left w:val="nil"/>
              <w:bottom w:val="single" w:sz="8" w:space="0" w:color="auto"/>
              <w:right w:val="single" w:sz="8" w:space="0" w:color="auto"/>
            </w:tcBorders>
            <w:shd w:val="clear" w:color="auto" w:fill="auto"/>
            <w:vAlign w:val="center"/>
          </w:tcPr>
          <w:p w14:paraId="23031934" w14:textId="2DDAF572" w:rsidR="00961728" w:rsidRPr="00A102A4" w:rsidRDefault="00961728" w:rsidP="00A102A4">
            <w:pPr>
              <w:jc w:val="right"/>
              <w:rPr>
                <w:rFonts w:ascii="Times New Roman" w:hAnsi="Times New Roman"/>
                <w:sz w:val="24"/>
                <w:szCs w:val="24"/>
                <w:lang w:val="en-US"/>
              </w:rPr>
            </w:pPr>
            <w:r w:rsidRPr="00A102A4">
              <w:rPr>
                <w:rFonts w:ascii="Times New Roman" w:hAnsi="Times New Roman"/>
                <w:sz w:val="24"/>
                <w:szCs w:val="24"/>
              </w:rPr>
              <w:t>N/A</w:t>
            </w:r>
          </w:p>
        </w:tc>
        <w:tc>
          <w:tcPr>
            <w:tcW w:w="2500" w:type="dxa"/>
            <w:tcBorders>
              <w:top w:val="nil"/>
              <w:left w:val="nil"/>
              <w:bottom w:val="single" w:sz="8" w:space="0" w:color="auto"/>
              <w:right w:val="single" w:sz="8" w:space="0" w:color="auto"/>
            </w:tcBorders>
            <w:shd w:val="clear" w:color="auto" w:fill="auto"/>
            <w:vAlign w:val="center"/>
          </w:tcPr>
          <w:p w14:paraId="48EA9A2F" w14:textId="4406D55B" w:rsidR="00961728" w:rsidRPr="00A102A4" w:rsidRDefault="00961728" w:rsidP="00A102A4">
            <w:pPr>
              <w:jc w:val="right"/>
              <w:rPr>
                <w:rFonts w:ascii="Times New Roman" w:hAnsi="Times New Roman"/>
                <w:sz w:val="24"/>
                <w:szCs w:val="24"/>
                <w:lang w:val="en-US"/>
              </w:rPr>
            </w:pPr>
            <w:r w:rsidRPr="00A102A4">
              <w:rPr>
                <w:rFonts w:ascii="Times New Roman" w:hAnsi="Times New Roman"/>
                <w:sz w:val="24"/>
                <w:szCs w:val="24"/>
              </w:rPr>
              <w:t>N/A</w:t>
            </w:r>
          </w:p>
        </w:tc>
      </w:tr>
      <w:tr w:rsidR="00653170" w:rsidRPr="008C36B7" w14:paraId="1AAE1A7C" w14:textId="77777777" w:rsidTr="003B6370">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0F84BBB" w14:textId="77777777" w:rsidR="00653170" w:rsidRPr="008C36B7" w:rsidRDefault="00653170" w:rsidP="008C36B7">
            <w:pPr>
              <w:rPr>
                <w:rFonts w:ascii="Times New Roman" w:hAnsi="Times New Roman"/>
                <w:sz w:val="24"/>
                <w:szCs w:val="24"/>
                <w:lang w:val="en-US"/>
              </w:rPr>
            </w:pPr>
            <w:r w:rsidRPr="008C36B7">
              <w:rPr>
                <w:rFonts w:ascii="Times New Roman" w:hAnsi="Times New Roman"/>
                <w:sz w:val="24"/>
                <w:szCs w:val="24"/>
                <w:lang w:val="en-US"/>
              </w:rPr>
              <w:lastRenderedPageBreak/>
              <w:t>2.</w:t>
            </w:r>
            <w:proofErr w:type="gramStart"/>
            <w:r w:rsidRPr="008C36B7">
              <w:rPr>
                <w:rFonts w:ascii="Times New Roman" w:hAnsi="Times New Roman"/>
                <w:sz w:val="24"/>
                <w:szCs w:val="24"/>
                <w:lang w:val="en-US"/>
              </w:rPr>
              <w:t>9.Tổng</w:t>
            </w:r>
            <w:proofErr w:type="gram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tăng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trưởng</w:t>
            </w:r>
            <w:proofErr w:type="spellEnd"/>
            <w:r w:rsidRPr="008C36B7">
              <w:rPr>
                <w:rFonts w:ascii="Times New Roman" w:hAnsi="Times New Roman"/>
                <w:sz w:val="24"/>
                <w:szCs w:val="24"/>
                <w:lang w:val="en-US"/>
              </w:rPr>
              <w:t xml:space="preserve"> (%)/1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w:t>
            </w:r>
          </w:p>
        </w:tc>
        <w:tc>
          <w:tcPr>
            <w:tcW w:w="2500" w:type="dxa"/>
            <w:tcBorders>
              <w:top w:val="nil"/>
              <w:left w:val="nil"/>
              <w:bottom w:val="single" w:sz="8" w:space="0" w:color="auto"/>
              <w:right w:val="single" w:sz="8" w:space="0" w:color="auto"/>
            </w:tcBorders>
            <w:shd w:val="clear" w:color="auto" w:fill="auto"/>
            <w:vAlign w:val="center"/>
          </w:tcPr>
          <w:p w14:paraId="107E0EE4" w14:textId="38C429A7" w:rsidR="00653170" w:rsidRPr="008C36B7" w:rsidRDefault="00653170" w:rsidP="00A102A4">
            <w:pPr>
              <w:jc w:val="right"/>
              <w:rPr>
                <w:rFonts w:ascii="Times New Roman" w:hAnsi="Times New Roman"/>
                <w:color w:val="FF0000"/>
                <w:sz w:val="24"/>
                <w:szCs w:val="24"/>
                <w:lang w:val="en-US"/>
              </w:rPr>
            </w:pPr>
            <w:r w:rsidRPr="008C36B7">
              <w:rPr>
                <w:rFonts w:ascii="Times New Roman" w:hAnsi="Times New Roman"/>
                <w:color w:val="000000"/>
                <w:sz w:val="24"/>
                <w:szCs w:val="24"/>
              </w:rPr>
              <w:t>-21.91%</w:t>
            </w:r>
          </w:p>
        </w:tc>
        <w:tc>
          <w:tcPr>
            <w:tcW w:w="2500" w:type="dxa"/>
            <w:tcBorders>
              <w:top w:val="nil"/>
              <w:left w:val="nil"/>
              <w:bottom w:val="single" w:sz="8" w:space="0" w:color="auto"/>
              <w:right w:val="single" w:sz="8" w:space="0" w:color="auto"/>
            </w:tcBorders>
            <w:shd w:val="clear" w:color="auto" w:fill="auto"/>
            <w:vAlign w:val="center"/>
          </w:tcPr>
          <w:p w14:paraId="4F0DFF05" w14:textId="0F44223E" w:rsidR="00653170" w:rsidRPr="008C36B7" w:rsidRDefault="00653170" w:rsidP="00A102A4">
            <w:pPr>
              <w:jc w:val="right"/>
              <w:rPr>
                <w:rFonts w:ascii="Times New Roman" w:hAnsi="Times New Roman"/>
                <w:color w:val="FF0000"/>
                <w:sz w:val="24"/>
                <w:szCs w:val="24"/>
                <w:lang w:val="en-US"/>
              </w:rPr>
            </w:pPr>
            <w:r w:rsidRPr="008C36B7">
              <w:rPr>
                <w:rFonts w:ascii="Times New Roman" w:hAnsi="Times New Roman"/>
                <w:color w:val="000000"/>
                <w:sz w:val="24"/>
                <w:szCs w:val="24"/>
              </w:rPr>
              <w:t>23.72%</w:t>
            </w:r>
          </w:p>
        </w:tc>
        <w:tc>
          <w:tcPr>
            <w:tcW w:w="2500" w:type="dxa"/>
            <w:tcBorders>
              <w:top w:val="nil"/>
              <w:left w:val="nil"/>
              <w:bottom w:val="single" w:sz="8" w:space="0" w:color="auto"/>
              <w:right w:val="single" w:sz="8" w:space="0" w:color="auto"/>
            </w:tcBorders>
            <w:shd w:val="clear" w:color="auto" w:fill="auto"/>
            <w:vAlign w:val="center"/>
          </w:tcPr>
          <w:p w14:paraId="66FD3383" w14:textId="5E569E29"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22.30%</w:t>
            </w:r>
          </w:p>
        </w:tc>
      </w:tr>
      <w:tr w:rsidR="00653170" w:rsidRPr="008C36B7" w14:paraId="373DC1AE" w14:textId="77777777" w:rsidTr="003B6370">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43ABE1F" w14:textId="77777777" w:rsidR="00653170" w:rsidRPr="008C36B7" w:rsidRDefault="00653170" w:rsidP="008C36B7">
            <w:pPr>
              <w:rPr>
                <w:rFonts w:ascii="Times New Roman" w:hAnsi="Times New Roman"/>
                <w:sz w:val="24"/>
                <w:szCs w:val="24"/>
                <w:lang w:val="en-US"/>
              </w:rPr>
            </w:pPr>
            <w:r w:rsidRPr="008C36B7">
              <w:rPr>
                <w:rFonts w:ascii="Times New Roman" w:hAnsi="Times New Roman"/>
                <w:sz w:val="24"/>
                <w:szCs w:val="24"/>
                <w:lang w:val="en-US"/>
              </w:rPr>
              <w:t>2.9.</w:t>
            </w:r>
            <w:proofErr w:type="gramStart"/>
            <w:r w:rsidRPr="008C36B7">
              <w:rPr>
                <w:rFonts w:ascii="Times New Roman" w:hAnsi="Times New Roman"/>
                <w:sz w:val="24"/>
                <w:szCs w:val="24"/>
                <w:lang w:val="en-US"/>
              </w:rPr>
              <w:t>1.Tăng</w:t>
            </w:r>
            <w:proofErr w:type="gram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trưởng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vốn</w:t>
            </w:r>
            <w:proofErr w:type="spellEnd"/>
            <w:r w:rsidRPr="008C36B7">
              <w:rPr>
                <w:rFonts w:ascii="Times New Roman" w:hAnsi="Times New Roman"/>
                <w:sz w:val="24"/>
                <w:szCs w:val="24"/>
                <w:lang w:val="en-US"/>
              </w:rPr>
              <w:t xml:space="preserve"> (%)/1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 (</w:t>
            </w:r>
            <w:proofErr w:type="spellStart"/>
            <w:r w:rsidRPr="008C36B7">
              <w:rPr>
                <w:rFonts w:ascii="Times New Roman" w:hAnsi="Times New Roman"/>
                <w:sz w:val="24"/>
                <w:szCs w:val="24"/>
                <w:lang w:val="en-US"/>
              </w:rPr>
              <w:t>Thay</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đổi</w:t>
            </w:r>
            <w:proofErr w:type="spellEnd"/>
            <w:r w:rsidRPr="008C36B7">
              <w:rPr>
                <w:rFonts w:ascii="Times New Roman" w:hAnsi="Times New Roman"/>
                <w:sz w:val="24"/>
                <w:szCs w:val="24"/>
                <w:lang w:val="en-US"/>
              </w:rPr>
              <w:t xml:space="preserve"> do </w:t>
            </w:r>
            <w:proofErr w:type="spellStart"/>
            <w:r w:rsidRPr="008C36B7">
              <w:rPr>
                <w:rFonts w:ascii="Times New Roman" w:hAnsi="Times New Roman"/>
                <w:sz w:val="24"/>
                <w:szCs w:val="24"/>
                <w:lang w:val="en-US"/>
              </w:rPr>
              <w:t>biến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động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giá</w:t>
            </w:r>
            <w:proofErr w:type="spellEnd"/>
            <w:r w:rsidRPr="008C36B7">
              <w:rPr>
                <w:rFonts w:ascii="Times New Roman" w:hAnsi="Times New Roman"/>
                <w:sz w:val="24"/>
                <w:szCs w:val="24"/>
                <w:lang w:val="en-US"/>
              </w:rPr>
              <w:t>)</w:t>
            </w:r>
          </w:p>
        </w:tc>
        <w:tc>
          <w:tcPr>
            <w:tcW w:w="2500" w:type="dxa"/>
            <w:tcBorders>
              <w:top w:val="nil"/>
              <w:left w:val="nil"/>
              <w:bottom w:val="single" w:sz="8" w:space="0" w:color="auto"/>
              <w:right w:val="single" w:sz="8" w:space="0" w:color="auto"/>
            </w:tcBorders>
            <w:shd w:val="clear" w:color="auto" w:fill="auto"/>
            <w:vAlign w:val="center"/>
          </w:tcPr>
          <w:p w14:paraId="7C9C7224" w14:textId="2BE0D5A6" w:rsidR="00653170" w:rsidRPr="008C36B7" w:rsidRDefault="00653170" w:rsidP="00A102A4">
            <w:pPr>
              <w:jc w:val="right"/>
              <w:rPr>
                <w:rFonts w:ascii="Times New Roman" w:hAnsi="Times New Roman"/>
                <w:color w:val="FF0000"/>
                <w:sz w:val="24"/>
                <w:szCs w:val="24"/>
                <w:lang w:val="en-US"/>
              </w:rPr>
            </w:pPr>
            <w:r w:rsidRPr="008C36B7">
              <w:rPr>
                <w:rFonts w:ascii="Times New Roman" w:hAnsi="Times New Roman"/>
                <w:color w:val="000000"/>
                <w:sz w:val="24"/>
                <w:szCs w:val="24"/>
              </w:rPr>
              <w:t>-11.95%</w:t>
            </w:r>
          </w:p>
        </w:tc>
        <w:tc>
          <w:tcPr>
            <w:tcW w:w="2500" w:type="dxa"/>
            <w:tcBorders>
              <w:top w:val="nil"/>
              <w:left w:val="nil"/>
              <w:bottom w:val="single" w:sz="8" w:space="0" w:color="auto"/>
              <w:right w:val="single" w:sz="8" w:space="0" w:color="auto"/>
            </w:tcBorders>
            <w:shd w:val="clear" w:color="auto" w:fill="auto"/>
            <w:vAlign w:val="center"/>
          </w:tcPr>
          <w:p w14:paraId="18D3C8D7" w14:textId="6A14AFAD"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14.58%</w:t>
            </w:r>
          </w:p>
        </w:tc>
        <w:tc>
          <w:tcPr>
            <w:tcW w:w="2500" w:type="dxa"/>
            <w:tcBorders>
              <w:top w:val="nil"/>
              <w:left w:val="nil"/>
              <w:bottom w:val="single" w:sz="8" w:space="0" w:color="auto"/>
              <w:right w:val="single" w:sz="8" w:space="0" w:color="auto"/>
            </w:tcBorders>
            <w:shd w:val="clear" w:color="auto" w:fill="auto"/>
            <w:vAlign w:val="center"/>
          </w:tcPr>
          <w:p w14:paraId="0FCC9A07" w14:textId="5D1F636E"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25.29%</w:t>
            </w:r>
          </w:p>
        </w:tc>
      </w:tr>
      <w:tr w:rsidR="00653170" w:rsidRPr="008C36B7" w14:paraId="30180F15" w14:textId="77777777" w:rsidTr="003B6370">
        <w:trPr>
          <w:trHeight w:val="103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573C0075" w14:textId="77777777" w:rsidR="00653170" w:rsidRPr="008C36B7" w:rsidRDefault="00653170" w:rsidP="008C36B7">
            <w:pPr>
              <w:rPr>
                <w:rFonts w:ascii="Times New Roman" w:hAnsi="Times New Roman"/>
                <w:sz w:val="24"/>
                <w:szCs w:val="24"/>
                <w:lang w:val="en-US"/>
              </w:rPr>
            </w:pPr>
            <w:r w:rsidRPr="008C36B7">
              <w:rPr>
                <w:rFonts w:ascii="Times New Roman" w:hAnsi="Times New Roman"/>
                <w:sz w:val="24"/>
                <w:szCs w:val="24"/>
                <w:lang w:val="en-US"/>
              </w:rPr>
              <w:t xml:space="preserve">2.9.2. </w:t>
            </w:r>
            <w:proofErr w:type="spellStart"/>
            <w:r w:rsidRPr="008C36B7">
              <w:rPr>
                <w:rFonts w:ascii="Times New Roman" w:hAnsi="Times New Roman"/>
                <w:sz w:val="24"/>
                <w:szCs w:val="24"/>
                <w:lang w:val="en-US"/>
              </w:rPr>
              <w:t>Tăng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trưởng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thu</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nhập</w:t>
            </w:r>
            <w:proofErr w:type="spellEnd"/>
            <w:r w:rsidRPr="008C36B7">
              <w:rPr>
                <w:rFonts w:ascii="Times New Roman" w:hAnsi="Times New Roman"/>
                <w:sz w:val="24"/>
                <w:szCs w:val="24"/>
                <w:lang w:val="en-US"/>
              </w:rPr>
              <w:t xml:space="preserve"> (%)/1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 (</w:t>
            </w:r>
            <w:proofErr w:type="spellStart"/>
            <w:r w:rsidRPr="008C36B7">
              <w:rPr>
                <w:rFonts w:ascii="Times New Roman" w:hAnsi="Times New Roman"/>
                <w:sz w:val="24"/>
                <w:szCs w:val="24"/>
                <w:lang w:val="en-US"/>
              </w:rPr>
              <w:t>Tính</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trên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thu</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nhập</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đã</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thực</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hiện</w:t>
            </w:r>
            <w:proofErr w:type="spellEnd"/>
            <w:r w:rsidRPr="008C36B7">
              <w:rPr>
                <w:rFonts w:ascii="Times New Roman" w:hAnsi="Times New Roman"/>
                <w:sz w:val="24"/>
                <w:szCs w:val="24"/>
                <w:lang w:val="en-US"/>
              </w:rPr>
              <w:t>)</w:t>
            </w:r>
          </w:p>
        </w:tc>
        <w:tc>
          <w:tcPr>
            <w:tcW w:w="2500" w:type="dxa"/>
            <w:tcBorders>
              <w:top w:val="nil"/>
              <w:left w:val="nil"/>
              <w:bottom w:val="single" w:sz="8" w:space="0" w:color="auto"/>
              <w:right w:val="single" w:sz="8" w:space="0" w:color="auto"/>
            </w:tcBorders>
            <w:shd w:val="clear" w:color="auto" w:fill="auto"/>
            <w:vAlign w:val="center"/>
          </w:tcPr>
          <w:p w14:paraId="33EA76F3" w14:textId="7A99B330" w:rsidR="00653170" w:rsidRPr="008C36B7" w:rsidRDefault="00653170" w:rsidP="00A102A4">
            <w:pPr>
              <w:jc w:val="right"/>
              <w:rPr>
                <w:rFonts w:ascii="Times New Roman" w:hAnsi="Times New Roman"/>
                <w:color w:val="FF0000"/>
                <w:sz w:val="24"/>
                <w:szCs w:val="24"/>
                <w:lang w:val="en-US"/>
              </w:rPr>
            </w:pPr>
            <w:r w:rsidRPr="008C36B7">
              <w:rPr>
                <w:rFonts w:ascii="Times New Roman" w:hAnsi="Times New Roman"/>
                <w:color w:val="000000"/>
                <w:sz w:val="24"/>
                <w:szCs w:val="24"/>
              </w:rPr>
              <w:t>-9.96%</w:t>
            </w:r>
          </w:p>
        </w:tc>
        <w:tc>
          <w:tcPr>
            <w:tcW w:w="2500" w:type="dxa"/>
            <w:tcBorders>
              <w:top w:val="nil"/>
              <w:left w:val="nil"/>
              <w:bottom w:val="single" w:sz="8" w:space="0" w:color="auto"/>
              <w:right w:val="single" w:sz="8" w:space="0" w:color="auto"/>
            </w:tcBorders>
            <w:shd w:val="clear" w:color="auto" w:fill="auto"/>
            <w:vAlign w:val="center"/>
          </w:tcPr>
          <w:p w14:paraId="44E21813" w14:textId="37A75392"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9.14%</w:t>
            </w:r>
          </w:p>
        </w:tc>
        <w:tc>
          <w:tcPr>
            <w:tcW w:w="2500" w:type="dxa"/>
            <w:tcBorders>
              <w:top w:val="nil"/>
              <w:left w:val="nil"/>
              <w:bottom w:val="single" w:sz="8" w:space="0" w:color="auto"/>
              <w:right w:val="single" w:sz="8" w:space="0" w:color="auto"/>
            </w:tcBorders>
            <w:shd w:val="clear" w:color="auto" w:fill="auto"/>
            <w:vAlign w:val="center"/>
          </w:tcPr>
          <w:p w14:paraId="30C27BE7" w14:textId="4409DDB0"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-2.99%</w:t>
            </w:r>
          </w:p>
        </w:tc>
      </w:tr>
      <w:tr w:rsidR="00961728" w:rsidRPr="008C36B7" w14:paraId="5BCFCF2C" w14:textId="77777777" w:rsidTr="0096172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6075B04" w14:textId="77777777" w:rsidR="00961728" w:rsidRPr="008C36B7" w:rsidRDefault="00961728" w:rsidP="008C36B7">
            <w:pPr>
              <w:rPr>
                <w:rFonts w:ascii="Times New Roman" w:hAnsi="Times New Roman"/>
                <w:sz w:val="24"/>
                <w:szCs w:val="24"/>
                <w:lang w:val="en-US"/>
              </w:rPr>
            </w:pPr>
            <w:r w:rsidRPr="008C36B7">
              <w:rPr>
                <w:rFonts w:ascii="Times New Roman" w:hAnsi="Times New Roman"/>
                <w:sz w:val="24"/>
                <w:szCs w:val="24"/>
                <w:lang w:val="en-US"/>
              </w:rPr>
              <w:t>2.</w:t>
            </w:r>
            <w:proofErr w:type="gramStart"/>
            <w:r w:rsidRPr="008C36B7">
              <w:rPr>
                <w:rFonts w:ascii="Times New Roman" w:hAnsi="Times New Roman"/>
                <w:sz w:val="24"/>
                <w:szCs w:val="24"/>
                <w:lang w:val="en-US"/>
              </w:rPr>
              <w:t>10.Phân</w:t>
            </w:r>
            <w:proofErr w:type="gram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phối</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gộp</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trên</w:t>
            </w:r>
            <w:proofErr w:type="spellEnd"/>
            <w:r w:rsidRPr="008C36B7">
              <w:rPr>
                <w:rFonts w:ascii="Times New Roman" w:hAnsi="Times New Roman"/>
                <w:sz w:val="24"/>
                <w:szCs w:val="24"/>
                <w:lang w:val="en-US"/>
              </w:rPr>
              <w:t xml:space="preserve"> 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w:t>
            </w:r>
          </w:p>
        </w:tc>
        <w:tc>
          <w:tcPr>
            <w:tcW w:w="2500" w:type="dxa"/>
            <w:tcBorders>
              <w:top w:val="nil"/>
              <w:left w:val="nil"/>
              <w:bottom w:val="single" w:sz="8" w:space="0" w:color="auto"/>
              <w:right w:val="single" w:sz="8" w:space="0" w:color="auto"/>
            </w:tcBorders>
            <w:shd w:val="clear" w:color="auto" w:fill="auto"/>
            <w:vAlign w:val="center"/>
          </w:tcPr>
          <w:p w14:paraId="033B7FC0" w14:textId="6C66212E" w:rsidR="00961728" w:rsidRPr="00A102A4" w:rsidRDefault="00961728" w:rsidP="00A102A4">
            <w:pPr>
              <w:jc w:val="right"/>
              <w:rPr>
                <w:rFonts w:ascii="Times New Roman" w:hAnsi="Times New Roman"/>
                <w:sz w:val="24"/>
                <w:szCs w:val="24"/>
                <w:lang w:val="en-US"/>
              </w:rPr>
            </w:pPr>
            <w:r w:rsidRPr="00A102A4">
              <w:rPr>
                <w:rFonts w:ascii="Times New Roman" w:hAnsi="Times New Roman"/>
                <w:sz w:val="24"/>
                <w:szCs w:val="24"/>
              </w:rPr>
              <w:t xml:space="preserve">         </w:t>
            </w:r>
            <w:proofErr w:type="spellStart"/>
            <w:r w:rsidRPr="00A102A4">
              <w:rPr>
                <w:rFonts w:ascii="Times New Roman" w:hAnsi="Times New Roman"/>
                <w:sz w:val="24"/>
                <w:szCs w:val="24"/>
              </w:rPr>
              <w:t>Không</w:t>
            </w:r>
            <w:proofErr w:type="spellEnd"/>
            <w:r w:rsidRPr="00A102A4">
              <w:rPr>
                <w:rFonts w:ascii="Times New Roman" w:hAnsi="Times New Roman"/>
                <w:sz w:val="24"/>
                <w:szCs w:val="24"/>
              </w:rPr>
              <w:t xml:space="preserve"> </w:t>
            </w:r>
            <w:proofErr w:type="spellStart"/>
            <w:r w:rsidRPr="00A102A4">
              <w:rPr>
                <w:rFonts w:ascii="Times New Roman" w:hAnsi="Times New Roman"/>
                <w:sz w:val="24"/>
                <w:szCs w:val="24"/>
              </w:rPr>
              <w:t>có</w:t>
            </w:r>
            <w:proofErr w:type="spellEnd"/>
          </w:p>
        </w:tc>
        <w:tc>
          <w:tcPr>
            <w:tcW w:w="2500" w:type="dxa"/>
            <w:tcBorders>
              <w:top w:val="nil"/>
              <w:left w:val="nil"/>
              <w:bottom w:val="single" w:sz="8" w:space="0" w:color="auto"/>
              <w:right w:val="single" w:sz="8" w:space="0" w:color="auto"/>
            </w:tcBorders>
            <w:shd w:val="clear" w:color="auto" w:fill="auto"/>
            <w:vAlign w:val="center"/>
          </w:tcPr>
          <w:p w14:paraId="1CA08D51" w14:textId="2513D70D" w:rsidR="00961728" w:rsidRPr="00A102A4" w:rsidRDefault="00961728" w:rsidP="00A102A4">
            <w:pPr>
              <w:jc w:val="right"/>
              <w:rPr>
                <w:rFonts w:ascii="Times New Roman" w:hAnsi="Times New Roman"/>
                <w:sz w:val="24"/>
                <w:szCs w:val="24"/>
                <w:lang w:val="en-US"/>
              </w:rPr>
            </w:pPr>
            <w:r w:rsidRPr="00A102A4">
              <w:rPr>
                <w:rFonts w:ascii="Times New Roman" w:hAnsi="Times New Roman"/>
                <w:sz w:val="24"/>
                <w:szCs w:val="24"/>
              </w:rPr>
              <w:t xml:space="preserve">          </w:t>
            </w:r>
            <w:proofErr w:type="spellStart"/>
            <w:r w:rsidRPr="00A102A4">
              <w:rPr>
                <w:rFonts w:ascii="Times New Roman" w:hAnsi="Times New Roman"/>
                <w:sz w:val="24"/>
                <w:szCs w:val="24"/>
              </w:rPr>
              <w:t>Không</w:t>
            </w:r>
            <w:proofErr w:type="spellEnd"/>
            <w:r w:rsidRPr="00A102A4">
              <w:rPr>
                <w:rFonts w:ascii="Times New Roman" w:hAnsi="Times New Roman"/>
                <w:sz w:val="24"/>
                <w:szCs w:val="24"/>
              </w:rPr>
              <w:t xml:space="preserve"> </w:t>
            </w:r>
            <w:proofErr w:type="spellStart"/>
            <w:r w:rsidRPr="00A102A4">
              <w:rPr>
                <w:rFonts w:ascii="Times New Roman" w:hAnsi="Times New Roman"/>
                <w:sz w:val="24"/>
                <w:szCs w:val="24"/>
              </w:rPr>
              <w:t>có</w:t>
            </w:r>
            <w:proofErr w:type="spellEnd"/>
          </w:p>
        </w:tc>
        <w:tc>
          <w:tcPr>
            <w:tcW w:w="2500" w:type="dxa"/>
            <w:tcBorders>
              <w:top w:val="nil"/>
              <w:left w:val="nil"/>
              <w:bottom w:val="single" w:sz="8" w:space="0" w:color="auto"/>
              <w:right w:val="single" w:sz="8" w:space="0" w:color="auto"/>
            </w:tcBorders>
            <w:shd w:val="clear" w:color="auto" w:fill="auto"/>
            <w:vAlign w:val="center"/>
          </w:tcPr>
          <w:p w14:paraId="565A287B" w14:textId="052DD296" w:rsidR="00961728" w:rsidRPr="00A102A4" w:rsidRDefault="00961728" w:rsidP="00A102A4">
            <w:pPr>
              <w:jc w:val="right"/>
              <w:rPr>
                <w:rFonts w:ascii="Times New Roman" w:hAnsi="Times New Roman"/>
                <w:sz w:val="24"/>
                <w:szCs w:val="24"/>
                <w:lang w:val="en-US"/>
              </w:rPr>
            </w:pPr>
            <w:r w:rsidRPr="00A102A4">
              <w:rPr>
                <w:rFonts w:ascii="Times New Roman" w:hAnsi="Times New Roman"/>
                <w:sz w:val="24"/>
                <w:szCs w:val="24"/>
              </w:rPr>
              <w:t xml:space="preserve">               </w:t>
            </w:r>
            <w:proofErr w:type="spellStart"/>
            <w:r w:rsidRPr="00A102A4">
              <w:rPr>
                <w:rFonts w:ascii="Times New Roman" w:hAnsi="Times New Roman"/>
                <w:sz w:val="24"/>
                <w:szCs w:val="24"/>
              </w:rPr>
              <w:t>Không</w:t>
            </w:r>
            <w:proofErr w:type="spellEnd"/>
            <w:r w:rsidRPr="00A102A4">
              <w:rPr>
                <w:rFonts w:ascii="Times New Roman" w:hAnsi="Times New Roman"/>
                <w:sz w:val="24"/>
                <w:szCs w:val="24"/>
              </w:rPr>
              <w:t xml:space="preserve"> </w:t>
            </w:r>
            <w:proofErr w:type="spellStart"/>
            <w:r w:rsidRPr="00A102A4">
              <w:rPr>
                <w:rFonts w:ascii="Times New Roman" w:hAnsi="Times New Roman"/>
                <w:sz w:val="24"/>
                <w:szCs w:val="24"/>
              </w:rPr>
              <w:t>có</w:t>
            </w:r>
            <w:proofErr w:type="spellEnd"/>
          </w:p>
        </w:tc>
      </w:tr>
      <w:tr w:rsidR="00961728" w:rsidRPr="008C36B7" w14:paraId="23C5B4BF" w14:textId="77777777" w:rsidTr="0096172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E4BB8AE" w14:textId="77777777" w:rsidR="00961728" w:rsidRPr="008C36B7" w:rsidRDefault="00961728" w:rsidP="008C36B7">
            <w:pPr>
              <w:rPr>
                <w:rFonts w:ascii="Times New Roman" w:hAnsi="Times New Roman"/>
                <w:sz w:val="24"/>
                <w:szCs w:val="24"/>
                <w:lang w:val="en-US"/>
              </w:rPr>
            </w:pPr>
            <w:r w:rsidRPr="008C36B7">
              <w:rPr>
                <w:rFonts w:ascii="Times New Roman" w:hAnsi="Times New Roman"/>
                <w:sz w:val="24"/>
                <w:szCs w:val="24"/>
                <w:lang w:val="en-US"/>
              </w:rPr>
              <w:t>2.</w:t>
            </w:r>
            <w:proofErr w:type="gramStart"/>
            <w:r w:rsidRPr="008C36B7">
              <w:rPr>
                <w:rFonts w:ascii="Times New Roman" w:hAnsi="Times New Roman"/>
                <w:sz w:val="24"/>
                <w:szCs w:val="24"/>
                <w:lang w:val="en-US"/>
              </w:rPr>
              <w:t>11.Phân</w:t>
            </w:r>
            <w:proofErr w:type="gram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phối</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ròng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trên</w:t>
            </w:r>
            <w:proofErr w:type="spellEnd"/>
            <w:r w:rsidRPr="008C36B7">
              <w:rPr>
                <w:rFonts w:ascii="Times New Roman" w:hAnsi="Times New Roman"/>
                <w:sz w:val="24"/>
                <w:szCs w:val="24"/>
                <w:lang w:val="en-US"/>
              </w:rPr>
              <w:t xml:space="preserve"> 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w:t>
            </w:r>
          </w:p>
        </w:tc>
        <w:tc>
          <w:tcPr>
            <w:tcW w:w="2500" w:type="dxa"/>
            <w:tcBorders>
              <w:top w:val="nil"/>
              <w:left w:val="nil"/>
              <w:bottom w:val="single" w:sz="8" w:space="0" w:color="auto"/>
              <w:right w:val="single" w:sz="8" w:space="0" w:color="auto"/>
            </w:tcBorders>
            <w:shd w:val="clear" w:color="auto" w:fill="auto"/>
            <w:vAlign w:val="center"/>
          </w:tcPr>
          <w:p w14:paraId="49F8C20D" w14:textId="49F47532" w:rsidR="00961728" w:rsidRPr="00A102A4" w:rsidRDefault="00961728" w:rsidP="00A102A4">
            <w:pPr>
              <w:jc w:val="right"/>
              <w:rPr>
                <w:rFonts w:ascii="Times New Roman" w:hAnsi="Times New Roman"/>
                <w:sz w:val="24"/>
                <w:szCs w:val="24"/>
                <w:lang w:val="en-US"/>
              </w:rPr>
            </w:pPr>
            <w:r w:rsidRPr="00A102A4">
              <w:rPr>
                <w:rFonts w:ascii="Times New Roman" w:hAnsi="Times New Roman"/>
                <w:sz w:val="24"/>
                <w:szCs w:val="24"/>
              </w:rPr>
              <w:t xml:space="preserve">          </w:t>
            </w:r>
            <w:proofErr w:type="spellStart"/>
            <w:r w:rsidRPr="00A102A4">
              <w:rPr>
                <w:rFonts w:ascii="Times New Roman" w:hAnsi="Times New Roman"/>
                <w:sz w:val="24"/>
                <w:szCs w:val="24"/>
              </w:rPr>
              <w:t>Không</w:t>
            </w:r>
            <w:proofErr w:type="spellEnd"/>
            <w:r w:rsidRPr="00A102A4">
              <w:rPr>
                <w:rFonts w:ascii="Times New Roman" w:hAnsi="Times New Roman"/>
                <w:sz w:val="24"/>
                <w:szCs w:val="24"/>
              </w:rPr>
              <w:t xml:space="preserve"> </w:t>
            </w:r>
            <w:proofErr w:type="spellStart"/>
            <w:r w:rsidRPr="00A102A4">
              <w:rPr>
                <w:rFonts w:ascii="Times New Roman" w:hAnsi="Times New Roman"/>
                <w:sz w:val="24"/>
                <w:szCs w:val="24"/>
              </w:rPr>
              <w:t>có</w:t>
            </w:r>
            <w:proofErr w:type="spellEnd"/>
          </w:p>
        </w:tc>
        <w:tc>
          <w:tcPr>
            <w:tcW w:w="2500" w:type="dxa"/>
            <w:tcBorders>
              <w:top w:val="nil"/>
              <w:left w:val="nil"/>
              <w:bottom w:val="single" w:sz="8" w:space="0" w:color="auto"/>
              <w:right w:val="single" w:sz="8" w:space="0" w:color="auto"/>
            </w:tcBorders>
            <w:shd w:val="clear" w:color="auto" w:fill="auto"/>
            <w:vAlign w:val="center"/>
          </w:tcPr>
          <w:p w14:paraId="67395A91" w14:textId="4240DB8D" w:rsidR="00961728" w:rsidRPr="00A102A4" w:rsidRDefault="00961728" w:rsidP="00A102A4">
            <w:pPr>
              <w:jc w:val="right"/>
              <w:rPr>
                <w:rFonts w:ascii="Times New Roman" w:hAnsi="Times New Roman"/>
                <w:sz w:val="24"/>
                <w:szCs w:val="24"/>
                <w:lang w:val="en-US"/>
              </w:rPr>
            </w:pPr>
            <w:r w:rsidRPr="00A102A4">
              <w:rPr>
                <w:rFonts w:ascii="Times New Roman" w:hAnsi="Times New Roman"/>
                <w:sz w:val="24"/>
                <w:szCs w:val="24"/>
              </w:rPr>
              <w:t xml:space="preserve">          </w:t>
            </w:r>
            <w:proofErr w:type="spellStart"/>
            <w:r w:rsidRPr="00A102A4">
              <w:rPr>
                <w:rFonts w:ascii="Times New Roman" w:hAnsi="Times New Roman"/>
                <w:sz w:val="24"/>
                <w:szCs w:val="24"/>
              </w:rPr>
              <w:t>Không</w:t>
            </w:r>
            <w:proofErr w:type="spellEnd"/>
            <w:r w:rsidRPr="00A102A4">
              <w:rPr>
                <w:rFonts w:ascii="Times New Roman" w:hAnsi="Times New Roman"/>
                <w:sz w:val="24"/>
                <w:szCs w:val="24"/>
              </w:rPr>
              <w:t xml:space="preserve"> </w:t>
            </w:r>
            <w:proofErr w:type="spellStart"/>
            <w:r w:rsidRPr="00A102A4">
              <w:rPr>
                <w:rFonts w:ascii="Times New Roman" w:hAnsi="Times New Roman"/>
                <w:sz w:val="24"/>
                <w:szCs w:val="24"/>
              </w:rPr>
              <w:t>có</w:t>
            </w:r>
            <w:proofErr w:type="spellEnd"/>
          </w:p>
        </w:tc>
        <w:tc>
          <w:tcPr>
            <w:tcW w:w="2500" w:type="dxa"/>
            <w:tcBorders>
              <w:top w:val="nil"/>
              <w:left w:val="nil"/>
              <w:bottom w:val="single" w:sz="8" w:space="0" w:color="auto"/>
              <w:right w:val="single" w:sz="8" w:space="0" w:color="auto"/>
            </w:tcBorders>
            <w:shd w:val="clear" w:color="auto" w:fill="auto"/>
            <w:vAlign w:val="center"/>
          </w:tcPr>
          <w:p w14:paraId="1E545175" w14:textId="4D3388A3" w:rsidR="00961728" w:rsidRPr="00A102A4" w:rsidRDefault="00961728" w:rsidP="00A102A4">
            <w:pPr>
              <w:jc w:val="right"/>
              <w:rPr>
                <w:rFonts w:ascii="Times New Roman" w:hAnsi="Times New Roman"/>
                <w:sz w:val="24"/>
                <w:szCs w:val="24"/>
                <w:lang w:val="en-US"/>
              </w:rPr>
            </w:pPr>
            <w:r w:rsidRPr="00A102A4">
              <w:rPr>
                <w:rFonts w:ascii="Times New Roman" w:hAnsi="Times New Roman"/>
                <w:sz w:val="24"/>
                <w:szCs w:val="24"/>
              </w:rPr>
              <w:t xml:space="preserve">               </w:t>
            </w:r>
            <w:proofErr w:type="spellStart"/>
            <w:r w:rsidRPr="00A102A4">
              <w:rPr>
                <w:rFonts w:ascii="Times New Roman" w:hAnsi="Times New Roman"/>
                <w:sz w:val="24"/>
                <w:szCs w:val="24"/>
              </w:rPr>
              <w:t>Không</w:t>
            </w:r>
            <w:proofErr w:type="spellEnd"/>
            <w:r w:rsidRPr="00A102A4">
              <w:rPr>
                <w:rFonts w:ascii="Times New Roman" w:hAnsi="Times New Roman"/>
                <w:sz w:val="24"/>
                <w:szCs w:val="24"/>
              </w:rPr>
              <w:t xml:space="preserve"> </w:t>
            </w:r>
            <w:proofErr w:type="spellStart"/>
            <w:r w:rsidRPr="00A102A4">
              <w:rPr>
                <w:rFonts w:ascii="Times New Roman" w:hAnsi="Times New Roman"/>
                <w:sz w:val="24"/>
                <w:szCs w:val="24"/>
              </w:rPr>
              <w:t>có</w:t>
            </w:r>
            <w:proofErr w:type="spellEnd"/>
          </w:p>
        </w:tc>
      </w:tr>
      <w:tr w:rsidR="00961728" w:rsidRPr="008C36B7" w14:paraId="7C527556" w14:textId="77777777" w:rsidTr="0096172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2B3C28C" w14:textId="77777777" w:rsidR="00961728" w:rsidRPr="008C36B7" w:rsidRDefault="00961728" w:rsidP="008C36B7">
            <w:pPr>
              <w:rPr>
                <w:rFonts w:ascii="Times New Roman" w:hAnsi="Times New Roman"/>
                <w:sz w:val="24"/>
                <w:szCs w:val="24"/>
                <w:lang w:val="en-US"/>
              </w:rPr>
            </w:pPr>
            <w:r w:rsidRPr="008C36B7">
              <w:rPr>
                <w:rFonts w:ascii="Times New Roman" w:hAnsi="Times New Roman"/>
                <w:sz w:val="24"/>
                <w:szCs w:val="24"/>
                <w:lang w:val="en-US"/>
              </w:rPr>
              <w:t>2.</w:t>
            </w:r>
            <w:proofErr w:type="gramStart"/>
            <w:r w:rsidRPr="008C36B7">
              <w:rPr>
                <w:rFonts w:ascii="Times New Roman" w:hAnsi="Times New Roman"/>
                <w:sz w:val="24"/>
                <w:szCs w:val="24"/>
                <w:lang w:val="en-US"/>
              </w:rPr>
              <w:t>12.Ngày</w:t>
            </w:r>
            <w:proofErr w:type="gram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chốt</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quyền</w:t>
            </w:r>
            <w:proofErr w:type="spellEnd"/>
            <w:r w:rsidRPr="008C36B7">
              <w:rPr>
                <w:rFonts w:ascii="Times New Roman" w:hAnsi="Times New Roman"/>
                <w:sz w:val="24"/>
                <w:szCs w:val="24"/>
                <w:lang w:val="en-US"/>
              </w:rPr>
              <w:t xml:space="preserve"> (Ex-date of distribution)</w:t>
            </w:r>
          </w:p>
        </w:tc>
        <w:tc>
          <w:tcPr>
            <w:tcW w:w="2500" w:type="dxa"/>
            <w:tcBorders>
              <w:top w:val="nil"/>
              <w:left w:val="nil"/>
              <w:bottom w:val="single" w:sz="8" w:space="0" w:color="auto"/>
              <w:right w:val="single" w:sz="8" w:space="0" w:color="auto"/>
            </w:tcBorders>
            <w:shd w:val="clear" w:color="auto" w:fill="auto"/>
            <w:vAlign w:val="center"/>
          </w:tcPr>
          <w:p w14:paraId="753B79C7" w14:textId="4D0DBBF1" w:rsidR="00961728" w:rsidRPr="00A102A4" w:rsidRDefault="00961728" w:rsidP="00A102A4">
            <w:pPr>
              <w:jc w:val="right"/>
              <w:rPr>
                <w:rFonts w:ascii="Times New Roman" w:hAnsi="Times New Roman"/>
                <w:sz w:val="24"/>
                <w:szCs w:val="24"/>
                <w:lang w:val="en-US"/>
              </w:rPr>
            </w:pPr>
            <w:r w:rsidRPr="00A102A4">
              <w:rPr>
                <w:rFonts w:ascii="Times New Roman" w:hAnsi="Times New Roman"/>
                <w:sz w:val="24"/>
                <w:szCs w:val="24"/>
              </w:rPr>
              <w:t xml:space="preserve">         </w:t>
            </w:r>
            <w:proofErr w:type="spellStart"/>
            <w:r w:rsidRPr="00A102A4">
              <w:rPr>
                <w:rFonts w:ascii="Times New Roman" w:hAnsi="Times New Roman"/>
                <w:sz w:val="24"/>
                <w:szCs w:val="24"/>
              </w:rPr>
              <w:t>Không</w:t>
            </w:r>
            <w:proofErr w:type="spellEnd"/>
            <w:r w:rsidRPr="00A102A4">
              <w:rPr>
                <w:rFonts w:ascii="Times New Roman" w:hAnsi="Times New Roman"/>
                <w:sz w:val="24"/>
                <w:szCs w:val="24"/>
              </w:rPr>
              <w:t xml:space="preserve"> </w:t>
            </w:r>
            <w:proofErr w:type="spellStart"/>
            <w:r w:rsidRPr="00A102A4">
              <w:rPr>
                <w:rFonts w:ascii="Times New Roman" w:hAnsi="Times New Roman"/>
                <w:sz w:val="24"/>
                <w:szCs w:val="24"/>
              </w:rPr>
              <w:t>có</w:t>
            </w:r>
            <w:proofErr w:type="spellEnd"/>
          </w:p>
        </w:tc>
        <w:tc>
          <w:tcPr>
            <w:tcW w:w="2500" w:type="dxa"/>
            <w:tcBorders>
              <w:top w:val="nil"/>
              <w:left w:val="nil"/>
              <w:bottom w:val="single" w:sz="8" w:space="0" w:color="auto"/>
              <w:right w:val="single" w:sz="8" w:space="0" w:color="auto"/>
            </w:tcBorders>
            <w:shd w:val="clear" w:color="auto" w:fill="auto"/>
            <w:vAlign w:val="center"/>
          </w:tcPr>
          <w:p w14:paraId="05BBD07E" w14:textId="22EFE784" w:rsidR="00961728" w:rsidRPr="00A102A4" w:rsidRDefault="00961728" w:rsidP="00A102A4">
            <w:pPr>
              <w:jc w:val="right"/>
              <w:rPr>
                <w:rFonts w:ascii="Times New Roman" w:hAnsi="Times New Roman"/>
                <w:sz w:val="24"/>
                <w:szCs w:val="24"/>
                <w:lang w:val="en-US"/>
              </w:rPr>
            </w:pPr>
            <w:r w:rsidRPr="00A102A4">
              <w:rPr>
                <w:rFonts w:ascii="Times New Roman" w:hAnsi="Times New Roman"/>
                <w:sz w:val="24"/>
                <w:szCs w:val="24"/>
              </w:rPr>
              <w:t xml:space="preserve">         </w:t>
            </w:r>
            <w:proofErr w:type="spellStart"/>
            <w:r w:rsidRPr="00A102A4">
              <w:rPr>
                <w:rFonts w:ascii="Times New Roman" w:hAnsi="Times New Roman"/>
                <w:sz w:val="24"/>
                <w:szCs w:val="24"/>
              </w:rPr>
              <w:t>Không</w:t>
            </w:r>
            <w:proofErr w:type="spellEnd"/>
            <w:r w:rsidRPr="00A102A4">
              <w:rPr>
                <w:rFonts w:ascii="Times New Roman" w:hAnsi="Times New Roman"/>
                <w:sz w:val="24"/>
                <w:szCs w:val="24"/>
              </w:rPr>
              <w:t xml:space="preserve"> </w:t>
            </w:r>
            <w:proofErr w:type="spellStart"/>
            <w:r w:rsidRPr="00A102A4">
              <w:rPr>
                <w:rFonts w:ascii="Times New Roman" w:hAnsi="Times New Roman"/>
                <w:sz w:val="24"/>
                <w:szCs w:val="24"/>
              </w:rPr>
              <w:t>có</w:t>
            </w:r>
            <w:proofErr w:type="spellEnd"/>
          </w:p>
        </w:tc>
        <w:tc>
          <w:tcPr>
            <w:tcW w:w="2500" w:type="dxa"/>
            <w:tcBorders>
              <w:top w:val="nil"/>
              <w:left w:val="nil"/>
              <w:bottom w:val="single" w:sz="8" w:space="0" w:color="auto"/>
              <w:right w:val="single" w:sz="8" w:space="0" w:color="auto"/>
            </w:tcBorders>
            <w:shd w:val="clear" w:color="auto" w:fill="auto"/>
            <w:vAlign w:val="center"/>
          </w:tcPr>
          <w:p w14:paraId="113A155E" w14:textId="68917A0F" w:rsidR="00961728" w:rsidRPr="00A102A4" w:rsidRDefault="00961728" w:rsidP="00A102A4">
            <w:pPr>
              <w:jc w:val="right"/>
              <w:rPr>
                <w:rFonts w:ascii="Times New Roman" w:hAnsi="Times New Roman"/>
                <w:sz w:val="24"/>
                <w:szCs w:val="24"/>
                <w:lang w:val="en-US"/>
              </w:rPr>
            </w:pPr>
            <w:r w:rsidRPr="00A102A4">
              <w:rPr>
                <w:rFonts w:ascii="Times New Roman" w:hAnsi="Times New Roman"/>
                <w:sz w:val="24"/>
                <w:szCs w:val="24"/>
              </w:rPr>
              <w:t xml:space="preserve">               </w:t>
            </w:r>
            <w:proofErr w:type="spellStart"/>
            <w:r w:rsidRPr="00A102A4">
              <w:rPr>
                <w:rFonts w:ascii="Times New Roman" w:hAnsi="Times New Roman"/>
                <w:sz w:val="24"/>
                <w:szCs w:val="24"/>
              </w:rPr>
              <w:t>Không</w:t>
            </w:r>
            <w:proofErr w:type="spellEnd"/>
            <w:r w:rsidRPr="00A102A4">
              <w:rPr>
                <w:rFonts w:ascii="Times New Roman" w:hAnsi="Times New Roman"/>
                <w:sz w:val="24"/>
                <w:szCs w:val="24"/>
              </w:rPr>
              <w:t xml:space="preserve"> </w:t>
            </w:r>
            <w:proofErr w:type="spellStart"/>
            <w:r w:rsidRPr="00A102A4">
              <w:rPr>
                <w:rFonts w:ascii="Times New Roman" w:hAnsi="Times New Roman"/>
                <w:sz w:val="24"/>
                <w:szCs w:val="24"/>
              </w:rPr>
              <w:t>có</w:t>
            </w:r>
            <w:proofErr w:type="spellEnd"/>
          </w:p>
        </w:tc>
      </w:tr>
      <w:tr w:rsidR="00653170" w:rsidRPr="008C36B7" w14:paraId="0C945341" w14:textId="77777777" w:rsidTr="0096172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26C5B4F" w14:textId="77777777" w:rsidR="00653170" w:rsidRPr="008C36B7" w:rsidRDefault="00653170" w:rsidP="008C36B7">
            <w:pPr>
              <w:rPr>
                <w:rFonts w:ascii="Times New Roman" w:hAnsi="Times New Roman"/>
                <w:sz w:val="24"/>
                <w:szCs w:val="24"/>
                <w:lang w:val="en-US"/>
              </w:rPr>
            </w:pPr>
            <w:r w:rsidRPr="008C36B7">
              <w:rPr>
                <w:rFonts w:ascii="Times New Roman" w:hAnsi="Times New Roman"/>
                <w:sz w:val="24"/>
                <w:szCs w:val="24"/>
                <w:lang w:val="en-US"/>
              </w:rPr>
              <w:t>2.</w:t>
            </w:r>
            <w:proofErr w:type="gramStart"/>
            <w:r w:rsidRPr="008C36B7">
              <w:rPr>
                <w:rFonts w:ascii="Times New Roman" w:hAnsi="Times New Roman"/>
                <w:sz w:val="24"/>
                <w:szCs w:val="24"/>
                <w:lang w:val="en-US"/>
              </w:rPr>
              <w:t>13.Tỷ</w:t>
            </w:r>
            <w:proofErr w:type="gram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lệ</w:t>
            </w:r>
            <w:proofErr w:type="spellEnd"/>
            <w:r w:rsidRPr="008C36B7">
              <w:rPr>
                <w:rFonts w:ascii="Times New Roman" w:hAnsi="Times New Roman"/>
                <w:sz w:val="24"/>
                <w:szCs w:val="24"/>
                <w:lang w:val="en-US"/>
              </w:rPr>
              <w:t xml:space="preserve"> chi </w:t>
            </w:r>
            <w:proofErr w:type="spellStart"/>
            <w:r w:rsidRPr="008C36B7">
              <w:rPr>
                <w:rFonts w:ascii="Times New Roman" w:hAnsi="Times New Roman"/>
                <w:sz w:val="24"/>
                <w:szCs w:val="24"/>
                <w:lang w:val="en-US"/>
              </w:rPr>
              <w:t>phí</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hoạt</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động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của</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quỹ</w:t>
            </w:r>
            <w:proofErr w:type="spellEnd"/>
            <w:r w:rsidRPr="008C36B7">
              <w:rPr>
                <w:rFonts w:ascii="Times New Roman" w:hAnsi="Times New Roman"/>
                <w:sz w:val="24"/>
                <w:szCs w:val="24"/>
                <w:lang w:val="en-US"/>
              </w:rPr>
              <w:t xml:space="preserve"> (%)</w:t>
            </w:r>
          </w:p>
        </w:tc>
        <w:tc>
          <w:tcPr>
            <w:tcW w:w="2500" w:type="dxa"/>
            <w:tcBorders>
              <w:top w:val="nil"/>
              <w:left w:val="nil"/>
              <w:bottom w:val="single" w:sz="8" w:space="0" w:color="auto"/>
              <w:right w:val="single" w:sz="8" w:space="0" w:color="auto"/>
            </w:tcBorders>
            <w:shd w:val="clear" w:color="auto" w:fill="auto"/>
            <w:vAlign w:val="center"/>
          </w:tcPr>
          <w:p w14:paraId="11F78AF1" w14:textId="5F828D0C" w:rsidR="00653170" w:rsidRPr="008C36B7" w:rsidRDefault="00653170" w:rsidP="00A102A4">
            <w:pPr>
              <w:jc w:val="right"/>
              <w:rPr>
                <w:rFonts w:ascii="Times New Roman" w:hAnsi="Times New Roman"/>
                <w:color w:val="FF0000"/>
                <w:sz w:val="24"/>
                <w:szCs w:val="24"/>
                <w:lang w:val="en-US"/>
              </w:rPr>
            </w:pPr>
            <w:r w:rsidRPr="008C36B7">
              <w:rPr>
                <w:rFonts w:ascii="Times New Roman" w:hAnsi="Times New Roman"/>
                <w:color w:val="000000"/>
                <w:sz w:val="24"/>
                <w:szCs w:val="24"/>
              </w:rPr>
              <w:t>3.23%</w:t>
            </w:r>
          </w:p>
        </w:tc>
        <w:tc>
          <w:tcPr>
            <w:tcW w:w="2500" w:type="dxa"/>
            <w:tcBorders>
              <w:top w:val="nil"/>
              <w:left w:val="nil"/>
              <w:bottom w:val="single" w:sz="8" w:space="0" w:color="auto"/>
              <w:right w:val="single" w:sz="8" w:space="0" w:color="auto"/>
            </w:tcBorders>
            <w:shd w:val="clear" w:color="auto" w:fill="auto"/>
            <w:vAlign w:val="center"/>
          </w:tcPr>
          <w:p w14:paraId="6099FD98" w14:textId="2E373E1D" w:rsidR="00653170" w:rsidRPr="008C36B7" w:rsidRDefault="00653170" w:rsidP="00A102A4">
            <w:pPr>
              <w:jc w:val="right"/>
              <w:rPr>
                <w:rFonts w:ascii="Times New Roman" w:hAnsi="Times New Roman"/>
                <w:color w:val="FF0000"/>
                <w:sz w:val="24"/>
                <w:szCs w:val="24"/>
                <w:lang w:val="en-US"/>
              </w:rPr>
            </w:pPr>
            <w:r w:rsidRPr="008C36B7">
              <w:rPr>
                <w:rFonts w:ascii="Times New Roman" w:hAnsi="Times New Roman"/>
                <w:color w:val="000000"/>
                <w:sz w:val="24"/>
                <w:szCs w:val="24"/>
              </w:rPr>
              <w:t>2.63%</w:t>
            </w:r>
          </w:p>
        </w:tc>
        <w:tc>
          <w:tcPr>
            <w:tcW w:w="2500" w:type="dxa"/>
            <w:tcBorders>
              <w:top w:val="nil"/>
              <w:left w:val="nil"/>
              <w:bottom w:val="single" w:sz="8" w:space="0" w:color="auto"/>
              <w:right w:val="single" w:sz="8" w:space="0" w:color="auto"/>
            </w:tcBorders>
            <w:shd w:val="clear" w:color="auto" w:fill="auto"/>
            <w:vAlign w:val="center"/>
          </w:tcPr>
          <w:p w14:paraId="0EA289FC" w14:textId="525387E4"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2.44%</w:t>
            </w:r>
          </w:p>
        </w:tc>
      </w:tr>
      <w:tr w:rsidR="00653170" w:rsidRPr="008C36B7" w14:paraId="5C94F38E" w14:textId="77777777" w:rsidTr="0096172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314A9BC3" w14:textId="77777777" w:rsidR="00653170" w:rsidRPr="008C36B7" w:rsidRDefault="00653170" w:rsidP="008C36B7">
            <w:pPr>
              <w:rPr>
                <w:rFonts w:ascii="Times New Roman" w:hAnsi="Times New Roman"/>
                <w:sz w:val="24"/>
                <w:szCs w:val="24"/>
                <w:lang w:val="en-US"/>
              </w:rPr>
            </w:pPr>
            <w:r w:rsidRPr="008C36B7">
              <w:rPr>
                <w:rFonts w:ascii="Times New Roman" w:hAnsi="Times New Roman"/>
                <w:sz w:val="24"/>
                <w:szCs w:val="24"/>
                <w:lang w:val="en-US"/>
              </w:rPr>
              <w:t>2.</w:t>
            </w:r>
            <w:proofErr w:type="gramStart"/>
            <w:r w:rsidRPr="008C36B7">
              <w:rPr>
                <w:rFonts w:ascii="Times New Roman" w:hAnsi="Times New Roman"/>
                <w:sz w:val="24"/>
                <w:szCs w:val="24"/>
                <w:lang w:val="en-US"/>
              </w:rPr>
              <w:t>14.Tốc</w:t>
            </w:r>
            <w:proofErr w:type="gram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độ</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vòng</w:t>
            </w:r>
            <w:proofErr w:type="spellEnd"/>
            <w:r w:rsidRPr="008C36B7">
              <w:rPr>
                <w:rFonts w:ascii="Times New Roman" w:hAnsi="Times New Roman"/>
                <w:sz w:val="24"/>
                <w:szCs w:val="24"/>
                <w:lang w:val="en-US"/>
              </w:rPr>
              <w:t xml:space="preserve"> quay </w:t>
            </w:r>
            <w:proofErr w:type="spellStart"/>
            <w:r w:rsidRPr="008C36B7">
              <w:rPr>
                <w:rFonts w:ascii="Times New Roman" w:hAnsi="Times New Roman"/>
                <w:sz w:val="24"/>
                <w:szCs w:val="24"/>
                <w:lang w:val="en-US"/>
              </w:rPr>
              <w:t>danh</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mục</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lần</w:t>
            </w:r>
            <w:proofErr w:type="spellEnd"/>
            <w:r w:rsidRPr="008C36B7">
              <w:rPr>
                <w:rFonts w:ascii="Times New Roman" w:hAnsi="Times New Roman"/>
                <w:sz w:val="24"/>
                <w:szCs w:val="24"/>
                <w:lang w:val="en-US"/>
              </w:rPr>
              <w:t>)</w:t>
            </w:r>
          </w:p>
        </w:tc>
        <w:tc>
          <w:tcPr>
            <w:tcW w:w="2500" w:type="dxa"/>
            <w:tcBorders>
              <w:top w:val="nil"/>
              <w:left w:val="nil"/>
              <w:bottom w:val="single" w:sz="8" w:space="0" w:color="auto"/>
              <w:right w:val="single" w:sz="8" w:space="0" w:color="auto"/>
            </w:tcBorders>
            <w:shd w:val="clear" w:color="auto" w:fill="auto"/>
            <w:vAlign w:val="center"/>
          </w:tcPr>
          <w:p w14:paraId="164655B1" w14:textId="7DC51CC5" w:rsidR="00653170" w:rsidRPr="008C36B7" w:rsidRDefault="00653170" w:rsidP="00A102A4">
            <w:pPr>
              <w:jc w:val="right"/>
              <w:rPr>
                <w:rFonts w:ascii="Times New Roman" w:hAnsi="Times New Roman"/>
                <w:color w:val="FF0000"/>
                <w:sz w:val="24"/>
                <w:szCs w:val="24"/>
                <w:lang w:val="en-US"/>
              </w:rPr>
            </w:pPr>
            <w:r w:rsidRPr="008C36B7">
              <w:rPr>
                <w:rFonts w:ascii="Times New Roman" w:hAnsi="Times New Roman"/>
                <w:color w:val="000000"/>
                <w:sz w:val="24"/>
                <w:szCs w:val="24"/>
              </w:rPr>
              <w:t>402.89%</w:t>
            </w:r>
          </w:p>
        </w:tc>
        <w:tc>
          <w:tcPr>
            <w:tcW w:w="2500" w:type="dxa"/>
            <w:tcBorders>
              <w:top w:val="nil"/>
              <w:left w:val="nil"/>
              <w:bottom w:val="single" w:sz="8" w:space="0" w:color="auto"/>
              <w:right w:val="single" w:sz="8" w:space="0" w:color="auto"/>
            </w:tcBorders>
            <w:shd w:val="clear" w:color="auto" w:fill="auto"/>
            <w:vAlign w:val="center"/>
          </w:tcPr>
          <w:p w14:paraId="23523694" w14:textId="74AC8E95"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167.09%</w:t>
            </w:r>
          </w:p>
        </w:tc>
        <w:tc>
          <w:tcPr>
            <w:tcW w:w="2500" w:type="dxa"/>
            <w:tcBorders>
              <w:top w:val="nil"/>
              <w:left w:val="nil"/>
              <w:bottom w:val="single" w:sz="8" w:space="0" w:color="auto"/>
              <w:right w:val="single" w:sz="8" w:space="0" w:color="auto"/>
            </w:tcBorders>
            <w:shd w:val="clear" w:color="auto" w:fill="auto"/>
            <w:vAlign w:val="center"/>
          </w:tcPr>
          <w:p w14:paraId="240485FD" w14:textId="286DA88E" w:rsidR="00653170" w:rsidRPr="008C36B7" w:rsidRDefault="00653170" w:rsidP="00A102A4">
            <w:pPr>
              <w:jc w:val="right"/>
              <w:rPr>
                <w:rFonts w:ascii="Times New Roman" w:hAnsi="Times New Roman"/>
                <w:color w:val="FF0000"/>
                <w:sz w:val="24"/>
                <w:szCs w:val="24"/>
              </w:rPr>
            </w:pPr>
            <w:r w:rsidRPr="008C36B7">
              <w:rPr>
                <w:rFonts w:ascii="Times New Roman" w:hAnsi="Times New Roman"/>
                <w:color w:val="000000"/>
                <w:sz w:val="24"/>
                <w:szCs w:val="24"/>
              </w:rPr>
              <w:t>81.26%</w:t>
            </w:r>
          </w:p>
        </w:tc>
      </w:tr>
    </w:tbl>
    <w:p w14:paraId="526B0649" w14:textId="77777777" w:rsidR="004E6AE4" w:rsidRPr="008C36B7" w:rsidRDefault="004E6AE4" w:rsidP="008C36B7">
      <w:pPr>
        <w:rPr>
          <w:rFonts w:ascii="Times New Roman" w:hAnsi="Times New Roman"/>
          <w:b/>
          <w:sz w:val="24"/>
          <w:szCs w:val="24"/>
          <w:lang w:val="nl-NL"/>
        </w:rPr>
      </w:pPr>
    </w:p>
    <w:p w14:paraId="027DD987" w14:textId="6A4AF413" w:rsidR="008477D9" w:rsidRDefault="008477D9" w:rsidP="00A102A4">
      <w:pPr>
        <w:ind w:firstLine="426"/>
        <w:rPr>
          <w:rFonts w:ascii="Times New Roman" w:hAnsi="Times New Roman"/>
          <w:b/>
          <w:sz w:val="24"/>
          <w:szCs w:val="24"/>
          <w:lang w:val="nl-NL"/>
        </w:rPr>
      </w:pPr>
      <w:r w:rsidRPr="008C36B7">
        <w:rPr>
          <w:rFonts w:ascii="Times New Roman" w:hAnsi="Times New Roman"/>
          <w:b/>
          <w:sz w:val="24"/>
          <w:szCs w:val="24"/>
          <w:lang w:val="nl-NL"/>
        </w:rPr>
        <w:t>2.3</w:t>
      </w:r>
      <w:r w:rsidR="00A102A4">
        <w:rPr>
          <w:rFonts w:ascii="Times New Roman" w:hAnsi="Times New Roman"/>
          <w:b/>
          <w:sz w:val="24"/>
          <w:szCs w:val="24"/>
          <w:lang w:val="nl-NL"/>
        </w:rPr>
        <w:t xml:space="preserve">. </w:t>
      </w:r>
      <w:r w:rsidRPr="008C36B7">
        <w:rPr>
          <w:rFonts w:ascii="Times New Roman" w:hAnsi="Times New Roman"/>
          <w:b/>
          <w:sz w:val="24"/>
          <w:szCs w:val="24"/>
          <w:lang w:val="nl-NL"/>
        </w:rPr>
        <w:t>Tăng trưởng qua các thời kỳ</w:t>
      </w:r>
    </w:p>
    <w:p w14:paraId="58827F34" w14:textId="77777777" w:rsidR="00A102A4" w:rsidRPr="008C36B7" w:rsidRDefault="00A102A4" w:rsidP="00A102A4">
      <w:pPr>
        <w:ind w:firstLine="426"/>
        <w:rPr>
          <w:rFonts w:ascii="Times New Roman" w:hAnsi="Times New Roman"/>
          <w:b/>
          <w:sz w:val="24"/>
          <w:szCs w:val="24"/>
          <w:lang w:val="nl-NL"/>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6"/>
        <w:gridCol w:w="2731"/>
        <w:gridCol w:w="3867"/>
      </w:tblGrid>
      <w:tr w:rsidR="00A102A4" w:rsidRPr="00A102A4" w14:paraId="3630ACB9" w14:textId="77777777" w:rsidTr="00A102A4">
        <w:tc>
          <w:tcPr>
            <w:tcW w:w="1473" w:type="pct"/>
            <w:shd w:val="clear" w:color="auto" w:fill="auto"/>
            <w:vAlign w:val="center"/>
          </w:tcPr>
          <w:p w14:paraId="310ECF0F" w14:textId="77777777" w:rsidR="008477D9" w:rsidRPr="00A102A4" w:rsidRDefault="008477D9" w:rsidP="00A102A4">
            <w:pPr>
              <w:ind w:left="112" w:right="208"/>
              <w:jc w:val="center"/>
              <w:rPr>
                <w:rFonts w:ascii="Times New Roman" w:hAnsi="Times New Roman"/>
                <w:b/>
                <w:sz w:val="24"/>
                <w:szCs w:val="24"/>
                <w:lang w:val="nl-NL"/>
              </w:rPr>
            </w:pPr>
            <w:r w:rsidRPr="00A102A4">
              <w:rPr>
                <w:rFonts w:ascii="Times New Roman" w:hAnsi="Times New Roman"/>
                <w:b/>
                <w:sz w:val="24"/>
                <w:szCs w:val="24"/>
                <w:lang w:val="nl-NL"/>
              </w:rPr>
              <w:t>Giai đoạn</w:t>
            </w:r>
          </w:p>
        </w:tc>
        <w:tc>
          <w:tcPr>
            <w:tcW w:w="1460" w:type="pct"/>
            <w:shd w:val="clear" w:color="auto" w:fill="auto"/>
            <w:vAlign w:val="center"/>
          </w:tcPr>
          <w:p w14:paraId="202A4314" w14:textId="77777777" w:rsidR="008477D9" w:rsidRPr="00A102A4" w:rsidRDefault="008477D9" w:rsidP="00A102A4">
            <w:pPr>
              <w:ind w:left="197" w:right="103"/>
              <w:jc w:val="center"/>
              <w:rPr>
                <w:rFonts w:ascii="Times New Roman" w:hAnsi="Times New Roman"/>
                <w:b/>
                <w:sz w:val="24"/>
                <w:szCs w:val="24"/>
                <w:lang w:val="nl-NL"/>
              </w:rPr>
            </w:pPr>
            <w:r w:rsidRPr="00A102A4">
              <w:rPr>
                <w:rFonts w:ascii="Times New Roman" w:hAnsi="Times New Roman"/>
                <w:b/>
                <w:sz w:val="24"/>
                <w:szCs w:val="24"/>
                <w:lang w:val="nl-NL"/>
              </w:rPr>
              <w:t>Tổng tăng trưởng của NAV/CCQ (%)</w:t>
            </w:r>
          </w:p>
        </w:tc>
        <w:tc>
          <w:tcPr>
            <w:tcW w:w="2067" w:type="pct"/>
            <w:shd w:val="clear" w:color="auto" w:fill="auto"/>
            <w:vAlign w:val="center"/>
          </w:tcPr>
          <w:p w14:paraId="105C0B78" w14:textId="77777777" w:rsidR="008477D9" w:rsidRPr="00A102A4" w:rsidRDefault="008477D9" w:rsidP="00A102A4">
            <w:pPr>
              <w:ind w:left="160" w:right="136"/>
              <w:jc w:val="center"/>
              <w:rPr>
                <w:rFonts w:ascii="Times New Roman" w:hAnsi="Times New Roman"/>
                <w:b/>
                <w:sz w:val="24"/>
                <w:szCs w:val="24"/>
                <w:lang w:val="nl-NL"/>
              </w:rPr>
            </w:pPr>
            <w:r w:rsidRPr="00A102A4">
              <w:rPr>
                <w:rFonts w:ascii="Times New Roman" w:hAnsi="Times New Roman"/>
                <w:b/>
                <w:sz w:val="24"/>
                <w:szCs w:val="24"/>
                <w:lang w:val="nl-NL"/>
              </w:rPr>
              <w:t>Tăng trưởng NAV/CCQ</w:t>
            </w:r>
            <w:r w:rsidRPr="00A102A4">
              <w:rPr>
                <w:rFonts w:ascii="Times New Roman" w:hAnsi="Times New Roman"/>
                <w:b/>
                <w:sz w:val="24"/>
                <w:szCs w:val="24"/>
                <w:lang w:val="nl-NL"/>
              </w:rPr>
              <w:br/>
              <w:t>hàng năm (%)</w:t>
            </w:r>
          </w:p>
        </w:tc>
      </w:tr>
      <w:tr w:rsidR="00A102A4" w:rsidRPr="00A102A4" w14:paraId="780C84C0" w14:textId="77777777" w:rsidTr="00A102A4">
        <w:tc>
          <w:tcPr>
            <w:tcW w:w="1473" w:type="pct"/>
            <w:shd w:val="clear" w:color="auto" w:fill="auto"/>
            <w:vAlign w:val="center"/>
          </w:tcPr>
          <w:p w14:paraId="045EFC8B" w14:textId="77777777" w:rsidR="0074183D" w:rsidRPr="00A102A4" w:rsidRDefault="0074183D" w:rsidP="00A102A4">
            <w:pPr>
              <w:ind w:left="112"/>
              <w:rPr>
                <w:rFonts w:ascii="Times New Roman" w:hAnsi="Times New Roman"/>
                <w:sz w:val="24"/>
                <w:szCs w:val="24"/>
                <w:lang w:val="nl-NL"/>
              </w:rPr>
            </w:pPr>
            <w:r w:rsidRPr="00A102A4">
              <w:rPr>
                <w:rFonts w:ascii="Times New Roman" w:hAnsi="Times New Roman"/>
                <w:sz w:val="24"/>
                <w:szCs w:val="24"/>
                <w:lang w:val="nl-NL"/>
              </w:rPr>
              <w:t>1 năm</w:t>
            </w:r>
          </w:p>
        </w:tc>
        <w:tc>
          <w:tcPr>
            <w:tcW w:w="1460" w:type="pct"/>
            <w:shd w:val="clear" w:color="auto" w:fill="auto"/>
            <w:vAlign w:val="center"/>
          </w:tcPr>
          <w:p w14:paraId="4B0B10F9" w14:textId="43101C27" w:rsidR="0074183D" w:rsidRPr="00A102A4" w:rsidRDefault="0074183D" w:rsidP="00A102A4">
            <w:pPr>
              <w:ind w:left="197" w:right="103"/>
              <w:jc w:val="right"/>
              <w:rPr>
                <w:rFonts w:ascii="Times New Roman" w:hAnsi="Times New Roman"/>
                <w:sz w:val="24"/>
                <w:szCs w:val="24"/>
                <w:lang w:val="nl-NL"/>
              </w:rPr>
            </w:pPr>
            <w:r w:rsidRPr="00A102A4">
              <w:rPr>
                <w:rFonts w:ascii="Times New Roman" w:hAnsi="Times New Roman"/>
                <w:sz w:val="24"/>
                <w:szCs w:val="24"/>
              </w:rPr>
              <w:t>-12.36</w:t>
            </w:r>
          </w:p>
        </w:tc>
        <w:tc>
          <w:tcPr>
            <w:tcW w:w="2067" w:type="pct"/>
            <w:shd w:val="clear" w:color="auto" w:fill="auto"/>
            <w:vAlign w:val="center"/>
          </w:tcPr>
          <w:p w14:paraId="02970E4E" w14:textId="248DA752" w:rsidR="0074183D" w:rsidRPr="00A102A4" w:rsidRDefault="0074183D" w:rsidP="00A102A4">
            <w:pPr>
              <w:ind w:left="160" w:right="136"/>
              <w:jc w:val="right"/>
              <w:rPr>
                <w:rFonts w:ascii="Times New Roman" w:hAnsi="Times New Roman"/>
                <w:sz w:val="24"/>
                <w:szCs w:val="24"/>
                <w:lang w:val="nl-NL"/>
              </w:rPr>
            </w:pPr>
            <w:r w:rsidRPr="00A102A4">
              <w:rPr>
                <w:rFonts w:ascii="Times New Roman" w:hAnsi="Times New Roman"/>
                <w:sz w:val="24"/>
                <w:szCs w:val="24"/>
              </w:rPr>
              <w:t>-12.36</w:t>
            </w:r>
          </w:p>
        </w:tc>
      </w:tr>
      <w:tr w:rsidR="00A102A4" w:rsidRPr="00A102A4" w14:paraId="3DF8ABB5" w14:textId="77777777" w:rsidTr="00A102A4">
        <w:tc>
          <w:tcPr>
            <w:tcW w:w="1473" w:type="pct"/>
            <w:shd w:val="clear" w:color="auto" w:fill="auto"/>
            <w:vAlign w:val="center"/>
          </w:tcPr>
          <w:p w14:paraId="134D9F5C" w14:textId="77777777" w:rsidR="0074183D" w:rsidRPr="00A102A4" w:rsidRDefault="0074183D" w:rsidP="00A102A4">
            <w:pPr>
              <w:ind w:left="112"/>
              <w:rPr>
                <w:rFonts w:ascii="Times New Roman" w:hAnsi="Times New Roman"/>
                <w:sz w:val="24"/>
                <w:szCs w:val="24"/>
                <w:lang w:val="nl-NL"/>
              </w:rPr>
            </w:pPr>
            <w:r w:rsidRPr="00A102A4">
              <w:rPr>
                <w:rFonts w:ascii="Times New Roman" w:hAnsi="Times New Roman"/>
                <w:sz w:val="24"/>
                <w:szCs w:val="24"/>
                <w:lang w:val="nl-NL"/>
              </w:rPr>
              <w:t>3 năm</w:t>
            </w:r>
          </w:p>
        </w:tc>
        <w:tc>
          <w:tcPr>
            <w:tcW w:w="1460" w:type="pct"/>
            <w:shd w:val="clear" w:color="auto" w:fill="auto"/>
            <w:vAlign w:val="center"/>
          </w:tcPr>
          <w:p w14:paraId="23E73C4E" w14:textId="09308AE5" w:rsidR="0074183D" w:rsidRPr="00A102A4" w:rsidRDefault="0074183D" w:rsidP="00A102A4">
            <w:pPr>
              <w:ind w:left="197" w:right="103"/>
              <w:jc w:val="right"/>
              <w:rPr>
                <w:rFonts w:ascii="Times New Roman" w:hAnsi="Times New Roman"/>
                <w:sz w:val="24"/>
                <w:szCs w:val="24"/>
                <w:lang w:val="nl-NL"/>
              </w:rPr>
            </w:pPr>
            <w:r w:rsidRPr="00A102A4">
              <w:rPr>
                <w:rFonts w:ascii="Times New Roman" w:hAnsi="Times New Roman"/>
                <w:sz w:val="24"/>
                <w:szCs w:val="24"/>
              </w:rPr>
              <w:t>59.37</w:t>
            </w:r>
          </w:p>
        </w:tc>
        <w:tc>
          <w:tcPr>
            <w:tcW w:w="2067" w:type="pct"/>
            <w:shd w:val="clear" w:color="auto" w:fill="auto"/>
            <w:vAlign w:val="center"/>
          </w:tcPr>
          <w:p w14:paraId="7901326E" w14:textId="7B38641D" w:rsidR="0074183D" w:rsidRPr="00A102A4" w:rsidRDefault="0074183D" w:rsidP="00A102A4">
            <w:pPr>
              <w:ind w:left="160" w:right="136"/>
              <w:jc w:val="right"/>
              <w:rPr>
                <w:rFonts w:ascii="Times New Roman" w:hAnsi="Times New Roman"/>
                <w:sz w:val="24"/>
                <w:szCs w:val="24"/>
                <w:lang w:val="nl-NL"/>
              </w:rPr>
            </w:pPr>
            <w:r w:rsidRPr="00A102A4">
              <w:rPr>
                <w:rFonts w:ascii="Times New Roman" w:hAnsi="Times New Roman"/>
                <w:sz w:val="24"/>
                <w:szCs w:val="24"/>
              </w:rPr>
              <w:t>16.81</w:t>
            </w:r>
          </w:p>
        </w:tc>
      </w:tr>
      <w:tr w:rsidR="00A102A4" w:rsidRPr="00A102A4" w14:paraId="7B396E7E" w14:textId="77777777" w:rsidTr="00A102A4">
        <w:tc>
          <w:tcPr>
            <w:tcW w:w="1473" w:type="pct"/>
            <w:shd w:val="clear" w:color="auto" w:fill="auto"/>
            <w:vAlign w:val="center"/>
          </w:tcPr>
          <w:p w14:paraId="07E02170" w14:textId="77777777" w:rsidR="0074183D" w:rsidRPr="00A102A4" w:rsidRDefault="0074183D" w:rsidP="00A102A4">
            <w:pPr>
              <w:ind w:left="112"/>
              <w:rPr>
                <w:rFonts w:ascii="Times New Roman" w:hAnsi="Times New Roman"/>
                <w:sz w:val="24"/>
                <w:szCs w:val="24"/>
                <w:lang w:val="nl-NL"/>
              </w:rPr>
            </w:pPr>
            <w:r w:rsidRPr="00A102A4">
              <w:rPr>
                <w:rFonts w:ascii="Times New Roman" w:hAnsi="Times New Roman"/>
                <w:sz w:val="24"/>
                <w:szCs w:val="24"/>
                <w:lang w:val="nl-NL"/>
              </w:rPr>
              <w:t>Từ khi thành lập</w:t>
            </w:r>
          </w:p>
        </w:tc>
        <w:tc>
          <w:tcPr>
            <w:tcW w:w="1460" w:type="pct"/>
            <w:shd w:val="clear" w:color="auto" w:fill="auto"/>
            <w:vAlign w:val="center"/>
          </w:tcPr>
          <w:p w14:paraId="3C6F81A1" w14:textId="00A0A069" w:rsidR="0074183D" w:rsidRPr="00A102A4" w:rsidRDefault="0074183D" w:rsidP="00A102A4">
            <w:pPr>
              <w:ind w:left="197" w:right="103"/>
              <w:jc w:val="right"/>
              <w:rPr>
                <w:rFonts w:ascii="Times New Roman" w:hAnsi="Times New Roman"/>
                <w:sz w:val="24"/>
                <w:szCs w:val="24"/>
                <w:lang w:val="nl-NL"/>
              </w:rPr>
            </w:pPr>
            <w:r w:rsidRPr="00A102A4">
              <w:rPr>
                <w:rFonts w:ascii="Times New Roman" w:hAnsi="Times New Roman"/>
                <w:sz w:val="24"/>
                <w:szCs w:val="24"/>
              </w:rPr>
              <w:t>505.65</w:t>
            </w:r>
          </w:p>
        </w:tc>
        <w:tc>
          <w:tcPr>
            <w:tcW w:w="2067" w:type="pct"/>
            <w:shd w:val="clear" w:color="auto" w:fill="auto"/>
            <w:vAlign w:val="center"/>
          </w:tcPr>
          <w:p w14:paraId="1CCCE351" w14:textId="222AAD2F" w:rsidR="0074183D" w:rsidRPr="00A102A4" w:rsidRDefault="0074183D" w:rsidP="00A102A4">
            <w:pPr>
              <w:ind w:left="160" w:right="136"/>
              <w:jc w:val="right"/>
              <w:rPr>
                <w:rFonts w:ascii="Times New Roman" w:hAnsi="Times New Roman"/>
                <w:sz w:val="24"/>
                <w:szCs w:val="24"/>
                <w:lang w:val="nl-NL"/>
              </w:rPr>
            </w:pPr>
            <w:r w:rsidRPr="00A102A4">
              <w:rPr>
                <w:rFonts w:ascii="Times New Roman" w:hAnsi="Times New Roman"/>
                <w:sz w:val="24"/>
                <w:szCs w:val="24"/>
              </w:rPr>
              <w:t>10.46</w:t>
            </w:r>
          </w:p>
        </w:tc>
      </w:tr>
    </w:tbl>
    <w:p w14:paraId="33AC1B18" w14:textId="77777777" w:rsidR="00A102A4" w:rsidRDefault="00A102A4" w:rsidP="008C36B7">
      <w:pPr>
        <w:rPr>
          <w:rFonts w:ascii="Times New Roman" w:hAnsi="Times New Roman"/>
          <w:b/>
          <w:sz w:val="24"/>
          <w:szCs w:val="24"/>
          <w:lang w:val="nl-NL"/>
        </w:rPr>
      </w:pPr>
    </w:p>
    <w:p w14:paraId="6550D055" w14:textId="251E1EE5" w:rsidR="008477D9" w:rsidRPr="008C36B7" w:rsidRDefault="008477D9" w:rsidP="00A102A4">
      <w:pPr>
        <w:ind w:firstLine="426"/>
        <w:rPr>
          <w:rFonts w:ascii="Times New Roman" w:hAnsi="Times New Roman"/>
          <w:b/>
          <w:sz w:val="24"/>
          <w:szCs w:val="24"/>
          <w:lang w:val="nl-NL"/>
        </w:rPr>
      </w:pPr>
      <w:r w:rsidRPr="008C36B7">
        <w:rPr>
          <w:rFonts w:ascii="Times New Roman" w:hAnsi="Times New Roman"/>
          <w:b/>
          <w:sz w:val="24"/>
          <w:szCs w:val="24"/>
          <w:lang w:val="nl-NL"/>
        </w:rPr>
        <w:t>2.4.</w:t>
      </w:r>
      <w:r w:rsidR="00A102A4">
        <w:rPr>
          <w:rFonts w:ascii="Times New Roman" w:hAnsi="Times New Roman"/>
          <w:b/>
          <w:sz w:val="24"/>
          <w:szCs w:val="24"/>
          <w:lang w:val="nl-NL"/>
        </w:rPr>
        <w:t xml:space="preserve"> </w:t>
      </w:r>
      <w:r w:rsidRPr="008C36B7">
        <w:rPr>
          <w:rFonts w:ascii="Times New Roman" w:hAnsi="Times New Roman"/>
          <w:b/>
          <w:sz w:val="24"/>
          <w:szCs w:val="24"/>
          <w:lang w:val="nl-NL"/>
        </w:rPr>
        <w:t>Tăng trưởng hàng năm</w:t>
      </w:r>
    </w:p>
    <w:p w14:paraId="685530C2" w14:textId="77777777" w:rsidR="008477D9" w:rsidRPr="008C36B7" w:rsidRDefault="008477D9" w:rsidP="008C36B7">
      <w:pPr>
        <w:rPr>
          <w:rFonts w:ascii="Times New Roman" w:hAnsi="Times New Roman"/>
          <w:b/>
          <w:sz w:val="24"/>
          <w:szCs w:val="24"/>
          <w:lang w:val="nl-NL"/>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1702"/>
        <w:gridCol w:w="1983"/>
        <w:gridCol w:w="1843"/>
      </w:tblGrid>
      <w:tr w:rsidR="00A102A4" w:rsidRPr="00A102A4" w14:paraId="360DE4EA" w14:textId="77777777" w:rsidTr="00A102A4">
        <w:tc>
          <w:tcPr>
            <w:tcW w:w="1853" w:type="pct"/>
            <w:shd w:val="clear" w:color="auto" w:fill="auto"/>
          </w:tcPr>
          <w:p w14:paraId="273C6130" w14:textId="77777777" w:rsidR="00653170" w:rsidRPr="00A102A4" w:rsidRDefault="00653170" w:rsidP="00A102A4">
            <w:pPr>
              <w:ind w:left="132" w:right="141"/>
              <w:jc w:val="center"/>
              <w:rPr>
                <w:rFonts w:ascii="Times New Roman" w:hAnsi="Times New Roman"/>
                <w:b/>
                <w:bCs/>
                <w:sz w:val="24"/>
                <w:szCs w:val="24"/>
                <w:lang w:val="nl-NL"/>
              </w:rPr>
            </w:pPr>
            <w:r w:rsidRPr="00A102A4">
              <w:rPr>
                <w:rFonts w:ascii="Times New Roman" w:hAnsi="Times New Roman"/>
                <w:b/>
                <w:bCs/>
                <w:sz w:val="24"/>
                <w:szCs w:val="24"/>
                <w:lang w:val="nl-NL"/>
              </w:rPr>
              <w:t>Thời kỳ</w:t>
            </w:r>
          </w:p>
        </w:tc>
        <w:tc>
          <w:tcPr>
            <w:tcW w:w="969" w:type="pct"/>
            <w:shd w:val="clear" w:color="auto" w:fill="auto"/>
            <w:vAlign w:val="center"/>
          </w:tcPr>
          <w:p w14:paraId="526938B1" w14:textId="308F0F71" w:rsidR="00653170" w:rsidRPr="00A102A4" w:rsidRDefault="00653170" w:rsidP="00A102A4">
            <w:pPr>
              <w:ind w:left="142"/>
              <w:jc w:val="center"/>
              <w:rPr>
                <w:rFonts w:ascii="Times New Roman" w:hAnsi="Times New Roman"/>
                <w:sz w:val="24"/>
                <w:szCs w:val="24"/>
                <w:lang w:val="nl-NL"/>
              </w:rPr>
            </w:pPr>
            <w:r w:rsidRPr="00A102A4">
              <w:rPr>
                <w:rFonts w:ascii="Times New Roman" w:hAnsi="Times New Roman"/>
                <w:sz w:val="24"/>
                <w:szCs w:val="24"/>
              </w:rPr>
              <w:t>30/06/2022</w:t>
            </w:r>
          </w:p>
        </w:tc>
        <w:tc>
          <w:tcPr>
            <w:tcW w:w="1129" w:type="pct"/>
            <w:shd w:val="clear" w:color="auto" w:fill="auto"/>
            <w:vAlign w:val="center"/>
          </w:tcPr>
          <w:p w14:paraId="29B0B85E" w14:textId="4D5BEAED" w:rsidR="00653170" w:rsidRPr="00A102A4" w:rsidRDefault="00653170" w:rsidP="00A102A4">
            <w:pPr>
              <w:ind w:left="142"/>
              <w:jc w:val="center"/>
              <w:rPr>
                <w:rFonts w:ascii="Times New Roman" w:hAnsi="Times New Roman"/>
                <w:sz w:val="24"/>
                <w:szCs w:val="24"/>
                <w:lang w:val="nl-NL"/>
              </w:rPr>
            </w:pPr>
            <w:r w:rsidRPr="00A102A4">
              <w:rPr>
                <w:rFonts w:ascii="Times New Roman" w:hAnsi="Times New Roman"/>
                <w:sz w:val="24"/>
                <w:szCs w:val="24"/>
              </w:rPr>
              <w:t>30/06/2021</w:t>
            </w:r>
          </w:p>
        </w:tc>
        <w:tc>
          <w:tcPr>
            <w:tcW w:w="1049" w:type="pct"/>
            <w:shd w:val="clear" w:color="auto" w:fill="auto"/>
            <w:vAlign w:val="center"/>
          </w:tcPr>
          <w:p w14:paraId="7B9DAE5C" w14:textId="590745A7" w:rsidR="00653170" w:rsidRPr="00A102A4" w:rsidRDefault="00653170" w:rsidP="00A102A4">
            <w:pPr>
              <w:ind w:left="142"/>
              <w:jc w:val="center"/>
              <w:rPr>
                <w:rFonts w:ascii="Times New Roman" w:hAnsi="Times New Roman"/>
                <w:sz w:val="24"/>
                <w:szCs w:val="24"/>
                <w:lang w:val="nl-NL"/>
              </w:rPr>
            </w:pPr>
            <w:r w:rsidRPr="00A102A4">
              <w:rPr>
                <w:rFonts w:ascii="Times New Roman" w:hAnsi="Times New Roman"/>
                <w:sz w:val="24"/>
                <w:szCs w:val="24"/>
              </w:rPr>
              <w:t>30/06/2020</w:t>
            </w:r>
          </w:p>
        </w:tc>
      </w:tr>
      <w:tr w:rsidR="00A102A4" w:rsidRPr="00A102A4" w14:paraId="33434696" w14:textId="77777777" w:rsidTr="00A102A4">
        <w:tc>
          <w:tcPr>
            <w:tcW w:w="1853" w:type="pct"/>
            <w:shd w:val="clear" w:color="auto" w:fill="auto"/>
          </w:tcPr>
          <w:p w14:paraId="4E13A645" w14:textId="77777777" w:rsidR="00653170" w:rsidRPr="00A102A4" w:rsidRDefault="00653170" w:rsidP="00A102A4">
            <w:pPr>
              <w:ind w:left="132" w:right="141"/>
              <w:jc w:val="center"/>
              <w:rPr>
                <w:rFonts w:ascii="Times New Roman" w:hAnsi="Times New Roman"/>
                <w:b/>
                <w:bCs/>
                <w:sz w:val="24"/>
                <w:szCs w:val="24"/>
                <w:lang w:val="nl-NL"/>
              </w:rPr>
            </w:pPr>
            <w:r w:rsidRPr="00A102A4">
              <w:rPr>
                <w:rFonts w:ascii="Times New Roman" w:hAnsi="Times New Roman"/>
                <w:b/>
                <w:bCs/>
                <w:sz w:val="24"/>
                <w:szCs w:val="24"/>
                <w:lang w:val="nl-NL"/>
              </w:rPr>
              <w:t>Tỷ lệ tăng trưởng (%)/</w:t>
            </w:r>
            <w:r w:rsidRPr="00A102A4">
              <w:rPr>
                <w:rFonts w:ascii="Times New Roman" w:hAnsi="Times New Roman"/>
                <w:b/>
                <w:bCs/>
                <w:sz w:val="24"/>
                <w:szCs w:val="24"/>
                <w:lang w:val="nl-NL"/>
              </w:rPr>
              <w:br/>
              <w:t>1 đơn vị CCQ</w:t>
            </w:r>
          </w:p>
        </w:tc>
        <w:tc>
          <w:tcPr>
            <w:tcW w:w="969" w:type="pct"/>
            <w:shd w:val="clear" w:color="auto" w:fill="auto"/>
            <w:vAlign w:val="center"/>
          </w:tcPr>
          <w:p w14:paraId="62DE86EC" w14:textId="41859455" w:rsidR="00653170" w:rsidRPr="00A102A4" w:rsidRDefault="00653170" w:rsidP="00A102A4">
            <w:pPr>
              <w:ind w:left="142" w:right="140"/>
              <w:jc w:val="right"/>
              <w:rPr>
                <w:rFonts w:ascii="Times New Roman" w:hAnsi="Times New Roman"/>
                <w:sz w:val="24"/>
                <w:szCs w:val="24"/>
                <w:lang w:val="nl-NL"/>
              </w:rPr>
            </w:pPr>
            <w:r w:rsidRPr="00A102A4">
              <w:rPr>
                <w:rFonts w:ascii="Times New Roman" w:hAnsi="Times New Roman"/>
                <w:sz w:val="24"/>
                <w:szCs w:val="24"/>
              </w:rPr>
              <w:t>-12.36%</w:t>
            </w:r>
          </w:p>
        </w:tc>
        <w:tc>
          <w:tcPr>
            <w:tcW w:w="1129" w:type="pct"/>
            <w:shd w:val="clear" w:color="auto" w:fill="auto"/>
            <w:vAlign w:val="center"/>
          </w:tcPr>
          <w:p w14:paraId="0DEAEE1E" w14:textId="3A088B99" w:rsidR="00653170" w:rsidRPr="00A102A4" w:rsidRDefault="00653170" w:rsidP="00A102A4">
            <w:pPr>
              <w:ind w:left="142" w:right="140"/>
              <w:jc w:val="right"/>
              <w:rPr>
                <w:rFonts w:ascii="Times New Roman" w:hAnsi="Times New Roman"/>
                <w:sz w:val="24"/>
                <w:szCs w:val="24"/>
                <w:lang w:val="nl-NL"/>
              </w:rPr>
            </w:pPr>
            <w:r w:rsidRPr="00A102A4">
              <w:rPr>
                <w:rFonts w:ascii="Times New Roman" w:hAnsi="Times New Roman"/>
                <w:sz w:val="24"/>
                <w:szCs w:val="24"/>
              </w:rPr>
              <w:t>89.85%</w:t>
            </w:r>
          </w:p>
        </w:tc>
        <w:tc>
          <w:tcPr>
            <w:tcW w:w="1049" w:type="pct"/>
            <w:shd w:val="clear" w:color="auto" w:fill="auto"/>
            <w:vAlign w:val="center"/>
          </w:tcPr>
          <w:p w14:paraId="08BDBB56" w14:textId="5817B024" w:rsidR="00653170" w:rsidRPr="00A102A4" w:rsidRDefault="00653170" w:rsidP="00A102A4">
            <w:pPr>
              <w:ind w:left="142" w:right="140"/>
              <w:jc w:val="right"/>
              <w:rPr>
                <w:rFonts w:ascii="Times New Roman" w:hAnsi="Times New Roman"/>
                <w:sz w:val="24"/>
                <w:szCs w:val="24"/>
                <w:lang w:val="nl-NL"/>
              </w:rPr>
            </w:pPr>
            <w:r w:rsidRPr="00A102A4">
              <w:rPr>
                <w:rFonts w:ascii="Times New Roman" w:hAnsi="Times New Roman"/>
                <w:sz w:val="24"/>
                <w:szCs w:val="24"/>
              </w:rPr>
              <w:t>-4.21%</w:t>
            </w:r>
          </w:p>
        </w:tc>
      </w:tr>
    </w:tbl>
    <w:p w14:paraId="36F7C8ED" w14:textId="77777777" w:rsidR="00E42142" w:rsidRPr="008C36B7" w:rsidRDefault="00E42142" w:rsidP="008C36B7">
      <w:pPr>
        <w:rPr>
          <w:rFonts w:ascii="Times New Roman" w:hAnsi="Times New Roman"/>
          <w:b/>
          <w:sz w:val="24"/>
          <w:szCs w:val="24"/>
          <w:lang w:val="nl-NL"/>
        </w:rPr>
      </w:pPr>
    </w:p>
    <w:p w14:paraId="5AE3FD2B" w14:textId="00D2A4A4" w:rsidR="008477D9" w:rsidRPr="008C36B7" w:rsidRDefault="00A102A4" w:rsidP="008C36B7">
      <w:pPr>
        <w:rPr>
          <w:rFonts w:ascii="Times New Roman" w:hAnsi="Times New Roman"/>
          <w:b/>
          <w:sz w:val="24"/>
          <w:szCs w:val="24"/>
          <w:lang w:val="nl-NL"/>
        </w:rPr>
      </w:pPr>
      <w:r>
        <w:rPr>
          <w:rFonts w:ascii="Times New Roman" w:hAnsi="Times New Roman"/>
          <w:b/>
          <w:sz w:val="24"/>
          <w:szCs w:val="24"/>
          <w:lang w:val="nl-NL"/>
        </w:rPr>
        <w:t xml:space="preserve">3. </w:t>
      </w:r>
      <w:r w:rsidR="008477D9" w:rsidRPr="008C36B7">
        <w:rPr>
          <w:rFonts w:ascii="Times New Roman" w:hAnsi="Times New Roman"/>
          <w:b/>
          <w:sz w:val="24"/>
          <w:szCs w:val="24"/>
          <w:lang w:val="nl-NL"/>
        </w:rPr>
        <w:t>MÔ TẢ THỊ TRƯỜNG TRONG KỲ</w:t>
      </w:r>
    </w:p>
    <w:p w14:paraId="598710FF" w14:textId="31298D53" w:rsidR="0074183D" w:rsidRPr="005F470F" w:rsidRDefault="00A102A4" w:rsidP="00A102A4">
      <w:pPr>
        <w:spacing w:before="120"/>
        <w:ind w:firstLine="426"/>
        <w:rPr>
          <w:rFonts w:ascii="Times New Roman" w:hAnsi="Times New Roman"/>
          <w:sz w:val="24"/>
          <w:szCs w:val="24"/>
        </w:rPr>
      </w:pPr>
      <w:r w:rsidRPr="005F470F">
        <w:rPr>
          <w:rFonts w:ascii="Times New Roman" w:hAnsi="Times New Roman"/>
          <w:sz w:val="24"/>
          <w:szCs w:val="24"/>
        </w:rPr>
        <w:t xml:space="preserve">- </w:t>
      </w:r>
      <w:r w:rsidR="0074183D" w:rsidRPr="005F470F">
        <w:rPr>
          <w:rFonts w:ascii="Times New Roman" w:hAnsi="Times New Roman"/>
          <w:sz w:val="24"/>
          <w:szCs w:val="24"/>
        </w:rPr>
        <w:t xml:space="preserve">VNI </w:t>
      </w:r>
      <w:proofErr w:type="spellStart"/>
      <w:r w:rsidR="0074183D" w:rsidRPr="005F470F">
        <w:rPr>
          <w:rFonts w:ascii="Times New Roman" w:hAnsi="Times New Roman"/>
          <w:sz w:val="24"/>
          <w:szCs w:val="24"/>
        </w:rPr>
        <w:t>tiếp</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tục</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đi</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xuống</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trong</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tháng</w:t>
      </w:r>
      <w:proofErr w:type="spellEnd"/>
      <w:r w:rsidR="0074183D" w:rsidRPr="005F470F">
        <w:rPr>
          <w:rFonts w:ascii="Times New Roman" w:hAnsi="Times New Roman"/>
          <w:sz w:val="24"/>
          <w:szCs w:val="24"/>
        </w:rPr>
        <w:t xml:space="preserve"> 6, </w:t>
      </w:r>
      <w:proofErr w:type="spellStart"/>
      <w:r w:rsidR="0074183D" w:rsidRPr="005F470F">
        <w:rPr>
          <w:rFonts w:ascii="Times New Roman" w:hAnsi="Times New Roman"/>
          <w:sz w:val="24"/>
          <w:szCs w:val="24"/>
        </w:rPr>
        <w:t>giảm</w:t>
      </w:r>
      <w:proofErr w:type="spellEnd"/>
      <w:r w:rsidR="0074183D" w:rsidRPr="005F470F">
        <w:rPr>
          <w:rFonts w:ascii="Times New Roman" w:hAnsi="Times New Roman"/>
          <w:sz w:val="24"/>
          <w:szCs w:val="24"/>
        </w:rPr>
        <w:t xml:space="preserve"> 7,6% </w:t>
      </w:r>
      <w:proofErr w:type="spellStart"/>
      <w:r w:rsidR="0074183D" w:rsidRPr="005F470F">
        <w:rPr>
          <w:rFonts w:ascii="Times New Roman" w:hAnsi="Times New Roman"/>
          <w:sz w:val="24"/>
          <w:szCs w:val="24"/>
        </w:rPr>
        <w:t>về</w:t>
      </w:r>
      <w:proofErr w:type="spellEnd"/>
      <w:r w:rsidR="0074183D" w:rsidRPr="005F470F">
        <w:rPr>
          <w:rFonts w:ascii="Times New Roman" w:hAnsi="Times New Roman"/>
          <w:sz w:val="24"/>
          <w:szCs w:val="24"/>
        </w:rPr>
        <w:t xml:space="preserve"> 1198 </w:t>
      </w:r>
      <w:proofErr w:type="spellStart"/>
      <w:r w:rsidR="0074183D" w:rsidRPr="005F470F">
        <w:rPr>
          <w:rFonts w:ascii="Times New Roman" w:hAnsi="Times New Roman"/>
          <w:sz w:val="24"/>
          <w:szCs w:val="24"/>
        </w:rPr>
        <w:t>điểm</w:t>
      </w:r>
      <w:proofErr w:type="spellEnd"/>
      <w:r w:rsidR="0074183D" w:rsidRPr="005F470F">
        <w:rPr>
          <w:rFonts w:ascii="Times New Roman" w:hAnsi="Times New Roman"/>
          <w:sz w:val="24"/>
          <w:szCs w:val="24"/>
        </w:rPr>
        <w:t xml:space="preserve">. Thanh </w:t>
      </w:r>
      <w:proofErr w:type="spellStart"/>
      <w:r w:rsidR="0074183D" w:rsidRPr="005F470F">
        <w:rPr>
          <w:rFonts w:ascii="Times New Roman" w:hAnsi="Times New Roman"/>
          <w:sz w:val="24"/>
          <w:szCs w:val="24"/>
        </w:rPr>
        <w:t>khoản</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giảm</w:t>
      </w:r>
      <w:proofErr w:type="spellEnd"/>
      <w:r w:rsidR="0074183D" w:rsidRPr="005F470F">
        <w:rPr>
          <w:rFonts w:ascii="Times New Roman" w:hAnsi="Times New Roman"/>
          <w:sz w:val="24"/>
          <w:szCs w:val="24"/>
        </w:rPr>
        <w:t xml:space="preserve"> 4% so </w:t>
      </w:r>
      <w:proofErr w:type="spellStart"/>
      <w:r w:rsidR="0074183D" w:rsidRPr="005F470F">
        <w:rPr>
          <w:rFonts w:ascii="Times New Roman" w:hAnsi="Times New Roman"/>
          <w:sz w:val="24"/>
          <w:szCs w:val="24"/>
        </w:rPr>
        <w:t>với</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tháng</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trước</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đạt</w:t>
      </w:r>
      <w:proofErr w:type="spellEnd"/>
      <w:r w:rsidR="0074183D" w:rsidRPr="005F470F">
        <w:rPr>
          <w:rFonts w:ascii="Times New Roman" w:hAnsi="Times New Roman"/>
          <w:sz w:val="24"/>
          <w:szCs w:val="24"/>
        </w:rPr>
        <w:t xml:space="preserve"> 630 </w:t>
      </w:r>
      <w:proofErr w:type="spellStart"/>
      <w:r w:rsidR="0074183D" w:rsidRPr="005F470F">
        <w:rPr>
          <w:rFonts w:ascii="Times New Roman" w:hAnsi="Times New Roman"/>
          <w:sz w:val="24"/>
          <w:szCs w:val="24"/>
        </w:rPr>
        <w:t>triệu</w:t>
      </w:r>
      <w:proofErr w:type="spellEnd"/>
      <w:r w:rsidR="0074183D" w:rsidRPr="005F470F">
        <w:rPr>
          <w:rFonts w:ascii="Times New Roman" w:hAnsi="Times New Roman"/>
          <w:sz w:val="24"/>
          <w:szCs w:val="24"/>
        </w:rPr>
        <w:t xml:space="preserve"> USD </w:t>
      </w:r>
      <w:proofErr w:type="spellStart"/>
      <w:r w:rsidR="0074183D" w:rsidRPr="005F470F">
        <w:rPr>
          <w:rFonts w:ascii="Times New Roman" w:hAnsi="Times New Roman"/>
          <w:sz w:val="24"/>
          <w:szCs w:val="24"/>
        </w:rPr>
        <w:t>trên</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sàn</w:t>
      </w:r>
      <w:proofErr w:type="spellEnd"/>
      <w:r w:rsidR="0074183D" w:rsidRPr="005F470F">
        <w:rPr>
          <w:rFonts w:ascii="Times New Roman" w:hAnsi="Times New Roman"/>
          <w:sz w:val="24"/>
          <w:szCs w:val="24"/>
        </w:rPr>
        <w:t xml:space="preserve"> HOSE, 707 </w:t>
      </w:r>
      <w:proofErr w:type="spellStart"/>
      <w:r w:rsidR="0074183D" w:rsidRPr="005F470F">
        <w:rPr>
          <w:rFonts w:ascii="Times New Roman" w:hAnsi="Times New Roman"/>
          <w:sz w:val="24"/>
          <w:szCs w:val="24"/>
        </w:rPr>
        <w:t>triệu</w:t>
      </w:r>
      <w:proofErr w:type="spellEnd"/>
      <w:r w:rsidR="0074183D" w:rsidRPr="005F470F">
        <w:rPr>
          <w:rFonts w:ascii="Times New Roman" w:hAnsi="Times New Roman"/>
          <w:sz w:val="24"/>
          <w:szCs w:val="24"/>
        </w:rPr>
        <w:t xml:space="preserve"> USD </w:t>
      </w:r>
      <w:proofErr w:type="spellStart"/>
      <w:r w:rsidR="0074183D" w:rsidRPr="005F470F">
        <w:rPr>
          <w:rFonts w:ascii="Times New Roman" w:hAnsi="Times New Roman"/>
          <w:sz w:val="24"/>
          <w:szCs w:val="24"/>
        </w:rPr>
        <w:t>trên</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cả</w:t>
      </w:r>
      <w:proofErr w:type="spellEnd"/>
      <w:r w:rsidR="0074183D" w:rsidRPr="005F470F">
        <w:rPr>
          <w:rFonts w:ascii="Times New Roman" w:hAnsi="Times New Roman"/>
          <w:sz w:val="24"/>
          <w:szCs w:val="24"/>
        </w:rPr>
        <w:t xml:space="preserve"> 3 </w:t>
      </w:r>
      <w:proofErr w:type="spellStart"/>
      <w:r w:rsidR="0074183D" w:rsidRPr="005F470F">
        <w:rPr>
          <w:rFonts w:ascii="Times New Roman" w:hAnsi="Times New Roman"/>
          <w:sz w:val="24"/>
          <w:szCs w:val="24"/>
        </w:rPr>
        <w:t>sàn</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Điểm</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sáng</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duy</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nhất</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là</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khối</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ngoại</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tiếp</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tục</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mua</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ròng</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tháng</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thứ</w:t>
      </w:r>
      <w:proofErr w:type="spellEnd"/>
      <w:r w:rsidR="0074183D" w:rsidRPr="005F470F">
        <w:rPr>
          <w:rFonts w:ascii="Times New Roman" w:hAnsi="Times New Roman"/>
          <w:sz w:val="24"/>
          <w:szCs w:val="24"/>
        </w:rPr>
        <w:t xml:space="preserve"> 3 </w:t>
      </w:r>
      <w:proofErr w:type="spellStart"/>
      <w:r w:rsidR="0074183D" w:rsidRPr="005F470F">
        <w:rPr>
          <w:rFonts w:ascii="Times New Roman" w:hAnsi="Times New Roman"/>
          <w:sz w:val="24"/>
          <w:szCs w:val="24"/>
        </w:rPr>
        <w:t>liên</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tiếp</w:t>
      </w:r>
      <w:proofErr w:type="spellEnd"/>
      <w:r w:rsidR="0074183D" w:rsidRPr="005F470F">
        <w:rPr>
          <w:rFonts w:ascii="Times New Roman" w:hAnsi="Times New Roman"/>
          <w:sz w:val="24"/>
          <w:szCs w:val="24"/>
        </w:rPr>
        <w:t xml:space="preserve">, con </w:t>
      </w:r>
      <w:proofErr w:type="spellStart"/>
      <w:r w:rsidR="0074183D" w:rsidRPr="005F470F">
        <w:rPr>
          <w:rFonts w:ascii="Times New Roman" w:hAnsi="Times New Roman"/>
          <w:sz w:val="24"/>
          <w:szCs w:val="24"/>
        </w:rPr>
        <w:t>số</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mua</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ròng</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đạt</w:t>
      </w:r>
      <w:proofErr w:type="spellEnd"/>
      <w:r w:rsidR="0074183D" w:rsidRPr="005F470F">
        <w:rPr>
          <w:rFonts w:ascii="Times New Roman" w:hAnsi="Times New Roman"/>
          <w:sz w:val="24"/>
          <w:szCs w:val="24"/>
        </w:rPr>
        <w:t xml:space="preserve"> 93 </w:t>
      </w:r>
      <w:proofErr w:type="spellStart"/>
      <w:r w:rsidR="0074183D" w:rsidRPr="005F470F">
        <w:rPr>
          <w:rFonts w:ascii="Times New Roman" w:hAnsi="Times New Roman"/>
          <w:sz w:val="24"/>
          <w:szCs w:val="24"/>
        </w:rPr>
        <w:t>triệu</w:t>
      </w:r>
      <w:proofErr w:type="spellEnd"/>
      <w:r w:rsidR="0074183D" w:rsidRPr="005F470F">
        <w:rPr>
          <w:rFonts w:ascii="Times New Roman" w:hAnsi="Times New Roman"/>
          <w:sz w:val="24"/>
          <w:szCs w:val="24"/>
        </w:rPr>
        <w:t xml:space="preserve"> USD </w:t>
      </w:r>
      <w:proofErr w:type="spellStart"/>
      <w:r w:rsidR="0074183D" w:rsidRPr="005F470F">
        <w:rPr>
          <w:rFonts w:ascii="Times New Roman" w:hAnsi="Times New Roman"/>
          <w:sz w:val="24"/>
          <w:szCs w:val="24"/>
        </w:rPr>
        <w:t>trong</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tháng</w:t>
      </w:r>
      <w:proofErr w:type="spellEnd"/>
      <w:r w:rsidR="0074183D" w:rsidRPr="005F470F">
        <w:rPr>
          <w:rFonts w:ascii="Times New Roman" w:hAnsi="Times New Roman"/>
          <w:sz w:val="24"/>
          <w:szCs w:val="24"/>
        </w:rPr>
        <w:t xml:space="preserve"> 6 </w:t>
      </w:r>
      <w:proofErr w:type="spellStart"/>
      <w:r w:rsidR="0074183D" w:rsidRPr="005F470F">
        <w:rPr>
          <w:rFonts w:ascii="Times New Roman" w:hAnsi="Times New Roman"/>
          <w:sz w:val="24"/>
          <w:szCs w:val="24"/>
        </w:rPr>
        <w:t>và</w:t>
      </w:r>
      <w:proofErr w:type="spellEnd"/>
      <w:r w:rsidR="0074183D" w:rsidRPr="005F470F">
        <w:rPr>
          <w:rFonts w:ascii="Times New Roman" w:hAnsi="Times New Roman"/>
          <w:sz w:val="24"/>
          <w:szCs w:val="24"/>
        </w:rPr>
        <w:t xml:space="preserve"> 87 </w:t>
      </w:r>
      <w:proofErr w:type="spellStart"/>
      <w:r w:rsidR="0074183D" w:rsidRPr="005F470F">
        <w:rPr>
          <w:rFonts w:ascii="Times New Roman" w:hAnsi="Times New Roman"/>
          <w:sz w:val="24"/>
          <w:szCs w:val="24"/>
        </w:rPr>
        <w:t>triệu</w:t>
      </w:r>
      <w:proofErr w:type="spellEnd"/>
      <w:r w:rsidR="0074183D" w:rsidRPr="005F470F">
        <w:rPr>
          <w:rFonts w:ascii="Times New Roman" w:hAnsi="Times New Roman"/>
          <w:sz w:val="24"/>
          <w:szCs w:val="24"/>
        </w:rPr>
        <w:t xml:space="preserve"> USD </w:t>
      </w:r>
      <w:proofErr w:type="spellStart"/>
      <w:r w:rsidR="0074183D" w:rsidRPr="005F470F">
        <w:rPr>
          <w:rFonts w:ascii="Times New Roman" w:hAnsi="Times New Roman"/>
          <w:sz w:val="24"/>
          <w:szCs w:val="24"/>
        </w:rPr>
        <w:t>trong</w:t>
      </w:r>
      <w:proofErr w:type="spellEnd"/>
      <w:r w:rsidR="0074183D" w:rsidRPr="005F470F">
        <w:rPr>
          <w:rFonts w:ascii="Times New Roman" w:hAnsi="Times New Roman"/>
          <w:sz w:val="24"/>
          <w:szCs w:val="24"/>
        </w:rPr>
        <w:t xml:space="preserve"> 6 </w:t>
      </w:r>
      <w:proofErr w:type="spellStart"/>
      <w:r w:rsidR="0074183D" w:rsidRPr="005F470F">
        <w:rPr>
          <w:rFonts w:ascii="Times New Roman" w:hAnsi="Times New Roman"/>
          <w:sz w:val="24"/>
          <w:szCs w:val="24"/>
        </w:rPr>
        <w:t>tháng</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đầu</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năm</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Mặc</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dù</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vậy</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chỉ</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số</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đã</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phục</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hồi</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khi</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chạm</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ngưỡng</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hỗ</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trợ</w:t>
      </w:r>
      <w:proofErr w:type="spellEnd"/>
      <w:r w:rsidR="0074183D" w:rsidRPr="005F470F">
        <w:rPr>
          <w:rFonts w:ascii="Times New Roman" w:hAnsi="Times New Roman"/>
          <w:sz w:val="24"/>
          <w:szCs w:val="24"/>
        </w:rPr>
        <w:t xml:space="preserve"> 1.0170. </w:t>
      </w:r>
      <w:proofErr w:type="spellStart"/>
      <w:r w:rsidR="0074183D" w:rsidRPr="005F470F">
        <w:rPr>
          <w:rFonts w:ascii="Times New Roman" w:hAnsi="Times New Roman"/>
          <w:sz w:val="24"/>
          <w:szCs w:val="24"/>
        </w:rPr>
        <w:t>Tuy</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nhiên</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tâm</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lý</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nhà</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đầu</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tư</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vẫn</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còn</w:t>
      </w:r>
      <w:proofErr w:type="spellEnd"/>
      <w:r w:rsidR="0074183D" w:rsidRPr="005F470F">
        <w:rPr>
          <w:rFonts w:ascii="Times New Roman" w:hAnsi="Times New Roman"/>
          <w:sz w:val="24"/>
          <w:szCs w:val="24"/>
        </w:rPr>
        <w:t xml:space="preserve"> lung lay, </w:t>
      </w:r>
      <w:proofErr w:type="spellStart"/>
      <w:r w:rsidR="0074183D" w:rsidRPr="005F470F">
        <w:rPr>
          <w:rFonts w:ascii="Times New Roman" w:hAnsi="Times New Roman"/>
          <w:sz w:val="24"/>
          <w:szCs w:val="24"/>
        </w:rPr>
        <w:t>và</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bước</w:t>
      </w:r>
      <w:proofErr w:type="spellEnd"/>
      <w:r w:rsidR="0074183D" w:rsidRPr="005F470F">
        <w:rPr>
          <w:rFonts w:ascii="Times New Roman" w:hAnsi="Times New Roman"/>
          <w:sz w:val="24"/>
          <w:szCs w:val="24"/>
        </w:rPr>
        <w:t xml:space="preserve"> sang </w:t>
      </w:r>
      <w:proofErr w:type="spellStart"/>
      <w:r w:rsidR="0074183D" w:rsidRPr="005F470F">
        <w:rPr>
          <w:rFonts w:ascii="Times New Roman" w:hAnsi="Times New Roman"/>
          <w:sz w:val="24"/>
          <w:szCs w:val="24"/>
        </w:rPr>
        <w:t>tháng</w:t>
      </w:r>
      <w:proofErr w:type="spellEnd"/>
      <w:r w:rsidR="0074183D" w:rsidRPr="005F470F">
        <w:rPr>
          <w:rFonts w:ascii="Times New Roman" w:hAnsi="Times New Roman"/>
          <w:sz w:val="24"/>
          <w:szCs w:val="24"/>
        </w:rPr>
        <w:t xml:space="preserve"> 7, </w:t>
      </w:r>
      <w:proofErr w:type="spellStart"/>
      <w:r w:rsidR="0074183D" w:rsidRPr="005F470F">
        <w:rPr>
          <w:rFonts w:ascii="Times New Roman" w:hAnsi="Times New Roman"/>
          <w:sz w:val="24"/>
          <w:szCs w:val="24"/>
        </w:rPr>
        <w:t>thị</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trường</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hầu</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như</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chưa</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phản</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ánh</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số</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liệu</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kinh</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tế</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vĩ</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mô</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tích</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cực</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quý</w:t>
      </w:r>
      <w:proofErr w:type="spellEnd"/>
      <w:r w:rsidR="0074183D" w:rsidRPr="005F470F">
        <w:rPr>
          <w:rFonts w:ascii="Times New Roman" w:hAnsi="Times New Roman"/>
          <w:sz w:val="24"/>
          <w:szCs w:val="24"/>
        </w:rPr>
        <w:t xml:space="preserve"> 2/2022.</w:t>
      </w:r>
    </w:p>
    <w:p w14:paraId="2DA3FB3A" w14:textId="57F6AE66" w:rsidR="0074183D" w:rsidRPr="005F470F" w:rsidRDefault="00A102A4" w:rsidP="00A102A4">
      <w:pPr>
        <w:ind w:firstLine="426"/>
        <w:rPr>
          <w:rFonts w:ascii="Times New Roman" w:hAnsi="Times New Roman"/>
          <w:sz w:val="24"/>
          <w:szCs w:val="24"/>
        </w:rPr>
      </w:pPr>
      <w:r w:rsidRPr="005F470F">
        <w:rPr>
          <w:rFonts w:ascii="Times New Roman" w:hAnsi="Times New Roman"/>
          <w:sz w:val="24"/>
          <w:szCs w:val="24"/>
        </w:rPr>
        <w:t xml:space="preserve">- </w:t>
      </w:r>
      <w:proofErr w:type="spellStart"/>
      <w:r w:rsidR="0074183D" w:rsidRPr="005F470F">
        <w:rPr>
          <w:rFonts w:ascii="Times New Roman" w:hAnsi="Times New Roman"/>
          <w:sz w:val="24"/>
          <w:szCs w:val="24"/>
        </w:rPr>
        <w:t>Những</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điểm</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chính</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của</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thị</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trường</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trong</w:t>
      </w:r>
      <w:proofErr w:type="spellEnd"/>
      <w:r w:rsidR="0074183D" w:rsidRPr="005F470F">
        <w:rPr>
          <w:rFonts w:ascii="Times New Roman" w:hAnsi="Times New Roman"/>
          <w:sz w:val="24"/>
          <w:szCs w:val="24"/>
        </w:rPr>
        <w:t xml:space="preserve"> </w:t>
      </w:r>
      <w:proofErr w:type="spellStart"/>
      <w:r w:rsidR="0074183D" w:rsidRPr="005F470F">
        <w:rPr>
          <w:rFonts w:ascii="Times New Roman" w:hAnsi="Times New Roman"/>
          <w:sz w:val="24"/>
          <w:szCs w:val="24"/>
        </w:rPr>
        <w:t>quý</w:t>
      </w:r>
      <w:proofErr w:type="spellEnd"/>
      <w:r w:rsidR="0074183D" w:rsidRPr="005F470F">
        <w:rPr>
          <w:rFonts w:ascii="Times New Roman" w:hAnsi="Times New Roman"/>
          <w:sz w:val="24"/>
          <w:szCs w:val="24"/>
        </w:rPr>
        <w:t xml:space="preserve"> 2:</w:t>
      </w:r>
    </w:p>
    <w:p w14:paraId="06E9ABD4" w14:textId="77777777" w:rsidR="0074183D" w:rsidRPr="005F470F" w:rsidRDefault="0074183D" w:rsidP="00A102A4">
      <w:pPr>
        <w:ind w:left="993" w:hanging="426"/>
        <w:rPr>
          <w:rFonts w:ascii="Times New Roman" w:hAnsi="Times New Roman"/>
          <w:sz w:val="24"/>
          <w:szCs w:val="24"/>
        </w:rPr>
      </w:pPr>
      <w:r w:rsidRPr="005F470F">
        <w:rPr>
          <w:rFonts w:ascii="Times New Roman" w:hAnsi="Times New Roman"/>
          <w:sz w:val="24"/>
          <w:szCs w:val="24"/>
        </w:rPr>
        <w:t>(</w:t>
      </w:r>
      <w:proofErr w:type="spellStart"/>
      <w:r w:rsidRPr="005F470F">
        <w:rPr>
          <w:rFonts w:ascii="Times New Roman" w:hAnsi="Times New Roman"/>
          <w:sz w:val="24"/>
          <w:szCs w:val="24"/>
        </w:rPr>
        <w:t>i</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Ngành</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Thực</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phẩm</w:t>
      </w:r>
      <w:proofErr w:type="spellEnd"/>
      <w:r w:rsidRPr="005F470F">
        <w:rPr>
          <w:rFonts w:ascii="Times New Roman" w:hAnsi="Times New Roman"/>
          <w:sz w:val="24"/>
          <w:szCs w:val="24"/>
        </w:rPr>
        <w:t xml:space="preserve"> &amp; </w:t>
      </w:r>
      <w:proofErr w:type="spellStart"/>
      <w:r w:rsidRPr="005F470F">
        <w:rPr>
          <w:rFonts w:ascii="Times New Roman" w:hAnsi="Times New Roman"/>
          <w:sz w:val="24"/>
          <w:szCs w:val="24"/>
        </w:rPr>
        <w:t>Đồ</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uống</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và</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Bán</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lẻ</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đứng</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ngoài</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đà</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giảm</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của</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thị</w:t>
      </w:r>
      <w:proofErr w:type="spellEnd"/>
      <w:r w:rsidRPr="005F470F">
        <w:rPr>
          <w:rFonts w:ascii="Times New Roman" w:hAnsi="Times New Roman"/>
          <w:sz w:val="24"/>
          <w:szCs w:val="24"/>
        </w:rPr>
        <w:t xml:space="preserve"> </w:t>
      </w:r>
      <w:proofErr w:type="spellStart"/>
      <w:proofErr w:type="gramStart"/>
      <w:r w:rsidRPr="005F470F">
        <w:rPr>
          <w:rFonts w:ascii="Times New Roman" w:hAnsi="Times New Roman"/>
          <w:sz w:val="24"/>
          <w:szCs w:val="24"/>
        </w:rPr>
        <w:t>trường</w:t>
      </w:r>
      <w:proofErr w:type="spellEnd"/>
      <w:r w:rsidRPr="005F470F">
        <w:rPr>
          <w:rFonts w:ascii="Times New Roman" w:hAnsi="Times New Roman"/>
          <w:sz w:val="24"/>
          <w:szCs w:val="24"/>
        </w:rPr>
        <w:t>;</w:t>
      </w:r>
      <w:proofErr w:type="gramEnd"/>
    </w:p>
    <w:p w14:paraId="4D7189A1" w14:textId="77777777" w:rsidR="0074183D" w:rsidRPr="005F470F" w:rsidRDefault="0074183D" w:rsidP="00A102A4">
      <w:pPr>
        <w:ind w:left="993" w:hanging="426"/>
        <w:rPr>
          <w:rFonts w:ascii="Times New Roman" w:hAnsi="Times New Roman"/>
          <w:sz w:val="24"/>
          <w:szCs w:val="24"/>
        </w:rPr>
      </w:pPr>
      <w:r w:rsidRPr="005F470F">
        <w:rPr>
          <w:rFonts w:ascii="Times New Roman" w:hAnsi="Times New Roman"/>
          <w:sz w:val="24"/>
          <w:szCs w:val="24"/>
        </w:rPr>
        <w:t xml:space="preserve">(ii) </w:t>
      </w:r>
      <w:proofErr w:type="spellStart"/>
      <w:r w:rsidRPr="005F470F">
        <w:rPr>
          <w:rFonts w:ascii="Times New Roman" w:hAnsi="Times New Roman"/>
          <w:sz w:val="24"/>
          <w:szCs w:val="24"/>
        </w:rPr>
        <w:t>Ngành</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Chứng</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khoán</w:t>
      </w:r>
      <w:proofErr w:type="spellEnd"/>
      <w:r w:rsidRPr="005F470F">
        <w:rPr>
          <w:rFonts w:ascii="Times New Roman" w:hAnsi="Times New Roman"/>
          <w:sz w:val="24"/>
          <w:szCs w:val="24"/>
        </w:rPr>
        <w:t xml:space="preserve">, BĐS </w:t>
      </w:r>
      <w:proofErr w:type="spellStart"/>
      <w:r w:rsidRPr="005F470F">
        <w:rPr>
          <w:rFonts w:ascii="Times New Roman" w:hAnsi="Times New Roman"/>
          <w:sz w:val="24"/>
          <w:szCs w:val="24"/>
        </w:rPr>
        <w:t>vốn</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hóa</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trung</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bình</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Thép</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và</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hàng</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hóa</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lao</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dốc</w:t>
      </w:r>
      <w:proofErr w:type="spellEnd"/>
      <w:r w:rsidRPr="005F470F">
        <w:rPr>
          <w:rFonts w:ascii="Times New Roman" w:hAnsi="Times New Roman"/>
          <w:sz w:val="24"/>
          <w:szCs w:val="24"/>
        </w:rPr>
        <w:t xml:space="preserve"> </w:t>
      </w:r>
      <w:proofErr w:type="spellStart"/>
      <w:proofErr w:type="gramStart"/>
      <w:r w:rsidRPr="005F470F">
        <w:rPr>
          <w:rFonts w:ascii="Times New Roman" w:hAnsi="Times New Roman"/>
          <w:sz w:val="24"/>
          <w:szCs w:val="24"/>
        </w:rPr>
        <w:t>mạnh</w:t>
      </w:r>
      <w:proofErr w:type="spellEnd"/>
      <w:r w:rsidRPr="005F470F">
        <w:rPr>
          <w:rFonts w:ascii="Times New Roman" w:hAnsi="Times New Roman"/>
          <w:sz w:val="24"/>
          <w:szCs w:val="24"/>
        </w:rPr>
        <w:t>;</w:t>
      </w:r>
      <w:proofErr w:type="gramEnd"/>
    </w:p>
    <w:p w14:paraId="17B9C660" w14:textId="77777777" w:rsidR="0074183D" w:rsidRPr="005F470F" w:rsidRDefault="0074183D" w:rsidP="00A102A4">
      <w:pPr>
        <w:ind w:left="993" w:hanging="426"/>
        <w:rPr>
          <w:rFonts w:ascii="Times New Roman" w:hAnsi="Times New Roman"/>
          <w:sz w:val="24"/>
          <w:szCs w:val="24"/>
        </w:rPr>
      </w:pPr>
      <w:r w:rsidRPr="005F470F">
        <w:rPr>
          <w:rFonts w:ascii="Times New Roman" w:hAnsi="Times New Roman"/>
          <w:sz w:val="24"/>
          <w:szCs w:val="24"/>
        </w:rPr>
        <w:t xml:space="preserve">(iii) </w:t>
      </w:r>
      <w:proofErr w:type="spellStart"/>
      <w:r w:rsidRPr="005F470F">
        <w:rPr>
          <w:rFonts w:ascii="Times New Roman" w:hAnsi="Times New Roman"/>
          <w:sz w:val="24"/>
          <w:szCs w:val="24"/>
        </w:rPr>
        <w:t>Hạn</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mức</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tăng</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trưởng</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tín</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dụng</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ảnh</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hưởng</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đến</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tâm</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lý</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tuy</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nhiên</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kết</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quả</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kinh</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doanh</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Quý</w:t>
      </w:r>
      <w:proofErr w:type="spellEnd"/>
      <w:r w:rsidRPr="005F470F">
        <w:rPr>
          <w:rFonts w:ascii="Times New Roman" w:hAnsi="Times New Roman"/>
          <w:sz w:val="24"/>
          <w:szCs w:val="24"/>
        </w:rPr>
        <w:t xml:space="preserve"> 2 </w:t>
      </w:r>
      <w:proofErr w:type="spellStart"/>
      <w:r w:rsidRPr="005F470F">
        <w:rPr>
          <w:rFonts w:ascii="Times New Roman" w:hAnsi="Times New Roman"/>
          <w:sz w:val="24"/>
          <w:szCs w:val="24"/>
        </w:rPr>
        <w:t>xác</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nhận</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số</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liệu</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dự</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báo</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tăng</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trưởng</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cả</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năm</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tích</w:t>
      </w:r>
      <w:proofErr w:type="spellEnd"/>
      <w:r w:rsidRPr="005F470F">
        <w:rPr>
          <w:rFonts w:ascii="Times New Roman" w:hAnsi="Times New Roman"/>
          <w:sz w:val="24"/>
          <w:szCs w:val="24"/>
        </w:rPr>
        <w:t xml:space="preserve"> </w:t>
      </w:r>
      <w:proofErr w:type="spellStart"/>
      <w:r w:rsidRPr="005F470F">
        <w:rPr>
          <w:rFonts w:ascii="Times New Roman" w:hAnsi="Times New Roman"/>
          <w:sz w:val="24"/>
          <w:szCs w:val="24"/>
        </w:rPr>
        <w:t>cực</w:t>
      </w:r>
      <w:proofErr w:type="spellEnd"/>
      <w:r w:rsidRPr="005F470F">
        <w:rPr>
          <w:rFonts w:ascii="Times New Roman" w:hAnsi="Times New Roman"/>
          <w:sz w:val="24"/>
          <w:szCs w:val="24"/>
        </w:rPr>
        <w:t>.</w:t>
      </w:r>
    </w:p>
    <w:p w14:paraId="59352023" w14:textId="5861549D" w:rsidR="008477D9" w:rsidRPr="005F470F" w:rsidRDefault="005F470F" w:rsidP="008C36B7">
      <w:pPr>
        <w:rPr>
          <w:rFonts w:ascii="Times New Roman" w:hAnsi="Times New Roman"/>
          <w:sz w:val="24"/>
          <w:szCs w:val="24"/>
          <w:lang w:val="nl-NL"/>
        </w:rPr>
      </w:pPr>
      <w:r w:rsidRPr="005F470F">
        <w:rPr>
          <w:rFonts w:ascii="Times New Roman" w:hAnsi="Times New Roman"/>
          <w:b/>
          <w:sz w:val="24"/>
          <w:szCs w:val="24"/>
          <w:lang w:val="nl-NL"/>
        </w:rPr>
        <w:lastRenderedPageBreak/>
        <w:t xml:space="preserve">4. </w:t>
      </w:r>
      <w:r w:rsidR="008477D9" w:rsidRPr="005F470F">
        <w:rPr>
          <w:rFonts w:ascii="Times New Roman" w:hAnsi="Times New Roman"/>
          <w:b/>
          <w:sz w:val="24"/>
          <w:szCs w:val="24"/>
          <w:lang w:val="nl-NL"/>
        </w:rPr>
        <w:t>CHI TIẾT CÁC CHỈ TIÊU HOẠT ĐỘNG CỦA QUỸ</w:t>
      </w:r>
      <w:r w:rsidR="008477D9" w:rsidRPr="005F470F">
        <w:rPr>
          <w:rFonts w:ascii="Times New Roman" w:hAnsi="Times New Roman"/>
          <w:sz w:val="24"/>
          <w:szCs w:val="24"/>
          <w:lang w:val="nl-NL"/>
        </w:rPr>
        <w:t>:</w:t>
      </w:r>
    </w:p>
    <w:p w14:paraId="464FB217" w14:textId="22B380C7" w:rsidR="008477D9" w:rsidRDefault="008477D9" w:rsidP="005F470F">
      <w:pPr>
        <w:spacing w:before="120"/>
        <w:ind w:firstLine="426"/>
        <w:rPr>
          <w:rFonts w:ascii="Times New Roman" w:hAnsi="Times New Roman"/>
          <w:b/>
          <w:sz w:val="24"/>
          <w:szCs w:val="24"/>
          <w:lang w:val="nl-NL"/>
        </w:rPr>
      </w:pPr>
      <w:r w:rsidRPr="005F470F">
        <w:rPr>
          <w:rFonts w:ascii="Times New Roman" w:hAnsi="Times New Roman"/>
          <w:b/>
          <w:sz w:val="24"/>
          <w:szCs w:val="24"/>
          <w:lang w:val="nl-NL"/>
        </w:rPr>
        <w:t>4.1.</w:t>
      </w:r>
      <w:r w:rsidR="005F470F">
        <w:rPr>
          <w:rFonts w:ascii="Times New Roman" w:hAnsi="Times New Roman"/>
          <w:b/>
          <w:sz w:val="24"/>
          <w:szCs w:val="24"/>
          <w:lang w:val="nl-NL"/>
        </w:rPr>
        <w:t xml:space="preserve"> </w:t>
      </w:r>
      <w:r w:rsidRPr="005F470F">
        <w:rPr>
          <w:rFonts w:ascii="Times New Roman" w:hAnsi="Times New Roman"/>
          <w:b/>
          <w:sz w:val="24"/>
          <w:szCs w:val="24"/>
          <w:lang w:val="nl-NL"/>
        </w:rPr>
        <w:t>Số liệu chi tiết hoạt động của Quỹ</w:t>
      </w:r>
    </w:p>
    <w:p w14:paraId="5B6008D7" w14:textId="77777777" w:rsidR="005F470F" w:rsidRPr="005F470F" w:rsidRDefault="005F470F" w:rsidP="00543274">
      <w:pPr>
        <w:ind w:firstLine="425"/>
        <w:rPr>
          <w:rFonts w:ascii="Times New Roman" w:hAnsi="Times New Roman"/>
          <w:b/>
          <w:sz w:val="24"/>
          <w:szCs w:val="24"/>
          <w:lang w:val="nl-NL"/>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409"/>
        <w:gridCol w:w="2268"/>
        <w:gridCol w:w="2067"/>
      </w:tblGrid>
      <w:tr w:rsidR="00A15547" w:rsidRPr="008C36B7" w14:paraId="715BBD3A" w14:textId="77777777" w:rsidTr="005F470F">
        <w:trPr>
          <w:trHeight w:val="855"/>
        </w:trPr>
        <w:tc>
          <w:tcPr>
            <w:tcW w:w="3256" w:type="dxa"/>
            <w:shd w:val="clear" w:color="auto" w:fill="auto"/>
            <w:vAlign w:val="center"/>
            <w:hideMark/>
          </w:tcPr>
          <w:p w14:paraId="7A6FFA03" w14:textId="77777777" w:rsidR="00434086" w:rsidRPr="008C36B7" w:rsidRDefault="00434086" w:rsidP="005F470F">
            <w:pPr>
              <w:jc w:val="center"/>
              <w:rPr>
                <w:rFonts w:ascii="Times New Roman" w:hAnsi="Times New Roman"/>
                <w:b/>
                <w:bCs/>
                <w:sz w:val="24"/>
                <w:szCs w:val="24"/>
                <w:lang w:val="en-US"/>
              </w:rPr>
            </w:pPr>
            <w:proofErr w:type="spellStart"/>
            <w:r w:rsidRPr="008C36B7">
              <w:rPr>
                <w:rFonts w:ascii="Times New Roman" w:hAnsi="Times New Roman"/>
                <w:b/>
                <w:bCs/>
                <w:sz w:val="24"/>
                <w:szCs w:val="24"/>
                <w:lang w:val="en-US"/>
              </w:rPr>
              <w:t>Chỉ</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tiêu</w:t>
            </w:r>
            <w:proofErr w:type="spellEnd"/>
          </w:p>
        </w:tc>
        <w:tc>
          <w:tcPr>
            <w:tcW w:w="2409" w:type="dxa"/>
            <w:shd w:val="clear" w:color="auto" w:fill="auto"/>
            <w:vAlign w:val="center"/>
            <w:hideMark/>
          </w:tcPr>
          <w:p w14:paraId="34D7473E" w14:textId="77777777" w:rsidR="00434086" w:rsidRPr="008C36B7" w:rsidRDefault="00434086" w:rsidP="005F470F">
            <w:pPr>
              <w:jc w:val="center"/>
              <w:rPr>
                <w:rFonts w:ascii="Times New Roman" w:hAnsi="Times New Roman"/>
                <w:b/>
                <w:bCs/>
                <w:sz w:val="24"/>
                <w:szCs w:val="24"/>
                <w:lang w:val="en-US"/>
              </w:rPr>
            </w:pPr>
            <w:r w:rsidRPr="008C36B7">
              <w:rPr>
                <w:rFonts w:ascii="Times New Roman" w:hAnsi="Times New Roman"/>
                <w:b/>
                <w:bCs/>
                <w:sz w:val="24"/>
                <w:szCs w:val="24"/>
                <w:lang w:val="en-US"/>
              </w:rPr>
              <w:t xml:space="preserve">1 </w:t>
            </w:r>
            <w:proofErr w:type="spellStart"/>
            <w:r w:rsidRPr="008C36B7">
              <w:rPr>
                <w:rFonts w:ascii="Times New Roman" w:hAnsi="Times New Roman"/>
                <w:b/>
                <w:bCs/>
                <w:sz w:val="24"/>
                <w:szCs w:val="24"/>
                <w:lang w:val="en-US"/>
              </w:rPr>
              <w:t>năm</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đến</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thời</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điểm</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báo</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cáo</w:t>
            </w:r>
            <w:proofErr w:type="spellEnd"/>
            <w:r w:rsidRPr="008C36B7">
              <w:rPr>
                <w:rFonts w:ascii="Times New Roman" w:hAnsi="Times New Roman"/>
                <w:b/>
                <w:bCs/>
                <w:sz w:val="24"/>
                <w:szCs w:val="24"/>
                <w:lang w:val="en-US"/>
              </w:rPr>
              <w:t xml:space="preserve"> (%)</w:t>
            </w:r>
          </w:p>
        </w:tc>
        <w:tc>
          <w:tcPr>
            <w:tcW w:w="2268" w:type="dxa"/>
            <w:shd w:val="clear" w:color="auto" w:fill="auto"/>
            <w:vAlign w:val="center"/>
            <w:hideMark/>
          </w:tcPr>
          <w:p w14:paraId="41D4DCA1" w14:textId="77777777" w:rsidR="00434086" w:rsidRPr="008C36B7" w:rsidRDefault="00434086" w:rsidP="005F470F">
            <w:pPr>
              <w:jc w:val="center"/>
              <w:rPr>
                <w:rFonts w:ascii="Times New Roman" w:hAnsi="Times New Roman"/>
                <w:b/>
                <w:bCs/>
                <w:sz w:val="24"/>
                <w:szCs w:val="24"/>
                <w:lang w:val="en-US"/>
              </w:rPr>
            </w:pPr>
            <w:r w:rsidRPr="008C36B7">
              <w:rPr>
                <w:rFonts w:ascii="Times New Roman" w:hAnsi="Times New Roman"/>
                <w:b/>
                <w:bCs/>
                <w:sz w:val="24"/>
                <w:szCs w:val="24"/>
                <w:lang w:val="en-US"/>
              </w:rPr>
              <w:t xml:space="preserve">3 </w:t>
            </w:r>
            <w:proofErr w:type="spellStart"/>
            <w:r w:rsidRPr="008C36B7">
              <w:rPr>
                <w:rFonts w:ascii="Times New Roman" w:hAnsi="Times New Roman"/>
                <w:b/>
                <w:bCs/>
                <w:sz w:val="24"/>
                <w:szCs w:val="24"/>
                <w:lang w:val="en-US"/>
              </w:rPr>
              <w:t>năm</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gần</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nhất</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tính</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đến</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thời</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điểm</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báo</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cáo</w:t>
            </w:r>
            <w:proofErr w:type="spellEnd"/>
            <w:r w:rsidRPr="008C36B7">
              <w:rPr>
                <w:rFonts w:ascii="Times New Roman" w:hAnsi="Times New Roman"/>
                <w:b/>
                <w:bCs/>
                <w:sz w:val="24"/>
                <w:szCs w:val="24"/>
                <w:lang w:val="en-US"/>
              </w:rPr>
              <w:t xml:space="preserve"> (%)</w:t>
            </w:r>
          </w:p>
        </w:tc>
        <w:tc>
          <w:tcPr>
            <w:tcW w:w="2067" w:type="dxa"/>
            <w:shd w:val="clear" w:color="auto" w:fill="auto"/>
            <w:vAlign w:val="center"/>
            <w:hideMark/>
          </w:tcPr>
          <w:p w14:paraId="1E20F4CA" w14:textId="77777777" w:rsidR="00434086" w:rsidRPr="008C36B7" w:rsidRDefault="00434086" w:rsidP="005F470F">
            <w:pPr>
              <w:jc w:val="center"/>
              <w:rPr>
                <w:rFonts w:ascii="Times New Roman" w:hAnsi="Times New Roman"/>
                <w:b/>
                <w:bCs/>
                <w:sz w:val="24"/>
                <w:szCs w:val="24"/>
                <w:lang w:val="en-US"/>
              </w:rPr>
            </w:pPr>
            <w:proofErr w:type="spellStart"/>
            <w:r w:rsidRPr="008C36B7">
              <w:rPr>
                <w:rFonts w:ascii="Times New Roman" w:hAnsi="Times New Roman"/>
                <w:b/>
                <w:bCs/>
                <w:sz w:val="24"/>
                <w:szCs w:val="24"/>
                <w:lang w:val="en-US"/>
              </w:rPr>
              <w:t>Từ</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khi</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thành</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lập</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đến</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thời</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điểm</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báo</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cáo</w:t>
            </w:r>
            <w:proofErr w:type="spellEnd"/>
            <w:r w:rsidRPr="008C36B7">
              <w:rPr>
                <w:rFonts w:ascii="Times New Roman" w:hAnsi="Times New Roman"/>
                <w:b/>
                <w:bCs/>
                <w:sz w:val="24"/>
                <w:szCs w:val="24"/>
                <w:lang w:val="en-US"/>
              </w:rPr>
              <w:t xml:space="preserve"> (%)</w:t>
            </w:r>
          </w:p>
        </w:tc>
      </w:tr>
      <w:tr w:rsidR="00653170" w:rsidRPr="008C36B7" w14:paraId="0F1B7353" w14:textId="77777777" w:rsidTr="005F470F">
        <w:trPr>
          <w:trHeight w:val="600"/>
        </w:trPr>
        <w:tc>
          <w:tcPr>
            <w:tcW w:w="3256" w:type="dxa"/>
            <w:shd w:val="clear" w:color="auto" w:fill="auto"/>
            <w:vAlign w:val="center"/>
            <w:hideMark/>
          </w:tcPr>
          <w:p w14:paraId="3BCA0B32" w14:textId="77777777" w:rsidR="00653170" w:rsidRPr="008C36B7" w:rsidRDefault="00653170" w:rsidP="008C36B7">
            <w:pPr>
              <w:rPr>
                <w:rFonts w:ascii="Times New Roman" w:hAnsi="Times New Roman"/>
                <w:sz w:val="24"/>
                <w:szCs w:val="24"/>
                <w:lang w:val="en-US"/>
              </w:rPr>
            </w:pPr>
            <w:proofErr w:type="spellStart"/>
            <w:r w:rsidRPr="008C36B7">
              <w:rPr>
                <w:rFonts w:ascii="Times New Roman" w:hAnsi="Times New Roman"/>
                <w:sz w:val="24"/>
                <w:szCs w:val="24"/>
                <w:lang w:val="en-US"/>
              </w:rPr>
              <w:t>Tăng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trưởng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thu</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nhập</w:t>
            </w:r>
            <w:proofErr w:type="spellEnd"/>
            <w:r w:rsidRPr="008C36B7">
              <w:rPr>
                <w:rFonts w:ascii="Times New Roman" w:hAnsi="Times New Roman"/>
                <w:sz w:val="24"/>
                <w:szCs w:val="24"/>
                <w:lang w:val="en-US"/>
              </w:rPr>
              <w:t xml:space="preserve">/1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w:t>
            </w:r>
          </w:p>
        </w:tc>
        <w:tc>
          <w:tcPr>
            <w:tcW w:w="2409" w:type="dxa"/>
            <w:shd w:val="clear" w:color="auto" w:fill="auto"/>
            <w:vAlign w:val="center"/>
          </w:tcPr>
          <w:p w14:paraId="511C440C" w14:textId="1E6D7CB0" w:rsidR="00653170" w:rsidRPr="005F470F" w:rsidRDefault="00653170" w:rsidP="005F470F">
            <w:pPr>
              <w:jc w:val="right"/>
              <w:rPr>
                <w:rFonts w:ascii="Times New Roman" w:hAnsi="Times New Roman"/>
                <w:sz w:val="24"/>
                <w:szCs w:val="24"/>
                <w:lang w:val="en-US"/>
              </w:rPr>
            </w:pPr>
            <w:r w:rsidRPr="005F470F">
              <w:rPr>
                <w:rFonts w:ascii="Times New Roman" w:hAnsi="Times New Roman"/>
                <w:sz w:val="24"/>
                <w:szCs w:val="24"/>
              </w:rPr>
              <w:t>1.17%</w:t>
            </w:r>
          </w:p>
        </w:tc>
        <w:tc>
          <w:tcPr>
            <w:tcW w:w="2268" w:type="dxa"/>
            <w:shd w:val="clear" w:color="auto" w:fill="auto"/>
            <w:vAlign w:val="center"/>
          </w:tcPr>
          <w:p w14:paraId="446B53C1" w14:textId="047FF635" w:rsidR="00653170" w:rsidRPr="005F470F" w:rsidRDefault="00653170" w:rsidP="005F470F">
            <w:pPr>
              <w:jc w:val="right"/>
              <w:rPr>
                <w:rFonts w:ascii="Times New Roman" w:hAnsi="Times New Roman"/>
                <w:sz w:val="24"/>
                <w:szCs w:val="24"/>
                <w:lang w:val="en-US"/>
              </w:rPr>
            </w:pPr>
            <w:r w:rsidRPr="005F470F">
              <w:rPr>
                <w:rFonts w:ascii="Times New Roman" w:hAnsi="Times New Roman"/>
                <w:sz w:val="24"/>
                <w:szCs w:val="24"/>
              </w:rPr>
              <w:t>13.19%</w:t>
            </w:r>
          </w:p>
        </w:tc>
        <w:tc>
          <w:tcPr>
            <w:tcW w:w="2067" w:type="dxa"/>
            <w:shd w:val="clear" w:color="auto" w:fill="auto"/>
            <w:vAlign w:val="center"/>
            <w:hideMark/>
          </w:tcPr>
          <w:p w14:paraId="6478F352" w14:textId="0AC38C61" w:rsidR="00653170" w:rsidRPr="005F470F" w:rsidRDefault="00653170" w:rsidP="005F470F">
            <w:pPr>
              <w:jc w:val="right"/>
              <w:rPr>
                <w:rFonts w:ascii="Times New Roman" w:hAnsi="Times New Roman"/>
                <w:sz w:val="24"/>
                <w:szCs w:val="24"/>
                <w:lang w:val="en-US"/>
              </w:rPr>
            </w:pPr>
            <w:r w:rsidRPr="005F470F">
              <w:rPr>
                <w:rFonts w:ascii="Times New Roman" w:hAnsi="Times New Roman"/>
                <w:sz w:val="24"/>
                <w:szCs w:val="24"/>
              </w:rPr>
              <w:t>339.00%</w:t>
            </w:r>
          </w:p>
        </w:tc>
      </w:tr>
      <w:tr w:rsidR="00653170" w:rsidRPr="008C36B7" w14:paraId="24D03948" w14:textId="77777777" w:rsidTr="005F470F">
        <w:trPr>
          <w:trHeight w:val="600"/>
        </w:trPr>
        <w:tc>
          <w:tcPr>
            <w:tcW w:w="3256" w:type="dxa"/>
            <w:shd w:val="clear" w:color="auto" w:fill="auto"/>
            <w:vAlign w:val="center"/>
            <w:hideMark/>
          </w:tcPr>
          <w:p w14:paraId="2B23E529" w14:textId="77777777" w:rsidR="00653170" w:rsidRPr="008C36B7" w:rsidRDefault="00653170" w:rsidP="008C36B7">
            <w:pPr>
              <w:rPr>
                <w:rFonts w:ascii="Times New Roman" w:hAnsi="Times New Roman"/>
                <w:sz w:val="24"/>
                <w:szCs w:val="24"/>
                <w:lang w:val="en-US"/>
              </w:rPr>
            </w:pPr>
            <w:proofErr w:type="spellStart"/>
            <w:r w:rsidRPr="008C36B7">
              <w:rPr>
                <w:rFonts w:ascii="Times New Roman" w:hAnsi="Times New Roman"/>
                <w:sz w:val="24"/>
                <w:szCs w:val="24"/>
                <w:lang w:val="en-US"/>
              </w:rPr>
              <w:t>Tăng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trưởng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Vốn</w:t>
            </w:r>
            <w:proofErr w:type="spellEnd"/>
            <w:r w:rsidRPr="008C36B7">
              <w:rPr>
                <w:rFonts w:ascii="Times New Roman" w:hAnsi="Times New Roman"/>
                <w:sz w:val="24"/>
                <w:szCs w:val="24"/>
                <w:lang w:val="en-US"/>
              </w:rPr>
              <w:t xml:space="preserve">/1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w:t>
            </w:r>
          </w:p>
        </w:tc>
        <w:tc>
          <w:tcPr>
            <w:tcW w:w="2409" w:type="dxa"/>
            <w:shd w:val="clear" w:color="auto" w:fill="auto"/>
            <w:vAlign w:val="center"/>
          </w:tcPr>
          <w:p w14:paraId="1B1B1D9A" w14:textId="46248748" w:rsidR="00653170" w:rsidRPr="005F470F" w:rsidRDefault="00653170" w:rsidP="005F470F">
            <w:pPr>
              <w:jc w:val="right"/>
              <w:rPr>
                <w:rFonts w:ascii="Times New Roman" w:hAnsi="Times New Roman"/>
                <w:sz w:val="24"/>
                <w:szCs w:val="24"/>
              </w:rPr>
            </w:pPr>
            <w:r w:rsidRPr="005F470F">
              <w:rPr>
                <w:rFonts w:ascii="Times New Roman" w:hAnsi="Times New Roman"/>
                <w:sz w:val="24"/>
                <w:szCs w:val="24"/>
              </w:rPr>
              <w:t>-13.53%</w:t>
            </w:r>
          </w:p>
        </w:tc>
        <w:tc>
          <w:tcPr>
            <w:tcW w:w="2268" w:type="dxa"/>
            <w:shd w:val="clear" w:color="auto" w:fill="auto"/>
            <w:vAlign w:val="center"/>
          </w:tcPr>
          <w:p w14:paraId="7A4B7043" w14:textId="363AB67E" w:rsidR="00653170" w:rsidRPr="005F470F" w:rsidRDefault="00653170" w:rsidP="005F470F">
            <w:pPr>
              <w:jc w:val="right"/>
              <w:rPr>
                <w:rFonts w:ascii="Times New Roman" w:hAnsi="Times New Roman"/>
                <w:sz w:val="24"/>
                <w:szCs w:val="24"/>
                <w:lang w:val="en-US"/>
              </w:rPr>
            </w:pPr>
            <w:r w:rsidRPr="005F470F">
              <w:rPr>
                <w:rFonts w:ascii="Times New Roman" w:hAnsi="Times New Roman"/>
                <w:sz w:val="24"/>
                <w:szCs w:val="24"/>
              </w:rPr>
              <w:t>46.19%</w:t>
            </w:r>
          </w:p>
        </w:tc>
        <w:tc>
          <w:tcPr>
            <w:tcW w:w="2067" w:type="dxa"/>
            <w:shd w:val="clear" w:color="auto" w:fill="auto"/>
            <w:vAlign w:val="center"/>
            <w:hideMark/>
          </w:tcPr>
          <w:p w14:paraId="3B1EB9F1" w14:textId="62545FAA" w:rsidR="00653170" w:rsidRPr="005F470F" w:rsidRDefault="00653170" w:rsidP="005F470F">
            <w:pPr>
              <w:jc w:val="right"/>
              <w:rPr>
                <w:rFonts w:ascii="Times New Roman" w:hAnsi="Times New Roman"/>
                <w:sz w:val="24"/>
                <w:szCs w:val="24"/>
                <w:lang w:val="en-US"/>
              </w:rPr>
            </w:pPr>
            <w:r w:rsidRPr="005F470F">
              <w:rPr>
                <w:rFonts w:ascii="Times New Roman" w:hAnsi="Times New Roman"/>
                <w:sz w:val="24"/>
                <w:szCs w:val="24"/>
              </w:rPr>
              <w:t>166.65%</w:t>
            </w:r>
          </w:p>
        </w:tc>
      </w:tr>
      <w:tr w:rsidR="00653170" w:rsidRPr="008C36B7" w14:paraId="075B717F" w14:textId="77777777" w:rsidTr="005F470F">
        <w:trPr>
          <w:trHeight w:val="600"/>
        </w:trPr>
        <w:tc>
          <w:tcPr>
            <w:tcW w:w="3256" w:type="dxa"/>
            <w:shd w:val="clear" w:color="auto" w:fill="auto"/>
            <w:vAlign w:val="center"/>
            <w:hideMark/>
          </w:tcPr>
          <w:p w14:paraId="633233C1" w14:textId="77777777" w:rsidR="00653170" w:rsidRPr="008C36B7" w:rsidRDefault="00653170" w:rsidP="008C36B7">
            <w:pPr>
              <w:rPr>
                <w:rFonts w:ascii="Times New Roman" w:hAnsi="Times New Roman"/>
                <w:sz w:val="24"/>
                <w:szCs w:val="24"/>
                <w:lang w:val="en-US"/>
              </w:rPr>
            </w:pPr>
            <w:proofErr w:type="spellStart"/>
            <w:r w:rsidRPr="008C36B7">
              <w:rPr>
                <w:rFonts w:ascii="Times New Roman" w:hAnsi="Times New Roman"/>
                <w:sz w:val="24"/>
                <w:szCs w:val="24"/>
                <w:lang w:val="en-US"/>
              </w:rPr>
              <w:t>Tổng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tăng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trưởng</w:t>
            </w:r>
            <w:proofErr w:type="spellEnd"/>
            <w:r w:rsidRPr="008C36B7">
              <w:rPr>
                <w:rFonts w:ascii="Times New Roman" w:hAnsi="Times New Roman"/>
                <w:sz w:val="24"/>
                <w:szCs w:val="24"/>
                <w:lang w:val="en-US"/>
              </w:rPr>
              <w:t xml:space="preserve">/1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w:t>
            </w:r>
          </w:p>
        </w:tc>
        <w:tc>
          <w:tcPr>
            <w:tcW w:w="2409" w:type="dxa"/>
            <w:shd w:val="clear" w:color="auto" w:fill="auto"/>
            <w:vAlign w:val="center"/>
          </w:tcPr>
          <w:p w14:paraId="17F86096" w14:textId="0AFF5803" w:rsidR="00653170" w:rsidRPr="005F470F" w:rsidRDefault="00653170" w:rsidP="005F470F">
            <w:pPr>
              <w:jc w:val="right"/>
              <w:rPr>
                <w:rFonts w:ascii="Times New Roman" w:hAnsi="Times New Roman"/>
                <w:sz w:val="24"/>
                <w:szCs w:val="24"/>
              </w:rPr>
            </w:pPr>
            <w:r w:rsidRPr="005F470F">
              <w:rPr>
                <w:rFonts w:ascii="Times New Roman" w:hAnsi="Times New Roman"/>
                <w:sz w:val="24"/>
                <w:szCs w:val="24"/>
              </w:rPr>
              <w:t>-12.36%</w:t>
            </w:r>
          </w:p>
        </w:tc>
        <w:tc>
          <w:tcPr>
            <w:tcW w:w="2268" w:type="dxa"/>
            <w:shd w:val="clear" w:color="auto" w:fill="auto"/>
            <w:vAlign w:val="center"/>
          </w:tcPr>
          <w:p w14:paraId="2E9E1C6E" w14:textId="314C2EFD" w:rsidR="00653170" w:rsidRPr="005F470F" w:rsidRDefault="00653170" w:rsidP="005F470F">
            <w:pPr>
              <w:jc w:val="right"/>
              <w:rPr>
                <w:rFonts w:ascii="Times New Roman" w:hAnsi="Times New Roman"/>
                <w:sz w:val="24"/>
                <w:szCs w:val="24"/>
                <w:lang w:val="en-US"/>
              </w:rPr>
            </w:pPr>
            <w:r w:rsidRPr="005F470F">
              <w:rPr>
                <w:rFonts w:ascii="Times New Roman" w:hAnsi="Times New Roman"/>
                <w:sz w:val="24"/>
                <w:szCs w:val="24"/>
              </w:rPr>
              <w:t>59.37%</w:t>
            </w:r>
          </w:p>
        </w:tc>
        <w:tc>
          <w:tcPr>
            <w:tcW w:w="2067" w:type="dxa"/>
            <w:shd w:val="clear" w:color="auto" w:fill="auto"/>
            <w:vAlign w:val="center"/>
            <w:hideMark/>
          </w:tcPr>
          <w:p w14:paraId="02B57BCF" w14:textId="45B24D35" w:rsidR="00653170" w:rsidRPr="005F470F" w:rsidRDefault="00653170" w:rsidP="005F470F">
            <w:pPr>
              <w:jc w:val="right"/>
              <w:rPr>
                <w:rFonts w:ascii="Times New Roman" w:hAnsi="Times New Roman"/>
                <w:sz w:val="24"/>
                <w:szCs w:val="24"/>
                <w:lang w:val="en-US"/>
              </w:rPr>
            </w:pPr>
            <w:r w:rsidRPr="005F470F">
              <w:rPr>
                <w:rFonts w:ascii="Times New Roman" w:hAnsi="Times New Roman"/>
                <w:sz w:val="24"/>
                <w:szCs w:val="24"/>
              </w:rPr>
              <w:t>505.65%</w:t>
            </w:r>
          </w:p>
        </w:tc>
      </w:tr>
      <w:tr w:rsidR="0074183D" w:rsidRPr="008C36B7" w14:paraId="38C8756D" w14:textId="77777777" w:rsidTr="005F470F">
        <w:trPr>
          <w:trHeight w:val="600"/>
        </w:trPr>
        <w:tc>
          <w:tcPr>
            <w:tcW w:w="3256" w:type="dxa"/>
            <w:shd w:val="clear" w:color="auto" w:fill="auto"/>
            <w:vAlign w:val="center"/>
            <w:hideMark/>
          </w:tcPr>
          <w:p w14:paraId="5A1DB894" w14:textId="77777777" w:rsidR="0074183D" w:rsidRPr="008C36B7" w:rsidRDefault="0074183D" w:rsidP="008C36B7">
            <w:pPr>
              <w:rPr>
                <w:rFonts w:ascii="Times New Roman" w:hAnsi="Times New Roman"/>
                <w:sz w:val="24"/>
                <w:szCs w:val="24"/>
                <w:lang w:val="en-US"/>
              </w:rPr>
            </w:pPr>
            <w:proofErr w:type="spellStart"/>
            <w:r w:rsidRPr="008C36B7">
              <w:rPr>
                <w:rFonts w:ascii="Times New Roman" w:hAnsi="Times New Roman"/>
                <w:sz w:val="24"/>
                <w:szCs w:val="24"/>
                <w:lang w:val="en-US"/>
              </w:rPr>
              <w:t>Tăng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trưởng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hàng</w:t>
            </w:r>
            <w:proofErr w:type="spellEnd"/>
            <w:r w:rsidRPr="008C36B7">
              <w:rPr>
                <w:rFonts w:ascii="Times New Roman" w:hAnsi="Times New Roman"/>
                <w:sz w:val="24"/>
                <w:szCs w:val="24"/>
                <w:lang w:val="en-US"/>
              </w:rPr>
              <w:t xml:space="preserve"> </w:t>
            </w:r>
            <w:proofErr w:type="spellStart"/>
            <w:proofErr w:type="gramStart"/>
            <w:r w:rsidRPr="008C36B7">
              <w:rPr>
                <w:rFonts w:ascii="Times New Roman" w:hAnsi="Times New Roman"/>
                <w:sz w:val="24"/>
                <w:szCs w:val="24"/>
                <w:lang w:val="en-US"/>
              </w:rPr>
              <w:t>năm</w:t>
            </w:r>
            <w:proofErr w:type="spellEnd"/>
            <w:r w:rsidRPr="008C36B7">
              <w:rPr>
                <w:rFonts w:ascii="Times New Roman" w:hAnsi="Times New Roman"/>
                <w:sz w:val="24"/>
                <w:szCs w:val="24"/>
                <w:lang w:val="en-US"/>
              </w:rPr>
              <w:t>(</w:t>
            </w:r>
            <w:proofErr w:type="gramEnd"/>
            <w:r w:rsidRPr="008C36B7">
              <w:rPr>
                <w:rFonts w:ascii="Times New Roman" w:hAnsi="Times New Roman"/>
                <w:sz w:val="24"/>
                <w:szCs w:val="24"/>
                <w:lang w:val="en-US"/>
              </w:rPr>
              <w:t xml:space="preserve">%)/1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w:t>
            </w:r>
          </w:p>
        </w:tc>
        <w:tc>
          <w:tcPr>
            <w:tcW w:w="2409" w:type="dxa"/>
            <w:shd w:val="clear" w:color="auto" w:fill="auto"/>
            <w:vAlign w:val="center"/>
            <w:hideMark/>
          </w:tcPr>
          <w:p w14:paraId="413EF360" w14:textId="7882CF5A" w:rsidR="0074183D" w:rsidRPr="005F470F" w:rsidRDefault="0074183D" w:rsidP="005F470F">
            <w:pPr>
              <w:jc w:val="right"/>
              <w:rPr>
                <w:rFonts w:ascii="Times New Roman" w:hAnsi="Times New Roman"/>
                <w:sz w:val="24"/>
                <w:szCs w:val="24"/>
                <w:lang w:val="en-US"/>
              </w:rPr>
            </w:pPr>
            <w:r w:rsidRPr="005F470F">
              <w:rPr>
                <w:rFonts w:ascii="Times New Roman" w:hAnsi="Times New Roman"/>
                <w:sz w:val="24"/>
                <w:szCs w:val="24"/>
              </w:rPr>
              <w:t>-12.36%</w:t>
            </w:r>
          </w:p>
        </w:tc>
        <w:tc>
          <w:tcPr>
            <w:tcW w:w="2268" w:type="dxa"/>
            <w:shd w:val="clear" w:color="auto" w:fill="auto"/>
            <w:vAlign w:val="center"/>
            <w:hideMark/>
          </w:tcPr>
          <w:p w14:paraId="270B90D4" w14:textId="0519D82B" w:rsidR="0074183D" w:rsidRPr="005F470F" w:rsidRDefault="0074183D" w:rsidP="005F470F">
            <w:pPr>
              <w:jc w:val="right"/>
              <w:rPr>
                <w:rFonts w:ascii="Times New Roman" w:hAnsi="Times New Roman"/>
                <w:sz w:val="24"/>
                <w:szCs w:val="24"/>
                <w:lang w:val="en-US"/>
              </w:rPr>
            </w:pPr>
            <w:r w:rsidRPr="005F470F">
              <w:rPr>
                <w:rFonts w:ascii="Times New Roman" w:hAnsi="Times New Roman"/>
                <w:sz w:val="24"/>
                <w:szCs w:val="24"/>
              </w:rPr>
              <w:t>16.81%</w:t>
            </w:r>
          </w:p>
        </w:tc>
        <w:tc>
          <w:tcPr>
            <w:tcW w:w="2067" w:type="dxa"/>
            <w:shd w:val="clear" w:color="auto" w:fill="auto"/>
            <w:vAlign w:val="center"/>
            <w:hideMark/>
          </w:tcPr>
          <w:p w14:paraId="01BFDE86" w14:textId="04BBCB7A" w:rsidR="0074183D" w:rsidRPr="005F470F" w:rsidRDefault="0074183D" w:rsidP="005F470F">
            <w:pPr>
              <w:jc w:val="right"/>
              <w:rPr>
                <w:rFonts w:ascii="Times New Roman" w:hAnsi="Times New Roman"/>
                <w:sz w:val="24"/>
                <w:szCs w:val="24"/>
                <w:lang w:val="en-US"/>
              </w:rPr>
            </w:pPr>
            <w:r w:rsidRPr="005F470F">
              <w:rPr>
                <w:rFonts w:ascii="Times New Roman" w:hAnsi="Times New Roman"/>
                <w:sz w:val="24"/>
                <w:szCs w:val="24"/>
              </w:rPr>
              <w:t>10.46%</w:t>
            </w:r>
          </w:p>
        </w:tc>
      </w:tr>
      <w:tr w:rsidR="0074183D" w:rsidRPr="008C36B7" w14:paraId="78894219" w14:textId="77777777" w:rsidTr="005F470F">
        <w:trPr>
          <w:trHeight w:val="600"/>
        </w:trPr>
        <w:tc>
          <w:tcPr>
            <w:tcW w:w="3256" w:type="dxa"/>
            <w:shd w:val="clear" w:color="auto" w:fill="auto"/>
            <w:vAlign w:val="center"/>
            <w:hideMark/>
          </w:tcPr>
          <w:p w14:paraId="7D4D99A8" w14:textId="77777777" w:rsidR="0074183D" w:rsidRPr="008C36B7" w:rsidRDefault="0074183D" w:rsidP="008C36B7">
            <w:pPr>
              <w:rPr>
                <w:rFonts w:ascii="Times New Roman" w:hAnsi="Times New Roman"/>
                <w:sz w:val="24"/>
                <w:szCs w:val="24"/>
                <w:lang w:val="en-US"/>
              </w:rPr>
            </w:pPr>
            <w:proofErr w:type="spellStart"/>
            <w:r w:rsidRPr="008C36B7">
              <w:rPr>
                <w:rFonts w:ascii="Times New Roman" w:hAnsi="Times New Roman"/>
                <w:sz w:val="24"/>
                <w:szCs w:val="24"/>
                <w:lang w:val="en-US"/>
              </w:rPr>
              <w:t>Tăng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trưởng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của</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danh</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mục</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cơ</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cấu</w:t>
            </w:r>
            <w:proofErr w:type="spellEnd"/>
          </w:p>
        </w:tc>
        <w:tc>
          <w:tcPr>
            <w:tcW w:w="2409" w:type="dxa"/>
            <w:shd w:val="clear" w:color="auto" w:fill="auto"/>
            <w:vAlign w:val="center"/>
            <w:hideMark/>
          </w:tcPr>
          <w:p w14:paraId="250CC8AE" w14:textId="5E4DE94F" w:rsidR="0074183D" w:rsidRPr="005F470F" w:rsidRDefault="0074183D" w:rsidP="005F470F">
            <w:pPr>
              <w:jc w:val="right"/>
              <w:rPr>
                <w:rFonts w:ascii="Times New Roman" w:hAnsi="Times New Roman"/>
                <w:sz w:val="24"/>
                <w:szCs w:val="24"/>
                <w:lang w:val="en-US"/>
              </w:rPr>
            </w:pPr>
            <w:r w:rsidRPr="005F470F">
              <w:rPr>
                <w:rFonts w:ascii="Times New Roman" w:hAnsi="Times New Roman"/>
                <w:sz w:val="24"/>
                <w:szCs w:val="24"/>
                <w:lang w:val="en-US"/>
              </w:rPr>
              <w:t>N/A</w:t>
            </w:r>
          </w:p>
        </w:tc>
        <w:tc>
          <w:tcPr>
            <w:tcW w:w="2268" w:type="dxa"/>
            <w:shd w:val="clear" w:color="auto" w:fill="auto"/>
            <w:vAlign w:val="center"/>
            <w:hideMark/>
          </w:tcPr>
          <w:p w14:paraId="767B7E6B" w14:textId="059DF2F8" w:rsidR="0074183D" w:rsidRPr="005F470F" w:rsidRDefault="0074183D" w:rsidP="005F470F">
            <w:pPr>
              <w:jc w:val="right"/>
              <w:rPr>
                <w:rFonts w:ascii="Times New Roman" w:hAnsi="Times New Roman"/>
                <w:sz w:val="24"/>
                <w:szCs w:val="24"/>
                <w:lang w:val="en-US"/>
              </w:rPr>
            </w:pPr>
            <w:r w:rsidRPr="005F470F">
              <w:rPr>
                <w:rFonts w:ascii="Times New Roman" w:hAnsi="Times New Roman"/>
                <w:sz w:val="24"/>
                <w:szCs w:val="24"/>
                <w:lang w:val="en-US"/>
              </w:rPr>
              <w:t>N/A</w:t>
            </w:r>
          </w:p>
        </w:tc>
        <w:tc>
          <w:tcPr>
            <w:tcW w:w="2067" w:type="dxa"/>
            <w:shd w:val="clear" w:color="auto" w:fill="auto"/>
            <w:vAlign w:val="center"/>
            <w:hideMark/>
          </w:tcPr>
          <w:p w14:paraId="7AADCC73" w14:textId="78951CDC" w:rsidR="0074183D" w:rsidRPr="005F470F" w:rsidRDefault="0074183D" w:rsidP="005F470F">
            <w:pPr>
              <w:jc w:val="right"/>
              <w:rPr>
                <w:rFonts w:ascii="Times New Roman" w:hAnsi="Times New Roman"/>
                <w:sz w:val="24"/>
                <w:szCs w:val="24"/>
                <w:lang w:val="en-US"/>
              </w:rPr>
            </w:pPr>
            <w:r w:rsidRPr="005F470F">
              <w:rPr>
                <w:rFonts w:ascii="Times New Roman" w:hAnsi="Times New Roman"/>
                <w:sz w:val="24"/>
                <w:szCs w:val="24"/>
                <w:lang w:val="en-US"/>
              </w:rPr>
              <w:t>N/A</w:t>
            </w:r>
          </w:p>
        </w:tc>
      </w:tr>
      <w:tr w:rsidR="0074183D" w:rsidRPr="008C36B7" w14:paraId="4E019357" w14:textId="77777777" w:rsidTr="005F470F">
        <w:trPr>
          <w:trHeight w:val="600"/>
        </w:trPr>
        <w:tc>
          <w:tcPr>
            <w:tcW w:w="3256" w:type="dxa"/>
            <w:shd w:val="clear" w:color="auto" w:fill="auto"/>
            <w:vAlign w:val="center"/>
            <w:hideMark/>
          </w:tcPr>
          <w:p w14:paraId="44B9AFB2" w14:textId="77777777" w:rsidR="0074183D" w:rsidRPr="008C36B7" w:rsidRDefault="0074183D" w:rsidP="008C36B7">
            <w:pPr>
              <w:rPr>
                <w:rFonts w:ascii="Times New Roman" w:hAnsi="Times New Roman"/>
                <w:sz w:val="24"/>
                <w:szCs w:val="24"/>
                <w:lang w:val="en-US"/>
              </w:rPr>
            </w:pPr>
            <w:proofErr w:type="spellStart"/>
            <w:r w:rsidRPr="008C36B7">
              <w:rPr>
                <w:rFonts w:ascii="Times New Roman" w:hAnsi="Times New Roman"/>
                <w:sz w:val="24"/>
                <w:szCs w:val="24"/>
                <w:lang w:val="en-US"/>
              </w:rPr>
              <w:t>Thay</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đổi</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giá</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trị</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thị</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trường</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của</w:t>
            </w:r>
            <w:proofErr w:type="spellEnd"/>
            <w:r w:rsidRPr="008C36B7">
              <w:rPr>
                <w:rFonts w:ascii="Times New Roman" w:hAnsi="Times New Roman"/>
                <w:sz w:val="24"/>
                <w:szCs w:val="24"/>
                <w:lang w:val="en-US"/>
              </w:rPr>
              <w:t xml:space="preserve"> 1 </w:t>
            </w:r>
            <w:proofErr w:type="spellStart"/>
            <w:r w:rsidRPr="008C36B7">
              <w:rPr>
                <w:rFonts w:ascii="Times New Roman" w:hAnsi="Times New Roman"/>
                <w:sz w:val="24"/>
                <w:szCs w:val="24"/>
                <w:lang w:val="en-US"/>
              </w:rPr>
              <w:t>đơn</w:t>
            </w:r>
            <w:proofErr w:type="spellEnd"/>
            <w:r w:rsidRPr="008C36B7">
              <w:rPr>
                <w:rFonts w:ascii="Times New Roman" w:hAnsi="Times New Roman"/>
                <w:sz w:val="24"/>
                <w:szCs w:val="24"/>
                <w:lang w:val="en-US"/>
              </w:rPr>
              <w:t xml:space="preserve"> </w:t>
            </w:r>
            <w:proofErr w:type="spellStart"/>
            <w:r w:rsidRPr="008C36B7">
              <w:rPr>
                <w:rFonts w:ascii="Times New Roman" w:hAnsi="Times New Roman"/>
                <w:sz w:val="24"/>
                <w:szCs w:val="24"/>
                <w:lang w:val="en-US"/>
              </w:rPr>
              <w:t>vị</w:t>
            </w:r>
            <w:proofErr w:type="spellEnd"/>
            <w:r w:rsidRPr="008C36B7">
              <w:rPr>
                <w:rFonts w:ascii="Times New Roman" w:hAnsi="Times New Roman"/>
                <w:sz w:val="24"/>
                <w:szCs w:val="24"/>
                <w:lang w:val="en-US"/>
              </w:rPr>
              <w:t xml:space="preserve"> CCQ</w:t>
            </w:r>
          </w:p>
        </w:tc>
        <w:tc>
          <w:tcPr>
            <w:tcW w:w="2409" w:type="dxa"/>
            <w:shd w:val="clear" w:color="auto" w:fill="auto"/>
            <w:vAlign w:val="center"/>
            <w:hideMark/>
          </w:tcPr>
          <w:p w14:paraId="229607D2" w14:textId="5925AB2B" w:rsidR="0074183D" w:rsidRPr="005F470F" w:rsidRDefault="0074183D" w:rsidP="00E340C9">
            <w:pPr>
              <w:jc w:val="right"/>
              <w:rPr>
                <w:rFonts w:ascii="Times New Roman" w:hAnsi="Times New Roman"/>
                <w:sz w:val="24"/>
                <w:szCs w:val="24"/>
                <w:lang w:val="en-US"/>
              </w:rPr>
            </w:pPr>
            <w:r w:rsidRPr="005F470F">
              <w:rPr>
                <w:rFonts w:ascii="Times New Roman" w:hAnsi="Times New Roman"/>
                <w:sz w:val="24"/>
                <w:szCs w:val="24"/>
              </w:rPr>
              <w:t xml:space="preserve">                  (8,544.21)</w:t>
            </w:r>
          </w:p>
        </w:tc>
        <w:tc>
          <w:tcPr>
            <w:tcW w:w="2268" w:type="dxa"/>
            <w:shd w:val="clear" w:color="auto" w:fill="auto"/>
            <w:vAlign w:val="center"/>
            <w:hideMark/>
          </w:tcPr>
          <w:p w14:paraId="70B6DA0E" w14:textId="1B5D11E5" w:rsidR="0074183D" w:rsidRPr="005F470F" w:rsidRDefault="0074183D" w:rsidP="00E340C9">
            <w:pPr>
              <w:jc w:val="right"/>
              <w:rPr>
                <w:rFonts w:ascii="Times New Roman" w:hAnsi="Times New Roman"/>
                <w:sz w:val="24"/>
                <w:szCs w:val="24"/>
                <w:lang w:val="en-US"/>
              </w:rPr>
            </w:pPr>
            <w:r w:rsidRPr="005F470F">
              <w:rPr>
                <w:rFonts w:ascii="Times New Roman" w:hAnsi="Times New Roman"/>
                <w:sz w:val="24"/>
                <w:szCs w:val="24"/>
              </w:rPr>
              <w:t xml:space="preserve">22,563.23 </w:t>
            </w:r>
          </w:p>
        </w:tc>
        <w:tc>
          <w:tcPr>
            <w:tcW w:w="2067" w:type="dxa"/>
            <w:shd w:val="clear" w:color="auto" w:fill="auto"/>
            <w:vAlign w:val="center"/>
            <w:hideMark/>
          </w:tcPr>
          <w:p w14:paraId="31D831F7" w14:textId="5C845089" w:rsidR="0074183D" w:rsidRPr="005F470F" w:rsidRDefault="0074183D" w:rsidP="00E340C9">
            <w:pPr>
              <w:jc w:val="right"/>
              <w:rPr>
                <w:rFonts w:ascii="Times New Roman" w:hAnsi="Times New Roman"/>
                <w:sz w:val="24"/>
                <w:szCs w:val="24"/>
                <w:lang w:val="en-US"/>
              </w:rPr>
            </w:pPr>
            <w:r w:rsidRPr="005F470F">
              <w:rPr>
                <w:rFonts w:ascii="Times New Roman" w:hAnsi="Times New Roman"/>
                <w:sz w:val="24"/>
                <w:szCs w:val="24"/>
              </w:rPr>
              <w:t xml:space="preserve">50,564.75 </w:t>
            </w:r>
          </w:p>
        </w:tc>
      </w:tr>
    </w:tbl>
    <w:p w14:paraId="0F4CA0A0" w14:textId="30449F36" w:rsidR="00E42142" w:rsidRPr="008C36B7" w:rsidRDefault="008477D9" w:rsidP="008C36B7">
      <w:pPr>
        <w:rPr>
          <w:rFonts w:ascii="Times New Roman" w:hAnsi="Times New Roman"/>
          <w:sz w:val="24"/>
          <w:szCs w:val="24"/>
          <w:lang w:val="nl-NL"/>
        </w:rPr>
      </w:pPr>
      <w:r w:rsidRPr="008C36B7">
        <w:rPr>
          <w:rFonts w:ascii="Times New Roman" w:hAnsi="Times New Roman"/>
          <w:sz w:val="24"/>
          <w:szCs w:val="24"/>
          <w:lang w:val="nl-NL"/>
        </w:rPr>
        <w:tab/>
      </w:r>
      <w:r w:rsidRPr="008C36B7">
        <w:rPr>
          <w:rFonts w:ascii="Times New Roman" w:hAnsi="Times New Roman"/>
          <w:sz w:val="24"/>
          <w:szCs w:val="24"/>
          <w:lang w:val="nl-NL"/>
        </w:rPr>
        <w:tab/>
      </w:r>
    </w:p>
    <w:p w14:paraId="09BAD339" w14:textId="39D8C14B" w:rsidR="00355583" w:rsidRPr="008C36B7" w:rsidRDefault="008477D9" w:rsidP="008C36B7">
      <w:pPr>
        <w:rPr>
          <w:rFonts w:ascii="Times New Roman" w:hAnsi="Times New Roman"/>
          <w:sz w:val="24"/>
          <w:szCs w:val="24"/>
          <w:lang w:val="nl-NL"/>
        </w:rPr>
      </w:pPr>
      <w:r w:rsidRPr="008C36B7">
        <w:rPr>
          <w:rFonts w:ascii="Times New Roman" w:hAnsi="Times New Roman"/>
          <w:sz w:val="24"/>
          <w:szCs w:val="24"/>
          <w:lang w:val="nl-NL"/>
        </w:rPr>
        <w:tab/>
      </w:r>
      <w:r w:rsidR="005F470F">
        <w:rPr>
          <w:rFonts w:ascii="Arial" w:hAnsi="Arial" w:cs="Arial"/>
          <w:noProof/>
          <w:lang w:val="nl-NL"/>
        </w:rPr>
        <w:drawing>
          <wp:inline distT="0" distB="0" distL="0" distR="0" wp14:anchorId="4B7C3ECD" wp14:editId="742C4DDF">
            <wp:extent cx="5943600" cy="22466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46607"/>
                    </a:xfrm>
                    <a:prstGeom prst="rect">
                      <a:avLst/>
                    </a:prstGeom>
                    <a:noFill/>
                  </pic:spPr>
                </pic:pic>
              </a:graphicData>
            </a:graphic>
          </wp:inline>
        </w:drawing>
      </w:r>
    </w:p>
    <w:p w14:paraId="2E820FD5" w14:textId="24919797" w:rsidR="009A7748" w:rsidRPr="008C36B7" w:rsidRDefault="005F470F" w:rsidP="008C36B7">
      <w:pPr>
        <w:rPr>
          <w:rFonts w:ascii="Times New Roman" w:hAnsi="Times New Roman"/>
          <w:sz w:val="24"/>
          <w:szCs w:val="24"/>
          <w:lang w:val="nl-NL"/>
        </w:rPr>
      </w:pPr>
      <w:r>
        <w:rPr>
          <w:rFonts w:ascii="Arial" w:hAnsi="Arial" w:cs="Arial"/>
          <w:noProof/>
          <w:lang w:val="nl-NL"/>
        </w:rPr>
        <w:drawing>
          <wp:inline distT="0" distB="0" distL="0" distR="0" wp14:anchorId="00714D75" wp14:editId="0F125666">
            <wp:extent cx="5943600" cy="2221808"/>
            <wp:effectExtent l="0" t="0" r="0" b="762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21808"/>
                    </a:xfrm>
                    <a:prstGeom prst="rect">
                      <a:avLst/>
                    </a:prstGeom>
                    <a:noFill/>
                  </pic:spPr>
                </pic:pic>
              </a:graphicData>
            </a:graphic>
          </wp:inline>
        </w:drawing>
      </w:r>
    </w:p>
    <w:p w14:paraId="23F6D070" w14:textId="62B46663" w:rsidR="009A7748" w:rsidRPr="008C36B7" w:rsidRDefault="009A7748" w:rsidP="008C36B7">
      <w:pPr>
        <w:rPr>
          <w:rFonts w:ascii="Times New Roman" w:hAnsi="Times New Roman"/>
          <w:sz w:val="24"/>
          <w:szCs w:val="24"/>
          <w:lang w:val="nl-NL"/>
        </w:rPr>
      </w:pPr>
    </w:p>
    <w:p w14:paraId="3511BE96" w14:textId="77777777" w:rsidR="00543274" w:rsidRDefault="00543274" w:rsidP="008C36B7">
      <w:pPr>
        <w:rPr>
          <w:rFonts w:ascii="Times New Roman" w:hAnsi="Times New Roman"/>
          <w:sz w:val="24"/>
          <w:szCs w:val="24"/>
          <w:lang w:val="nl-NL"/>
        </w:rPr>
      </w:pPr>
    </w:p>
    <w:p w14:paraId="5F45F4EB" w14:textId="3AD5BF1E" w:rsidR="008477D9" w:rsidRPr="008C36B7" w:rsidRDefault="008477D9" w:rsidP="008C36B7">
      <w:pPr>
        <w:rPr>
          <w:rFonts w:ascii="Times New Roman" w:hAnsi="Times New Roman"/>
          <w:sz w:val="24"/>
          <w:szCs w:val="24"/>
          <w:lang w:val="nl-NL"/>
        </w:rPr>
      </w:pPr>
      <w:r w:rsidRPr="008C36B7">
        <w:rPr>
          <w:rFonts w:ascii="Times New Roman" w:hAnsi="Times New Roman"/>
          <w:sz w:val="24"/>
          <w:szCs w:val="24"/>
          <w:lang w:val="nl-NL"/>
        </w:rPr>
        <w:lastRenderedPageBreak/>
        <w:t>Thay đổi giá trị tài sản ròng:</w:t>
      </w:r>
    </w:p>
    <w:p w14:paraId="19D1B297" w14:textId="77777777" w:rsidR="00E42142" w:rsidRPr="008C36B7" w:rsidRDefault="00E42142" w:rsidP="008C36B7">
      <w:pPr>
        <w:rPr>
          <w:rFonts w:ascii="Times New Roman" w:hAnsi="Times New Roman"/>
          <w:sz w:val="24"/>
          <w:szCs w:val="24"/>
          <w:lang w:val="nl-NL"/>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336"/>
        <w:gridCol w:w="2412"/>
        <w:gridCol w:w="2280"/>
      </w:tblGrid>
      <w:tr w:rsidR="005F470F" w:rsidRPr="008C36B7" w14:paraId="404D3A46" w14:textId="77777777" w:rsidTr="0012049E">
        <w:trPr>
          <w:trHeight w:val="300"/>
        </w:trPr>
        <w:tc>
          <w:tcPr>
            <w:tcW w:w="2972" w:type="dxa"/>
            <w:shd w:val="clear" w:color="auto" w:fill="auto"/>
            <w:vAlign w:val="center"/>
            <w:hideMark/>
          </w:tcPr>
          <w:p w14:paraId="1CBD0ED1" w14:textId="77777777" w:rsidR="005F470F" w:rsidRPr="005F470F" w:rsidRDefault="005F470F" w:rsidP="005F470F">
            <w:pPr>
              <w:jc w:val="center"/>
              <w:rPr>
                <w:rFonts w:ascii="Times New Roman" w:hAnsi="Times New Roman"/>
                <w:b/>
                <w:bCs/>
                <w:sz w:val="24"/>
                <w:szCs w:val="24"/>
                <w:lang w:val="en-US"/>
              </w:rPr>
            </w:pPr>
            <w:proofErr w:type="spellStart"/>
            <w:r w:rsidRPr="005F470F">
              <w:rPr>
                <w:rFonts w:ascii="Times New Roman" w:hAnsi="Times New Roman"/>
                <w:b/>
                <w:bCs/>
                <w:sz w:val="24"/>
                <w:szCs w:val="24"/>
                <w:lang w:val="en-US"/>
              </w:rPr>
              <w:t>Chỉ</w:t>
            </w:r>
            <w:proofErr w:type="spellEnd"/>
            <w:r w:rsidRPr="005F470F">
              <w:rPr>
                <w:rFonts w:ascii="Times New Roman" w:hAnsi="Times New Roman"/>
                <w:b/>
                <w:bCs/>
                <w:sz w:val="24"/>
                <w:szCs w:val="24"/>
                <w:lang w:val="en-US"/>
              </w:rPr>
              <w:t xml:space="preserve"> </w:t>
            </w:r>
            <w:proofErr w:type="spellStart"/>
            <w:r w:rsidRPr="005F470F">
              <w:rPr>
                <w:rFonts w:ascii="Times New Roman" w:hAnsi="Times New Roman"/>
                <w:b/>
                <w:bCs/>
                <w:sz w:val="24"/>
                <w:szCs w:val="24"/>
                <w:lang w:val="en-US"/>
              </w:rPr>
              <w:t>tiêu</w:t>
            </w:r>
            <w:proofErr w:type="spellEnd"/>
          </w:p>
        </w:tc>
        <w:tc>
          <w:tcPr>
            <w:tcW w:w="2336" w:type="dxa"/>
            <w:shd w:val="clear" w:color="auto" w:fill="auto"/>
            <w:vAlign w:val="center"/>
            <w:hideMark/>
          </w:tcPr>
          <w:p w14:paraId="234F93D3" w14:textId="77777777" w:rsidR="005F470F" w:rsidRPr="005F470F" w:rsidRDefault="005F470F" w:rsidP="005F470F">
            <w:pPr>
              <w:jc w:val="center"/>
              <w:rPr>
                <w:rFonts w:ascii="Times New Roman" w:hAnsi="Times New Roman"/>
                <w:b/>
                <w:bCs/>
                <w:sz w:val="24"/>
                <w:szCs w:val="24"/>
              </w:rPr>
            </w:pPr>
            <w:r w:rsidRPr="005F470F">
              <w:rPr>
                <w:rFonts w:ascii="Times New Roman" w:hAnsi="Times New Roman"/>
                <w:b/>
                <w:bCs/>
                <w:sz w:val="24"/>
                <w:szCs w:val="24"/>
              </w:rPr>
              <w:t>30/06/2022</w:t>
            </w:r>
          </w:p>
          <w:p w14:paraId="1BEE381A" w14:textId="0549E7AB" w:rsidR="005F470F" w:rsidRPr="005F470F" w:rsidRDefault="005F470F" w:rsidP="005F470F">
            <w:pPr>
              <w:jc w:val="center"/>
              <w:rPr>
                <w:rFonts w:ascii="Times New Roman" w:hAnsi="Times New Roman"/>
                <w:b/>
                <w:bCs/>
                <w:sz w:val="24"/>
                <w:szCs w:val="24"/>
                <w:lang w:val="en-US"/>
              </w:rPr>
            </w:pPr>
            <w:r w:rsidRPr="005F470F">
              <w:rPr>
                <w:rFonts w:ascii="Times New Roman" w:hAnsi="Times New Roman"/>
                <w:b/>
                <w:bCs/>
                <w:sz w:val="24"/>
                <w:szCs w:val="24"/>
              </w:rPr>
              <w:t>(1)</w:t>
            </w:r>
          </w:p>
        </w:tc>
        <w:tc>
          <w:tcPr>
            <w:tcW w:w="2412" w:type="dxa"/>
            <w:shd w:val="clear" w:color="auto" w:fill="auto"/>
            <w:vAlign w:val="center"/>
            <w:hideMark/>
          </w:tcPr>
          <w:p w14:paraId="3732ADEB" w14:textId="77777777" w:rsidR="005F470F" w:rsidRPr="005F470F" w:rsidRDefault="005F470F" w:rsidP="005F470F">
            <w:pPr>
              <w:jc w:val="center"/>
              <w:rPr>
                <w:rFonts w:ascii="Times New Roman" w:hAnsi="Times New Roman"/>
                <w:b/>
                <w:bCs/>
                <w:sz w:val="24"/>
                <w:szCs w:val="24"/>
              </w:rPr>
            </w:pPr>
            <w:r w:rsidRPr="005F470F">
              <w:rPr>
                <w:rFonts w:ascii="Times New Roman" w:hAnsi="Times New Roman"/>
                <w:b/>
                <w:bCs/>
                <w:sz w:val="24"/>
                <w:szCs w:val="24"/>
              </w:rPr>
              <w:t>30/06/2021</w:t>
            </w:r>
          </w:p>
          <w:p w14:paraId="1CEAFE8F" w14:textId="2D1E04C7" w:rsidR="005F470F" w:rsidRPr="005F470F" w:rsidRDefault="005F470F" w:rsidP="005F470F">
            <w:pPr>
              <w:jc w:val="center"/>
              <w:rPr>
                <w:rFonts w:ascii="Times New Roman" w:hAnsi="Times New Roman"/>
                <w:b/>
                <w:bCs/>
                <w:sz w:val="24"/>
                <w:szCs w:val="24"/>
                <w:lang w:val="en-US"/>
              </w:rPr>
            </w:pPr>
            <w:r w:rsidRPr="005F470F">
              <w:rPr>
                <w:rFonts w:ascii="Times New Roman" w:hAnsi="Times New Roman"/>
                <w:b/>
                <w:bCs/>
                <w:sz w:val="24"/>
                <w:szCs w:val="24"/>
              </w:rPr>
              <w:t>(2)</w:t>
            </w:r>
          </w:p>
        </w:tc>
        <w:tc>
          <w:tcPr>
            <w:tcW w:w="2280" w:type="dxa"/>
            <w:shd w:val="clear" w:color="auto" w:fill="auto"/>
            <w:vAlign w:val="center"/>
            <w:hideMark/>
          </w:tcPr>
          <w:p w14:paraId="2B7911D0" w14:textId="2017EA19" w:rsidR="005F470F" w:rsidRPr="005F470F" w:rsidRDefault="005F470F" w:rsidP="005F470F">
            <w:pPr>
              <w:jc w:val="center"/>
              <w:rPr>
                <w:rFonts w:ascii="Times New Roman" w:hAnsi="Times New Roman"/>
                <w:b/>
                <w:bCs/>
                <w:sz w:val="24"/>
                <w:szCs w:val="24"/>
                <w:lang w:val="en-US"/>
              </w:rPr>
            </w:pPr>
            <w:proofErr w:type="spellStart"/>
            <w:r w:rsidRPr="005F470F">
              <w:rPr>
                <w:rFonts w:ascii="Times New Roman" w:hAnsi="Times New Roman"/>
                <w:b/>
                <w:bCs/>
                <w:sz w:val="24"/>
                <w:szCs w:val="24"/>
                <w:lang w:val="en-US"/>
              </w:rPr>
              <w:t>Tỷ</w:t>
            </w:r>
            <w:proofErr w:type="spellEnd"/>
            <w:r w:rsidRPr="005F470F">
              <w:rPr>
                <w:rFonts w:ascii="Times New Roman" w:hAnsi="Times New Roman"/>
                <w:b/>
                <w:bCs/>
                <w:sz w:val="24"/>
                <w:szCs w:val="24"/>
                <w:lang w:val="en-US"/>
              </w:rPr>
              <w:t xml:space="preserve"> </w:t>
            </w:r>
            <w:proofErr w:type="spellStart"/>
            <w:r w:rsidRPr="005F470F">
              <w:rPr>
                <w:rFonts w:ascii="Times New Roman" w:hAnsi="Times New Roman"/>
                <w:b/>
                <w:bCs/>
                <w:sz w:val="24"/>
                <w:szCs w:val="24"/>
                <w:lang w:val="en-US"/>
              </w:rPr>
              <w:t>lệ</w:t>
            </w:r>
            <w:proofErr w:type="spellEnd"/>
            <w:r w:rsidRPr="005F470F">
              <w:rPr>
                <w:rFonts w:ascii="Times New Roman" w:hAnsi="Times New Roman"/>
                <w:b/>
                <w:bCs/>
                <w:sz w:val="24"/>
                <w:szCs w:val="24"/>
                <w:lang w:val="en-US"/>
              </w:rPr>
              <w:t xml:space="preserve"> </w:t>
            </w:r>
            <w:proofErr w:type="spellStart"/>
            <w:r w:rsidRPr="005F470F">
              <w:rPr>
                <w:rFonts w:ascii="Times New Roman" w:hAnsi="Times New Roman"/>
                <w:b/>
                <w:bCs/>
                <w:sz w:val="24"/>
                <w:szCs w:val="24"/>
                <w:lang w:val="en-US"/>
              </w:rPr>
              <w:t>thay</w:t>
            </w:r>
            <w:proofErr w:type="spellEnd"/>
            <w:r w:rsidRPr="005F470F">
              <w:rPr>
                <w:rFonts w:ascii="Times New Roman" w:hAnsi="Times New Roman"/>
                <w:b/>
                <w:bCs/>
                <w:sz w:val="24"/>
                <w:szCs w:val="24"/>
                <w:lang w:val="en-US"/>
              </w:rPr>
              <w:t xml:space="preserve"> </w:t>
            </w:r>
            <w:proofErr w:type="spellStart"/>
            <w:r w:rsidRPr="005F470F">
              <w:rPr>
                <w:rFonts w:ascii="Times New Roman" w:hAnsi="Times New Roman"/>
                <w:b/>
                <w:bCs/>
                <w:sz w:val="24"/>
                <w:szCs w:val="24"/>
                <w:lang w:val="en-US"/>
              </w:rPr>
              <w:t>đổi</w:t>
            </w:r>
            <w:proofErr w:type="spellEnd"/>
          </w:p>
          <w:p w14:paraId="7E3487DE" w14:textId="201A4941" w:rsidR="005F470F" w:rsidRPr="005F470F" w:rsidRDefault="005F470F" w:rsidP="005F470F">
            <w:pPr>
              <w:jc w:val="center"/>
              <w:rPr>
                <w:rFonts w:ascii="Times New Roman" w:hAnsi="Times New Roman"/>
                <w:b/>
                <w:bCs/>
                <w:sz w:val="24"/>
                <w:szCs w:val="24"/>
                <w:lang w:val="en-US"/>
              </w:rPr>
            </w:pPr>
            <w:r w:rsidRPr="005F470F">
              <w:rPr>
                <w:rFonts w:ascii="Times New Roman" w:hAnsi="Times New Roman"/>
                <w:b/>
                <w:bCs/>
                <w:sz w:val="24"/>
                <w:szCs w:val="24"/>
                <w:lang w:val="en-US"/>
              </w:rPr>
              <w:t>(</w:t>
            </w:r>
            <w:proofErr w:type="gramStart"/>
            <w:r w:rsidRPr="005F470F">
              <w:rPr>
                <w:rFonts w:ascii="Times New Roman" w:hAnsi="Times New Roman"/>
                <w:b/>
                <w:bCs/>
                <w:sz w:val="24"/>
                <w:szCs w:val="24"/>
                <w:lang w:val="en-US"/>
              </w:rPr>
              <w:t>3)=</w:t>
            </w:r>
            <w:proofErr w:type="gramEnd"/>
            <w:r w:rsidRPr="005F470F">
              <w:rPr>
                <w:rFonts w:ascii="Times New Roman" w:hAnsi="Times New Roman"/>
                <w:b/>
                <w:bCs/>
                <w:sz w:val="24"/>
                <w:szCs w:val="24"/>
                <w:lang w:val="en-US"/>
              </w:rPr>
              <w:t>((1)-(2))/(2)</w:t>
            </w:r>
          </w:p>
        </w:tc>
      </w:tr>
      <w:tr w:rsidR="006338B5" w:rsidRPr="008C36B7" w14:paraId="491E4C0A" w14:textId="77777777" w:rsidTr="0012049E">
        <w:trPr>
          <w:trHeight w:val="600"/>
        </w:trPr>
        <w:tc>
          <w:tcPr>
            <w:tcW w:w="2972" w:type="dxa"/>
            <w:shd w:val="clear" w:color="auto" w:fill="auto"/>
            <w:vAlign w:val="center"/>
            <w:hideMark/>
          </w:tcPr>
          <w:p w14:paraId="72D49516" w14:textId="77777777" w:rsidR="006338B5" w:rsidRPr="0012049E" w:rsidRDefault="006338B5" w:rsidP="006338B5">
            <w:pPr>
              <w:jc w:val="center"/>
              <w:rPr>
                <w:rFonts w:ascii="Times New Roman" w:hAnsi="Times New Roman"/>
                <w:b/>
                <w:bCs/>
                <w:sz w:val="24"/>
                <w:szCs w:val="24"/>
                <w:lang w:val="en-US"/>
              </w:rPr>
            </w:pPr>
            <w:proofErr w:type="spellStart"/>
            <w:r w:rsidRPr="0012049E">
              <w:rPr>
                <w:rFonts w:ascii="Times New Roman" w:hAnsi="Times New Roman"/>
                <w:b/>
                <w:bCs/>
                <w:sz w:val="24"/>
                <w:szCs w:val="24"/>
                <w:lang w:val="en-US"/>
              </w:rPr>
              <w:t>Giá</w:t>
            </w:r>
            <w:proofErr w:type="spellEnd"/>
            <w:r w:rsidRPr="0012049E">
              <w:rPr>
                <w:rFonts w:ascii="Times New Roman" w:hAnsi="Times New Roman"/>
                <w:b/>
                <w:bCs/>
                <w:sz w:val="24"/>
                <w:szCs w:val="24"/>
                <w:lang w:val="en-US"/>
              </w:rPr>
              <w:t xml:space="preserve"> </w:t>
            </w:r>
            <w:proofErr w:type="spellStart"/>
            <w:r w:rsidRPr="0012049E">
              <w:rPr>
                <w:rFonts w:ascii="Times New Roman" w:hAnsi="Times New Roman"/>
                <w:b/>
                <w:bCs/>
                <w:sz w:val="24"/>
                <w:szCs w:val="24"/>
                <w:lang w:val="en-US"/>
              </w:rPr>
              <w:t>trị</w:t>
            </w:r>
            <w:proofErr w:type="spellEnd"/>
            <w:r w:rsidRPr="0012049E">
              <w:rPr>
                <w:rFonts w:ascii="Times New Roman" w:hAnsi="Times New Roman"/>
                <w:b/>
                <w:bCs/>
                <w:sz w:val="24"/>
                <w:szCs w:val="24"/>
                <w:lang w:val="en-US"/>
              </w:rPr>
              <w:t xml:space="preserve"> </w:t>
            </w:r>
            <w:proofErr w:type="spellStart"/>
            <w:r w:rsidRPr="0012049E">
              <w:rPr>
                <w:rFonts w:ascii="Times New Roman" w:hAnsi="Times New Roman"/>
                <w:b/>
                <w:bCs/>
                <w:sz w:val="24"/>
                <w:szCs w:val="24"/>
                <w:lang w:val="en-US"/>
              </w:rPr>
              <w:t>tài</w:t>
            </w:r>
            <w:proofErr w:type="spellEnd"/>
            <w:r w:rsidRPr="0012049E">
              <w:rPr>
                <w:rFonts w:ascii="Times New Roman" w:hAnsi="Times New Roman"/>
                <w:b/>
                <w:bCs/>
                <w:sz w:val="24"/>
                <w:szCs w:val="24"/>
                <w:lang w:val="en-US"/>
              </w:rPr>
              <w:t xml:space="preserve"> </w:t>
            </w:r>
            <w:proofErr w:type="spellStart"/>
            <w:r w:rsidRPr="0012049E">
              <w:rPr>
                <w:rFonts w:ascii="Times New Roman" w:hAnsi="Times New Roman"/>
                <w:b/>
                <w:bCs/>
                <w:sz w:val="24"/>
                <w:szCs w:val="24"/>
                <w:lang w:val="en-US"/>
              </w:rPr>
              <w:t>sản</w:t>
            </w:r>
            <w:proofErr w:type="spellEnd"/>
            <w:r w:rsidRPr="0012049E">
              <w:rPr>
                <w:rFonts w:ascii="Times New Roman" w:hAnsi="Times New Roman"/>
                <w:b/>
                <w:bCs/>
                <w:sz w:val="24"/>
                <w:szCs w:val="24"/>
                <w:lang w:val="en-US"/>
              </w:rPr>
              <w:t xml:space="preserve"> </w:t>
            </w:r>
            <w:proofErr w:type="spellStart"/>
            <w:r w:rsidRPr="0012049E">
              <w:rPr>
                <w:rFonts w:ascii="Times New Roman" w:hAnsi="Times New Roman"/>
                <w:b/>
                <w:bCs/>
                <w:sz w:val="24"/>
                <w:szCs w:val="24"/>
                <w:lang w:val="en-US"/>
              </w:rPr>
              <w:t>ròng</w:t>
            </w:r>
            <w:proofErr w:type="spellEnd"/>
            <w:r w:rsidRPr="0012049E">
              <w:rPr>
                <w:rFonts w:ascii="Times New Roman" w:hAnsi="Times New Roman"/>
                <w:b/>
                <w:bCs/>
                <w:sz w:val="24"/>
                <w:szCs w:val="24"/>
                <w:lang w:val="en-US"/>
              </w:rPr>
              <w:t xml:space="preserve"> (NAV) </w:t>
            </w:r>
            <w:proofErr w:type="spellStart"/>
            <w:r w:rsidRPr="0012049E">
              <w:rPr>
                <w:rFonts w:ascii="Times New Roman" w:hAnsi="Times New Roman"/>
                <w:b/>
                <w:bCs/>
                <w:sz w:val="24"/>
                <w:szCs w:val="24"/>
                <w:lang w:val="en-US"/>
              </w:rPr>
              <w:t>của</w:t>
            </w:r>
            <w:proofErr w:type="spellEnd"/>
            <w:r w:rsidRPr="0012049E">
              <w:rPr>
                <w:rFonts w:ascii="Times New Roman" w:hAnsi="Times New Roman"/>
                <w:b/>
                <w:bCs/>
                <w:sz w:val="24"/>
                <w:szCs w:val="24"/>
                <w:lang w:val="en-US"/>
              </w:rPr>
              <w:t xml:space="preserve"> </w:t>
            </w:r>
            <w:proofErr w:type="spellStart"/>
            <w:r w:rsidRPr="0012049E">
              <w:rPr>
                <w:rFonts w:ascii="Times New Roman" w:hAnsi="Times New Roman"/>
                <w:b/>
                <w:bCs/>
                <w:sz w:val="24"/>
                <w:szCs w:val="24"/>
                <w:lang w:val="en-US"/>
              </w:rPr>
              <w:t>Quỹ</w:t>
            </w:r>
            <w:proofErr w:type="spellEnd"/>
          </w:p>
        </w:tc>
        <w:tc>
          <w:tcPr>
            <w:tcW w:w="2336" w:type="dxa"/>
            <w:shd w:val="clear" w:color="auto" w:fill="auto"/>
            <w:vAlign w:val="center"/>
          </w:tcPr>
          <w:p w14:paraId="60685152" w14:textId="01E5F999" w:rsidR="006338B5" w:rsidRPr="005F470F" w:rsidRDefault="006338B5" w:rsidP="006338B5">
            <w:pPr>
              <w:jc w:val="right"/>
              <w:rPr>
                <w:rFonts w:ascii="Times New Roman" w:hAnsi="Times New Roman"/>
                <w:sz w:val="24"/>
                <w:szCs w:val="24"/>
              </w:rPr>
            </w:pPr>
            <w:r w:rsidRPr="005F470F">
              <w:rPr>
                <w:rFonts w:ascii="Times New Roman" w:hAnsi="Times New Roman"/>
                <w:sz w:val="24"/>
                <w:szCs w:val="24"/>
              </w:rPr>
              <w:t>1,561,678,860,275</w:t>
            </w:r>
          </w:p>
        </w:tc>
        <w:tc>
          <w:tcPr>
            <w:tcW w:w="2412" w:type="dxa"/>
            <w:shd w:val="clear" w:color="auto" w:fill="auto"/>
            <w:vAlign w:val="center"/>
            <w:hideMark/>
          </w:tcPr>
          <w:p w14:paraId="1D049906" w14:textId="4E8B4C47" w:rsidR="006338B5" w:rsidRPr="005F470F" w:rsidRDefault="006338B5" w:rsidP="006338B5">
            <w:pPr>
              <w:jc w:val="right"/>
              <w:rPr>
                <w:rFonts w:ascii="Times New Roman" w:hAnsi="Times New Roman"/>
                <w:sz w:val="24"/>
                <w:szCs w:val="24"/>
              </w:rPr>
            </w:pPr>
            <w:r w:rsidRPr="005F470F">
              <w:rPr>
                <w:rFonts w:ascii="Times New Roman" w:hAnsi="Times New Roman"/>
                <w:sz w:val="24"/>
                <w:szCs w:val="24"/>
              </w:rPr>
              <w:t>906,450,326,555</w:t>
            </w:r>
          </w:p>
        </w:tc>
        <w:tc>
          <w:tcPr>
            <w:tcW w:w="2280" w:type="dxa"/>
            <w:shd w:val="clear" w:color="auto" w:fill="auto"/>
            <w:vAlign w:val="center"/>
          </w:tcPr>
          <w:p w14:paraId="546F33AD" w14:textId="3D897FCC" w:rsidR="006338B5" w:rsidRPr="006338B5" w:rsidRDefault="006338B5" w:rsidP="006338B5">
            <w:pPr>
              <w:jc w:val="right"/>
              <w:rPr>
                <w:rFonts w:ascii="Times New Roman" w:hAnsi="Times New Roman"/>
                <w:sz w:val="24"/>
                <w:szCs w:val="24"/>
              </w:rPr>
            </w:pPr>
            <w:r w:rsidRPr="006338B5">
              <w:rPr>
                <w:rFonts w:ascii="Times New Roman" w:hAnsi="Times New Roman"/>
                <w:color w:val="000000"/>
                <w:sz w:val="24"/>
                <w:szCs w:val="24"/>
              </w:rPr>
              <w:t>72.29%</w:t>
            </w:r>
          </w:p>
        </w:tc>
      </w:tr>
      <w:tr w:rsidR="006338B5" w:rsidRPr="008C36B7" w14:paraId="144D6114" w14:textId="77777777" w:rsidTr="0012049E">
        <w:trPr>
          <w:trHeight w:val="721"/>
        </w:trPr>
        <w:tc>
          <w:tcPr>
            <w:tcW w:w="2972" w:type="dxa"/>
            <w:shd w:val="clear" w:color="auto" w:fill="auto"/>
            <w:vAlign w:val="center"/>
            <w:hideMark/>
          </w:tcPr>
          <w:p w14:paraId="2A57ED75" w14:textId="77777777" w:rsidR="006338B5" w:rsidRPr="0012049E" w:rsidRDefault="006338B5" w:rsidP="006338B5">
            <w:pPr>
              <w:jc w:val="center"/>
              <w:rPr>
                <w:rFonts w:ascii="Times New Roman" w:hAnsi="Times New Roman"/>
                <w:b/>
                <w:bCs/>
                <w:sz w:val="24"/>
                <w:szCs w:val="24"/>
                <w:lang w:val="en-US"/>
              </w:rPr>
            </w:pPr>
            <w:proofErr w:type="spellStart"/>
            <w:r w:rsidRPr="0012049E">
              <w:rPr>
                <w:rFonts w:ascii="Times New Roman" w:hAnsi="Times New Roman"/>
                <w:b/>
                <w:bCs/>
                <w:sz w:val="24"/>
                <w:szCs w:val="24"/>
                <w:lang w:val="en-US"/>
              </w:rPr>
              <w:t>Giá</w:t>
            </w:r>
            <w:proofErr w:type="spellEnd"/>
            <w:r w:rsidRPr="0012049E">
              <w:rPr>
                <w:rFonts w:ascii="Times New Roman" w:hAnsi="Times New Roman"/>
                <w:b/>
                <w:bCs/>
                <w:sz w:val="24"/>
                <w:szCs w:val="24"/>
                <w:lang w:val="en-US"/>
              </w:rPr>
              <w:t xml:space="preserve"> </w:t>
            </w:r>
            <w:proofErr w:type="spellStart"/>
            <w:r w:rsidRPr="0012049E">
              <w:rPr>
                <w:rFonts w:ascii="Times New Roman" w:hAnsi="Times New Roman"/>
                <w:b/>
                <w:bCs/>
                <w:sz w:val="24"/>
                <w:szCs w:val="24"/>
                <w:lang w:val="en-US"/>
              </w:rPr>
              <w:t>trị</w:t>
            </w:r>
            <w:proofErr w:type="spellEnd"/>
            <w:r w:rsidRPr="0012049E">
              <w:rPr>
                <w:rFonts w:ascii="Times New Roman" w:hAnsi="Times New Roman"/>
                <w:b/>
                <w:bCs/>
                <w:sz w:val="24"/>
                <w:szCs w:val="24"/>
                <w:lang w:val="en-US"/>
              </w:rPr>
              <w:t xml:space="preserve"> </w:t>
            </w:r>
            <w:proofErr w:type="spellStart"/>
            <w:r w:rsidRPr="0012049E">
              <w:rPr>
                <w:rFonts w:ascii="Times New Roman" w:hAnsi="Times New Roman"/>
                <w:b/>
                <w:bCs/>
                <w:sz w:val="24"/>
                <w:szCs w:val="24"/>
                <w:lang w:val="en-US"/>
              </w:rPr>
              <w:t>tài</w:t>
            </w:r>
            <w:proofErr w:type="spellEnd"/>
            <w:r w:rsidRPr="0012049E">
              <w:rPr>
                <w:rFonts w:ascii="Times New Roman" w:hAnsi="Times New Roman"/>
                <w:b/>
                <w:bCs/>
                <w:sz w:val="24"/>
                <w:szCs w:val="24"/>
                <w:lang w:val="en-US"/>
              </w:rPr>
              <w:t xml:space="preserve"> </w:t>
            </w:r>
            <w:proofErr w:type="spellStart"/>
            <w:r w:rsidRPr="0012049E">
              <w:rPr>
                <w:rFonts w:ascii="Times New Roman" w:hAnsi="Times New Roman"/>
                <w:b/>
                <w:bCs/>
                <w:sz w:val="24"/>
                <w:szCs w:val="24"/>
                <w:lang w:val="en-US"/>
              </w:rPr>
              <w:t>sản</w:t>
            </w:r>
            <w:proofErr w:type="spellEnd"/>
            <w:r w:rsidRPr="0012049E">
              <w:rPr>
                <w:rFonts w:ascii="Times New Roman" w:hAnsi="Times New Roman"/>
                <w:b/>
                <w:bCs/>
                <w:sz w:val="24"/>
                <w:szCs w:val="24"/>
                <w:lang w:val="en-US"/>
              </w:rPr>
              <w:t xml:space="preserve"> </w:t>
            </w:r>
            <w:proofErr w:type="spellStart"/>
            <w:r w:rsidRPr="0012049E">
              <w:rPr>
                <w:rFonts w:ascii="Times New Roman" w:hAnsi="Times New Roman"/>
                <w:b/>
                <w:bCs/>
                <w:sz w:val="24"/>
                <w:szCs w:val="24"/>
                <w:lang w:val="en-US"/>
              </w:rPr>
              <w:t>ròng</w:t>
            </w:r>
            <w:proofErr w:type="spellEnd"/>
            <w:r w:rsidRPr="0012049E">
              <w:rPr>
                <w:rFonts w:ascii="Times New Roman" w:hAnsi="Times New Roman"/>
                <w:b/>
                <w:bCs/>
                <w:sz w:val="24"/>
                <w:szCs w:val="24"/>
                <w:lang w:val="en-US"/>
              </w:rPr>
              <w:t xml:space="preserve"> (NAV) </w:t>
            </w:r>
            <w:proofErr w:type="spellStart"/>
            <w:r w:rsidRPr="0012049E">
              <w:rPr>
                <w:rFonts w:ascii="Times New Roman" w:hAnsi="Times New Roman"/>
                <w:b/>
                <w:bCs/>
                <w:sz w:val="24"/>
                <w:szCs w:val="24"/>
                <w:lang w:val="en-US"/>
              </w:rPr>
              <w:t>trên</w:t>
            </w:r>
            <w:proofErr w:type="spellEnd"/>
            <w:r w:rsidRPr="0012049E">
              <w:rPr>
                <w:rFonts w:ascii="Times New Roman" w:hAnsi="Times New Roman"/>
                <w:b/>
                <w:bCs/>
                <w:sz w:val="24"/>
                <w:szCs w:val="24"/>
                <w:lang w:val="en-US"/>
              </w:rPr>
              <w:t xml:space="preserve"> 1 </w:t>
            </w:r>
            <w:proofErr w:type="spellStart"/>
            <w:r w:rsidRPr="0012049E">
              <w:rPr>
                <w:rFonts w:ascii="Times New Roman" w:hAnsi="Times New Roman"/>
                <w:b/>
                <w:bCs/>
                <w:sz w:val="24"/>
                <w:szCs w:val="24"/>
                <w:lang w:val="en-US"/>
              </w:rPr>
              <w:t>đơn</w:t>
            </w:r>
            <w:proofErr w:type="spellEnd"/>
            <w:r w:rsidRPr="0012049E">
              <w:rPr>
                <w:rFonts w:ascii="Times New Roman" w:hAnsi="Times New Roman"/>
                <w:b/>
                <w:bCs/>
                <w:sz w:val="24"/>
                <w:szCs w:val="24"/>
                <w:lang w:val="en-US"/>
              </w:rPr>
              <w:t xml:space="preserve"> </w:t>
            </w:r>
            <w:proofErr w:type="spellStart"/>
            <w:r w:rsidRPr="0012049E">
              <w:rPr>
                <w:rFonts w:ascii="Times New Roman" w:hAnsi="Times New Roman"/>
                <w:b/>
                <w:bCs/>
                <w:sz w:val="24"/>
                <w:szCs w:val="24"/>
                <w:lang w:val="en-US"/>
              </w:rPr>
              <w:t>vị</w:t>
            </w:r>
            <w:proofErr w:type="spellEnd"/>
            <w:r w:rsidRPr="0012049E">
              <w:rPr>
                <w:rFonts w:ascii="Times New Roman" w:hAnsi="Times New Roman"/>
                <w:b/>
                <w:bCs/>
                <w:sz w:val="24"/>
                <w:szCs w:val="24"/>
                <w:lang w:val="en-US"/>
              </w:rPr>
              <w:t xml:space="preserve"> CCQ</w:t>
            </w:r>
          </w:p>
        </w:tc>
        <w:tc>
          <w:tcPr>
            <w:tcW w:w="2336" w:type="dxa"/>
            <w:shd w:val="clear" w:color="auto" w:fill="auto"/>
            <w:vAlign w:val="center"/>
          </w:tcPr>
          <w:p w14:paraId="0A3D6278" w14:textId="33ADA45E" w:rsidR="006338B5" w:rsidRPr="005F470F" w:rsidRDefault="006338B5" w:rsidP="006338B5">
            <w:pPr>
              <w:jc w:val="right"/>
              <w:rPr>
                <w:rFonts w:ascii="Times New Roman" w:hAnsi="Times New Roman"/>
                <w:sz w:val="24"/>
                <w:szCs w:val="24"/>
              </w:rPr>
            </w:pPr>
            <w:r w:rsidRPr="005F470F">
              <w:rPr>
                <w:rFonts w:ascii="Times New Roman" w:hAnsi="Times New Roman"/>
                <w:sz w:val="24"/>
                <w:szCs w:val="24"/>
              </w:rPr>
              <w:t xml:space="preserve">60,564.74 </w:t>
            </w:r>
          </w:p>
        </w:tc>
        <w:tc>
          <w:tcPr>
            <w:tcW w:w="2412" w:type="dxa"/>
            <w:shd w:val="clear" w:color="auto" w:fill="auto"/>
            <w:vAlign w:val="center"/>
            <w:hideMark/>
          </w:tcPr>
          <w:p w14:paraId="6FF75B93" w14:textId="5C83B000" w:rsidR="006338B5" w:rsidRPr="005F470F" w:rsidRDefault="006338B5" w:rsidP="006338B5">
            <w:pPr>
              <w:jc w:val="right"/>
              <w:rPr>
                <w:rFonts w:ascii="Times New Roman" w:hAnsi="Times New Roman"/>
                <w:sz w:val="24"/>
                <w:szCs w:val="24"/>
              </w:rPr>
            </w:pPr>
            <w:r w:rsidRPr="005F470F">
              <w:rPr>
                <w:rFonts w:ascii="Times New Roman" w:hAnsi="Times New Roman"/>
                <w:sz w:val="24"/>
                <w:szCs w:val="24"/>
              </w:rPr>
              <w:t xml:space="preserve">                    69,108.95 </w:t>
            </w:r>
          </w:p>
        </w:tc>
        <w:tc>
          <w:tcPr>
            <w:tcW w:w="2280" w:type="dxa"/>
            <w:shd w:val="clear" w:color="auto" w:fill="auto"/>
            <w:vAlign w:val="center"/>
          </w:tcPr>
          <w:p w14:paraId="7F810944" w14:textId="7F20E280" w:rsidR="006338B5" w:rsidRPr="006338B5" w:rsidRDefault="006338B5" w:rsidP="006338B5">
            <w:pPr>
              <w:jc w:val="right"/>
              <w:rPr>
                <w:rFonts w:ascii="Times New Roman" w:hAnsi="Times New Roman"/>
                <w:sz w:val="24"/>
                <w:szCs w:val="24"/>
              </w:rPr>
            </w:pPr>
            <w:r w:rsidRPr="006338B5">
              <w:rPr>
                <w:rFonts w:ascii="Times New Roman" w:hAnsi="Times New Roman"/>
                <w:color w:val="000000"/>
                <w:sz w:val="24"/>
                <w:szCs w:val="24"/>
              </w:rPr>
              <w:t>-12.36%</w:t>
            </w:r>
          </w:p>
        </w:tc>
      </w:tr>
    </w:tbl>
    <w:p w14:paraId="35E9F27C" w14:textId="6B355C2E" w:rsidR="007F54E6" w:rsidRPr="0012049E" w:rsidRDefault="0074183D" w:rsidP="0012049E">
      <w:pPr>
        <w:spacing w:before="120"/>
        <w:ind w:firstLine="720"/>
        <w:rPr>
          <w:rFonts w:ascii="Times New Roman" w:hAnsi="Times New Roman"/>
          <w:sz w:val="24"/>
          <w:szCs w:val="24"/>
          <w:lang w:val="nl-NL"/>
        </w:rPr>
      </w:pPr>
      <w:r w:rsidRPr="0012049E">
        <w:rPr>
          <w:rFonts w:ascii="Times New Roman" w:hAnsi="Times New Roman"/>
          <w:sz w:val="24"/>
          <w:szCs w:val="24"/>
          <w:lang w:val="nl-NL"/>
        </w:rPr>
        <w:t>Trong giai đoạn 30/6/2021 – 30/6/2022, quỹ DCDS có giá trị tài sản ròng (NAV) trên một chứng chỉ quỹ giảm 12.36% do ảnh hưởng từ thị trường. Tổng giá trị tài sản ròng tăng 72.29% trong cùng giai đoạn nhờ vào nguồn vốn mới từ nhà đầu tư</w:t>
      </w:r>
      <w:r w:rsidR="00D23597" w:rsidRPr="0012049E">
        <w:rPr>
          <w:rFonts w:ascii="Times New Roman" w:hAnsi="Times New Roman"/>
          <w:sz w:val="24"/>
          <w:szCs w:val="24"/>
          <w:lang w:val="nl-NL"/>
        </w:rPr>
        <w:t>.</w:t>
      </w:r>
      <w:r w:rsidR="006C25D8" w:rsidRPr="0012049E">
        <w:rPr>
          <w:rFonts w:ascii="Times New Roman" w:hAnsi="Times New Roman"/>
          <w:sz w:val="24"/>
          <w:szCs w:val="24"/>
          <w:lang w:val="nl-NL"/>
        </w:rPr>
        <w:t xml:space="preserve"> </w:t>
      </w:r>
    </w:p>
    <w:p w14:paraId="65453231" w14:textId="77777777" w:rsidR="0012049E" w:rsidRDefault="0012049E" w:rsidP="008C36B7">
      <w:pPr>
        <w:rPr>
          <w:rFonts w:ascii="Times New Roman" w:hAnsi="Times New Roman"/>
          <w:b/>
          <w:sz w:val="24"/>
          <w:szCs w:val="24"/>
          <w:lang w:val="nl-NL"/>
        </w:rPr>
      </w:pPr>
    </w:p>
    <w:p w14:paraId="7A13CC74" w14:textId="7871C49F" w:rsidR="008477D9" w:rsidRPr="008C36B7" w:rsidRDefault="008477D9" w:rsidP="0012049E">
      <w:pPr>
        <w:ind w:firstLine="426"/>
        <w:rPr>
          <w:rFonts w:ascii="Times New Roman" w:hAnsi="Times New Roman"/>
          <w:b/>
          <w:sz w:val="24"/>
          <w:szCs w:val="24"/>
          <w:lang w:val="nl-NL"/>
        </w:rPr>
      </w:pPr>
      <w:r w:rsidRPr="008C36B7">
        <w:rPr>
          <w:rFonts w:ascii="Times New Roman" w:hAnsi="Times New Roman"/>
          <w:b/>
          <w:sz w:val="24"/>
          <w:szCs w:val="24"/>
          <w:lang w:val="nl-NL"/>
        </w:rPr>
        <w:t>4.2.</w:t>
      </w:r>
      <w:r w:rsidR="0012049E">
        <w:rPr>
          <w:rFonts w:ascii="Times New Roman" w:hAnsi="Times New Roman"/>
          <w:b/>
          <w:sz w:val="24"/>
          <w:szCs w:val="24"/>
          <w:lang w:val="nl-NL"/>
        </w:rPr>
        <w:t xml:space="preserve"> </w:t>
      </w:r>
      <w:r w:rsidRPr="008C36B7">
        <w:rPr>
          <w:rFonts w:ascii="Times New Roman" w:hAnsi="Times New Roman"/>
          <w:b/>
          <w:sz w:val="24"/>
          <w:szCs w:val="24"/>
          <w:lang w:val="nl-NL"/>
        </w:rPr>
        <w:t>Thống kê về Nhà đầu tư nắm giữ Chứng chỉ quỹ tại thời điểm báo cáo</w:t>
      </w:r>
    </w:p>
    <w:p w14:paraId="649780BD" w14:textId="77777777" w:rsidR="00F86A64" w:rsidRPr="008C36B7" w:rsidRDefault="00F86A64" w:rsidP="008C36B7">
      <w:pPr>
        <w:rPr>
          <w:rFonts w:ascii="Times New Roman" w:hAnsi="Times New Roman"/>
          <w:b/>
          <w:sz w:val="24"/>
          <w:szCs w:val="24"/>
          <w:lang w:val="nl-NL"/>
        </w:rPr>
      </w:pPr>
    </w:p>
    <w:tbl>
      <w:tblPr>
        <w:tblW w:w="10000" w:type="dxa"/>
        <w:tblLook w:val="04A0" w:firstRow="1" w:lastRow="0" w:firstColumn="1" w:lastColumn="0" w:noHBand="0" w:noVBand="1"/>
      </w:tblPr>
      <w:tblGrid>
        <w:gridCol w:w="2500"/>
        <w:gridCol w:w="2500"/>
        <w:gridCol w:w="2500"/>
        <w:gridCol w:w="2500"/>
      </w:tblGrid>
      <w:tr w:rsidR="00A15547" w:rsidRPr="008C36B7" w14:paraId="72429094" w14:textId="77777777" w:rsidTr="00434086">
        <w:trPr>
          <w:trHeight w:val="300"/>
        </w:trPr>
        <w:tc>
          <w:tcPr>
            <w:tcW w:w="2500" w:type="dxa"/>
            <w:vMerge w:val="restart"/>
            <w:tcBorders>
              <w:top w:val="nil"/>
              <w:left w:val="nil"/>
              <w:bottom w:val="nil"/>
              <w:right w:val="nil"/>
            </w:tcBorders>
            <w:shd w:val="clear" w:color="auto" w:fill="auto"/>
            <w:vAlign w:val="center"/>
            <w:hideMark/>
          </w:tcPr>
          <w:p w14:paraId="2332C394" w14:textId="59969A6D" w:rsidR="00B16B99" w:rsidRPr="008C36B7" w:rsidRDefault="00434086" w:rsidP="0012049E">
            <w:pPr>
              <w:jc w:val="center"/>
              <w:rPr>
                <w:rFonts w:ascii="Times New Roman" w:hAnsi="Times New Roman"/>
                <w:b/>
                <w:bCs/>
                <w:sz w:val="24"/>
                <w:szCs w:val="24"/>
                <w:lang w:val="en-US"/>
              </w:rPr>
            </w:pPr>
            <w:proofErr w:type="spellStart"/>
            <w:r w:rsidRPr="008C36B7">
              <w:rPr>
                <w:rFonts w:ascii="Times New Roman" w:hAnsi="Times New Roman"/>
                <w:b/>
                <w:bCs/>
                <w:sz w:val="24"/>
                <w:szCs w:val="24"/>
                <w:lang w:val="en-US"/>
              </w:rPr>
              <w:t>Quy</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mô</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nắm</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giữ</w:t>
            </w:r>
            <w:proofErr w:type="spellEnd"/>
          </w:p>
          <w:p w14:paraId="6D85D456" w14:textId="77777777" w:rsidR="00434086" w:rsidRPr="008C36B7" w:rsidRDefault="00434086" w:rsidP="0012049E">
            <w:pPr>
              <w:jc w:val="center"/>
              <w:rPr>
                <w:rFonts w:ascii="Times New Roman" w:hAnsi="Times New Roman"/>
                <w:b/>
                <w:bCs/>
                <w:sz w:val="24"/>
                <w:szCs w:val="24"/>
                <w:lang w:val="en-US"/>
              </w:rPr>
            </w:pPr>
            <w:r w:rsidRPr="008C36B7">
              <w:rPr>
                <w:rFonts w:ascii="Times New Roman" w:hAnsi="Times New Roman"/>
                <w:b/>
                <w:bCs/>
                <w:sz w:val="24"/>
                <w:szCs w:val="24"/>
                <w:lang w:val="en-US"/>
              </w:rPr>
              <w:t>(</w:t>
            </w:r>
            <w:proofErr w:type="spellStart"/>
            <w:r w:rsidRPr="008C36B7">
              <w:rPr>
                <w:rFonts w:ascii="Times New Roman" w:hAnsi="Times New Roman"/>
                <w:b/>
                <w:bCs/>
                <w:sz w:val="24"/>
                <w:szCs w:val="24"/>
                <w:lang w:val="en-US"/>
              </w:rPr>
              <w:t>Đơn</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vị</w:t>
            </w:r>
            <w:proofErr w:type="spellEnd"/>
            <w:r w:rsidRPr="008C36B7">
              <w:rPr>
                <w:rFonts w:ascii="Times New Roman" w:hAnsi="Times New Roman"/>
                <w:b/>
                <w:bCs/>
                <w:sz w:val="24"/>
                <w:szCs w:val="24"/>
                <w:lang w:val="en-US"/>
              </w:rPr>
              <w:t>)</w:t>
            </w:r>
          </w:p>
        </w:tc>
        <w:tc>
          <w:tcPr>
            <w:tcW w:w="2500" w:type="dxa"/>
            <w:vMerge w:val="restart"/>
            <w:tcBorders>
              <w:top w:val="nil"/>
              <w:left w:val="nil"/>
              <w:bottom w:val="nil"/>
              <w:right w:val="nil"/>
            </w:tcBorders>
            <w:shd w:val="clear" w:color="auto" w:fill="auto"/>
            <w:vAlign w:val="center"/>
            <w:hideMark/>
          </w:tcPr>
          <w:p w14:paraId="422FE3B3" w14:textId="77777777" w:rsidR="00434086" w:rsidRPr="008C36B7" w:rsidRDefault="00434086" w:rsidP="0012049E">
            <w:pPr>
              <w:jc w:val="center"/>
              <w:rPr>
                <w:rFonts w:ascii="Times New Roman" w:hAnsi="Times New Roman"/>
                <w:b/>
                <w:bCs/>
                <w:sz w:val="24"/>
                <w:szCs w:val="24"/>
                <w:lang w:val="en-US"/>
              </w:rPr>
            </w:pPr>
            <w:proofErr w:type="spellStart"/>
            <w:r w:rsidRPr="008C36B7">
              <w:rPr>
                <w:rFonts w:ascii="Times New Roman" w:hAnsi="Times New Roman"/>
                <w:b/>
                <w:bCs/>
                <w:sz w:val="24"/>
                <w:szCs w:val="24"/>
                <w:lang w:val="en-US"/>
              </w:rPr>
              <w:t>Số</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lượng</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Nhà</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đầu</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tư</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nắm</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giữ</w:t>
            </w:r>
            <w:proofErr w:type="spellEnd"/>
          </w:p>
        </w:tc>
        <w:tc>
          <w:tcPr>
            <w:tcW w:w="2500" w:type="dxa"/>
            <w:vMerge w:val="restart"/>
            <w:tcBorders>
              <w:top w:val="nil"/>
              <w:left w:val="nil"/>
              <w:bottom w:val="nil"/>
              <w:right w:val="nil"/>
            </w:tcBorders>
            <w:shd w:val="clear" w:color="auto" w:fill="auto"/>
            <w:vAlign w:val="center"/>
            <w:hideMark/>
          </w:tcPr>
          <w:p w14:paraId="423F18A1" w14:textId="77777777" w:rsidR="00434086" w:rsidRPr="008C36B7" w:rsidRDefault="00434086" w:rsidP="0012049E">
            <w:pPr>
              <w:jc w:val="center"/>
              <w:rPr>
                <w:rFonts w:ascii="Times New Roman" w:hAnsi="Times New Roman"/>
                <w:b/>
                <w:bCs/>
                <w:sz w:val="24"/>
                <w:szCs w:val="24"/>
                <w:lang w:val="en-US"/>
              </w:rPr>
            </w:pPr>
            <w:proofErr w:type="spellStart"/>
            <w:r w:rsidRPr="008C36B7">
              <w:rPr>
                <w:rFonts w:ascii="Times New Roman" w:hAnsi="Times New Roman"/>
                <w:b/>
                <w:bCs/>
                <w:sz w:val="24"/>
                <w:szCs w:val="24"/>
                <w:lang w:val="en-US"/>
              </w:rPr>
              <w:t>Số</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lượng</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đơn</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vị</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Chứng</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chỉ</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quỹ</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nắm</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giữ</w:t>
            </w:r>
            <w:proofErr w:type="spellEnd"/>
          </w:p>
        </w:tc>
        <w:tc>
          <w:tcPr>
            <w:tcW w:w="2500" w:type="dxa"/>
            <w:tcBorders>
              <w:top w:val="nil"/>
              <w:left w:val="nil"/>
              <w:bottom w:val="nil"/>
              <w:right w:val="nil"/>
            </w:tcBorders>
            <w:shd w:val="clear" w:color="auto" w:fill="auto"/>
            <w:vAlign w:val="center"/>
            <w:hideMark/>
          </w:tcPr>
          <w:p w14:paraId="09A0A0B9" w14:textId="77777777" w:rsidR="00434086" w:rsidRPr="008C36B7" w:rsidRDefault="00434086" w:rsidP="0012049E">
            <w:pPr>
              <w:jc w:val="center"/>
              <w:rPr>
                <w:rFonts w:ascii="Times New Roman" w:hAnsi="Times New Roman"/>
                <w:b/>
                <w:bCs/>
                <w:sz w:val="24"/>
                <w:szCs w:val="24"/>
                <w:lang w:val="en-US"/>
              </w:rPr>
            </w:pPr>
            <w:proofErr w:type="spellStart"/>
            <w:r w:rsidRPr="008C36B7">
              <w:rPr>
                <w:rFonts w:ascii="Times New Roman" w:hAnsi="Times New Roman"/>
                <w:b/>
                <w:bCs/>
                <w:sz w:val="24"/>
                <w:szCs w:val="24"/>
                <w:lang w:val="en-US"/>
              </w:rPr>
              <w:t>Tỷ</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lệ</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nắm</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giữ</w:t>
            </w:r>
            <w:proofErr w:type="spellEnd"/>
          </w:p>
        </w:tc>
      </w:tr>
      <w:tr w:rsidR="00A15547" w:rsidRPr="008C36B7" w14:paraId="3BE23852" w14:textId="77777777" w:rsidTr="00434086">
        <w:trPr>
          <w:trHeight w:val="300"/>
        </w:trPr>
        <w:tc>
          <w:tcPr>
            <w:tcW w:w="2500" w:type="dxa"/>
            <w:vMerge/>
            <w:tcBorders>
              <w:top w:val="nil"/>
              <w:left w:val="nil"/>
              <w:bottom w:val="nil"/>
              <w:right w:val="nil"/>
            </w:tcBorders>
            <w:vAlign w:val="center"/>
            <w:hideMark/>
          </w:tcPr>
          <w:p w14:paraId="7EB16085" w14:textId="77777777" w:rsidR="00434086" w:rsidRPr="008C36B7" w:rsidRDefault="00434086" w:rsidP="0012049E">
            <w:pPr>
              <w:jc w:val="center"/>
              <w:rPr>
                <w:rFonts w:ascii="Times New Roman" w:hAnsi="Times New Roman"/>
                <w:b/>
                <w:bCs/>
                <w:sz w:val="24"/>
                <w:szCs w:val="24"/>
                <w:lang w:val="en-US"/>
              </w:rPr>
            </w:pPr>
          </w:p>
        </w:tc>
        <w:tc>
          <w:tcPr>
            <w:tcW w:w="2500" w:type="dxa"/>
            <w:vMerge/>
            <w:tcBorders>
              <w:top w:val="nil"/>
              <w:left w:val="nil"/>
              <w:bottom w:val="nil"/>
              <w:right w:val="nil"/>
            </w:tcBorders>
            <w:vAlign w:val="center"/>
            <w:hideMark/>
          </w:tcPr>
          <w:p w14:paraId="75D0B7BD" w14:textId="77777777" w:rsidR="00434086" w:rsidRPr="008C36B7" w:rsidRDefault="00434086" w:rsidP="0012049E">
            <w:pPr>
              <w:jc w:val="center"/>
              <w:rPr>
                <w:rFonts w:ascii="Times New Roman" w:hAnsi="Times New Roman"/>
                <w:b/>
                <w:bCs/>
                <w:sz w:val="24"/>
                <w:szCs w:val="24"/>
                <w:lang w:val="en-US"/>
              </w:rPr>
            </w:pPr>
          </w:p>
        </w:tc>
        <w:tc>
          <w:tcPr>
            <w:tcW w:w="2500" w:type="dxa"/>
            <w:vMerge/>
            <w:tcBorders>
              <w:top w:val="nil"/>
              <w:left w:val="nil"/>
              <w:bottom w:val="nil"/>
              <w:right w:val="nil"/>
            </w:tcBorders>
            <w:vAlign w:val="center"/>
            <w:hideMark/>
          </w:tcPr>
          <w:p w14:paraId="6325BD60" w14:textId="77777777" w:rsidR="00434086" w:rsidRPr="008C36B7" w:rsidRDefault="00434086" w:rsidP="0012049E">
            <w:pPr>
              <w:jc w:val="center"/>
              <w:rPr>
                <w:rFonts w:ascii="Times New Roman" w:hAnsi="Times New Roman"/>
                <w:b/>
                <w:bCs/>
                <w:sz w:val="24"/>
                <w:szCs w:val="24"/>
                <w:lang w:val="en-US"/>
              </w:rPr>
            </w:pPr>
          </w:p>
        </w:tc>
        <w:tc>
          <w:tcPr>
            <w:tcW w:w="2500" w:type="dxa"/>
            <w:tcBorders>
              <w:top w:val="nil"/>
              <w:left w:val="nil"/>
              <w:bottom w:val="nil"/>
              <w:right w:val="nil"/>
            </w:tcBorders>
            <w:shd w:val="clear" w:color="auto" w:fill="auto"/>
            <w:vAlign w:val="center"/>
            <w:hideMark/>
          </w:tcPr>
          <w:p w14:paraId="39DF057C" w14:textId="77777777" w:rsidR="00434086" w:rsidRPr="008C36B7" w:rsidRDefault="00434086" w:rsidP="0012049E">
            <w:pPr>
              <w:jc w:val="center"/>
              <w:rPr>
                <w:rFonts w:ascii="Times New Roman" w:hAnsi="Times New Roman"/>
                <w:b/>
                <w:bCs/>
                <w:sz w:val="24"/>
                <w:szCs w:val="24"/>
                <w:lang w:val="en-US"/>
              </w:rPr>
            </w:pPr>
            <w:r w:rsidRPr="008C36B7">
              <w:rPr>
                <w:rFonts w:ascii="Times New Roman" w:hAnsi="Times New Roman"/>
                <w:b/>
                <w:bCs/>
                <w:sz w:val="24"/>
                <w:szCs w:val="24"/>
                <w:lang w:val="en-US"/>
              </w:rPr>
              <w:t>(%)</w:t>
            </w:r>
          </w:p>
        </w:tc>
      </w:tr>
      <w:tr w:rsidR="00A15547" w:rsidRPr="008C36B7" w14:paraId="73B04879" w14:textId="77777777" w:rsidTr="00434086">
        <w:trPr>
          <w:trHeight w:val="300"/>
        </w:trPr>
        <w:tc>
          <w:tcPr>
            <w:tcW w:w="2500" w:type="dxa"/>
            <w:tcBorders>
              <w:top w:val="nil"/>
              <w:left w:val="nil"/>
              <w:bottom w:val="nil"/>
              <w:right w:val="nil"/>
            </w:tcBorders>
            <w:shd w:val="clear" w:color="auto" w:fill="auto"/>
            <w:vAlign w:val="center"/>
            <w:hideMark/>
          </w:tcPr>
          <w:p w14:paraId="70976632" w14:textId="77777777" w:rsidR="00434086" w:rsidRPr="008C36B7" w:rsidRDefault="00434086" w:rsidP="008C36B7">
            <w:pPr>
              <w:rPr>
                <w:rFonts w:ascii="Times New Roman" w:hAnsi="Times New Roman"/>
                <w:b/>
                <w:bCs/>
                <w:sz w:val="24"/>
                <w:szCs w:val="24"/>
                <w:lang w:val="en-US"/>
              </w:rPr>
            </w:pPr>
          </w:p>
        </w:tc>
        <w:tc>
          <w:tcPr>
            <w:tcW w:w="2500" w:type="dxa"/>
            <w:tcBorders>
              <w:top w:val="nil"/>
              <w:left w:val="nil"/>
              <w:bottom w:val="nil"/>
              <w:right w:val="nil"/>
            </w:tcBorders>
            <w:shd w:val="clear" w:color="auto" w:fill="auto"/>
            <w:vAlign w:val="center"/>
            <w:hideMark/>
          </w:tcPr>
          <w:p w14:paraId="7B388625" w14:textId="77777777" w:rsidR="00434086" w:rsidRPr="008C36B7" w:rsidRDefault="00434086" w:rsidP="008C36B7">
            <w:pPr>
              <w:rPr>
                <w:rFonts w:ascii="Times New Roman" w:hAnsi="Times New Roman"/>
                <w:sz w:val="24"/>
                <w:szCs w:val="24"/>
                <w:lang w:val="en-US"/>
              </w:rPr>
            </w:pPr>
          </w:p>
        </w:tc>
        <w:tc>
          <w:tcPr>
            <w:tcW w:w="2500" w:type="dxa"/>
            <w:tcBorders>
              <w:top w:val="nil"/>
              <w:left w:val="nil"/>
              <w:bottom w:val="nil"/>
              <w:right w:val="nil"/>
            </w:tcBorders>
            <w:shd w:val="clear" w:color="auto" w:fill="auto"/>
            <w:vAlign w:val="center"/>
            <w:hideMark/>
          </w:tcPr>
          <w:p w14:paraId="427F2E8E" w14:textId="77777777" w:rsidR="00434086" w:rsidRPr="008C36B7" w:rsidRDefault="00434086" w:rsidP="008C36B7">
            <w:pPr>
              <w:rPr>
                <w:rFonts w:ascii="Times New Roman" w:hAnsi="Times New Roman"/>
                <w:sz w:val="24"/>
                <w:szCs w:val="24"/>
                <w:lang w:val="en-US"/>
              </w:rPr>
            </w:pPr>
          </w:p>
        </w:tc>
        <w:tc>
          <w:tcPr>
            <w:tcW w:w="2500" w:type="dxa"/>
            <w:tcBorders>
              <w:top w:val="nil"/>
              <w:left w:val="nil"/>
              <w:bottom w:val="nil"/>
              <w:right w:val="nil"/>
            </w:tcBorders>
            <w:shd w:val="clear" w:color="auto" w:fill="auto"/>
            <w:vAlign w:val="center"/>
            <w:hideMark/>
          </w:tcPr>
          <w:p w14:paraId="2429D3D5" w14:textId="77777777" w:rsidR="00434086" w:rsidRPr="008C36B7" w:rsidRDefault="00434086" w:rsidP="008C36B7">
            <w:pPr>
              <w:rPr>
                <w:rFonts w:ascii="Times New Roman" w:hAnsi="Times New Roman"/>
                <w:sz w:val="24"/>
                <w:szCs w:val="24"/>
                <w:lang w:val="en-US"/>
              </w:rPr>
            </w:pPr>
          </w:p>
        </w:tc>
      </w:tr>
      <w:tr w:rsidR="00660478" w:rsidRPr="008C36B7" w14:paraId="69FAEAAD" w14:textId="77777777" w:rsidTr="002E6045">
        <w:trPr>
          <w:trHeight w:val="300"/>
        </w:trPr>
        <w:tc>
          <w:tcPr>
            <w:tcW w:w="2500" w:type="dxa"/>
            <w:tcBorders>
              <w:top w:val="nil"/>
              <w:left w:val="nil"/>
              <w:bottom w:val="nil"/>
              <w:right w:val="nil"/>
            </w:tcBorders>
            <w:shd w:val="clear" w:color="auto" w:fill="auto"/>
            <w:vAlign w:val="center"/>
            <w:hideMark/>
          </w:tcPr>
          <w:p w14:paraId="4CD94FB4" w14:textId="77777777" w:rsidR="00660478" w:rsidRPr="008C36B7" w:rsidRDefault="00660478" w:rsidP="008C36B7">
            <w:pPr>
              <w:rPr>
                <w:rFonts w:ascii="Times New Roman" w:hAnsi="Times New Roman"/>
                <w:sz w:val="24"/>
                <w:szCs w:val="24"/>
                <w:lang w:val="en-US"/>
              </w:rPr>
            </w:pPr>
            <w:proofErr w:type="spellStart"/>
            <w:r w:rsidRPr="008C36B7">
              <w:rPr>
                <w:rFonts w:ascii="Times New Roman" w:hAnsi="Times New Roman"/>
                <w:sz w:val="24"/>
                <w:szCs w:val="24"/>
                <w:lang w:val="en-US"/>
              </w:rPr>
              <w:t>Dưới</w:t>
            </w:r>
            <w:proofErr w:type="spellEnd"/>
            <w:r w:rsidRPr="008C36B7">
              <w:rPr>
                <w:rFonts w:ascii="Times New Roman" w:hAnsi="Times New Roman"/>
                <w:sz w:val="24"/>
                <w:szCs w:val="24"/>
                <w:lang w:val="en-US"/>
              </w:rPr>
              <w:t xml:space="preserve"> 5.000</w:t>
            </w:r>
          </w:p>
        </w:tc>
        <w:tc>
          <w:tcPr>
            <w:tcW w:w="2500" w:type="dxa"/>
            <w:tcBorders>
              <w:top w:val="nil"/>
              <w:left w:val="nil"/>
              <w:bottom w:val="nil"/>
              <w:right w:val="nil"/>
            </w:tcBorders>
            <w:shd w:val="clear" w:color="auto" w:fill="auto"/>
            <w:vAlign w:val="center"/>
          </w:tcPr>
          <w:p w14:paraId="47D38F12" w14:textId="44F07EB4" w:rsidR="00660478" w:rsidRPr="008C36B7" w:rsidRDefault="00660478" w:rsidP="0012049E">
            <w:pPr>
              <w:jc w:val="right"/>
              <w:rPr>
                <w:rFonts w:ascii="Times New Roman" w:eastAsiaTheme="minorHAnsi" w:hAnsi="Times New Roman"/>
                <w:color w:val="FF0000"/>
                <w:sz w:val="24"/>
                <w:szCs w:val="24"/>
                <w:lang w:val="en-US"/>
              </w:rPr>
            </w:pPr>
            <w:r w:rsidRPr="008C36B7">
              <w:rPr>
                <w:rFonts w:ascii="Times New Roman" w:hAnsi="Times New Roman"/>
                <w:sz w:val="24"/>
                <w:szCs w:val="24"/>
              </w:rPr>
              <w:t>17,564</w:t>
            </w:r>
          </w:p>
        </w:tc>
        <w:tc>
          <w:tcPr>
            <w:tcW w:w="2500" w:type="dxa"/>
            <w:tcBorders>
              <w:top w:val="nil"/>
              <w:left w:val="nil"/>
              <w:bottom w:val="nil"/>
              <w:right w:val="nil"/>
            </w:tcBorders>
            <w:shd w:val="clear" w:color="auto" w:fill="auto"/>
            <w:vAlign w:val="center"/>
          </w:tcPr>
          <w:p w14:paraId="1A2487D9" w14:textId="01AF2291" w:rsidR="00660478" w:rsidRPr="008C36B7" w:rsidRDefault="00660478" w:rsidP="0012049E">
            <w:pPr>
              <w:jc w:val="right"/>
              <w:rPr>
                <w:rFonts w:ascii="Times New Roman" w:eastAsiaTheme="minorHAnsi" w:hAnsi="Times New Roman"/>
                <w:color w:val="FF0000"/>
                <w:sz w:val="24"/>
                <w:szCs w:val="24"/>
                <w:lang w:val="en-US"/>
              </w:rPr>
            </w:pPr>
            <w:r w:rsidRPr="008C36B7">
              <w:rPr>
                <w:rFonts w:ascii="Times New Roman" w:hAnsi="Times New Roman"/>
                <w:sz w:val="24"/>
                <w:szCs w:val="24"/>
              </w:rPr>
              <w:t xml:space="preserve">6,730,598.93 </w:t>
            </w:r>
          </w:p>
        </w:tc>
        <w:tc>
          <w:tcPr>
            <w:tcW w:w="2500" w:type="dxa"/>
            <w:tcBorders>
              <w:top w:val="nil"/>
              <w:left w:val="nil"/>
              <w:bottom w:val="nil"/>
              <w:right w:val="nil"/>
            </w:tcBorders>
            <w:shd w:val="clear" w:color="auto" w:fill="auto"/>
            <w:vAlign w:val="center"/>
          </w:tcPr>
          <w:p w14:paraId="067C4F4D" w14:textId="55BD3CB3" w:rsidR="00660478" w:rsidRPr="008C36B7" w:rsidRDefault="00660478" w:rsidP="0012049E">
            <w:pPr>
              <w:jc w:val="right"/>
              <w:rPr>
                <w:rFonts w:ascii="Times New Roman" w:eastAsiaTheme="minorHAnsi" w:hAnsi="Times New Roman"/>
                <w:color w:val="FF0000"/>
                <w:sz w:val="24"/>
                <w:szCs w:val="24"/>
                <w:lang w:val="en-US"/>
              </w:rPr>
            </w:pPr>
            <w:r w:rsidRPr="008C36B7">
              <w:rPr>
                <w:rFonts w:ascii="Times New Roman" w:hAnsi="Times New Roman"/>
                <w:sz w:val="24"/>
                <w:szCs w:val="24"/>
              </w:rPr>
              <w:t>26.10%</w:t>
            </w:r>
          </w:p>
        </w:tc>
      </w:tr>
      <w:tr w:rsidR="00660478" w:rsidRPr="008C36B7" w14:paraId="1DA8E3AD" w14:textId="77777777" w:rsidTr="0012049E">
        <w:trPr>
          <w:trHeight w:val="300"/>
        </w:trPr>
        <w:tc>
          <w:tcPr>
            <w:tcW w:w="2500" w:type="dxa"/>
            <w:tcBorders>
              <w:top w:val="nil"/>
              <w:left w:val="nil"/>
              <w:bottom w:val="nil"/>
              <w:right w:val="nil"/>
            </w:tcBorders>
            <w:shd w:val="clear" w:color="auto" w:fill="F2F2F2" w:themeFill="background1" w:themeFillShade="F2"/>
            <w:vAlign w:val="center"/>
            <w:hideMark/>
          </w:tcPr>
          <w:p w14:paraId="5A09E768" w14:textId="77777777" w:rsidR="00660478" w:rsidRPr="008C36B7" w:rsidRDefault="00660478" w:rsidP="008C36B7">
            <w:pPr>
              <w:rPr>
                <w:rFonts w:ascii="Times New Roman" w:hAnsi="Times New Roman"/>
                <w:sz w:val="24"/>
                <w:szCs w:val="24"/>
                <w:lang w:val="en-US"/>
              </w:rPr>
            </w:pPr>
            <w:proofErr w:type="spellStart"/>
            <w:r w:rsidRPr="008C36B7">
              <w:rPr>
                <w:rFonts w:ascii="Times New Roman" w:hAnsi="Times New Roman"/>
                <w:sz w:val="24"/>
                <w:szCs w:val="24"/>
                <w:lang w:val="en-US"/>
              </w:rPr>
              <w:t>Từ</w:t>
            </w:r>
            <w:proofErr w:type="spellEnd"/>
            <w:r w:rsidRPr="008C36B7">
              <w:rPr>
                <w:rFonts w:ascii="Times New Roman" w:hAnsi="Times New Roman"/>
                <w:sz w:val="24"/>
                <w:szCs w:val="24"/>
                <w:lang w:val="en-US"/>
              </w:rPr>
              <w:t xml:space="preserve"> 5.000 </w:t>
            </w:r>
            <w:proofErr w:type="spellStart"/>
            <w:r w:rsidRPr="008C36B7">
              <w:rPr>
                <w:rFonts w:ascii="Times New Roman" w:hAnsi="Times New Roman"/>
                <w:sz w:val="24"/>
                <w:szCs w:val="24"/>
                <w:lang w:val="en-US"/>
              </w:rPr>
              <w:t>đến</w:t>
            </w:r>
            <w:proofErr w:type="spellEnd"/>
            <w:r w:rsidRPr="008C36B7">
              <w:rPr>
                <w:rFonts w:ascii="Times New Roman" w:hAnsi="Times New Roman"/>
                <w:sz w:val="24"/>
                <w:szCs w:val="24"/>
                <w:lang w:val="en-US"/>
              </w:rPr>
              <w:t xml:space="preserve"> 10.000</w:t>
            </w:r>
          </w:p>
        </w:tc>
        <w:tc>
          <w:tcPr>
            <w:tcW w:w="2500" w:type="dxa"/>
            <w:tcBorders>
              <w:top w:val="nil"/>
              <w:left w:val="nil"/>
              <w:bottom w:val="nil"/>
              <w:right w:val="nil"/>
            </w:tcBorders>
            <w:shd w:val="clear" w:color="auto" w:fill="F2F2F2" w:themeFill="background1" w:themeFillShade="F2"/>
            <w:vAlign w:val="center"/>
          </w:tcPr>
          <w:p w14:paraId="48FF6496" w14:textId="2AE24193" w:rsidR="00660478" w:rsidRPr="008C36B7" w:rsidRDefault="00660478" w:rsidP="0012049E">
            <w:pPr>
              <w:jc w:val="right"/>
              <w:rPr>
                <w:rFonts w:ascii="Times New Roman" w:eastAsiaTheme="minorHAnsi" w:hAnsi="Times New Roman"/>
                <w:color w:val="FF0000"/>
                <w:sz w:val="24"/>
                <w:szCs w:val="24"/>
                <w:lang w:val="en-US"/>
              </w:rPr>
            </w:pPr>
            <w:r w:rsidRPr="008C36B7">
              <w:rPr>
                <w:rFonts w:ascii="Times New Roman" w:hAnsi="Times New Roman"/>
                <w:sz w:val="24"/>
                <w:szCs w:val="24"/>
              </w:rPr>
              <w:t>278</w:t>
            </w:r>
          </w:p>
        </w:tc>
        <w:tc>
          <w:tcPr>
            <w:tcW w:w="2500" w:type="dxa"/>
            <w:tcBorders>
              <w:top w:val="nil"/>
              <w:left w:val="nil"/>
              <w:bottom w:val="nil"/>
              <w:right w:val="nil"/>
            </w:tcBorders>
            <w:shd w:val="clear" w:color="auto" w:fill="F2F2F2" w:themeFill="background1" w:themeFillShade="F2"/>
            <w:vAlign w:val="center"/>
          </w:tcPr>
          <w:p w14:paraId="08C2A63D" w14:textId="57C16E18" w:rsidR="00660478" w:rsidRPr="008C36B7" w:rsidRDefault="00660478" w:rsidP="0012049E">
            <w:pPr>
              <w:jc w:val="right"/>
              <w:rPr>
                <w:rFonts w:ascii="Times New Roman" w:eastAsiaTheme="minorHAnsi" w:hAnsi="Times New Roman"/>
                <w:color w:val="FF0000"/>
                <w:sz w:val="24"/>
                <w:szCs w:val="24"/>
                <w:lang w:val="en-US"/>
              </w:rPr>
            </w:pPr>
            <w:r w:rsidRPr="008C36B7">
              <w:rPr>
                <w:rFonts w:ascii="Times New Roman" w:hAnsi="Times New Roman"/>
                <w:sz w:val="24"/>
                <w:szCs w:val="24"/>
              </w:rPr>
              <w:t>1,904,510.90</w:t>
            </w:r>
          </w:p>
        </w:tc>
        <w:tc>
          <w:tcPr>
            <w:tcW w:w="2500" w:type="dxa"/>
            <w:tcBorders>
              <w:top w:val="nil"/>
              <w:left w:val="nil"/>
              <w:bottom w:val="nil"/>
              <w:right w:val="nil"/>
            </w:tcBorders>
            <w:shd w:val="clear" w:color="auto" w:fill="F2F2F2" w:themeFill="background1" w:themeFillShade="F2"/>
            <w:vAlign w:val="center"/>
          </w:tcPr>
          <w:p w14:paraId="2E701A2C" w14:textId="275F5029" w:rsidR="00660478" w:rsidRPr="008C36B7" w:rsidRDefault="00660478" w:rsidP="0012049E">
            <w:pPr>
              <w:jc w:val="right"/>
              <w:rPr>
                <w:rFonts w:ascii="Times New Roman" w:eastAsiaTheme="minorHAnsi" w:hAnsi="Times New Roman"/>
                <w:color w:val="FF0000"/>
                <w:sz w:val="24"/>
                <w:szCs w:val="24"/>
                <w:lang w:val="en-US"/>
              </w:rPr>
            </w:pPr>
            <w:r w:rsidRPr="008C36B7">
              <w:rPr>
                <w:rFonts w:ascii="Times New Roman" w:hAnsi="Times New Roman"/>
                <w:sz w:val="24"/>
                <w:szCs w:val="24"/>
              </w:rPr>
              <w:t>7.39%</w:t>
            </w:r>
          </w:p>
        </w:tc>
      </w:tr>
      <w:tr w:rsidR="00660478" w:rsidRPr="008C36B7" w14:paraId="23E9B76D" w14:textId="77777777" w:rsidTr="002E6045">
        <w:trPr>
          <w:trHeight w:val="300"/>
        </w:trPr>
        <w:tc>
          <w:tcPr>
            <w:tcW w:w="2500" w:type="dxa"/>
            <w:tcBorders>
              <w:top w:val="nil"/>
              <w:left w:val="nil"/>
              <w:bottom w:val="nil"/>
              <w:right w:val="nil"/>
            </w:tcBorders>
            <w:shd w:val="clear" w:color="auto" w:fill="auto"/>
            <w:vAlign w:val="center"/>
            <w:hideMark/>
          </w:tcPr>
          <w:p w14:paraId="73332794" w14:textId="77777777" w:rsidR="00660478" w:rsidRPr="008C36B7" w:rsidRDefault="00660478" w:rsidP="008C36B7">
            <w:pPr>
              <w:rPr>
                <w:rFonts w:ascii="Times New Roman" w:hAnsi="Times New Roman"/>
                <w:sz w:val="24"/>
                <w:szCs w:val="24"/>
                <w:lang w:val="en-US"/>
              </w:rPr>
            </w:pPr>
            <w:proofErr w:type="spellStart"/>
            <w:r w:rsidRPr="008C36B7">
              <w:rPr>
                <w:rFonts w:ascii="Times New Roman" w:hAnsi="Times New Roman"/>
                <w:sz w:val="24"/>
                <w:szCs w:val="24"/>
                <w:lang w:val="en-US"/>
              </w:rPr>
              <w:t>Từ</w:t>
            </w:r>
            <w:proofErr w:type="spellEnd"/>
            <w:r w:rsidRPr="008C36B7">
              <w:rPr>
                <w:rFonts w:ascii="Times New Roman" w:hAnsi="Times New Roman"/>
                <w:sz w:val="24"/>
                <w:szCs w:val="24"/>
                <w:lang w:val="en-US"/>
              </w:rPr>
              <w:t xml:space="preserve"> 10.000 </w:t>
            </w:r>
            <w:proofErr w:type="spellStart"/>
            <w:r w:rsidRPr="008C36B7">
              <w:rPr>
                <w:rFonts w:ascii="Times New Roman" w:hAnsi="Times New Roman"/>
                <w:sz w:val="24"/>
                <w:szCs w:val="24"/>
                <w:lang w:val="en-US"/>
              </w:rPr>
              <w:t>đến</w:t>
            </w:r>
            <w:proofErr w:type="spellEnd"/>
            <w:r w:rsidRPr="008C36B7">
              <w:rPr>
                <w:rFonts w:ascii="Times New Roman" w:hAnsi="Times New Roman"/>
                <w:sz w:val="24"/>
                <w:szCs w:val="24"/>
                <w:lang w:val="en-US"/>
              </w:rPr>
              <w:t xml:space="preserve"> 50.000</w:t>
            </w:r>
          </w:p>
        </w:tc>
        <w:tc>
          <w:tcPr>
            <w:tcW w:w="2500" w:type="dxa"/>
            <w:tcBorders>
              <w:top w:val="nil"/>
              <w:left w:val="nil"/>
              <w:bottom w:val="nil"/>
              <w:right w:val="nil"/>
            </w:tcBorders>
            <w:shd w:val="clear" w:color="auto" w:fill="auto"/>
            <w:vAlign w:val="center"/>
          </w:tcPr>
          <w:p w14:paraId="0C8260C4" w14:textId="355C5103" w:rsidR="00660478" w:rsidRPr="008C36B7" w:rsidRDefault="00660478" w:rsidP="0012049E">
            <w:pPr>
              <w:jc w:val="right"/>
              <w:rPr>
                <w:rFonts w:ascii="Times New Roman" w:eastAsiaTheme="minorHAnsi" w:hAnsi="Times New Roman"/>
                <w:color w:val="FF0000"/>
                <w:sz w:val="24"/>
                <w:szCs w:val="24"/>
                <w:lang w:val="en-US"/>
              </w:rPr>
            </w:pPr>
            <w:r w:rsidRPr="008C36B7">
              <w:rPr>
                <w:rFonts w:ascii="Times New Roman" w:hAnsi="Times New Roman"/>
                <w:sz w:val="24"/>
                <w:szCs w:val="24"/>
              </w:rPr>
              <w:t>251</w:t>
            </w:r>
          </w:p>
        </w:tc>
        <w:tc>
          <w:tcPr>
            <w:tcW w:w="2500" w:type="dxa"/>
            <w:tcBorders>
              <w:top w:val="nil"/>
              <w:left w:val="nil"/>
              <w:bottom w:val="nil"/>
              <w:right w:val="nil"/>
            </w:tcBorders>
            <w:shd w:val="clear" w:color="auto" w:fill="auto"/>
            <w:vAlign w:val="center"/>
          </w:tcPr>
          <w:p w14:paraId="00C6E665" w14:textId="62CF8591" w:rsidR="00660478" w:rsidRPr="008C36B7" w:rsidRDefault="00660478" w:rsidP="0012049E">
            <w:pPr>
              <w:jc w:val="right"/>
              <w:rPr>
                <w:rFonts w:ascii="Times New Roman" w:eastAsiaTheme="minorHAnsi" w:hAnsi="Times New Roman"/>
                <w:color w:val="FF0000"/>
                <w:sz w:val="24"/>
                <w:szCs w:val="24"/>
                <w:lang w:val="en-US"/>
              </w:rPr>
            </w:pPr>
            <w:r w:rsidRPr="008C36B7">
              <w:rPr>
                <w:rFonts w:ascii="Times New Roman" w:hAnsi="Times New Roman"/>
                <w:sz w:val="24"/>
                <w:szCs w:val="24"/>
              </w:rPr>
              <w:t>4,934,429.62</w:t>
            </w:r>
          </w:p>
        </w:tc>
        <w:tc>
          <w:tcPr>
            <w:tcW w:w="2500" w:type="dxa"/>
            <w:tcBorders>
              <w:top w:val="nil"/>
              <w:left w:val="nil"/>
              <w:bottom w:val="nil"/>
              <w:right w:val="nil"/>
            </w:tcBorders>
            <w:shd w:val="clear" w:color="auto" w:fill="auto"/>
            <w:vAlign w:val="center"/>
          </w:tcPr>
          <w:p w14:paraId="69816417" w14:textId="1D8F4D37" w:rsidR="00660478" w:rsidRPr="008C36B7" w:rsidRDefault="00660478" w:rsidP="0012049E">
            <w:pPr>
              <w:jc w:val="right"/>
              <w:rPr>
                <w:rFonts w:ascii="Times New Roman" w:eastAsiaTheme="minorHAnsi" w:hAnsi="Times New Roman"/>
                <w:color w:val="FF0000"/>
                <w:sz w:val="24"/>
                <w:szCs w:val="24"/>
                <w:lang w:val="en-US"/>
              </w:rPr>
            </w:pPr>
            <w:r w:rsidRPr="008C36B7">
              <w:rPr>
                <w:rFonts w:ascii="Times New Roman" w:hAnsi="Times New Roman"/>
                <w:sz w:val="24"/>
                <w:szCs w:val="24"/>
              </w:rPr>
              <w:t>19.14%</w:t>
            </w:r>
          </w:p>
        </w:tc>
      </w:tr>
      <w:tr w:rsidR="00660478" w:rsidRPr="008C36B7" w14:paraId="643BB7BF" w14:textId="77777777" w:rsidTr="0012049E">
        <w:trPr>
          <w:trHeight w:val="300"/>
        </w:trPr>
        <w:tc>
          <w:tcPr>
            <w:tcW w:w="2500" w:type="dxa"/>
            <w:tcBorders>
              <w:top w:val="nil"/>
              <w:left w:val="nil"/>
              <w:bottom w:val="nil"/>
              <w:right w:val="nil"/>
            </w:tcBorders>
            <w:shd w:val="clear" w:color="auto" w:fill="F2F2F2" w:themeFill="background1" w:themeFillShade="F2"/>
            <w:vAlign w:val="center"/>
            <w:hideMark/>
          </w:tcPr>
          <w:p w14:paraId="582E9335" w14:textId="77777777" w:rsidR="00660478" w:rsidRPr="008C36B7" w:rsidRDefault="00660478" w:rsidP="008C36B7">
            <w:pPr>
              <w:rPr>
                <w:rFonts w:ascii="Times New Roman" w:hAnsi="Times New Roman"/>
                <w:sz w:val="24"/>
                <w:szCs w:val="24"/>
                <w:lang w:val="en-US"/>
              </w:rPr>
            </w:pPr>
            <w:proofErr w:type="spellStart"/>
            <w:r w:rsidRPr="008C36B7">
              <w:rPr>
                <w:rFonts w:ascii="Times New Roman" w:hAnsi="Times New Roman"/>
                <w:sz w:val="24"/>
                <w:szCs w:val="24"/>
                <w:lang w:val="en-US"/>
              </w:rPr>
              <w:t>Từ</w:t>
            </w:r>
            <w:proofErr w:type="spellEnd"/>
            <w:r w:rsidRPr="008C36B7">
              <w:rPr>
                <w:rFonts w:ascii="Times New Roman" w:hAnsi="Times New Roman"/>
                <w:sz w:val="24"/>
                <w:szCs w:val="24"/>
                <w:lang w:val="en-US"/>
              </w:rPr>
              <w:t xml:space="preserve"> 50.000 </w:t>
            </w:r>
            <w:proofErr w:type="spellStart"/>
            <w:r w:rsidRPr="008C36B7">
              <w:rPr>
                <w:rFonts w:ascii="Times New Roman" w:hAnsi="Times New Roman"/>
                <w:sz w:val="24"/>
                <w:szCs w:val="24"/>
                <w:lang w:val="en-US"/>
              </w:rPr>
              <w:t>đến</w:t>
            </w:r>
            <w:proofErr w:type="spellEnd"/>
            <w:r w:rsidRPr="008C36B7">
              <w:rPr>
                <w:rFonts w:ascii="Times New Roman" w:hAnsi="Times New Roman"/>
                <w:sz w:val="24"/>
                <w:szCs w:val="24"/>
                <w:lang w:val="en-US"/>
              </w:rPr>
              <w:t xml:space="preserve"> 500.000</w:t>
            </w:r>
          </w:p>
        </w:tc>
        <w:tc>
          <w:tcPr>
            <w:tcW w:w="2500" w:type="dxa"/>
            <w:tcBorders>
              <w:top w:val="nil"/>
              <w:left w:val="nil"/>
              <w:bottom w:val="nil"/>
              <w:right w:val="nil"/>
            </w:tcBorders>
            <w:shd w:val="clear" w:color="auto" w:fill="F2F2F2" w:themeFill="background1" w:themeFillShade="F2"/>
            <w:vAlign w:val="center"/>
          </w:tcPr>
          <w:p w14:paraId="0DD24474" w14:textId="02A59321" w:rsidR="00660478" w:rsidRPr="008C36B7" w:rsidRDefault="00660478" w:rsidP="0012049E">
            <w:pPr>
              <w:jc w:val="right"/>
              <w:rPr>
                <w:rFonts w:ascii="Times New Roman" w:eastAsiaTheme="minorHAnsi" w:hAnsi="Times New Roman"/>
                <w:color w:val="FF0000"/>
                <w:sz w:val="24"/>
                <w:szCs w:val="24"/>
                <w:lang w:val="en-US"/>
              </w:rPr>
            </w:pPr>
            <w:r w:rsidRPr="008C36B7">
              <w:rPr>
                <w:rFonts w:ascii="Times New Roman" w:hAnsi="Times New Roman"/>
                <w:sz w:val="24"/>
                <w:szCs w:val="24"/>
              </w:rPr>
              <w:t>56</w:t>
            </w:r>
          </w:p>
        </w:tc>
        <w:tc>
          <w:tcPr>
            <w:tcW w:w="2500" w:type="dxa"/>
            <w:tcBorders>
              <w:top w:val="nil"/>
              <w:left w:val="nil"/>
              <w:bottom w:val="nil"/>
              <w:right w:val="nil"/>
            </w:tcBorders>
            <w:shd w:val="clear" w:color="auto" w:fill="F2F2F2" w:themeFill="background1" w:themeFillShade="F2"/>
            <w:vAlign w:val="center"/>
          </w:tcPr>
          <w:p w14:paraId="5698D4B4" w14:textId="0A7F2616" w:rsidR="00660478" w:rsidRPr="008C36B7" w:rsidRDefault="00660478" w:rsidP="0012049E">
            <w:pPr>
              <w:jc w:val="right"/>
              <w:rPr>
                <w:rFonts w:ascii="Times New Roman" w:eastAsiaTheme="minorHAnsi" w:hAnsi="Times New Roman"/>
                <w:color w:val="FF0000"/>
                <w:sz w:val="24"/>
                <w:szCs w:val="24"/>
                <w:lang w:val="en-US"/>
              </w:rPr>
            </w:pPr>
            <w:r w:rsidRPr="008C36B7">
              <w:rPr>
                <w:rFonts w:ascii="Times New Roman" w:hAnsi="Times New Roman"/>
                <w:sz w:val="24"/>
                <w:szCs w:val="24"/>
              </w:rPr>
              <w:t>7,031,991.71</w:t>
            </w:r>
          </w:p>
        </w:tc>
        <w:tc>
          <w:tcPr>
            <w:tcW w:w="2500" w:type="dxa"/>
            <w:tcBorders>
              <w:top w:val="nil"/>
              <w:left w:val="nil"/>
              <w:bottom w:val="nil"/>
              <w:right w:val="nil"/>
            </w:tcBorders>
            <w:shd w:val="clear" w:color="auto" w:fill="F2F2F2" w:themeFill="background1" w:themeFillShade="F2"/>
            <w:vAlign w:val="center"/>
          </w:tcPr>
          <w:p w14:paraId="4024F0EE" w14:textId="458EB312" w:rsidR="00660478" w:rsidRPr="008C36B7" w:rsidRDefault="00660478" w:rsidP="0012049E">
            <w:pPr>
              <w:jc w:val="right"/>
              <w:rPr>
                <w:rFonts w:ascii="Times New Roman" w:eastAsiaTheme="minorHAnsi" w:hAnsi="Times New Roman"/>
                <w:color w:val="FF0000"/>
                <w:sz w:val="24"/>
                <w:szCs w:val="24"/>
                <w:lang w:val="en-US"/>
              </w:rPr>
            </w:pPr>
            <w:r w:rsidRPr="008C36B7">
              <w:rPr>
                <w:rFonts w:ascii="Times New Roman" w:hAnsi="Times New Roman"/>
                <w:sz w:val="24"/>
                <w:szCs w:val="24"/>
              </w:rPr>
              <w:t>27.27%</w:t>
            </w:r>
          </w:p>
        </w:tc>
      </w:tr>
      <w:tr w:rsidR="00660478" w:rsidRPr="008C36B7" w14:paraId="1CC631BB" w14:textId="77777777" w:rsidTr="002E6045">
        <w:trPr>
          <w:trHeight w:val="300"/>
        </w:trPr>
        <w:tc>
          <w:tcPr>
            <w:tcW w:w="2500" w:type="dxa"/>
            <w:tcBorders>
              <w:top w:val="nil"/>
              <w:left w:val="nil"/>
              <w:bottom w:val="nil"/>
              <w:right w:val="nil"/>
            </w:tcBorders>
            <w:shd w:val="clear" w:color="auto" w:fill="auto"/>
            <w:vAlign w:val="center"/>
            <w:hideMark/>
          </w:tcPr>
          <w:p w14:paraId="6204F9B2" w14:textId="77777777" w:rsidR="00660478" w:rsidRPr="008C36B7" w:rsidRDefault="00660478" w:rsidP="008C36B7">
            <w:pPr>
              <w:rPr>
                <w:rFonts w:ascii="Times New Roman" w:hAnsi="Times New Roman"/>
                <w:sz w:val="24"/>
                <w:szCs w:val="24"/>
                <w:lang w:val="en-US"/>
              </w:rPr>
            </w:pPr>
            <w:proofErr w:type="spellStart"/>
            <w:r w:rsidRPr="008C36B7">
              <w:rPr>
                <w:rFonts w:ascii="Times New Roman" w:hAnsi="Times New Roman"/>
                <w:sz w:val="24"/>
                <w:szCs w:val="24"/>
                <w:lang w:val="en-US"/>
              </w:rPr>
              <w:t>Trên</w:t>
            </w:r>
            <w:proofErr w:type="spellEnd"/>
            <w:r w:rsidRPr="008C36B7">
              <w:rPr>
                <w:rFonts w:ascii="Times New Roman" w:hAnsi="Times New Roman"/>
                <w:sz w:val="24"/>
                <w:szCs w:val="24"/>
                <w:lang w:val="en-US"/>
              </w:rPr>
              <w:t xml:space="preserve"> 500.000</w:t>
            </w:r>
          </w:p>
        </w:tc>
        <w:tc>
          <w:tcPr>
            <w:tcW w:w="2500" w:type="dxa"/>
            <w:tcBorders>
              <w:top w:val="nil"/>
              <w:left w:val="nil"/>
              <w:bottom w:val="nil"/>
              <w:right w:val="nil"/>
            </w:tcBorders>
            <w:shd w:val="clear" w:color="auto" w:fill="auto"/>
            <w:vAlign w:val="center"/>
          </w:tcPr>
          <w:p w14:paraId="73EBFD4C" w14:textId="408FFADF" w:rsidR="00660478" w:rsidRPr="008C36B7" w:rsidRDefault="00660478" w:rsidP="0012049E">
            <w:pPr>
              <w:jc w:val="right"/>
              <w:rPr>
                <w:rFonts w:ascii="Times New Roman" w:eastAsiaTheme="minorHAnsi" w:hAnsi="Times New Roman"/>
                <w:color w:val="FF0000"/>
                <w:sz w:val="24"/>
                <w:szCs w:val="24"/>
                <w:lang w:val="en-US"/>
              </w:rPr>
            </w:pPr>
            <w:r w:rsidRPr="008C36B7">
              <w:rPr>
                <w:rFonts w:ascii="Times New Roman" w:hAnsi="Times New Roman"/>
                <w:sz w:val="24"/>
                <w:szCs w:val="24"/>
              </w:rPr>
              <w:t>4</w:t>
            </w:r>
          </w:p>
        </w:tc>
        <w:tc>
          <w:tcPr>
            <w:tcW w:w="2500" w:type="dxa"/>
            <w:tcBorders>
              <w:top w:val="nil"/>
              <w:left w:val="nil"/>
              <w:bottom w:val="nil"/>
              <w:right w:val="nil"/>
            </w:tcBorders>
            <w:shd w:val="clear" w:color="auto" w:fill="auto"/>
            <w:vAlign w:val="center"/>
          </w:tcPr>
          <w:p w14:paraId="3F61526F" w14:textId="5A166D5C" w:rsidR="00660478" w:rsidRPr="008C36B7" w:rsidRDefault="00660478" w:rsidP="0012049E">
            <w:pPr>
              <w:jc w:val="right"/>
              <w:rPr>
                <w:rFonts w:ascii="Times New Roman" w:eastAsiaTheme="minorHAnsi" w:hAnsi="Times New Roman"/>
                <w:color w:val="FF0000"/>
                <w:sz w:val="24"/>
                <w:szCs w:val="24"/>
                <w:lang w:val="en-US"/>
              </w:rPr>
            </w:pPr>
            <w:r w:rsidRPr="008C36B7">
              <w:rPr>
                <w:rFonts w:ascii="Times New Roman" w:hAnsi="Times New Roman"/>
                <w:sz w:val="24"/>
                <w:szCs w:val="24"/>
              </w:rPr>
              <w:t>5,183,746.39</w:t>
            </w:r>
          </w:p>
        </w:tc>
        <w:tc>
          <w:tcPr>
            <w:tcW w:w="2500" w:type="dxa"/>
            <w:tcBorders>
              <w:top w:val="nil"/>
              <w:left w:val="nil"/>
              <w:bottom w:val="nil"/>
              <w:right w:val="nil"/>
            </w:tcBorders>
            <w:shd w:val="clear" w:color="auto" w:fill="auto"/>
            <w:vAlign w:val="center"/>
          </w:tcPr>
          <w:p w14:paraId="13A42FB0" w14:textId="071010BD" w:rsidR="00660478" w:rsidRPr="008C36B7" w:rsidRDefault="00660478" w:rsidP="0012049E">
            <w:pPr>
              <w:jc w:val="right"/>
              <w:rPr>
                <w:rFonts w:ascii="Times New Roman" w:eastAsiaTheme="minorHAnsi" w:hAnsi="Times New Roman"/>
                <w:color w:val="FF0000"/>
                <w:sz w:val="24"/>
                <w:szCs w:val="24"/>
                <w:lang w:val="en-US"/>
              </w:rPr>
            </w:pPr>
            <w:r w:rsidRPr="008C36B7">
              <w:rPr>
                <w:rFonts w:ascii="Times New Roman" w:hAnsi="Times New Roman"/>
                <w:sz w:val="24"/>
                <w:szCs w:val="24"/>
              </w:rPr>
              <w:t>20.10%</w:t>
            </w:r>
          </w:p>
        </w:tc>
      </w:tr>
      <w:tr w:rsidR="00C6296F" w:rsidRPr="008C36B7" w14:paraId="3F63B3E2" w14:textId="77777777" w:rsidTr="004E6AE4">
        <w:trPr>
          <w:trHeight w:val="315"/>
        </w:trPr>
        <w:tc>
          <w:tcPr>
            <w:tcW w:w="2500" w:type="dxa"/>
            <w:tcBorders>
              <w:top w:val="nil"/>
              <w:left w:val="nil"/>
              <w:bottom w:val="nil"/>
              <w:right w:val="nil"/>
            </w:tcBorders>
            <w:shd w:val="clear" w:color="auto" w:fill="auto"/>
            <w:vAlign w:val="center"/>
            <w:hideMark/>
          </w:tcPr>
          <w:p w14:paraId="7A6E8EA6" w14:textId="77777777" w:rsidR="00C6296F" w:rsidRPr="008C36B7" w:rsidRDefault="00C6296F" w:rsidP="008C36B7">
            <w:pPr>
              <w:rPr>
                <w:rFonts w:ascii="Times New Roman" w:hAnsi="Times New Roman"/>
                <w:sz w:val="24"/>
                <w:szCs w:val="24"/>
                <w:lang w:val="en-US"/>
              </w:rPr>
            </w:pPr>
          </w:p>
        </w:tc>
        <w:tc>
          <w:tcPr>
            <w:tcW w:w="2500" w:type="dxa"/>
            <w:tcBorders>
              <w:top w:val="nil"/>
              <w:left w:val="nil"/>
              <w:bottom w:val="single" w:sz="8" w:space="0" w:color="auto"/>
              <w:right w:val="nil"/>
            </w:tcBorders>
            <w:shd w:val="clear" w:color="auto" w:fill="auto"/>
            <w:vAlign w:val="center"/>
          </w:tcPr>
          <w:p w14:paraId="7E636D96" w14:textId="14C068A3" w:rsidR="00C6296F" w:rsidRPr="008C36B7" w:rsidRDefault="00C6296F" w:rsidP="008C36B7">
            <w:pPr>
              <w:rPr>
                <w:rFonts w:ascii="Times New Roman" w:hAnsi="Times New Roman"/>
                <w:color w:val="FF0000"/>
                <w:sz w:val="24"/>
                <w:szCs w:val="24"/>
                <w:lang w:val="en-US"/>
              </w:rPr>
            </w:pPr>
          </w:p>
        </w:tc>
        <w:tc>
          <w:tcPr>
            <w:tcW w:w="2500" w:type="dxa"/>
            <w:tcBorders>
              <w:top w:val="nil"/>
              <w:left w:val="nil"/>
              <w:bottom w:val="single" w:sz="8" w:space="0" w:color="auto"/>
              <w:right w:val="nil"/>
            </w:tcBorders>
            <w:shd w:val="clear" w:color="auto" w:fill="auto"/>
            <w:vAlign w:val="center"/>
          </w:tcPr>
          <w:p w14:paraId="47701A4A" w14:textId="110C0249" w:rsidR="00C6296F" w:rsidRPr="008C36B7" w:rsidRDefault="00C6296F" w:rsidP="008C36B7">
            <w:pPr>
              <w:rPr>
                <w:rFonts w:ascii="Times New Roman" w:hAnsi="Times New Roman"/>
                <w:color w:val="FF0000"/>
                <w:sz w:val="24"/>
                <w:szCs w:val="24"/>
                <w:lang w:val="en-US"/>
              </w:rPr>
            </w:pPr>
          </w:p>
        </w:tc>
        <w:tc>
          <w:tcPr>
            <w:tcW w:w="2500" w:type="dxa"/>
            <w:tcBorders>
              <w:top w:val="nil"/>
              <w:left w:val="nil"/>
              <w:bottom w:val="single" w:sz="8" w:space="0" w:color="auto"/>
              <w:right w:val="nil"/>
            </w:tcBorders>
            <w:shd w:val="clear" w:color="auto" w:fill="auto"/>
            <w:vAlign w:val="center"/>
          </w:tcPr>
          <w:p w14:paraId="32AD5A08" w14:textId="5B8B7B74" w:rsidR="00C6296F" w:rsidRPr="008C36B7" w:rsidRDefault="00C6296F" w:rsidP="008C36B7">
            <w:pPr>
              <w:rPr>
                <w:rFonts w:ascii="Times New Roman" w:hAnsi="Times New Roman"/>
                <w:color w:val="FF0000"/>
                <w:sz w:val="24"/>
                <w:szCs w:val="24"/>
                <w:lang w:val="en-US"/>
              </w:rPr>
            </w:pPr>
          </w:p>
        </w:tc>
      </w:tr>
      <w:tr w:rsidR="00660478" w:rsidRPr="008C36B7" w14:paraId="6FADEA64" w14:textId="77777777" w:rsidTr="002E6045">
        <w:trPr>
          <w:trHeight w:val="315"/>
        </w:trPr>
        <w:tc>
          <w:tcPr>
            <w:tcW w:w="2500" w:type="dxa"/>
            <w:tcBorders>
              <w:top w:val="nil"/>
              <w:left w:val="nil"/>
              <w:bottom w:val="nil"/>
              <w:right w:val="nil"/>
            </w:tcBorders>
            <w:shd w:val="clear" w:color="auto" w:fill="auto"/>
            <w:vAlign w:val="center"/>
            <w:hideMark/>
          </w:tcPr>
          <w:p w14:paraId="6EF8A9CF" w14:textId="77777777" w:rsidR="00660478" w:rsidRPr="008C36B7" w:rsidRDefault="00660478" w:rsidP="008C36B7">
            <w:pPr>
              <w:rPr>
                <w:rFonts w:ascii="Times New Roman" w:hAnsi="Times New Roman"/>
                <w:b/>
                <w:bCs/>
                <w:sz w:val="24"/>
                <w:szCs w:val="24"/>
                <w:lang w:val="en-US"/>
              </w:rPr>
            </w:pPr>
            <w:proofErr w:type="spellStart"/>
            <w:r w:rsidRPr="008C36B7">
              <w:rPr>
                <w:rFonts w:ascii="Times New Roman" w:hAnsi="Times New Roman"/>
                <w:b/>
                <w:bCs/>
                <w:sz w:val="24"/>
                <w:szCs w:val="24"/>
                <w:lang w:val="en-US"/>
              </w:rPr>
              <w:t>Tổng</w:t>
            </w:r>
            <w:proofErr w:type="spellEnd"/>
            <w:r w:rsidRPr="008C36B7">
              <w:rPr>
                <w:rFonts w:ascii="Times New Roman" w:hAnsi="Times New Roman"/>
                <w:b/>
                <w:bCs/>
                <w:sz w:val="24"/>
                <w:szCs w:val="24"/>
                <w:lang w:val="en-US"/>
              </w:rPr>
              <w:t xml:space="preserve"> </w:t>
            </w:r>
            <w:proofErr w:type="spellStart"/>
            <w:r w:rsidRPr="008C36B7">
              <w:rPr>
                <w:rFonts w:ascii="Times New Roman" w:hAnsi="Times New Roman"/>
                <w:b/>
                <w:bCs/>
                <w:sz w:val="24"/>
                <w:szCs w:val="24"/>
                <w:lang w:val="en-US"/>
              </w:rPr>
              <w:t>cộng</w:t>
            </w:r>
            <w:proofErr w:type="spellEnd"/>
          </w:p>
        </w:tc>
        <w:tc>
          <w:tcPr>
            <w:tcW w:w="2500" w:type="dxa"/>
            <w:tcBorders>
              <w:top w:val="nil"/>
              <w:left w:val="nil"/>
              <w:bottom w:val="double" w:sz="6" w:space="0" w:color="auto"/>
              <w:right w:val="nil"/>
            </w:tcBorders>
            <w:shd w:val="clear" w:color="auto" w:fill="auto"/>
            <w:vAlign w:val="center"/>
          </w:tcPr>
          <w:p w14:paraId="549759B1" w14:textId="4A6EFFF0" w:rsidR="00660478" w:rsidRPr="0012049E" w:rsidRDefault="00660478" w:rsidP="0012049E">
            <w:pPr>
              <w:jc w:val="right"/>
              <w:rPr>
                <w:rFonts w:ascii="Times New Roman" w:eastAsiaTheme="minorHAnsi" w:hAnsi="Times New Roman"/>
                <w:b/>
                <w:bCs/>
                <w:color w:val="FF0000"/>
                <w:sz w:val="24"/>
                <w:szCs w:val="24"/>
                <w:lang w:val="en-US"/>
              </w:rPr>
            </w:pPr>
            <w:r w:rsidRPr="0012049E">
              <w:rPr>
                <w:rFonts w:ascii="Times New Roman" w:hAnsi="Times New Roman"/>
                <w:b/>
                <w:bCs/>
                <w:sz w:val="24"/>
                <w:szCs w:val="24"/>
              </w:rPr>
              <w:t>18,153</w:t>
            </w:r>
          </w:p>
        </w:tc>
        <w:tc>
          <w:tcPr>
            <w:tcW w:w="2500" w:type="dxa"/>
            <w:tcBorders>
              <w:top w:val="nil"/>
              <w:left w:val="nil"/>
              <w:bottom w:val="double" w:sz="6" w:space="0" w:color="auto"/>
              <w:right w:val="nil"/>
            </w:tcBorders>
            <w:shd w:val="clear" w:color="auto" w:fill="auto"/>
            <w:vAlign w:val="center"/>
          </w:tcPr>
          <w:p w14:paraId="4D58BFEE" w14:textId="60C5B05E" w:rsidR="00660478" w:rsidRPr="0012049E" w:rsidRDefault="00660478" w:rsidP="0012049E">
            <w:pPr>
              <w:jc w:val="right"/>
              <w:rPr>
                <w:rFonts w:ascii="Times New Roman" w:eastAsiaTheme="minorHAnsi" w:hAnsi="Times New Roman"/>
                <w:b/>
                <w:bCs/>
                <w:color w:val="FF0000"/>
                <w:sz w:val="24"/>
                <w:szCs w:val="24"/>
                <w:lang w:val="en-US"/>
              </w:rPr>
            </w:pPr>
            <w:r w:rsidRPr="0012049E">
              <w:rPr>
                <w:rFonts w:ascii="Times New Roman" w:hAnsi="Times New Roman"/>
                <w:b/>
                <w:bCs/>
                <w:sz w:val="24"/>
                <w:szCs w:val="24"/>
              </w:rPr>
              <w:t>25,785,277.55</w:t>
            </w:r>
          </w:p>
        </w:tc>
        <w:tc>
          <w:tcPr>
            <w:tcW w:w="2500" w:type="dxa"/>
            <w:tcBorders>
              <w:top w:val="nil"/>
              <w:left w:val="nil"/>
              <w:bottom w:val="double" w:sz="6" w:space="0" w:color="auto"/>
              <w:right w:val="nil"/>
            </w:tcBorders>
            <w:shd w:val="clear" w:color="auto" w:fill="auto"/>
            <w:vAlign w:val="center"/>
            <w:hideMark/>
          </w:tcPr>
          <w:p w14:paraId="60C7E520" w14:textId="328E33B8" w:rsidR="00660478" w:rsidRPr="0012049E" w:rsidRDefault="00660478" w:rsidP="0012049E">
            <w:pPr>
              <w:jc w:val="right"/>
              <w:rPr>
                <w:rFonts w:ascii="Times New Roman" w:eastAsiaTheme="minorHAnsi" w:hAnsi="Times New Roman"/>
                <w:b/>
                <w:bCs/>
                <w:color w:val="FF0000"/>
                <w:sz w:val="24"/>
                <w:szCs w:val="24"/>
                <w:lang w:val="en-US"/>
              </w:rPr>
            </w:pPr>
            <w:r w:rsidRPr="0012049E">
              <w:rPr>
                <w:rFonts w:ascii="Times New Roman" w:hAnsi="Times New Roman"/>
                <w:b/>
                <w:bCs/>
                <w:sz w:val="24"/>
                <w:szCs w:val="24"/>
              </w:rPr>
              <w:t>100.00%</w:t>
            </w:r>
          </w:p>
        </w:tc>
      </w:tr>
    </w:tbl>
    <w:p w14:paraId="7E060280" w14:textId="77777777" w:rsidR="00E42142" w:rsidRPr="008C36B7" w:rsidRDefault="00E42142" w:rsidP="008C36B7">
      <w:pPr>
        <w:rPr>
          <w:rFonts w:ascii="Times New Roman" w:hAnsi="Times New Roman"/>
          <w:b/>
          <w:sz w:val="24"/>
          <w:szCs w:val="24"/>
          <w:lang w:val="nl-NL"/>
        </w:rPr>
      </w:pPr>
    </w:p>
    <w:p w14:paraId="479AD239" w14:textId="629291BF" w:rsidR="008477D9" w:rsidRPr="008C36B7" w:rsidRDefault="008477D9" w:rsidP="0012049E">
      <w:pPr>
        <w:ind w:firstLine="426"/>
        <w:rPr>
          <w:rFonts w:ascii="Times New Roman" w:hAnsi="Times New Roman"/>
          <w:sz w:val="24"/>
          <w:szCs w:val="24"/>
          <w:lang w:val="nl-NL"/>
        </w:rPr>
      </w:pPr>
      <w:r w:rsidRPr="008C36B7">
        <w:rPr>
          <w:rFonts w:ascii="Times New Roman" w:hAnsi="Times New Roman"/>
          <w:b/>
          <w:sz w:val="24"/>
          <w:szCs w:val="24"/>
          <w:lang w:val="nl-NL"/>
        </w:rPr>
        <w:t>4.3</w:t>
      </w:r>
      <w:r w:rsidR="0012049E">
        <w:rPr>
          <w:rFonts w:ascii="Times New Roman" w:hAnsi="Times New Roman"/>
          <w:b/>
          <w:sz w:val="24"/>
          <w:szCs w:val="24"/>
          <w:lang w:val="nl-NL"/>
        </w:rPr>
        <w:t xml:space="preserve">. </w:t>
      </w:r>
      <w:r w:rsidRPr="008C36B7">
        <w:rPr>
          <w:rFonts w:ascii="Times New Roman" w:hAnsi="Times New Roman"/>
          <w:b/>
          <w:sz w:val="24"/>
          <w:szCs w:val="24"/>
          <w:lang w:val="nl-NL"/>
        </w:rPr>
        <w:t>Chi phí ngầm và giảm giá</w:t>
      </w:r>
    </w:p>
    <w:p w14:paraId="540CEEDF" w14:textId="014CDFAE" w:rsidR="008477D9" w:rsidRPr="008C36B7" w:rsidRDefault="008477D9" w:rsidP="0012049E">
      <w:pPr>
        <w:spacing w:before="120"/>
        <w:ind w:firstLine="425"/>
        <w:rPr>
          <w:rFonts w:ascii="Times New Roman" w:hAnsi="Times New Roman"/>
          <w:sz w:val="24"/>
          <w:szCs w:val="24"/>
        </w:rPr>
      </w:pPr>
      <w:proofErr w:type="spellStart"/>
      <w:r w:rsidRPr="008C36B7">
        <w:rPr>
          <w:rFonts w:ascii="Times New Roman" w:hAnsi="Times New Roman"/>
          <w:sz w:val="24"/>
          <w:szCs w:val="24"/>
        </w:rPr>
        <w:t>Để</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hạn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chế</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vấn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đề</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xung</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đột</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về</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lợi</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ích</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và</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đảm</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bảo</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sự</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chính</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xác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của</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khoản</w:t>
      </w:r>
      <w:proofErr w:type="spellEnd"/>
      <w:r w:rsidR="002B1137" w:rsidRPr="008C36B7">
        <w:rPr>
          <w:rFonts w:ascii="Times New Roman" w:hAnsi="Times New Roman"/>
          <w:sz w:val="24"/>
          <w:szCs w:val="24"/>
        </w:rPr>
        <w:t xml:space="preserve"> </w:t>
      </w:r>
      <w:proofErr w:type="spellStart"/>
      <w:r w:rsidR="002B1137" w:rsidRPr="008C36B7">
        <w:rPr>
          <w:rFonts w:ascii="Times New Roman" w:hAnsi="Times New Roman"/>
          <w:sz w:val="24"/>
          <w:szCs w:val="24"/>
        </w:rPr>
        <w:t>mục</w:t>
      </w:r>
      <w:proofErr w:type="spellEnd"/>
      <w:r w:rsidR="002B1137" w:rsidRPr="008C36B7">
        <w:rPr>
          <w:rFonts w:ascii="Times New Roman" w:hAnsi="Times New Roman"/>
          <w:sz w:val="24"/>
          <w:szCs w:val="24"/>
        </w:rPr>
        <w:t xml:space="preserve"> chi </w:t>
      </w:r>
      <w:proofErr w:type="spellStart"/>
      <w:r w:rsidR="002B1137" w:rsidRPr="008C36B7">
        <w:rPr>
          <w:rFonts w:ascii="Times New Roman" w:hAnsi="Times New Roman"/>
          <w:sz w:val="24"/>
          <w:szCs w:val="24"/>
        </w:rPr>
        <w:t>phí</w:t>
      </w:r>
      <w:proofErr w:type="spellEnd"/>
      <w:r w:rsidR="002B1137" w:rsidRPr="008C36B7">
        <w:rPr>
          <w:rFonts w:ascii="Times New Roman" w:hAnsi="Times New Roman"/>
          <w:sz w:val="24"/>
          <w:szCs w:val="24"/>
        </w:rPr>
        <w:t xml:space="preserve"> </w:t>
      </w:r>
      <w:proofErr w:type="spellStart"/>
      <w:r w:rsidR="002B1137" w:rsidRPr="008C36B7">
        <w:rPr>
          <w:rFonts w:ascii="Times New Roman" w:hAnsi="Times New Roman"/>
          <w:sz w:val="24"/>
          <w:szCs w:val="24"/>
        </w:rPr>
        <w:t>của</w:t>
      </w:r>
      <w:proofErr w:type="spellEnd"/>
      <w:r w:rsidR="002B1137" w:rsidRPr="008C36B7">
        <w:rPr>
          <w:rFonts w:ascii="Times New Roman" w:hAnsi="Times New Roman"/>
          <w:sz w:val="24"/>
          <w:szCs w:val="24"/>
        </w:rPr>
        <w:t xml:space="preserve"> </w:t>
      </w:r>
      <w:proofErr w:type="spellStart"/>
      <w:r w:rsidR="002B1137" w:rsidRPr="008C36B7">
        <w:rPr>
          <w:rFonts w:ascii="Times New Roman" w:hAnsi="Times New Roman"/>
          <w:sz w:val="24"/>
          <w:szCs w:val="24"/>
        </w:rPr>
        <w:t>Quỹ</w:t>
      </w:r>
      <w:proofErr w:type="spellEnd"/>
      <w:r w:rsidR="002B1137" w:rsidRPr="008C36B7">
        <w:rPr>
          <w:rFonts w:ascii="Times New Roman" w:hAnsi="Times New Roman"/>
          <w:sz w:val="24"/>
          <w:szCs w:val="24"/>
        </w:rPr>
        <w:t xml:space="preserve"> </w:t>
      </w:r>
      <w:r w:rsidR="005D7526">
        <w:rPr>
          <w:rFonts w:ascii="Times New Roman" w:hAnsi="Times New Roman"/>
          <w:sz w:val="24"/>
          <w:szCs w:val="24"/>
        </w:rPr>
        <w:t>DCDS</w:t>
      </w:r>
      <w:r w:rsidRPr="008C36B7">
        <w:rPr>
          <w:rFonts w:ascii="Times New Roman" w:hAnsi="Times New Roman"/>
          <w:sz w:val="24"/>
          <w:szCs w:val="24"/>
        </w:rPr>
        <w:t xml:space="preserve">, </w:t>
      </w:r>
      <w:proofErr w:type="spellStart"/>
      <w:r w:rsidRPr="008C36B7">
        <w:rPr>
          <w:rFonts w:ascii="Times New Roman" w:hAnsi="Times New Roman"/>
          <w:sz w:val="24"/>
          <w:szCs w:val="24"/>
        </w:rPr>
        <w:t>Công</w:t>
      </w:r>
      <w:proofErr w:type="spellEnd"/>
      <w:r w:rsidRPr="008C36B7">
        <w:rPr>
          <w:rFonts w:ascii="Times New Roman" w:hAnsi="Times New Roman"/>
          <w:sz w:val="24"/>
          <w:szCs w:val="24"/>
        </w:rPr>
        <w:t xml:space="preserve"> ty qui </w:t>
      </w:r>
      <w:proofErr w:type="spellStart"/>
      <w:r w:rsidRPr="008C36B7">
        <w:rPr>
          <w:rFonts w:ascii="Times New Roman" w:hAnsi="Times New Roman"/>
          <w:sz w:val="24"/>
          <w:szCs w:val="24"/>
        </w:rPr>
        <w:t>định</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tất</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cả</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nhân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viên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của</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công</w:t>
      </w:r>
      <w:proofErr w:type="spellEnd"/>
      <w:r w:rsidRPr="008C36B7">
        <w:rPr>
          <w:rFonts w:ascii="Times New Roman" w:hAnsi="Times New Roman"/>
          <w:sz w:val="24"/>
          <w:szCs w:val="24"/>
        </w:rPr>
        <w:t xml:space="preserve"> ty </w:t>
      </w:r>
      <w:proofErr w:type="spellStart"/>
      <w:r w:rsidRPr="008C36B7">
        <w:rPr>
          <w:rFonts w:ascii="Times New Roman" w:hAnsi="Times New Roman"/>
          <w:sz w:val="24"/>
          <w:szCs w:val="24"/>
        </w:rPr>
        <w:t>không</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được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phép</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nhận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khoản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giảm</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giá</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bằng</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tiền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và</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không</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được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thực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hiện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khoản</w:t>
      </w:r>
      <w:proofErr w:type="spellEnd"/>
      <w:r w:rsidRPr="008C36B7">
        <w:rPr>
          <w:rFonts w:ascii="Times New Roman" w:hAnsi="Times New Roman"/>
          <w:sz w:val="24"/>
          <w:szCs w:val="24"/>
        </w:rPr>
        <w:t xml:space="preserve"> chi </w:t>
      </w:r>
      <w:proofErr w:type="spellStart"/>
      <w:r w:rsidRPr="008C36B7">
        <w:rPr>
          <w:rFonts w:ascii="Times New Roman" w:hAnsi="Times New Roman"/>
          <w:sz w:val="24"/>
          <w:szCs w:val="24"/>
        </w:rPr>
        <w:t>phí</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ngầm</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khi</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thực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hiện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w:t>
      </w:r>
      <w:r w:rsidR="002B1137" w:rsidRPr="008C36B7">
        <w:rPr>
          <w:rFonts w:ascii="Times New Roman" w:hAnsi="Times New Roman"/>
          <w:sz w:val="24"/>
          <w:szCs w:val="24"/>
        </w:rPr>
        <w:t>ác</w:t>
      </w:r>
      <w:proofErr w:type="spellEnd"/>
      <w:r w:rsidR="002B1137" w:rsidRPr="008C36B7">
        <w:rPr>
          <w:rFonts w:ascii="Times New Roman" w:hAnsi="Times New Roman"/>
          <w:sz w:val="24"/>
          <w:szCs w:val="24"/>
        </w:rPr>
        <w:t xml:space="preserve"> </w:t>
      </w:r>
      <w:proofErr w:type="spellStart"/>
      <w:r w:rsidR="002B1137" w:rsidRPr="008C36B7">
        <w:rPr>
          <w:rFonts w:ascii="Times New Roman" w:hAnsi="Times New Roman"/>
          <w:sz w:val="24"/>
          <w:szCs w:val="24"/>
        </w:rPr>
        <w:t>giao</w:t>
      </w:r>
      <w:proofErr w:type="spellEnd"/>
      <w:r w:rsidR="002B1137" w:rsidRPr="008C36B7">
        <w:rPr>
          <w:rFonts w:ascii="Times New Roman" w:hAnsi="Times New Roman"/>
          <w:sz w:val="24"/>
          <w:szCs w:val="24"/>
        </w:rPr>
        <w:t xml:space="preserve"> </w:t>
      </w:r>
      <w:proofErr w:type="spellStart"/>
      <w:r w:rsidR="002B1137" w:rsidRPr="008C36B7">
        <w:rPr>
          <w:rFonts w:ascii="Times New Roman" w:hAnsi="Times New Roman"/>
          <w:sz w:val="24"/>
          <w:szCs w:val="24"/>
        </w:rPr>
        <w:t>dịch</w:t>
      </w:r>
      <w:proofErr w:type="spellEnd"/>
      <w:r w:rsidR="002B1137" w:rsidRPr="008C36B7">
        <w:rPr>
          <w:rFonts w:ascii="Times New Roman" w:hAnsi="Times New Roman"/>
          <w:sz w:val="24"/>
          <w:szCs w:val="24"/>
        </w:rPr>
        <w:t xml:space="preserve"> </w:t>
      </w:r>
      <w:proofErr w:type="spellStart"/>
      <w:r w:rsidR="002B1137" w:rsidRPr="008C36B7">
        <w:rPr>
          <w:rFonts w:ascii="Times New Roman" w:hAnsi="Times New Roman"/>
          <w:sz w:val="24"/>
          <w:szCs w:val="24"/>
        </w:rPr>
        <w:t>của</w:t>
      </w:r>
      <w:proofErr w:type="spellEnd"/>
      <w:r w:rsidR="002B1137" w:rsidRPr="008C36B7">
        <w:rPr>
          <w:rFonts w:ascii="Times New Roman" w:hAnsi="Times New Roman"/>
          <w:sz w:val="24"/>
          <w:szCs w:val="24"/>
        </w:rPr>
        <w:t xml:space="preserve"> </w:t>
      </w:r>
      <w:proofErr w:type="spellStart"/>
      <w:r w:rsidR="002B1137" w:rsidRPr="008C36B7">
        <w:rPr>
          <w:rFonts w:ascii="Times New Roman" w:hAnsi="Times New Roman"/>
          <w:sz w:val="24"/>
          <w:szCs w:val="24"/>
        </w:rPr>
        <w:t>Quỹ</w:t>
      </w:r>
      <w:proofErr w:type="spellEnd"/>
      <w:r w:rsidR="002B1137" w:rsidRPr="008C36B7">
        <w:rPr>
          <w:rFonts w:ascii="Times New Roman" w:hAnsi="Times New Roman"/>
          <w:sz w:val="24"/>
          <w:szCs w:val="24"/>
        </w:rPr>
        <w:t xml:space="preserve"> </w:t>
      </w:r>
      <w:r w:rsidR="005D7526">
        <w:rPr>
          <w:rFonts w:ascii="Times New Roman" w:hAnsi="Times New Roman"/>
          <w:sz w:val="24"/>
          <w:szCs w:val="24"/>
        </w:rPr>
        <w:t>DCDS</w:t>
      </w:r>
      <w:r w:rsidRPr="008C36B7">
        <w:rPr>
          <w:rFonts w:ascii="Times New Roman" w:hAnsi="Times New Roman"/>
          <w:sz w:val="24"/>
          <w:szCs w:val="24"/>
        </w:rPr>
        <w:t xml:space="preserve"> </w:t>
      </w:r>
      <w:proofErr w:type="spellStart"/>
      <w:r w:rsidRPr="008C36B7">
        <w:rPr>
          <w:rFonts w:ascii="Times New Roman" w:hAnsi="Times New Roman"/>
          <w:sz w:val="24"/>
          <w:szCs w:val="24"/>
        </w:rPr>
        <w:t>với</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đối</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tác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cung</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cấp</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dịch</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vụ</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cho</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Quỹ</w:t>
      </w:r>
      <w:proofErr w:type="spellEnd"/>
      <w:r w:rsidRPr="008C36B7">
        <w:rPr>
          <w:rFonts w:ascii="Times New Roman" w:hAnsi="Times New Roman"/>
          <w:sz w:val="24"/>
          <w:szCs w:val="24"/>
        </w:rPr>
        <w:t>.</w:t>
      </w:r>
    </w:p>
    <w:p w14:paraId="0F34D42E" w14:textId="7EF94BBE" w:rsidR="008477D9" w:rsidRPr="008C36B7" w:rsidRDefault="008477D9" w:rsidP="0012049E">
      <w:pPr>
        <w:ind w:firstLine="425"/>
        <w:rPr>
          <w:rFonts w:ascii="Times New Roman" w:hAnsi="Times New Roman"/>
          <w:sz w:val="24"/>
          <w:szCs w:val="24"/>
        </w:rPr>
      </w:pPr>
      <w:proofErr w:type="spellStart"/>
      <w:r w:rsidRPr="008C36B7">
        <w:rPr>
          <w:rFonts w:ascii="Times New Roman" w:hAnsi="Times New Roman"/>
          <w:sz w:val="24"/>
          <w:szCs w:val="24"/>
        </w:rPr>
        <w:t>Trong</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kỳ</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báo</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cáo</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Quỹ</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không</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phát</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sinh</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khoản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giảm</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giá</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bằng</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tiền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hoặc</w:t>
      </w:r>
      <w:proofErr w:type="spellEnd"/>
      <w:r w:rsidRPr="008C36B7">
        <w:rPr>
          <w:rFonts w:ascii="Times New Roman" w:hAnsi="Times New Roman"/>
          <w:sz w:val="24"/>
          <w:szCs w:val="24"/>
        </w:rPr>
        <w:t xml:space="preserve"> chi </w:t>
      </w:r>
      <w:proofErr w:type="spellStart"/>
      <w:r w:rsidRPr="008C36B7">
        <w:rPr>
          <w:rFonts w:ascii="Times New Roman" w:hAnsi="Times New Roman"/>
          <w:sz w:val="24"/>
          <w:szCs w:val="24"/>
        </w:rPr>
        <w:t>phí</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ngầm</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liên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quan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đến</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giao</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dịch</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của</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Quỹ</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với</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đối</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tác</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cung</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w:t>
      </w:r>
      <w:r w:rsidR="005E0548" w:rsidRPr="008C36B7">
        <w:rPr>
          <w:rFonts w:ascii="Times New Roman" w:hAnsi="Times New Roman"/>
          <w:sz w:val="24"/>
          <w:szCs w:val="24"/>
        </w:rPr>
        <w:t>ấ</w:t>
      </w:r>
      <w:r w:rsidRPr="008C36B7">
        <w:rPr>
          <w:rFonts w:ascii="Times New Roman" w:hAnsi="Times New Roman"/>
          <w:sz w:val="24"/>
          <w:szCs w:val="24"/>
        </w:rPr>
        <w:t>p</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dịch</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vụ</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cho</w:t>
      </w:r>
      <w:proofErr w:type="spellEnd"/>
      <w:r w:rsidRPr="008C36B7">
        <w:rPr>
          <w:rFonts w:ascii="Times New Roman" w:hAnsi="Times New Roman"/>
          <w:sz w:val="24"/>
          <w:szCs w:val="24"/>
        </w:rPr>
        <w:t xml:space="preserve"> </w:t>
      </w:r>
      <w:proofErr w:type="spellStart"/>
      <w:r w:rsidRPr="008C36B7">
        <w:rPr>
          <w:rFonts w:ascii="Times New Roman" w:hAnsi="Times New Roman"/>
          <w:sz w:val="24"/>
          <w:szCs w:val="24"/>
        </w:rPr>
        <w:t>Quỹ</w:t>
      </w:r>
      <w:proofErr w:type="spellEnd"/>
      <w:r w:rsidRPr="008C36B7">
        <w:rPr>
          <w:rFonts w:ascii="Times New Roman" w:hAnsi="Times New Roman"/>
          <w:sz w:val="24"/>
          <w:szCs w:val="24"/>
        </w:rPr>
        <w:t>.</w:t>
      </w:r>
    </w:p>
    <w:p w14:paraId="78BCA327" w14:textId="77777777" w:rsidR="00FD4009" w:rsidRPr="008C36B7" w:rsidRDefault="00FD4009" w:rsidP="008C36B7">
      <w:pPr>
        <w:rPr>
          <w:rFonts w:ascii="Times New Roman" w:hAnsi="Times New Roman"/>
          <w:sz w:val="24"/>
          <w:szCs w:val="24"/>
        </w:rPr>
      </w:pPr>
    </w:p>
    <w:p w14:paraId="77CC0314" w14:textId="475C2ECC" w:rsidR="008477D9" w:rsidRPr="008C36B7" w:rsidRDefault="0012049E" w:rsidP="008C36B7">
      <w:pPr>
        <w:rPr>
          <w:rFonts w:ascii="Times New Roman" w:hAnsi="Times New Roman"/>
          <w:b/>
          <w:sz w:val="24"/>
          <w:szCs w:val="24"/>
          <w:lang w:val="nl-NL"/>
        </w:rPr>
      </w:pPr>
      <w:r>
        <w:rPr>
          <w:rFonts w:ascii="Times New Roman" w:hAnsi="Times New Roman"/>
          <w:b/>
          <w:sz w:val="24"/>
          <w:szCs w:val="24"/>
          <w:lang w:val="nl-NL"/>
        </w:rPr>
        <w:t xml:space="preserve">5. </w:t>
      </w:r>
      <w:r w:rsidR="008477D9" w:rsidRPr="008C36B7">
        <w:rPr>
          <w:rFonts w:ascii="Times New Roman" w:hAnsi="Times New Roman"/>
          <w:b/>
          <w:sz w:val="24"/>
          <w:szCs w:val="24"/>
          <w:lang w:val="nl-NL"/>
        </w:rPr>
        <w:t>THÔNG TIN VỀ TRIỂN VỌNG THỊ TRƯỜNG</w:t>
      </w:r>
    </w:p>
    <w:p w14:paraId="17180318" w14:textId="243ED581" w:rsidR="004D28B9" w:rsidRPr="0012049E" w:rsidRDefault="0074183D" w:rsidP="0012049E">
      <w:pPr>
        <w:spacing w:before="120"/>
        <w:ind w:firstLine="720"/>
        <w:rPr>
          <w:rFonts w:ascii="Times New Roman" w:hAnsi="Times New Roman"/>
          <w:bCs/>
          <w:sz w:val="24"/>
          <w:szCs w:val="24"/>
          <w:lang w:val="nl-NL"/>
        </w:rPr>
      </w:pPr>
      <w:r w:rsidRPr="0012049E">
        <w:rPr>
          <w:rFonts w:ascii="Times New Roman" w:hAnsi="Times New Roman"/>
          <w:bCs/>
          <w:sz w:val="24"/>
          <w:szCs w:val="24"/>
          <w:lang w:val="nl-NL"/>
        </w:rPr>
        <w:t xml:space="preserve">Việt Nam ghi nhận tăng trưởng GDP quý 2 đạt 7,7%, mức cao nhất kể từ năm 2011. Ngành dịch vụ tăng trưởng 8,6% trong Quý 2 và 6,6% trong nửa đầu năm 2022, đóng góp phần lớn bởi sức tiêu dùng nội địa, trong đó bán lẻ lần lượt đạt mức 19,7% và 11,4%. Về thương mại, xuất khẩu tăng 17,5% đạt 186 tỷ USD, trong khi đó nhập khẩu tăng 16,1% tương đương mức 184,9 tỷ USD trong 6 tháng, qua đó thặng dư thương mại vẫn chỉ ở mức khiêm tốn, đạt 1,1 tỷ USD. Sản xuất cũng tăng cùng với xuất khẩu, 6 tháng đầu năm chỉ số sản xuất công nghiệp tăng 8,5% so với cùng kỳ và chỉ số PMI tháng 6 đạt 54 điểm. FDI giải ngân tăng 8,9% đạt 10,1 tỷ USD, và Apple, Xiaomi chuyển chuỗi sản xuất sang Việt Nam là minh chứng cho thấy Việt Nam vẫn tiếp tục là điểm đến hàng đầu cho việc dịch chuyển chuỗi giá trị và chiến lược đa dạng hóa của các tập đoàn toàn cầu. Mặc dù tăng trưởng bứt phá, lạm phát vẫn được duy trì ở mức ổn định. Chỉ số CPI tăng 0,69% so với tháng trước và 3,4% so với cùng kỳ, trong đó xăng dầu đóng góp hơn một nửa mức độ tăng. </w:t>
      </w:r>
      <w:r w:rsidRPr="0012049E">
        <w:rPr>
          <w:rFonts w:ascii="Times New Roman" w:hAnsi="Times New Roman"/>
          <w:bCs/>
          <w:sz w:val="24"/>
          <w:szCs w:val="24"/>
          <w:lang w:val="nl-NL"/>
        </w:rPr>
        <w:lastRenderedPageBreak/>
        <w:t>Lãi suất vẫn đang tiếp tục chịu áp lực tăng. Tăng trưởng tín dụng tăng 9,4% trong 6 tháng đầu năm, cao nhất kể từ năm 2010, nhưng tốc độ tăng trưởng huy động chỉ đạt 4,5%, cho thấy áp lực huy động sắp tới cao. VND đã trượt giá 2,5% tình từ đầu năm và để ổn định đồng nội tệ, Ngân hàng Nhà nước đã phát hành hơn 100 ngàn tỷ tín phiếu, đồng thời thực hiện bán kỳ hạn 13,5 tỷ đô. Điều này đã hút bớt tiền ra khỏi thị trường liên ngân hàng khiến lãi suất qua đêm tăng từ 0,4% lên 0,8% trong tháng 6. Việc giảm bớt cung tiền để ổn định lạm phát và duy trì sức mạnh của đồng VND có thể tiếp tục được Ngân hàng Nhà nước thực hiện trong vài tháng tới. Tuy nhiên, nếu Fed tăng 75 và 50 điểm lãi suất trong 2 kỳ họp tới, Việt Nam cũng có thể phải tăng lãi suất 50 điểm vào quý IV năm nay.</w:t>
      </w:r>
    </w:p>
    <w:p w14:paraId="359DB7CE" w14:textId="77777777" w:rsidR="0012049E" w:rsidRDefault="0012049E" w:rsidP="008C36B7">
      <w:pPr>
        <w:rPr>
          <w:rFonts w:ascii="Times New Roman" w:hAnsi="Times New Roman"/>
          <w:b/>
          <w:sz w:val="24"/>
          <w:szCs w:val="24"/>
          <w:lang w:val="nl-NL"/>
        </w:rPr>
      </w:pPr>
    </w:p>
    <w:p w14:paraId="09DEA8F8" w14:textId="3B0E7B51" w:rsidR="008477D9" w:rsidRPr="0012049E" w:rsidRDefault="008477D9" w:rsidP="008C36B7">
      <w:pPr>
        <w:rPr>
          <w:rFonts w:ascii="Times New Roman" w:hAnsi="Times New Roman"/>
          <w:b/>
          <w:sz w:val="24"/>
          <w:szCs w:val="24"/>
          <w:lang w:val="nl-NL"/>
        </w:rPr>
      </w:pPr>
      <w:r w:rsidRPr="0012049E">
        <w:rPr>
          <w:rFonts w:ascii="Times New Roman" w:hAnsi="Times New Roman"/>
          <w:b/>
          <w:sz w:val="24"/>
          <w:szCs w:val="24"/>
          <w:lang w:val="nl-NL"/>
        </w:rPr>
        <w:t>6</w:t>
      </w:r>
      <w:r w:rsidR="0012049E">
        <w:rPr>
          <w:rFonts w:ascii="Times New Roman" w:hAnsi="Times New Roman"/>
          <w:b/>
          <w:sz w:val="24"/>
          <w:szCs w:val="24"/>
          <w:lang w:val="nl-NL"/>
        </w:rPr>
        <w:t xml:space="preserve">. </w:t>
      </w:r>
      <w:r w:rsidRPr="0012049E">
        <w:rPr>
          <w:rFonts w:ascii="Times New Roman" w:hAnsi="Times New Roman"/>
          <w:b/>
          <w:sz w:val="24"/>
          <w:szCs w:val="24"/>
          <w:lang w:val="nl-NL"/>
        </w:rPr>
        <w:t>THÔNG TIN KHÁC</w:t>
      </w:r>
    </w:p>
    <w:p w14:paraId="3E04D5D6" w14:textId="77777777" w:rsidR="008477D9" w:rsidRPr="0012049E" w:rsidRDefault="008477D9" w:rsidP="00AB13E7">
      <w:pPr>
        <w:spacing w:before="120"/>
        <w:rPr>
          <w:rFonts w:ascii="Times New Roman" w:hAnsi="Times New Roman"/>
          <w:b/>
          <w:sz w:val="24"/>
          <w:szCs w:val="24"/>
          <w:lang w:val="nl-NL"/>
        </w:rPr>
      </w:pPr>
      <w:r w:rsidRPr="0012049E">
        <w:rPr>
          <w:rFonts w:ascii="Times New Roman" w:hAnsi="Times New Roman"/>
          <w:sz w:val="24"/>
          <w:szCs w:val="24"/>
          <w:lang w:val="nl-NL"/>
        </w:rPr>
        <w:tab/>
      </w:r>
      <w:r w:rsidRPr="0012049E">
        <w:rPr>
          <w:rFonts w:ascii="Times New Roman" w:hAnsi="Times New Roman"/>
          <w:b/>
          <w:sz w:val="24"/>
          <w:szCs w:val="24"/>
          <w:lang w:val="nl-NL"/>
        </w:rPr>
        <w:t>Nhân sự điều hành Quỹ gồm có:</w:t>
      </w:r>
    </w:p>
    <w:p w14:paraId="5154B977" w14:textId="3034ABEB" w:rsidR="008477D9" w:rsidRPr="0012049E" w:rsidRDefault="008477D9" w:rsidP="00AB13E7">
      <w:pPr>
        <w:pStyle w:val="ListParagraph"/>
        <w:numPr>
          <w:ilvl w:val="0"/>
          <w:numId w:val="7"/>
        </w:numPr>
        <w:spacing w:before="60"/>
        <w:ind w:left="283" w:hanging="357"/>
        <w:jc w:val="both"/>
        <w:rPr>
          <w:lang w:val="nl-NL"/>
        </w:rPr>
      </w:pPr>
      <w:r w:rsidRPr="0012049E">
        <w:rPr>
          <w:lang w:val="nl-NL"/>
        </w:rPr>
        <w:t>Bà Lương Thị Mỹ Hạnh, Thạc sỹ Kinh tế</w:t>
      </w:r>
      <w:r w:rsidR="00E429AE" w:rsidRPr="0012049E">
        <w:rPr>
          <w:lang w:val="nl-NL"/>
        </w:rPr>
        <w:t>.</w:t>
      </w:r>
      <w:r w:rsidR="00E429AE" w:rsidRPr="0012049E">
        <w:t xml:space="preserve"> </w:t>
      </w:r>
      <w:r w:rsidR="00E429AE" w:rsidRPr="0012049E">
        <w:rPr>
          <w:lang w:val="nl-NL"/>
        </w:rPr>
        <w:t>Bà hiện là Giám đốc Quản lý tài sản, khối trong nước Công ty Cổ Phần Quản lý Quỹ Đầu tư Dragon Capital Việt Nam.</w:t>
      </w:r>
    </w:p>
    <w:p w14:paraId="3A5BFCDF" w14:textId="641409C3" w:rsidR="008477D9" w:rsidRPr="0012049E" w:rsidRDefault="0046561D" w:rsidP="00AB13E7">
      <w:pPr>
        <w:pStyle w:val="ListParagraph"/>
        <w:numPr>
          <w:ilvl w:val="0"/>
          <w:numId w:val="7"/>
        </w:numPr>
        <w:ind w:left="284"/>
        <w:jc w:val="both"/>
        <w:rPr>
          <w:lang w:val="nl-NL"/>
        </w:rPr>
      </w:pPr>
      <w:r w:rsidRPr="0012049E">
        <w:rPr>
          <w:lang w:val="nl-NL"/>
        </w:rPr>
        <w:t>Ông Trần Lê Minh</w:t>
      </w:r>
      <w:r w:rsidR="008477D9" w:rsidRPr="0012049E">
        <w:rPr>
          <w:lang w:val="nl-NL"/>
        </w:rPr>
        <w:t xml:space="preserve">, Thạc sỹ Quản Trị </w:t>
      </w:r>
      <w:r w:rsidRPr="0012049E">
        <w:rPr>
          <w:lang w:val="nl-NL"/>
        </w:rPr>
        <w:t xml:space="preserve">Tài chính. </w:t>
      </w:r>
      <w:r w:rsidR="00E429AE" w:rsidRPr="0012049E">
        <w:rPr>
          <w:lang w:val="nl-NL"/>
        </w:rPr>
        <w:t>Ông hiện là Giám đốc chi nhánh Hà Nội - Công ty Cổ Phần Quản lý Quỹ Đầu tư Dragon Capital Việt Nam.</w:t>
      </w:r>
      <w:r w:rsidR="008477D9" w:rsidRPr="0012049E">
        <w:rPr>
          <w:lang w:val="nl-NL"/>
        </w:rPr>
        <w:t xml:space="preserve"> </w:t>
      </w:r>
    </w:p>
    <w:p w14:paraId="7600CD67" w14:textId="77777777" w:rsidR="008477D9" w:rsidRPr="008C36B7" w:rsidRDefault="008477D9" w:rsidP="00AB13E7">
      <w:pPr>
        <w:spacing w:before="120"/>
        <w:rPr>
          <w:rFonts w:ascii="Times New Roman" w:hAnsi="Times New Roman"/>
          <w:b/>
          <w:sz w:val="24"/>
          <w:szCs w:val="24"/>
          <w:lang w:val="nl-NL"/>
        </w:rPr>
      </w:pPr>
      <w:r w:rsidRPr="008C36B7">
        <w:rPr>
          <w:rFonts w:ascii="Times New Roman" w:hAnsi="Times New Roman"/>
          <w:sz w:val="24"/>
          <w:szCs w:val="24"/>
          <w:lang w:val="nl-NL"/>
        </w:rPr>
        <w:tab/>
      </w:r>
      <w:r w:rsidRPr="008C36B7">
        <w:rPr>
          <w:rFonts w:ascii="Times New Roman" w:hAnsi="Times New Roman"/>
          <w:b/>
          <w:sz w:val="24"/>
          <w:szCs w:val="24"/>
          <w:lang w:val="nl-NL"/>
        </w:rPr>
        <w:t>Ban Đại diện Quỹ gồm có:</w:t>
      </w:r>
    </w:p>
    <w:p w14:paraId="17D4D2D2" w14:textId="46F6DFF9" w:rsidR="008477D9" w:rsidRPr="0012049E" w:rsidRDefault="008477D9" w:rsidP="00AB13E7">
      <w:pPr>
        <w:pStyle w:val="ListParagraph"/>
        <w:numPr>
          <w:ilvl w:val="0"/>
          <w:numId w:val="8"/>
        </w:numPr>
        <w:spacing w:before="60"/>
        <w:ind w:left="283" w:hanging="357"/>
        <w:contextualSpacing w:val="0"/>
        <w:jc w:val="both"/>
        <w:rPr>
          <w:lang w:val="nl-NL"/>
        </w:rPr>
      </w:pPr>
      <w:r w:rsidRPr="0012049E">
        <w:rPr>
          <w:lang w:val="nl-NL"/>
        </w:rPr>
        <w:t xml:space="preserve">Ông Lưu Đức Khánh, Chủ tịch, </w:t>
      </w:r>
      <w:r w:rsidR="00E429AE" w:rsidRPr="0012049E">
        <w:rPr>
          <w:lang w:val="nl-NL"/>
        </w:rPr>
        <w:t>Thạc sỹ Quản trị kinh doanh Quốc tế. Ông hiện là Phó Chủ tịch HĐQT Ngân hàng HDBank từ năm 2009 đến nay đồng thời là Giám đốc điều hành Công ty cổ phần hàng không Vietjet từ năm 2011-10/2020, hiện ông là Thành viên Hội đồng quản trị Công ty cổ phần hàng không Vietjet.</w:t>
      </w:r>
    </w:p>
    <w:p w14:paraId="0B533689" w14:textId="422B03DE" w:rsidR="008477D9" w:rsidRPr="0012049E" w:rsidRDefault="008477D9" w:rsidP="00AB13E7">
      <w:pPr>
        <w:pStyle w:val="ListParagraph"/>
        <w:numPr>
          <w:ilvl w:val="0"/>
          <w:numId w:val="8"/>
        </w:numPr>
        <w:ind w:left="284"/>
        <w:jc w:val="both"/>
        <w:rPr>
          <w:lang w:val="nl-NL"/>
        </w:rPr>
      </w:pPr>
      <w:r w:rsidRPr="0012049E">
        <w:rPr>
          <w:lang w:val="nl-NL"/>
        </w:rPr>
        <w:t xml:space="preserve">Ông Đặng Thái Nguyên, Thành viên, Thạc sỹ Quản trị kinh doanh Quốc tế. </w:t>
      </w:r>
      <w:r w:rsidR="00E429AE" w:rsidRPr="0012049E">
        <w:rPr>
          <w:lang w:val="nl-NL"/>
        </w:rPr>
        <w:t>Ông từng là Giám đốc Ngân hàng TMCP Bắc Á – CN Thanh Hóa từ năm 2003 đến năm 2006 và hiện là Tổng giám đốc Công ty CP Chứng khoán Việt từ năm 2006 đến nay.</w:t>
      </w:r>
    </w:p>
    <w:p w14:paraId="01496122" w14:textId="6DA51259" w:rsidR="008477D9" w:rsidRPr="0012049E" w:rsidRDefault="008477D9" w:rsidP="00AB13E7">
      <w:pPr>
        <w:pStyle w:val="ListParagraph"/>
        <w:numPr>
          <w:ilvl w:val="0"/>
          <w:numId w:val="8"/>
        </w:numPr>
        <w:ind w:left="284"/>
        <w:jc w:val="both"/>
        <w:rPr>
          <w:lang w:val="nl-NL"/>
        </w:rPr>
      </w:pPr>
      <w:r w:rsidRPr="0012049E">
        <w:rPr>
          <w:lang w:val="nl-NL"/>
        </w:rPr>
        <w:t xml:space="preserve">Bà Lê Thị Thu Hương, Thành viên, Cử nhân Kế toán – Kiểm toán. </w:t>
      </w:r>
      <w:r w:rsidR="00E429AE" w:rsidRPr="0012049E">
        <w:rPr>
          <w:lang w:val="nl-NL"/>
        </w:rPr>
        <w:t>Bà từng là Phó giám đốc công ty TNHH kiểm toán AS từ năm 2011 đến năm 2012 và hiện là Phó Tổng giám đốc Công ty TNHH kiểm toán Đại Tín từ năm 2012 đến 2020, hiện bà là Sáng lập viên &amp; Giám đốc Công ty TNHH kiểm toán Chuẩn Vàng.</w:t>
      </w:r>
    </w:p>
    <w:p w14:paraId="22A382D4" w14:textId="162F4B2B" w:rsidR="008477D9" w:rsidRPr="0012049E" w:rsidRDefault="008477D9" w:rsidP="00AB13E7">
      <w:pPr>
        <w:pStyle w:val="ListParagraph"/>
        <w:numPr>
          <w:ilvl w:val="0"/>
          <w:numId w:val="8"/>
        </w:numPr>
        <w:ind w:left="284"/>
        <w:jc w:val="both"/>
        <w:rPr>
          <w:lang w:val="nl-NL"/>
        </w:rPr>
      </w:pPr>
      <w:r w:rsidRPr="0012049E">
        <w:rPr>
          <w:lang w:val="nl-NL"/>
        </w:rPr>
        <w:t xml:space="preserve">Bà Phạm Thị Thanh Thúy, Thành viên, Luật sư. </w:t>
      </w:r>
      <w:r w:rsidR="00E429AE" w:rsidRPr="0012049E">
        <w:rPr>
          <w:lang w:val="nl-NL"/>
        </w:rPr>
        <w:t xml:space="preserve">Bà hiện là luật sư tư vấn nội bộ Công ty Cổ Phần Quản lý Quỹ Đầu tư Dragon Capital Việt Nam. </w:t>
      </w:r>
      <w:r w:rsidRPr="0012049E">
        <w:rPr>
          <w:lang w:val="nl-NL"/>
        </w:rPr>
        <w:t xml:space="preserve"> </w:t>
      </w:r>
    </w:p>
    <w:p w14:paraId="7F9FAD55" w14:textId="77777777" w:rsidR="008477D9" w:rsidRPr="008C36B7" w:rsidRDefault="008477D9" w:rsidP="00AB13E7">
      <w:pPr>
        <w:spacing w:before="120"/>
        <w:ind w:firstLine="720"/>
        <w:rPr>
          <w:rFonts w:ascii="Times New Roman" w:hAnsi="Times New Roman"/>
          <w:b/>
          <w:sz w:val="24"/>
          <w:szCs w:val="24"/>
          <w:lang w:val="nl-NL"/>
        </w:rPr>
      </w:pPr>
      <w:r w:rsidRPr="008C36B7">
        <w:rPr>
          <w:rFonts w:ascii="Times New Roman" w:hAnsi="Times New Roman"/>
          <w:b/>
          <w:sz w:val="24"/>
          <w:szCs w:val="24"/>
          <w:lang w:val="nl-NL"/>
        </w:rPr>
        <w:t>Ban điều hành Công ty Quản lý Quỹ gồm có:</w:t>
      </w:r>
    </w:p>
    <w:p w14:paraId="29015231" w14:textId="77777777" w:rsidR="00E429AE" w:rsidRPr="0012049E" w:rsidRDefault="00E429AE" w:rsidP="00AB13E7">
      <w:pPr>
        <w:pStyle w:val="ListParagraph"/>
        <w:numPr>
          <w:ilvl w:val="0"/>
          <w:numId w:val="9"/>
        </w:numPr>
        <w:spacing w:before="60"/>
        <w:ind w:left="425" w:hanging="357"/>
        <w:jc w:val="both"/>
        <w:rPr>
          <w:lang w:val="nl-NL"/>
        </w:rPr>
      </w:pPr>
      <w:r w:rsidRPr="0012049E">
        <w:rPr>
          <w:lang w:val="nl-NL"/>
        </w:rPr>
        <w:t xml:space="preserve">Ông Beat Schurch, Tổng Giám đốc, Thạc sỹ Kinh tế. Ông hiện là Tổng giám đốc Công ty Cổ Phần Quản lý Quỹ Đầu tư Dragon Capital Việt Nam từ ngày 30/12/2020 đến nay </w:t>
      </w:r>
    </w:p>
    <w:p w14:paraId="4D41914C" w14:textId="77777777" w:rsidR="008477D9" w:rsidRPr="008C36B7" w:rsidRDefault="008477D9" w:rsidP="008C36B7">
      <w:pPr>
        <w:rPr>
          <w:rFonts w:ascii="Times New Roman" w:hAnsi="Times New Roman"/>
          <w:sz w:val="24"/>
          <w:szCs w:val="24"/>
          <w:lang w:val="nl-NL"/>
        </w:rPr>
      </w:pPr>
    </w:p>
    <w:tbl>
      <w:tblPr>
        <w:tblW w:w="9356" w:type="dxa"/>
        <w:tblLook w:val="01E0" w:firstRow="1" w:lastRow="1" w:firstColumn="1" w:lastColumn="1" w:noHBand="0" w:noVBand="0"/>
      </w:tblPr>
      <w:tblGrid>
        <w:gridCol w:w="4428"/>
        <w:gridCol w:w="4928"/>
      </w:tblGrid>
      <w:tr w:rsidR="0012049E" w:rsidRPr="008C36B7" w14:paraId="1007D9DB" w14:textId="5132B0CF" w:rsidTr="0012049E">
        <w:trPr>
          <w:trHeight w:val="2880"/>
        </w:trPr>
        <w:tc>
          <w:tcPr>
            <w:tcW w:w="4428" w:type="dxa"/>
            <w:shd w:val="clear" w:color="auto" w:fill="auto"/>
          </w:tcPr>
          <w:p w14:paraId="75A32D25" w14:textId="77777777" w:rsidR="0012049E" w:rsidRPr="008C36B7" w:rsidRDefault="0012049E" w:rsidP="0012049E">
            <w:pPr>
              <w:rPr>
                <w:rFonts w:ascii="Times New Roman" w:hAnsi="Times New Roman"/>
                <w:sz w:val="24"/>
                <w:szCs w:val="24"/>
                <w:lang w:val="nl-NL"/>
              </w:rPr>
            </w:pPr>
          </w:p>
        </w:tc>
        <w:tc>
          <w:tcPr>
            <w:tcW w:w="4928" w:type="dxa"/>
          </w:tcPr>
          <w:p w14:paraId="48FF0834" w14:textId="38826C18" w:rsidR="0012049E" w:rsidRPr="0012049E" w:rsidRDefault="0012049E" w:rsidP="0012049E">
            <w:pPr>
              <w:jc w:val="center"/>
              <w:rPr>
                <w:rFonts w:ascii="Times New Roman" w:hAnsi="Times New Roman"/>
                <w:i/>
                <w:iCs/>
                <w:sz w:val="24"/>
                <w:szCs w:val="24"/>
                <w:lang w:val="nl-NL"/>
              </w:rPr>
            </w:pPr>
            <w:r w:rsidRPr="0012049E">
              <w:rPr>
                <w:rFonts w:ascii="Times New Roman" w:hAnsi="Times New Roman"/>
                <w:i/>
                <w:iCs/>
                <w:sz w:val="24"/>
                <w:szCs w:val="24"/>
                <w:lang w:val="nl-NL"/>
              </w:rPr>
              <w:t>Tp.HCM, ngày 1</w:t>
            </w:r>
            <w:r w:rsidR="00F975E3">
              <w:rPr>
                <w:rFonts w:ascii="Times New Roman" w:hAnsi="Times New Roman"/>
                <w:i/>
                <w:iCs/>
                <w:sz w:val="24"/>
                <w:szCs w:val="24"/>
                <w:lang w:val="nl-NL"/>
              </w:rPr>
              <w:t>9</w:t>
            </w:r>
            <w:r w:rsidRPr="0012049E">
              <w:rPr>
                <w:rFonts w:ascii="Times New Roman" w:hAnsi="Times New Roman"/>
                <w:i/>
                <w:iCs/>
                <w:sz w:val="24"/>
                <w:szCs w:val="24"/>
                <w:lang w:val="nl-NL"/>
              </w:rPr>
              <w:t xml:space="preserve"> tháng 0</w:t>
            </w:r>
            <w:r w:rsidR="00F975E3">
              <w:rPr>
                <w:rFonts w:ascii="Times New Roman" w:hAnsi="Times New Roman"/>
                <w:i/>
                <w:iCs/>
                <w:sz w:val="24"/>
                <w:szCs w:val="24"/>
                <w:lang w:val="nl-NL"/>
              </w:rPr>
              <w:t>7</w:t>
            </w:r>
            <w:r w:rsidRPr="0012049E">
              <w:rPr>
                <w:rFonts w:ascii="Times New Roman" w:hAnsi="Times New Roman"/>
                <w:i/>
                <w:iCs/>
                <w:sz w:val="24"/>
                <w:szCs w:val="24"/>
                <w:lang w:val="nl-NL"/>
              </w:rPr>
              <w:t xml:space="preserve"> năm 2022</w:t>
            </w:r>
          </w:p>
          <w:p w14:paraId="7AEA8948" w14:textId="77777777" w:rsidR="0012049E" w:rsidRPr="008C36B7" w:rsidRDefault="0012049E" w:rsidP="0012049E">
            <w:pPr>
              <w:jc w:val="center"/>
              <w:rPr>
                <w:rFonts w:ascii="Times New Roman" w:hAnsi="Times New Roman"/>
                <w:b/>
                <w:bCs/>
                <w:sz w:val="24"/>
                <w:szCs w:val="24"/>
                <w:lang w:val="nl-NL"/>
              </w:rPr>
            </w:pPr>
            <w:r w:rsidRPr="008C36B7">
              <w:rPr>
                <w:rFonts w:ascii="Times New Roman" w:hAnsi="Times New Roman"/>
                <w:b/>
                <w:bCs/>
                <w:sz w:val="24"/>
                <w:szCs w:val="24"/>
                <w:lang w:val="nl-NL"/>
              </w:rPr>
              <w:t>Giám đốc điều hành Nghiệp vụ hỗ trợ đầu tư</w:t>
            </w:r>
          </w:p>
          <w:p w14:paraId="12A1798F" w14:textId="77777777" w:rsidR="0012049E" w:rsidRPr="008C36B7" w:rsidRDefault="0012049E" w:rsidP="0012049E">
            <w:pPr>
              <w:jc w:val="center"/>
              <w:rPr>
                <w:rFonts w:ascii="Times New Roman" w:hAnsi="Times New Roman"/>
                <w:sz w:val="24"/>
                <w:szCs w:val="24"/>
                <w:lang w:val="nl-NL"/>
              </w:rPr>
            </w:pPr>
          </w:p>
          <w:p w14:paraId="57C113BA" w14:textId="77777777" w:rsidR="0012049E" w:rsidRPr="008C36B7" w:rsidRDefault="0012049E" w:rsidP="0012049E">
            <w:pPr>
              <w:jc w:val="center"/>
              <w:rPr>
                <w:rFonts w:ascii="Times New Roman" w:hAnsi="Times New Roman"/>
                <w:sz w:val="24"/>
                <w:szCs w:val="24"/>
                <w:lang w:val="nl-NL"/>
              </w:rPr>
            </w:pPr>
          </w:p>
          <w:p w14:paraId="251EA9ED" w14:textId="0F356E60" w:rsidR="0012049E" w:rsidRDefault="0012049E" w:rsidP="0012049E">
            <w:pPr>
              <w:jc w:val="center"/>
              <w:rPr>
                <w:rFonts w:ascii="Times New Roman" w:hAnsi="Times New Roman"/>
                <w:sz w:val="24"/>
                <w:szCs w:val="24"/>
                <w:lang w:val="nl-NL"/>
              </w:rPr>
            </w:pPr>
          </w:p>
          <w:p w14:paraId="0FD80802" w14:textId="77777777" w:rsidR="0012049E" w:rsidRPr="008C36B7" w:rsidRDefault="0012049E" w:rsidP="0012049E">
            <w:pPr>
              <w:jc w:val="center"/>
              <w:rPr>
                <w:rFonts w:ascii="Times New Roman" w:hAnsi="Times New Roman"/>
                <w:sz w:val="24"/>
                <w:szCs w:val="24"/>
                <w:lang w:val="nl-NL"/>
              </w:rPr>
            </w:pPr>
          </w:p>
          <w:p w14:paraId="2469BD65" w14:textId="427F2F67" w:rsidR="0012049E" w:rsidRPr="008C36B7" w:rsidRDefault="0012049E" w:rsidP="0012049E">
            <w:pPr>
              <w:jc w:val="center"/>
              <w:rPr>
                <w:rFonts w:ascii="Times New Roman" w:hAnsi="Times New Roman"/>
                <w:b/>
                <w:sz w:val="24"/>
                <w:szCs w:val="24"/>
                <w:lang w:val="nl-NL"/>
              </w:rPr>
            </w:pPr>
          </w:p>
          <w:p w14:paraId="20B5C3E0" w14:textId="539CC354" w:rsidR="0012049E" w:rsidRPr="008C36B7" w:rsidRDefault="0012049E" w:rsidP="0012049E">
            <w:pPr>
              <w:jc w:val="center"/>
              <w:rPr>
                <w:rFonts w:ascii="Times New Roman" w:hAnsi="Times New Roman"/>
                <w:sz w:val="24"/>
                <w:szCs w:val="24"/>
                <w:lang w:val="nl-NL"/>
              </w:rPr>
            </w:pPr>
            <w:r w:rsidRPr="008C36B7">
              <w:rPr>
                <w:rFonts w:ascii="Times New Roman" w:hAnsi="Times New Roman"/>
                <w:b/>
                <w:sz w:val="24"/>
                <w:szCs w:val="24"/>
                <w:lang w:val="nl-NL"/>
              </w:rPr>
              <w:t>NGUYỄN MINH ĐĂNG KHÁNH</w:t>
            </w:r>
          </w:p>
        </w:tc>
      </w:tr>
    </w:tbl>
    <w:p w14:paraId="183D7250" w14:textId="77777777" w:rsidR="00A66F0C" w:rsidRPr="008C36B7" w:rsidRDefault="00A66F0C" w:rsidP="008C36B7">
      <w:pPr>
        <w:rPr>
          <w:rFonts w:ascii="Times New Roman" w:hAnsi="Times New Roman"/>
          <w:sz w:val="24"/>
          <w:szCs w:val="24"/>
        </w:rPr>
      </w:pPr>
    </w:p>
    <w:sectPr w:rsidR="00A66F0C" w:rsidRPr="008C36B7" w:rsidSect="00AC762C">
      <w:pgSz w:w="12240" w:h="15840"/>
      <w:pgMar w:top="1276"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E833" w14:textId="77777777" w:rsidR="005E78E8" w:rsidRDefault="005E78E8" w:rsidP="00E429AE">
      <w:r>
        <w:separator/>
      </w:r>
    </w:p>
  </w:endnote>
  <w:endnote w:type="continuationSeparator" w:id="0">
    <w:p w14:paraId="3864AC44" w14:textId="77777777" w:rsidR="005E78E8" w:rsidRDefault="005E78E8" w:rsidP="00E4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3931" w14:textId="77777777" w:rsidR="005E78E8" w:rsidRDefault="005E78E8" w:rsidP="00E429AE">
      <w:r>
        <w:separator/>
      </w:r>
    </w:p>
  </w:footnote>
  <w:footnote w:type="continuationSeparator" w:id="0">
    <w:p w14:paraId="6ADAC070" w14:textId="77777777" w:rsidR="005E78E8" w:rsidRDefault="005E78E8" w:rsidP="00E42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079"/>
    <w:multiLevelType w:val="hybridMultilevel"/>
    <w:tmpl w:val="E78A2CCC"/>
    <w:lvl w:ilvl="0" w:tplc="AC6ACD6A">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30BE"/>
    <w:multiLevelType w:val="hybridMultilevel"/>
    <w:tmpl w:val="429A7AE6"/>
    <w:lvl w:ilvl="0" w:tplc="AC6ACD6A">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80D8D"/>
    <w:multiLevelType w:val="multilevel"/>
    <w:tmpl w:val="B94C17DE"/>
    <w:lvl w:ilvl="0">
      <w:start w:val="1"/>
      <w:numFmt w:val="decimal"/>
      <w:lvlText w:val="%1"/>
      <w:lvlJc w:val="left"/>
      <w:pPr>
        <w:ind w:left="369" w:hanging="360"/>
      </w:pPr>
      <w:rPr>
        <w:rFonts w:hint="default"/>
      </w:rPr>
    </w:lvl>
    <w:lvl w:ilvl="1">
      <w:start w:val="8"/>
      <w:numFmt w:val="decimal"/>
      <w:isLgl/>
      <w:lvlText w:val="%1.%2."/>
      <w:lvlJc w:val="left"/>
      <w:pPr>
        <w:ind w:left="369" w:hanging="360"/>
      </w:pPr>
      <w:rPr>
        <w:rFonts w:hint="default"/>
        <w:b/>
      </w:rPr>
    </w:lvl>
    <w:lvl w:ilvl="2">
      <w:start w:val="1"/>
      <w:numFmt w:val="decimal"/>
      <w:isLgl/>
      <w:lvlText w:val="%1.%2.%3."/>
      <w:lvlJc w:val="left"/>
      <w:pPr>
        <w:ind w:left="729" w:hanging="720"/>
      </w:pPr>
      <w:rPr>
        <w:rFonts w:hint="default"/>
        <w:b/>
      </w:rPr>
    </w:lvl>
    <w:lvl w:ilvl="3">
      <w:start w:val="1"/>
      <w:numFmt w:val="decimal"/>
      <w:isLgl/>
      <w:lvlText w:val="%1.%2.%3.%4."/>
      <w:lvlJc w:val="left"/>
      <w:pPr>
        <w:ind w:left="729"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89" w:hanging="1080"/>
      </w:pPr>
      <w:rPr>
        <w:rFonts w:hint="default"/>
        <w:b/>
      </w:rPr>
    </w:lvl>
    <w:lvl w:ilvl="6">
      <w:start w:val="1"/>
      <w:numFmt w:val="decimal"/>
      <w:isLgl/>
      <w:lvlText w:val="%1.%2.%3.%4.%5.%6.%7."/>
      <w:lvlJc w:val="left"/>
      <w:pPr>
        <w:ind w:left="1449" w:hanging="1440"/>
      </w:pPr>
      <w:rPr>
        <w:rFonts w:hint="default"/>
        <w:b/>
      </w:rPr>
    </w:lvl>
    <w:lvl w:ilvl="7">
      <w:start w:val="1"/>
      <w:numFmt w:val="decimal"/>
      <w:isLgl/>
      <w:lvlText w:val="%1.%2.%3.%4.%5.%6.%7.%8."/>
      <w:lvlJc w:val="left"/>
      <w:pPr>
        <w:ind w:left="1449" w:hanging="1440"/>
      </w:pPr>
      <w:rPr>
        <w:rFonts w:hint="default"/>
        <w:b/>
      </w:rPr>
    </w:lvl>
    <w:lvl w:ilvl="8">
      <w:start w:val="1"/>
      <w:numFmt w:val="decimal"/>
      <w:isLgl/>
      <w:lvlText w:val="%1.%2.%3.%4.%5.%6.%7.%8.%9."/>
      <w:lvlJc w:val="left"/>
      <w:pPr>
        <w:ind w:left="1809" w:hanging="1800"/>
      </w:pPr>
      <w:rPr>
        <w:rFonts w:hint="default"/>
        <w:b/>
      </w:rPr>
    </w:lvl>
  </w:abstractNum>
  <w:abstractNum w:abstractNumId="3" w15:restartNumberingAfterBreak="0">
    <w:nsid w:val="12AC0752"/>
    <w:multiLevelType w:val="multilevel"/>
    <w:tmpl w:val="7020EFA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1C814087"/>
    <w:multiLevelType w:val="hybridMultilevel"/>
    <w:tmpl w:val="483484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B7616A2"/>
    <w:multiLevelType w:val="hybridMultilevel"/>
    <w:tmpl w:val="206AD7BE"/>
    <w:lvl w:ilvl="0" w:tplc="138AF134">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5A7504C"/>
    <w:multiLevelType w:val="hybridMultilevel"/>
    <w:tmpl w:val="F39069AE"/>
    <w:lvl w:ilvl="0" w:tplc="5B30C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F774C"/>
    <w:multiLevelType w:val="hybridMultilevel"/>
    <w:tmpl w:val="EA7C4FF2"/>
    <w:lvl w:ilvl="0" w:tplc="AC6ACD6A">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E5B4B"/>
    <w:multiLevelType w:val="hybridMultilevel"/>
    <w:tmpl w:val="8E1AFDF2"/>
    <w:lvl w:ilvl="0" w:tplc="782A6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32337802">
    <w:abstractNumId w:val="2"/>
  </w:num>
  <w:num w:numId="2" w16cid:durableId="445083608">
    <w:abstractNumId w:val="8"/>
  </w:num>
  <w:num w:numId="3" w16cid:durableId="1074425885">
    <w:abstractNumId w:val="3"/>
  </w:num>
  <w:num w:numId="4" w16cid:durableId="2129466204">
    <w:abstractNumId w:val="4"/>
  </w:num>
  <w:num w:numId="5" w16cid:durableId="1654941468">
    <w:abstractNumId w:val="5"/>
  </w:num>
  <w:num w:numId="6" w16cid:durableId="869030241">
    <w:abstractNumId w:val="6"/>
  </w:num>
  <w:num w:numId="7" w16cid:durableId="1168205633">
    <w:abstractNumId w:val="0"/>
  </w:num>
  <w:num w:numId="8" w16cid:durableId="187262872">
    <w:abstractNumId w:val="1"/>
  </w:num>
  <w:num w:numId="9" w16cid:durableId="7055205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D9"/>
    <w:rsid w:val="00000BCF"/>
    <w:rsid w:val="000035A5"/>
    <w:rsid w:val="00035143"/>
    <w:rsid w:val="00057C06"/>
    <w:rsid w:val="000849FC"/>
    <w:rsid w:val="000A3A62"/>
    <w:rsid w:val="000D028C"/>
    <w:rsid w:val="000F324F"/>
    <w:rsid w:val="000F7813"/>
    <w:rsid w:val="00106D26"/>
    <w:rsid w:val="0012049E"/>
    <w:rsid w:val="0013500F"/>
    <w:rsid w:val="00136720"/>
    <w:rsid w:val="00170546"/>
    <w:rsid w:val="001A0451"/>
    <w:rsid w:val="001A726A"/>
    <w:rsid w:val="001B71B8"/>
    <w:rsid w:val="001C16A5"/>
    <w:rsid w:val="001E103E"/>
    <w:rsid w:val="001E70FA"/>
    <w:rsid w:val="00215678"/>
    <w:rsid w:val="00233068"/>
    <w:rsid w:val="00251C8A"/>
    <w:rsid w:val="00277B07"/>
    <w:rsid w:val="00296BBB"/>
    <w:rsid w:val="002A7310"/>
    <w:rsid w:val="002B1137"/>
    <w:rsid w:val="002D39B0"/>
    <w:rsid w:val="002E6045"/>
    <w:rsid w:val="002F528F"/>
    <w:rsid w:val="00355583"/>
    <w:rsid w:val="00364BAA"/>
    <w:rsid w:val="003740A5"/>
    <w:rsid w:val="003767F7"/>
    <w:rsid w:val="003A0123"/>
    <w:rsid w:val="003B6370"/>
    <w:rsid w:val="003C4141"/>
    <w:rsid w:val="003D1F25"/>
    <w:rsid w:val="004033BA"/>
    <w:rsid w:val="00412823"/>
    <w:rsid w:val="00434086"/>
    <w:rsid w:val="0045611E"/>
    <w:rsid w:val="004648AC"/>
    <w:rsid w:val="0046561D"/>
    <w:rsid w:val="004C161B"/>
    <w:rsid w:val="004C58AF"/>
    <w:rsid w:val="004D28B9"/>
    <w:rsid w:val="004E6AE4"/>
    <w:rsid w:val="004F0DB9"/>
    <w:rsid w:val="00502F19"/>
    <w:rsid w:val="005074E5"/>
    <w:rsid w:val="005254BB"/>
    <w:rsid w:val="00526794"/>
    <w:rsid w:val="00535196"/>
    <w:rsid w:val="00543274"/>
    <w:rsid w:val="0055185F"/>
    <w:rsid w:val="00562589"/>
    <w:rsid w:val="005810C8"/>
    <w:rsid w:val="00585FEF"/>
    <w:rsid w:val="0058648A"/>
    <w:rsid w:val="00590C89"/>
    <w:rsid w:val="005958F1"/>
    <w:rsid w:val="005D462B"/>
    <w:rsid w:val="005D645E"/>
    <w:rsid w:val="005D74E2"/>
    <w:rsid w:val="005D7526"/>
    <w:rsid w:val="005E0548"/>
    <w:rsid w:val="005E78E8"/>
    <w:rsid w:val="005F1FC7"/>
    <w:rsid w:val="005F470F"/>
    <w:rsid w:val="006338B5"/>
    <w:rsid w:val="00653170"/>
    <w:rsid w:val="00657574"/>
    <w:rsid w:val="00660478"/>
    <w:rsid w:val="00662EB9"/>
    <w:rsid w:val="00672405"/>
    <w:rsid w:val="006804A8"/>
    <w:rsid w:val="006C25D8"/>
    <w:rsid w:val="006C78D9"/>
    <w:rsid w:val="006D244A"/>
    <w:rsid w:val="006F58D8"/>
    <w:rsid w:val="006F74A7"/>
    <w:rsid w:val="007008E4"/>
    <w:rsid w:val="00734ACF"/>
    <w:rsid w:val="007406E0"/>
    <w:rsid w:val="0074183D"/>
    <w:rsid w:val="00755D13"/>
    <w:rsid w:val="00757216"/>
    <w:rsid w:val="00762461"/>
    <w:rsid w:val="00770E0A"/>
    <w:rsid w:val="00774482"/>
    <w:rsid w:val="007833B1"/>
    <w:rsid w:val="00794F3D"/>
    <w:rsid w:val="007A4235"/>
    <w:rsid w:val="007C63D1"/>
    <w:rsid w:val="007D404A"/>
    <w:rsid w:val="007E38A6"/>
    <w:rsid w:val="007F54E6"/>
    <w:rsid w:val="00805E0B"/>
    <w:rsid w:val="008231C8"/>
    <w:rsid w:val="008402EE"/>
    <w:rsid w:val="008477D9"/>
    <w:rsid w:val="008544AB"/>
    <w:rsid w:val="00861BFD"/>
    <w:rsid w:val="008730DD"/>
    <w:rsid w:val="0089559A"/>
    <w:rsid w:val="008C1A56"/>
    <w:rsid w:val="008C36B7"/>
    <w:rsid w:val="008E0B2C"/>
    <w:rsid w:val="008E1A14"/>
    <w:rsid w:val="008F184D"/>
    <w:rsid w:val="008F72FD"/>
    <w:rsid w:val="009029DE"/>
    <w:rsid w:val="009303B9"/>
    <w:rsid w:val="009550E9"/>
    <w:rsid w:val="009601CE"/>
    <w:rsid w:val="00961728"/>
    <w:rsid w:val="00964A65"/>
    <w:rsid w:val="00970750"/>
    <w:rsid w:val="00981FBF"/>
    <w:rsid w:val="00986350"/>
    <w:rsid w:val="009A22F1"/>
    <w:rsid w:val="009A5E3F"/>
    <w:rsid w:val="009A7748"/>
    <w:rsid w:val="009C7DE5"/>
    <w:rsid w:val="009E54ED"/>
    <w:rsid w:val="00A01ADE"/>
    <w:rsid w:val="00A102A4"/>
    <w:rsid w:val="00A11E25"/>
    <w:rsid w:val="00A15547"/>
    <w:rsid w:val="00A2212D"/>
    <w:rsid w:val="00A3366D"/>
    <w:rsid w:val="00A45851"/>
    <w:rsid w:val="00A55884"/>
    <w:rsid w:val="00A66F0C"/>
    <w:rsid w:val="00AB13E7"/>
    <w:rsid w:val="00AB725F"/>
    <w:rsid w:val="00AC762C"/>
    <w:rsid w:val="00AE4F15"/>
    <w:rsid w:val="00AE7BC8"/>
    <w:rsid w:val="00B16B99"/>
    <w:rsid w:val="00B23E72"/>
    <w:rsid w:val="00B41DCA"/>
    <w:rsid w:val="00B604C9"/>
    <w:rsid w:val="00B61756"/>
    <w:rsid w:val="00B721FB"/>
    <w:rsid w:val="00B75A75"/>
    <w:rsid w:val="00BA3665"/>
    <w:rsid w:val="00BC5195"/>
    <w:rsid w:val="00BF4B44"/>
    <w:rsid w:val="00C01730"/>
    <w:rsid w:val="00C25B07"/>
    <w:rsid w:val="00C318C9"/>
    <w:rsid w:val="00C35878"/>
    <w:rsid w:val="00C44CC7"/>
    <w:rsid w:val="00C45D32"/>
    <w:rsid w:val="00C552B9"/>
    <w:rsid w:val="00C60E6F"/>
    <w:rsid w:val="00C6296F"/>
    <w:rsid w:val="00C700F7"/>
    <w:rsid w:val="00C72A0B"/>
    <w:rsid w:val="00C93B83"/>
    <w:rsid w:val="00C97E84"/>
    <w:rsid w:val="00CC1552"/>
    <w:rsid w:val="00CC43AD"/>
    <w:rsid w:val="00CC6D16"/>
    <w:rsid w:val="00CE41BB"/>
    <w:rsid w:val="00D159FF"/>
    <w:rsid w:val="00D23597"/>
    <w:rsid w:val="00D64A36"/>
    <w:rsid w:val="00D70BBC"/>
    <w:rsid w:val="00D72889"/>
    <w:rsid w:val="00D74EB4"/>
    <w:rsid w:val="00D8434E"/>
    <w:rsid w:val="00D84520"/>
    <w:rsid w:val="00DA058F"/>
    <w:rsid w:val="00DA0BBE"/>
    <w:rsid w:val="00DB0F6D"/>
    <w:rsid w:val="00DC54DF"/>
    <w:rsid w:val="00DF727E"/>
    <w:rsid w:val="00DF73F8"/>
    <w:rsid w:val="00DF76CA"/>
    <w:rsid w:val="00E03E3E"/>
    <w:rsid w:val="00E12D35"/>
    <w:rsid w:val="00E178A9"/>
    <w:rsid w:val="00E340C9"/>
    <w:rsid w:val="00E42142"/>
    <w:rsid w:val="00E429AE"/>
    <w:rsid w:val="00E525CD"/>
    <w:rsid w:val="00E62AFF"/>
    <w:rsid w:val="00E830D4"/>
    <w:rsid w:val="00EB095D"/>
    <w:rsid w:val="00EB20F6"/>
    <w:rsid w:val="00EB49B3"/>
    <w:rsid w:val="00ED1990"/>
    <w:rsid w:val="00EE166A"/>
    <w:rsid w:val="00F01FFE"/>
    <w:rsid w:val="00F118AF"/>
    <w:rsid w:val="00F21603"/>
    <w:rsid w:val="00F33F5C"/>
    <w:rsid w:val="00F34092"/>
    <w:rsid w:val="00F50A2C"/>
    <w:rsid w:val="00F6501C"/>
    <w:rsid w:val="00F8619B"/>
    <w:rsid w:val="00F86A64"/>
    <w:rsid w:val="00F9036C"/>
    <w:rsid w:val="00F975E3"/>
    <w:rsid w:val="00FA51B8"/>
    <w:rsid w:val="00FC1239"/>
    <w:rsid w:val="00FC3BFA"/>
    <w:rsid w:val="00FD0E59"/>
    <w:rsid w:val="00FD4009"/>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552C"/>
  <w15:chartTrackingRefBased/>
  <w15:docId w15:val="{29545394-D5B8-4021-BE2E-63639336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D9"/>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D9"/>
    <w:pPr>
      <w:overflowPunct/>
      <w:autoSpaceDE/>
      <w:autoSpaceDN/>
      <w:adjustRightInd/>
      <w:ind w:left="720"/>
      <w:contextualSpacing/>
      <w:jc w:val="left"/>
      <w:textAlignment w:val="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0A3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6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0287">
      <w:bodyDiv w:val="1"/>
      <w:marLeft w:val="0"/>
      <w:marRight w:val="0"/>
      <w:marTop w:val="0"/>
      <w:marBottom w:val="0"/>
      <w:divBdr>
        <w:top w:val="none" w:sz="0" w:space="0" w:color="auto"/>
        <w:left w:val="none" w:sz="0" w:space="0" w:color="auto"/>
        <w:bottom w:val="none" w:sz="0" w:space="0" w:color="auto"/>
        <w:right w:val="none" w:sz="0" w:space="0" w:color="auto"/>
      </w:divBdr>
    </w:div>
    <w:div w:id="152067958">
      <w:bodyDiv w:val="1"/>
      <w:marLeft w:val="0"/>
      <w:marRight w:val="0"/>
      <w:marTop w:val="0"/>
      <w:marBottom w:val="0"/>
      <w:divBdr>
        <w:top w:val="none" w:sz="0" w:space="0" w:color="auto"/>
        <w:left w:val="none" w:sz="0" w:space="0" w:color="auto"/>
        <w:bottom w:val="none" w:sz="0" w:space="0" w:color="auto"/>
        <w:right w:val="none" w:sz="0" w:space="0" w:color="auto"/>
      </w:divBdr>
    </w:div>
    <w:div w:id="165638407">
      <w:bodyDiv w:val="1"/>
      <w:marLeft w:val="0"/>
      <w:marRight w:val="0"/>
      <w:marTop w:val="0"/>
      <w:marBottom w:val="0"/>
      <w:divBdr>
        <w:top w:val="none" w:sz="0" w:space="0" w:color="auto"/>
        <w:left w:val="none" w:sz="0" w:space="0" w:color="auto"/>
        <w:bottom w:val="none" w:sz="0" w:space="0" w:color="auto"/>
        <w:right w:val="none" w:sz="0" w:space="0" w:color="auto"/>
      </w:divBdr>
    </w:div>
    <w:div w:id="166093746">
      <w:bodyDiv w:val="1"/>
      <w:marLeft w:val="0"/>
      <w:marRight w:val="0"/>
      <w:marTop w:val="0"/>
      <w:marBottom w:val="0"/>
      <w:divBdr>
        <w:top w:val="none" w:sz="0" w:space="0" w:color="auto"/>
        <w:left w:val="none" w:sz="0" w:space="0" w:color="auto"/>
        <w:bottom w:val="none" w:sz="0" w:space="0" w:color="auto"/>
        <w:right w:val="none" w:sz="0" w:space="0" w:color="auto"/>
      </w:divBdr>
    </w:div>
    <w:div w:id="221674935">
      <w:bodyDiv w:val="1"/>
      <w:marLeft w:val="0"/>
      <w:marRight w:val="0"/>
      <w:marTop w:val="0"/>
      <w:marBottom w:val="0"/>
      <w:divBdr>
        <w:top w:val="none" w:sz="0" w:space="0" w:color="auto"/>
        <w:left w:val="none" w:sz="0" w:space="0" w:color="auto"/>
        <w:bottom w:val="none" w:sz="0" w:space="0" w:color="auto"/>
        <w:right w:val="none" w:sz="0" w:space="0" w:color="auto"/>
      </w:divBdr>
    </w:div>
    <w:div w:id="293368292">
      <w:bodyDiv w:val="1"/>
      <w:marLeft w:val="0"/>
      <w:marRight w:val="0"/>
      <w:marTop w:val="0"/>
      <w:marBottom w:val="0"/>
      <w:divBdr>
        <w:top w:val="none" w:sz="0" w:space="0" w:color="auto"/>
        <w:left w:val="none" w:sz="0" w:space="0" w:color="auto"/>
        <w:bottom w:val="none" w:sz="0" w:space="0" w:color="auto"/>
        <w:right w:val="none" w:sz="0" w:space="0" w:color="auto"/>
      </w:divBdr>
    </w:div>
    <w:div w:id="295066160">
      <w:bodyDiv w:val="1"/>
      <w:marLeft w:val="0"/>
      <w:marRight w:val="0"/>
      <w:marTop w:val="0"/>
      <w:marBottom w:val="0"/>
      <w:divBdr>
        <w:top w:val="none" w:sz="0" w:space="0" w:color="auto"/>
        <w:left w:val="none" w:sz="0" w:space="0" w:color="auto"/>
        <w:bottom w:val="none" w:sz="0" w:space="0" w:color="auto"/>
        <w:right w:val="none" w:sz="0" w:space="0" w:color="auto"/>
      </w:divBdr>
    </w:div>
    <w:div w:id="395935679">
      <w:bodyDiv w:val="1"/>
      <w:marLeft w:val="0"/>
      <w:marRight w:val="0"/>
      <w:marTop w:val="0"/>
      <w:marBottom w:val="0"/>
      <w:divBdr>
        <w:top w:val="none" w:sz="0" w:space="0" w:color="auto"/>
        <w:left w:val="none" w:sz="0" w:space="0" w:color="auto"/>
        <w:bottom w:val="none" w:sz="0" w:space="0" w:color="auto"/>
        <w:right w:val="none" w:sz="0" w:space="0" w:color="auto"/>
      </w:divBdr>
    </w:div>
    <w:div w:id="397627720">
      <w:bodyDiv w:val="1"/>
      <w:marLeft w:val="0"/>
      <w:marRight w:val="0"/>
      <w:marTop w:val="0"/>
      <w:marBottom w:val="0"/>
      <w:divBdr>
        <w:top w:val="none" w:sz="0" w:space="0" w:color="auto"/>
        <w:left w:val="none" w:sz="0" w:space="0" w:color="auto"/>
        <w:bottom w:val="none" w:sz="0" w:space="0" w:color="auto"/>
        <w:right w:val="none" w:sz="0" w:space="0" w:color="auto"/>
      </w:divBdr>
    </w:div>
    <w:div w:id="411703854">
      <w:bodyDiv w:val="1"/>
      <w:marLeft w:val="0"/>
      <w:marRight w:val="0"/>
      <w:marTop w:val="0"/>
      <w:marBottom w:val="0"/>
      <w:divBdr>
        <w:top w:val="none" w:sz="0" w:space="0" w:color="auto"/>
        <w:left w:val="none" w:sz="0" w:space="0" w:color="auto"/>
        <w:bottom w:val="none" w:sz="0" w:space="0" w:color="auto"/>
        <w:right w:val="none" w:sz="0" w:space="0" w:color="auto"/>
      </w:divBdr>
    </w:div>
    <w:div w:id="505289094">
      <w:bodyDiv w:val="1"/>
      <w:marLeft w:val="0"/>
      <w:marRight w:val="0"/>
      <w:marTop w:val="0"/>
      <w:marBottom w:val="0"/>
      <w:divBdr>
        <w:top w:val="none" w:sz="0" w:space="0" w:color="auto"/>
        <w:left w:val="none" w:sz="0" w:space="0" w:color="auto"/>
        <w:bottom w:val="none" w:sz="0" w:space="0" w:color="auto"/>
        <w:right w:val="none" w:sz="0" w:space="0" w:color="auto"/>
      </w:divBdr>
    </w:div>
    <w:div w:id="524053960">
      <w:bodyDiv w:val="1"/>
      <w:marLeft w:val="0"/>
      <w:marRight w:val="0"/>
      <w:marTop w:val="0"/>
      <w:marBottom w:val="0"/>
      <w:divBdr>
        <w:top w:val="none" w:sz="0" w:space="0" w:color="auto"/>
        <w:left w:val="none" w:sz="0" w:space="0" w:color="auto"/>
        <w:bottom w:val="none" w:sz="0" w:space="0" w:color="auto"/>
        <w:right w:val="none" w:sz="0" w:space="0" w:color="auto"/>
      </w:divBdr>
    </w:div>
    <w:div w:id="547881425">
      <w:bodyDiv w:val="1"/>
      <w:marLeft w:val="0"/>
      <w:marRight w:val="0"/>
      <w:marTop w:val="0"/>
      <w:marBottom w:val="0"/>
      <w:divBdr>
        <w:top w:val="none" w:sz="0" w:space="0" w:color="auto"/>
        <w:left w:val="none" w:sz="0" w:space="0" w:color="auto"/>
        <w:bottom w:val="none" w:sz="0" w:space="0" w:color="auto"/>
        <w:right w:val="none" w:sz="0" w:space="0" w:color="auto"/>
      </w:divBdr>
    </w:div>
    <w:div w:id="558248948">
      <w:bodyDiv w:val="1"/>
      <w:marLeft w:val="0"/>
      <w:marRight w:val="0"/>
      <w:marTop w:val="0"/>
      <w:marBottom w:val="0"/>
      <w:divBdr>
        <w:top w:val="none" w:sz="0" w:space="0" w:color="auto"/>
        <w:left w:val="none" w:sz="0" w:space="0" w:color="auto"/>
        <w:bottom w:val="none" w:sz="0" w:space="0" w:color="auto"/>
        <w:right w:val="none" w:sz="0" w:space="0" w:color="auto"/>
      </w:divBdr>
    </w:div>
    <w:div w:id="594749069">
      <w:bodyDiv w:val="1"/>
      <w:marLeft w:val="0"/>
      <w:marRight w:val="0"/>
      <w:marTop w:val="0"/>
      <w:marBottom w:val="0"/>
      <w:divBdr>
        <w:top w:val="none" w:sz="0" w:space="0" w:color="auto"/>
        <w:left w:val="none" w:sz="0" w:space="0" w:color="auto"/>
        <w:bottom w:val="none" w:sz="0" w:space="0" w:color="auto"/>
        <w:right w:val="none" w:sz="0" w:space="0" w:color="auto"/>
      </w:divBdr>
    </w:div>
    <w:div w:id="595671096">
      <w:bodyDiv w:val="1"/>
      <w:marLeft w:val="0"/>
      <w:marRight w:val="0"/>
      <w:marTop w:val="0"/>
      <w:marBottom w:val="0"/>
      <w:divBdr>
        <w:top w:val="none" w:sz="0" w:space="0" w:color="auto"/>
        <w:left w:val="none" w:sz="0" w:space="0" w:color="auto"/>
        <w:bottom w:val="none" w:sz="0" w:space="0" w:color="auto"/>
        <w:right w:val="none" w:sz="0" w:space="0" w:color="auto"/>
      </w:divBdr>
    </w:div>
    <w:div w:id="696856023">
      <w:bodyDiv w:val="1"/>
      <w:marLeft w:val="0"/>
      <w:marRight w:val="0"/>
      <w:marTop w:val="0"/>
      <w:marBottom w:val="0"/>
      <w:divBdr>
        <w:top w:val="none" w:sz="0" w:space="0" w:color="auto"/>
        <w:left w:val="none" w:sz="0" w:space="0" w:color="auto"/>
        <w:bottom w:val="none" w:sz="0" w:space="0" w:color="auto"/>
        <w:right w:val="none" w:sz="0" w:space="0" w:color="auto"/>
      </w:divBdr>
    </w:div>
    <w:div w:id="711466345">
      <w:bodyDiv w:val="1"/>
      <w:marLeft w:val="0"/>
      <w:marRight w:val="0"/>
      <w:marTop w:val="0"/>
      <w:marBottom w:val="0"/>
      <w:divBdr>
        <w:top w:val="none" w:sz="0" w:space="0" w:color="auto"/>
        <w:left w:val="none" w:sz="0" w:space="0" w:color="auto"/>
        <w:bottom w:val="none" w:sz="0" w:space="0" w:color="auto"/>
        <w:right w:val="none" w:sz="0" w:space="0" w:color="auto"/>
      </w:divBdr>
    </w:div>
    <w:div w:id="751271565">
      <w:bodyDiv w:val="1"/>
      <w:marLeft w:val="0"/>
      <w:marRight w:val="0"/>
      <w:marTop w:val="0"/>
      <w:marBottom w:val="0"/>
      <w:divBdr>
        <w:top w:val="none" w:sz="0" w:space="0" w:color="auto"/>
        <w:left w:val="none" w:sz="0" w:space="0" w:color="auto"/>
        <w:bottom w:val="none" w:sz="0" w:space="0" w:color="auto"/>
        <w:right w:val="none" w:sz="0" w:space="0" w:color="auto"/>
      </w:divBdr>
    </w:div>
    <w:div w:id="908540203">
      <w:bodyDiv w:val="1"/>
      <w:marLeft w:val="0"/>
      <w:marRight w:val="0"/>
      <w:marTop w:val="0"/>
      <w:marBottom w:val="0"/>
      <w:divBdr>
        <w:top w:val="none" w:sz="0" w:space="0" w:color="auto"/>
        <w:left w:val="none" w:sz="0" w:space="0" w:color="auto"/>
        <w:bottom w:val="none" w:sz="0" w:space="0" w:color="auto"/>
        <w:right w:val="none" w:sz="0" w:space="0" w:color="auto"/>
      </w:divBdr>
    </w:div>
    <w:div w:id="918951135">
      <w:bodyDiv w:val="1"/>
      <w:marLeft w:val="0"/>
      <w:marRight w:val="0"/>
      <w:marTop w:val="0"/>
      <w:marBottom w:val="0"/>
      <w:divBdr>
        <w:top w:val="none" w:sz="0" w:space="0" w:color="auto"/>
        <w:left w:val="none" w:sz="0" w:space="0" w:color="auto"/>
        <w:bottom w:val="none" w:sz="0" w:space="0" w:color="auto"/>
        <w:right w:val="none" w:sz="0" w:space="0" w:color="auto"/>
      </w:divBdr>
    </w:div>
    <w:div w:id="937248715">
      <w:bodyDiv w:val="1"/>
      <w:marLeft w:val="0"/>
      <w:marRight w:val="0"/>
      <w:marTop w:val="0"/>
      <w:marBottom w:val="0"/>
      <w:divBdr>
        <w:top w:val="none" w:sz="0" w:space="0" w:color="auto"/>
        <w:left w:val="none" w:sz="0" w:space="0" w:color="auto"/>
        <w:bottom w:val="none" w:sz="0" w:space="0" w:color="auto"/>
        <w:right w:val="none" w:sz="0" w:space="0" w:color="auto"/>
      </w:divBdr>
    </w:div>
    <w:div w:id="979843541">
      <w:bodyDiv w:val="1"/>
      <w:marLeft w:val="0"/>
      <w:marRight w:val="0"/>
      <w:marTop w:val="0"/>
      <w:marBottom w:val="0"/>
      <w:divBdr>
        <w:top w:val="none" w:sz="0" w:space="0" w:color="auto"/>
        <w:left w:val="none" w:sz="0" w:space="0" w:color="auto"/>
        <w:bottom w:val="none" w:sz="0" w:space="0" w:color="auto"/>
        <w:right w:val="none" w:sz="0" w:space="0" w:color="auto"/>
      </w:divBdr>
    </w:div>
    <w:div w:id="1001157259">
      <w:bodyDiv w:val="1"/>
      <w:marLeft w:val="0"/>
      <w:marRight w:val="0"/>
      <w:marTop w:val="0"/>
      <w:marBottom w:val="0"/>
      <w:divBdr>
        <w:top w:val="none" w:sz="0" w:space="0" w:color="auto"/>
        <w:left w:val="none" w:sz="0" w:space="0" w:color="auto"/>
        <w:bottom w:val="none" w:sz="0" w:space="0" w:color="auto"/>
        <w:right w:val="none" w:sz="0" w:space="0" w:color="auto"/>
      </w:divBdr>
    </w:div>
    <w:div w:id="1100102381">
      <w:bodyDiv w:val="1"/>
      <w:marLeft w:val="0"/>
      <w:marRight w:val="0"/>
      <w:marTop w:val="0"/>
      <w:marBottom w:val="0"/>
      <w:divBdr>
        <w:top w:val="none" w:sz="0" w:space="0" w:color="auto"/>
        <w:left w:val="none" w:sz="0" w:space="0" w:color="auto"/>
        <w:bottom w:val="none" w:sz="0" w:space="0" w:color="auto"/>
        <w:right w:val="none" w:sz="0" w:space="0" w:color="auto"/>
      </w:divBdr>
    </w:div>
    <w:div w:id="1124888120">
      <w:bodyDiv w:val="1"/>
      <w:marLeft w:val="0"/>
      <w:marRight w:val="0"/>
      <w:marTop w:val="0"/>
      <w:marBottom w:val="0"/>
      <w:divBdr>
        <w:top w:val="none" w:sz="0" w:space="0" w:color="auto"/>
        <w:left w:val="none" w:sz="0" w:space="0" w:color="auto"/>
        <w:bottom w:val="none" w:sz="0" w:space="0" w:color="auto"/>
        <w:right w:val="none" w:sz="0" w:space="0" w:color="auto"/>
      </w:divBdr>
    </w:div>
    <w:div w:id="1190875133">
      <w:bodyDiv w:val="1"/>
      <w:marLeft w:val="0"/>
      <w:marRight w:val="0"/>
      <w:marTop w:val="0"/>
      <w:marBottom w:val="0"/>
      <w:divBdr>
        <w:top w:val="none" w:sz="0" w:space="0" w:color="auto"/>
        <w:left w:val="none" w:sz="0" w:space="0" w:color="auto"/>
        <w:bottom w:val="none" w:sz="0" w:space="0" w:color="auto"/>
        <w:right w:val="none" w:sz="0" w:space="0" w:color="auto"/>
      </w:divBdr>
    </w:div>
    <w:div w:id="1254508040">
      <w:bodyDiv w:val="1"/>
      <w:marLeft w:val="0"/>
      <w:marRight w:val="0"/>
      <w:marTop w:val="0"/>
      <w:marBottom w:val="0"/>
      <w:divBdr>
        <w:top w:val="none" w:sz="0" w:space="0" w:color="auto"/>
        <w:left w:val="none" w:sz="0" w:space="0" w:color="auto"/>
        <w:bottom w:val="none" w:sz="0" w:space="0" w:color="auto"/>
        <w:right w:val="none" w:sz="0" w:space="0" w:color="auto"/>
      </w:divBdr>
    </w:div>
    <w:div w:id="1258171080">
      <w:bodyDiv w:val="1"/>
      <w:marLeft w:val="0"/>
      <w:marRight w:val="0"/>
      <w:marTop w:val="0"/>
      <w:marBottom w:val="0"/>
      <w:divBdr>
        <w:top w:val="none" w:sz="0" w:space="0" w:color="auto"/>
        <w:left w:val="none" w:sz="0" w:space="0" w:color="auto"/>
        <w:bottom w:val="none" w:sz="0" w:space="0" w:color="auto"/>
        <w:right w:val="none" w:sz="0" w:space="0" w:color="auto"/>
      </w:divBdr>
    </w:div>
    <w:div w:id="1280918452">
      <w:bodyDiv w:val="1"/>
      <w:marLeft w:val="0"/>
      <w:marRight w:val="0"/>
      <w:marTop w:val="0"/>
      <w:marBottom w:val="0"/>
      <w:divBdr>
        <w:top w:val="none" w:sz="0" w:space="0" w:color="auto"/>
        <w:left w:val="none" w:sz="0" w:space="0" w:color="auto"/>
        <w:bottom w:val="none" w:sz="0" w:space="0" w:color="auto"/>
        <w:right w:val="none" w:sz="0" w:space="0" w:color="auto"/>
      </w:divBdr>
    </w:div>
    <w:div w:id="1281762127">
      <w:bodyDiv w:val="1"/>
      <w:marLeft w:val="0"/>
      <w:marRight w:val="0"/>
      <w:marTop w:val="0"/>
      <w:marBottom w:val="0"/>
      <w:divBdr>
        <w:top w:val="none" w:sz="0" w:space="0" w:color="auto"/>
        <w:left w:val="none" w:sz="0" w:space="0" w:color="auto"/>
        <w:bottom w:val="none" w:sz="0" w:space="0" w:color="auto"/>
        <w:right w:val="none" w:sz="0" w:space="0" w:color="auto"/>
      </w:divBdr>
    </w:div>
    <w:div w:id="1322274991">
      <w:bodyDiv w:val="1"/>
      <w:marLeft w:val="0"/>
      <w:marRight w:val="0"/>
      <w:marTop w:val="0"/>
      <w:marBottom w:val="0"/>
      <w:divBdr>
        <w:top w:val="none" w:sz="0" w:space="0" w:color="auto"/>
        <w:left w:val="none" w:sz="0" w:space="0" w:color="auto"/>
        <w:bottom w:val="none" w:sz="0" w:space="0" w:color="auto"/>
        <w:right w:val="none" w:sz="0" w:space="0" w:color="auto"/>
      </w:divBdr>
    </w:div>
    <w:div w:id="1350762931">
      <w:bodyDiv w:val="1"/>
      <w:marLeft w:val="0"/>
      <w:marRight w:val="0"/>
      <w:marTop w:val="0"/>
      <w:marBottom w:val="0"/>
      <w:divBdr>
        <w:top w:val="none" w:sz="0" w:space="0" w:color="auto"/>
        <w:left w:val="none" w:sz="0" w:space="0" w:color="auto"/>
        <w:bottom w:val="none" w:sz="0" w:space="0" w:color="auto"/>
        <w:right w:val="none" w:sz="0" w:space="0" w:color="auto"/>
      </w:divBdr>
    </w:div>
    <w:div w:id="1406415404">
      <w:bodyDiv w:val="1"/>
      <w:marLeft w:val="0"/>
      <w:marRight w:val="0"/>
      <w:marTop w:val="0"/>
      <w:marBottom w:val="0"/>
      <w:divBdr>
        <w:top w:val="none" w:sz="0" w:space="0" w:color="auto"/>
        <w:left w:val="none" w:sz="0" w:space="0" w:color="auto"/>
        <w:bottom w:val="none" w:sz="0" w:space="0" w:color="auto"/>
        <w:right w:val="none" w:sz="0" w:space="0" w:color="auto"/>
      </w:divBdr>
    </w:div>
    <w:div w:id="1444882427">
      <w:bodyDiv w:val="1"/>
      <w:marLeft w:val="0"/>
      <w:marRight w:val="0"/>
      <w:marTop w:val="0"/>
      <w:marBottom w:val="0"/>
      <w:divBdr>
        <w:top w:val="none" w:sz="0" w:space="0" w:color="auto"/>
        <w:left w:val="none" w:sz="0" w:space="0" w:color="auto"/>
        <w:bottom w:val="none" w:sz="0" w:space="0" w:color="auto"/>
        <w:right w:val="none" w:sz="0" w:space="0" w:color="auto"/>
      </w:divBdr>
    </w:div>
    <w:div w:id="1452938491">
      <w:bodyDiv w:val="1"/>
      <w:marLeft w:val="0"/>
      <w:marRight w:val="0"/>
      <w:marTop w:val="0"/>
      <w:marBottom w:val="0"/>
      <w:divBdr>
        <w:top w:val="none" w:sz="0" w:space="0" w:color="auto"/>
        <w:left w:val="none" w:sz="0" w:space="0" w:color="auto"/>
        <w:bottom w:val="none" w:sz="0" w:space="0" w:color="auto"/>
        <w:right w:val="none" w:sz="0" w:space="0" w:color="auto"/>
      </w:divBdr>
    </w:div>
    <w:div w:id="1472672051">
      <w:bodyDiv w:val="1"/>
      <w:marLeft w:val="0"/>
      <w:marRight w:val="0"/>
      <w:marTop w:val="0"/>
      <w:marBottom w:val="0"/>
      <w:divBdr>
        <w:top w:val="none" w:sz="0" w:space="0" w:color="auto"/>
        <w:left w:val="none" w:sz="0" w:space="0" w:color="auto"/>
        <w:bottom w:val="none" w:sz="0" w:space="0" w:color="auto"/>
        <w:right w:val="none" w:sz="0" w:space="0" w:color="auto"/>
      </w:divBdr>
    </w:div>
    <w:div w:id="1478062299">
      <w:bodyDiv w:val="1"/>
      <w:marLeft w:val="0"/>
      <w:marRight w:val="0"/>
      <w:marTop w:val="0"/>
      <w:marBottom w:val="0"/>
      <w:divBdr>
        <w:top w:val="none" w:sz="0" w:space="0" w:color="auto"/>
        <w:left w:val="none" w:sz="0" w:space="0" w:color="auto"/>
        <w:bottom w:val="none" w:sz="0" w:space="0" w:color="auto"/>
        <w:right w:val="none" w:sz="0" w:space="0" w:color="auto"/>
      </w:divBdr>
    </w:div>
    <w:div w:id="1498227219">
      <w:bodyDiv w:val="1"/>
      <w:marLeft w:val="0"/>
      <w:marRight w:val="0"/>
      <w:marTop w:val="0"/>
      <w:marBottom w:val="0"/>
      <w:divBdr>
        <w:top w:val="none" w:sz="0" w:space="0" w:color="auto"/>
        <w:left w:val="none" w:sz="0" w:space="0" w:color="auto"/>
        <w:bottom w:val="none" w:sz="0" w:space="0" w:color="auto"/>
        <w:right w:val="none" w:sz="0" w:space="0" w:color="auto"/>
      </w:divBdr>
    </w:div>
    <w:div w:id="1508210772">
      <w:bodyDiv w:val="1"/>
      <w:marLeft w:val="0"/>
      <w:marRight w:val="0"/>
      <w:marTop w:val="0"/>
      <w:marBottom w:val="0"/>
      <w:divBdr>
        <w:top w:val="none" w:sz="0" w:space="0" w:color="auto"/>
        <w:left w:val="none" w:sz="0" w:space="0" w:color="auto"/>
        <w:bottom w:val="none" w:sz="0" w:space="0" w:color="auto"/>
        <w:right w:val="none" w:sz="0" w:space="0" w:color="auto"/>
      </w:divBdr>
    </w:div>
    <w:div w:id="1580099045">
      <w:bodyDiv w:val="1"/>
      <w:marLeft w:val="0"/>
      <w:marRight w:val="0"/>
      <w:marTop w:val="0"/>
      <w:marBottom w:val="0"/>
      <w:divBdr>
        <w:top w:val="none" w:sz="0" w:space="0" w:color="auto"/>
        <w:left w:val="none" w:sz="0" w:space="0" w:color="auto"/>
        <w:bottom w:val="none" w:sz="0" w:space="0" w:color="auto"/>
        <w:right w:val="none" w:sz="0" w:space="0" w:color="auto"/>
      </w:divBdr>
    </w:div>
    <w:div w:id="1605068482">
      <w:bodyDiv w:val="1"/>
      <w:marLeft w:val="0"/>
      <w:marRight w:val="0"/>
      <w:marTop w:val="0"/>
      <w:marBottom w:val="0"/>
      <w:divBdr>
        <w:top w:val="none" w:sz="0" w:space="0" w:color="auto"/>
        <w:left w:val="none" w:sz="0" w:space="0" w:color="auto"/>
        <w:bottom w:val="none" w:sz="0" w:space="0" w:color="auto"/>
        <w:right w:val="none" w:sz="0" w:space="0" w:color="auto"/>
      </w:divBdr>
    </w:div>
    <w:div w:id="1637485609">
      <w:bodyDiv w:val="1"/>
      <w:marLeft w:val="0"/>
      <w:marRight w:val="0"/>
      <w:marTop w:val="0"/>
      <w:marBottom w:val="0"/>
      <w:divBdr>
        <w:top w:val="none" w:sz="0" w:space="0" w:color="auto"/>
        <w:left w:val="none" w:sz="0" w:space="0" w:color="auto"/>
        <w:bottom w:val="none" w:sz="0" w:space="0" w:color="auto"/>
        <w:right w:val="none" w:sz="0" w:space="0" w:color="auto"/>
      </w:divBdr>
    </w:div>
    <w:div w:id="1776558587">
      <w:bodyDiv w:val="1"/>
      <w:marLeft w:val="0"/>
      <w:marRight w:val="0"/>
      <w:marTop w:val="0"/>
      <w:marBottom w:val="0"/>
      <w:divBdr>
        <w:top w:val="none" w:sz="0" w:space="0" w:color="auto"/>
        <w:left w:val="none" w:sz="0" w:space="0" w:color="auto"/>
        <w:bottom w:val="none" w:sz="0" w:space="0" w:color="auto"/>
        <w:right w:val="none" w:sz="0" w:space="0" w:color="auto"/>
      </w:divBdr>
    </w:div>
    <w:div w:id="1816947104">
      <w:bodyDiv w:val="1"/>
      <w:marLeft w:val="0"/>
      <w:marRight w:val="0"/>
      <w:marTop w:val="0"/>
      <w:marBottom w:val="0"/>
      <w:divBdr>
        <w:top w:val="none" w:sz="0" w:space="0" w:color="auto"/>
        <w:left w:val="none" w:sz="0" w:space="0" w:color="auto"/>
        <w:bottom w:val="none" w:sz="0" w:space="0" w:color="auto"/>
        <w:right w:val="none" w:sz="0" w:space="0" w:color="auto"/>
      </w:divBdr>
    </w:div>
    <w:div w:id="1864660878">
      <w:bodyDiv w:val="1"/>
      <w:marLeft w:val="0"/>
      <w:marRight w:val="0"/>
      <w:marTop w:val="0"/>
      <w:marBottom w:val="0"/>
      <w:divBdr>
        <w:top w:val="none" w:sz="0" w:space="0" w:color="auto"/>
        <w:left w:val="none" w:sz="0" w:space="0" w:color="auto"/>
        <w:bottom w:val="none" w:sz="0" w:space="0" w:color="auto"/>
        <w:right w:val="none" w:sz="0" w:space="0" w:color="auto"/>
      </w:divBdr>
    </w:div>
    <w:div w:id="1910379945">
      <w:bodyDiv w:val="1"/>
      <w:marLeft w:val="0"/>
      <w:marRight w:val="0"/>
      <w:marTop w:val="0"/>
      <w:marBottom w:val="0"/>
      <w:divBdr>
        <w:top w:val="none" w:sz="0" w:space="0" w:color="auto"/>
        <w:left w:val="none" w:sz="0" w:space="0" w:color="auto"/>
        <w:bottom w:val="none" w:sz="0" w:space="0" w:color="auto"/>
        <w:right w:val="none" w:sz="0" w:space="0" w:color="auto"/>
      </w:divBdr>
    </w:div>
    <w:div w:id="1926189485">
      <w:bodyDiv w:val="1"/>
      <w:marLeft w:val="0"/>
      <w:marRight w:val="0"/>
      <w:marTop w:val="0"/>
      <w:marBottom w:val="0"/>
      <w:divBdr>
        <w:top w:val="none" w:sz="0" w:space="0" w:color="auto"/>
        <w:left w:val="none" w:sz="0" w:space="0" w:color="auto"/>
        <w:bottom w:val="none" w:sz="0" w:space="0" w:color="auto"/>
        <w:right w:val="none" w:sz="0" w:space="0" w:color="auto"/>
      </w:divBdr>
    </w:div>
    <w:div w:id="1926259878">
      <w:bodyDiv w:val="1"/>
      <w:marLeft w:val="0"/>
      <w:marRight w:val="0"/>
      <w:marTop w:val="0"/>
      <w:marBottom w:val="0"/>
      <w:divBdr>
        <w:top w:val="none" w:sz="0" w:space="0" w:color="auto"/>
        <w:left w:val="none" w:sz="0" w:space="0" w:color="auto"/>
        <w:bottom w:val="none" w:sz="0" w:space="0" w:color="auto"/>
        <w:right w:val="none" w:sz="0" w:space="0" w:color="auto"/>
      </w:divBdr>
    </w:div>
    <w:div w:id="1937665455">
      <w:bodyDiv w:val="1"/>
      <w:marLeft w:val="0"/>
      <w:marRight w:val="0"/>
      <w:marTop w:val="0"/>
      <w:marBottom w:val="0"/>
      <w:divBdr>
        <w:top w:val="none" w:sz="0" w:space="0" w:color="auto"/>
        <w:left w:val="none" w:sz="0" w:space="0" w:color="auto"/>
        <w:bottom w:val="none" w:sz="0" w:space="0" w:color="auto"/>
        <w:right w:val="none" w:sz="0" w:space="0" w:color="auto"/>
      </w:divBdr>
    </w:div>
    <w:div w:id="1986279290">
      <w:bodyDiv w:val="1"/>
      <w:marLeft w:val="0"/>
      <w:marRight w:val="0"/>
      <w:marTop w:val="0"/>
      <w:marBottom w:val="0"/>
      <w:divBdr>
        <w:top w:val="none" w:sz="0" w:space="0" w:color="auto"/>
        <w:left w:val="none" w:sz="0" w:space="0" w:color="auto"/>
        <w:bottom w:val="none" w:sz="0" w:space="0" w:color="auto"/>
        <w:right w:val="none" w:sz="0" w:space="0" w:color="auto"/>
      </w:divBdr>
    </w:div>
    <w:div w:id="2020035339">
      <w:bodyDiv w:val="1"/>
      <w:marLeft w:val="0"/>
      <w:marRight w:val="0"/>
      <w:marTop w:val="0"/>
      <w:marBottom w:val="0"/>
      <w:divBdr>
        <w:top w:val="none" w:sz="0" w:space="0" w:color="auto"/>
        <w:left w:val="none" w:sz="0" w:space="0" w:color="auto"/>
        <w:bottom w:val="none" w:sz="0" w:space="0" w:color="auto"/>
        <w:right w:val="none" w:sz="0" w:space="0" w:color="auto"/>
      </w:divBdr>
    </w:div>
    <w:div w:id="2083674629">
      <w:bodyDiv w:val="1"/>
      <w:marLeft w:val="0"/>
      <w:marRight w:val="0"/>
      <w:marTop w:val="0"/>
      <w:marBottom w:val="0"/>
      <w:divBdr>
        <w:top w:val="none" w:sz="0" w:space="0" w:color="auto"/>
        <w:left w:val="none" w:sz="0" w:space="0" w:color="auto"/>
        <w:bottom w:val="none" w:sz="0" w:space="0" w:color="auto"/>
        <w:right w:val="none" w:sz="0" w:space="0" w:color="auto"/>
      </w:divBdr>
    </w:div>
    <w:div w:id="2103528508">
      <w:bodyDiv w:val="1"/>
      <w:marLeft w:val="0"/>
      <w:marRight w:val="0"/>
      <w:marTop w:val="0"/>
      <w:marBottom w:val="0"/>
      <w:divBdr>
        <w:top w:val="none" w:sz="0" w:space="0" w:color="auto"/>
        <w:left w:val="none" w:sz="0" w:space="0" w:color="auto"/>
        <w:bottom w:val="none" w:sz="0" w:space="0" w:color="auto"/>
        <w:right w:val="none" w:sz="0" w:space="0" w:color="auto"/>
      </w:divBdr>
    </w:div>
    <w:div w:id="2104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4B3A-C355-4E21-8973-D5303C72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Ngoc Nguyen Thu (ISFL)</cp:lastModifiedBy>
  <cp:revision>11</cp:revision>
  <cp:lastPrinted>2019-07-10T08:01:00Z</cp:lastPrinted>
  <dcterms:created xsi:type="dcterms:W3CDTF">2022-07-15T03:10:00Z</dcterms:created>
  <dcterms:modified xsi:type="dcterms:W3CDTF">2022-07-19T02:13:00Z</dcterms:modified>
</cp:coreProperties>
</file>