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8081" w14:textId="77777777" w:rsidR="00EF4210" w:rsidRPr="002F5974" w:rsidRDefault="00EF4210" w:rsidP="002F5974">
      <w:pPr>
        <w:spacing w:after="140"/>
        <w:jc w:val="center"/>
        <w:rPr>
          <w:b/>
          <w:sz w:val="28"/>
          <w:szCs w:val="28"/>
          <w:lang w:val="nl-NL"/>
        </w:rPr>
      </w:pPr>
      <w:r w:rsidRPr="002F5974">
        <w:rPr>
          <w:b/>
          <w:sz w:val="28"/>
          <w:szCs w:val="28"/>
          <w:lang w:val="nl-NL"/>
        </w:rPr>
        <w:t>BÁO CÁO CỦA CÔNG TY QUẢN LÝ QUỸ</w:t>
      </w:r>
    </w:p>
    <w:p w14:paraId="6EF79FA4" w14:textId="7BF6DFBC" w:rsidR="003D3446" w:rsidRPr="002F5974" w:rsidRDefault="00092961" w:rsidP="002F5974">
      <w:pPr>
        <w:spacing w:after="140"/>
        <w:jc w:val="center"/>
        <w:rPr>
          <w:b/>
          <w:sz w:val="28"/>
          <w:szCs w:val="28"/>
          <w:lang w:val="nl-NL"/>
        </w:rPr>
      </w:pPr>
      <w:r w:rsidRPr="002F5974">
        <w:rPr>
          <w:b/>
          <w:sz w:val="28"/>
          <w:szCs w:val="28"/>
          <w:lang w:val="nl-NL"/>
        </w:rPr>
        <w:t>Qúy I</w:t>
      </w:r>
      <w:r w:rsidR="00C8597A" w:rsidRPr="002F5974">
        <w:rPr>
          <w:b/>
          <w:sz w:val="28"/>
          <w:szCs w:val="28"/>
          <w:lang w:val="nl-NL"/>
        </w:rPr>
        <w:t>I</w:t>
      </w:r>
      <w:r w:rsidRPr="002F5974">
        <w:rPr>
          <w:b/>
          <w:sz w:val="28"/>
          <w:szCs w:val="28"/>
          <w:lang w:val="nl-NL"/>
        </w:rPr>
        <w:t xml:space="preserve"> n</w:t>
      </w:r>
      <w:r w:rsidR="003D3446" w:rsidRPr="002F5974">
        <w:rPr>
          <w:b/>
          <w:sz w:val="28"/>
          <w:szCs w:val="28"/>
          <w:lang w:val="nl-NL"/>
        </w:rPr>
        <w:t>ăm 20</w:t>
      </w:r>
      <w:r w:rsidR="004E27B1" w:rsidRPr="002F5974">
        <w:rPr>
          <w:b/>
          <w:sz w:val="28"/>
          <w:szCs w:val="28"/>
          <w:lang w:val="nl-NL"/>
        </w:rPr>
        <w:t>2</w:t>
      </w:r>
      <w:r w:rsidR="002C3D78" w:rsidRPr="002F5974">
        <w:rPr>
          <w:b/>
          <w:sz w:val="28"/>
          <w:szCs w:val="28"/>
          <w:lang w:val="nl-NL"/>
        </w:rPr>
        <w:t>2</w:t>
      </w:r>
    </w:p>
    <w:p w14:paraId="283FD975" w14:textId="2F777ACB" w:rsidR="009B6DC5" w:rsidRPr="002F5974" w:rsidRDefault="009B6DC5" w:rsidP="002F5974">
      <w:pPr>
        <w:spacing w:after="140"/>
        <w:jc w:val="center"/>
        <w:rPr>
          <w:i/>
          <w:sz w:val="28"/>
          <w:szCs w:val="28"/>
          <w:lang w:val="nl-NL"/>
        </w:rPr>
      </w:pPr>
      <w:r w:rsidRPr="002F5974">
        <w:rPr>
          <w:i/>
          <w:sz w:val="28"/>
          <w:szCs w:val="28"/>
          <w:lang w:val="nl-NL"/>
        </w:rPr>
        <w:t xml:space="preserve">Qũy </w:t>
      </w:r>
      <w:r w:rsidR="00463110" w:rsidRPr="002F5974">
        <w:rPr>
          <w:i/>
          <w:sz w:val="28"/>
          <w:szCs w:val="28"/>
          <w:lang w:val="nl-NL"/>
        </w:rPr>
        <w:t xml:space="preserve">Hoán đổi danh mục ETF </w:t>
      </w:r>
      <w:r w:rsidR="00E6135E" w:rsidRPr="002F5974">
        <w:rPr>
          <w:i/>
          <w:sz w:val="28"/>
          <w:szCs w:val="28"/>
          <w:lang w:val="nl-NL"/>
        </w:rPr>
        <w:t>DC</w:t>
      </w:r>
      <w:r w:rsidR="00463110" w:rsidRPr="002F5974">
        <w:rPr>
          <w:i/>
          <w:sz w:val="28"/>
          <w:szCs w:val="28"/>
          <w:lang w:val="nl-NL"/>
        </w:rPr>
        <w:t>VFMVN30</w:t>
      </w:r>
    </w:p>
    <w:p w14:paraId="342EB5B7" w14:textId="59596460" w:rsidR="00D9446C" w:rsidRPr="002F5974" w:rsidRDefault="00D9446C" w:rsidP="002F5974">
      <w:pPr>
        <w:spacing w:after="140"/>
        <w:rPr>
          <w:i/>
          <w:sz w:val="28"/>
          <w:szCs w:val="28"/>
          <w:lang w:val="nl-NL"/>
        </w:rPr>
      </w:pPr>
    </w:p>
    <w:p w14:paraId="2CB43B0F" w14:textId="77777777" w:rsidR="007922E7" w:rsidRPr="002F5974" w:rsidRDefault="007922E7" w:rsidP="002F5974">
      <w:pPr>
        <w:pStyle w:val="ListParagraph"/>
        <w:numPr>
          <w:ilvl w:val="0"/>
          <w:numId w:val="1"/>
        </w:numPr>
        <w:spacing w:after="140"/>
        <w:ind w:left="0" w:hanging="540"/>
        <w:rPr>
          <w:rFonts w:ascii="Times New Roman" w:hAnsi="Times New Roman"/>
          <w:b/>
          <w:sz w:val="28"/>
          <w:szCs w:val="28"/>
          <w:lang w:val="en-GB"/>
        </w:rPr>
      </w:pPr>
      <w:r w:rsidRPr="002F5974">
        <w:rPr>
          <w:rFonts w:ascii="Times New Roman" w:hAnsi="Times New Roman"/>
          <w:b/>
          <w:sz w:val="28"/>
          <w:szCs w:val="28"/>
          <w:lang w:val="nl-NL"/>
        </w:rPr>
        <w:t>Thông tin chung về Quỹ</w:t>
      </w:r>
    </w:p>
    <w:p w14:paraId="194A7842" w14:textId="77777777" w:rsidR="007922E7" w:rsidRPr="002F5974" w:rsidRDefault="007922E7" w:rsidP="002F5974">
      <w:pPr>
        <w:pStyle w:val="ListParagraph"/>
        <w:spacing w:after="140"/>
        <w:ind w:left="0"/>
        <w:rPr>
          <w:rFonts w:ascii="Times New Roman" w:hAnsi="Times New Roman"/>
          <w:b/>
          <w:sz w:val="18"/>
          <w:szCs w:val="18"/>
          <w:lang w:val="en-GB"/>
        </w:rPr>
      </w:pPr>
    </w:p>
    <w:p w14:paraId="58F42C3B" w14:textId="77777777" w:rsidR="007922E7" w:rsidRPr="002F5974" w:rsidRDefault="007922E7" w:rsidP="002F5974">
      <w:pPr>
        <w:pStyle w:val="ListParagraph"/>
        <w:numPr>
          <w:ilvl w:val="0"/>
          <w:numId w:val="2"/>
        </w:numPr>
        <w:tabs>
          <w:tab w:val="left" w:pos="540"/>
        </w:tabs>
        <w:spacing w:before="260" w:after="140"/>
        <w:ind w:left="0" w:hanging="540"/>
        <w:rPr>
          <w:rFonts w:ascii="Times New Roman" w:hAnsi="Times New Roman"/>
          <w:b/>
          <w:sz w:val="24"/>
          <w:szCs w:val="24"/>
          <w:lang w:val="nl-NL"/>
        </w:rPr>
      </w:pPr>
      <w:r w:rsidRPr="002F5974">
        <w:rPr>
          <w:rFonts w:ascii="Times New Roman" w:hAnsi="Times New Roman"/>
          <w:b/>
          <w:sz w:val="24"/>
          <w:szCs w:val="24"/>
          <w:lang w:val="nl-NL"/>
        </w:rPr>
        <w:t>Mục tiêu của Quỹ</w:t>
      </w:r>
    </w:p>
    <w:p w14:paraId="2A51AC60" w14:textId="77777777" w:rsidR="007922E7" w:rsidRPr="002F5974" w:rsidRDefault="007922E7" w:rsidP="002F5974">
      <w:pPr>
        <w:tabs>
          <w:tab w:val="left" w:pos="540"/>
        </w:tabs>
        <w:spacing w:before="120"/>
        <w:rPr>
          <w:szCs w:val="22"/>
          <w:lang w:val="nl-NL"/>
        </w:rPr>
      </w:pPr>
      <w:r w:rsidRPr="002F5974">
        <w:rPr>
          <w:szCs w:val="22"/>
          <w:lang w:val="nl-NL"/>
        </w:rPr>
        <w:t>Phù hợp với Giấy chứng nhận đăng ký thành lập Quỹ do UBCKNN cấp, Điều lệ và Bản cáo bạch của Quỹ.</w:t>
      </w:r>
    </w:p>
    <w:p w14:paraId="56CF5025" w14:textId="77777777" w:rsidR="007922E7" w:rsidRPr="002F5974" w:rsidRDefault="007922E7" w:rsidP="002F5974">
      <w:pPr>
        <w:pStyle w:val="ListParagraph"/>
        <w:numPr>
          <w:ilvl w:val="0"/>
          <w:numId w:val="2"/>
        </w:numPr>
        <w:tabs>
          <w:tab w:val="left" w:pos="540"/>
        </w:tabs>
        <w:spacing w:before="260" w:after="140"/>
        <w:ind w:left="0" w:hanging="540"/>
        <w:rPr>
          <w:rFonts w:ascii="Times New Roman" w:hAnsi="Times New Roman"/>
          <w:b/>
          <w:sz w:val="24"/>
          <w:szCs w:val="24"/>
          <w:lang w:val="nl-NL"/>
        </w:rPr>
      </w:pPr>
      <w:r w:rsidRPr="002F5974">
        <w:rPr>
          <w:rFonts w:ascii="Times New Roman" w:hAnsi="Times New Roman"/>
          <w:b/>
          <w:sz w:val="24"/>
          <w:szCs w:val="24"/>
          <w:lang w:val="nl-NL"/>
        </w:rPr>
        <w:t>Hiệu quả hoạt động của Quỹ</w:t>
      </w:r>
    </w:p>
    <w:p w14:paraId="6A428B88" w14:textId="0B345104" w:rsidR="007922E7" w:rsidRPr="002F5974" w:rsidRDefault="00B325D5" w:rsidP="002F5974">
      <w:pPr>
        <w:tabs>
          <w:tab w:val="left" w:pos="540"/>
        </w:tabs>
        <w:spacing w:before="120"/>
        <w:rPr>
          <w:szCs w:val="22"/>
          <w:lang w:val="nl-NL"/>
        </w:rPr>
      </w:pPr>
      <w:r w:rsidRPr="002F5974">
        <w:rPr>
          <w:szCs w:val="22"/>
          <w:lang w:val="nl-NL"/>
        </w:rPr>
        <w:t>K</w:t>
      </w:r>
      <w:r w:rsidR="00566C62" w:rsidRPr="002F5974">
        <w:rPr>
          <w:szCs w:val="22"/>
          <w:lang w:val="nl-NL"/>
        </w:rPr>
        <w:t>ết thúc ngày</w:t>
      </w:r>
      <w:r w:rsidR="00565C56" w:rsidRPr="002F5974">
        <w:rPr>
          <w:szCs w:val="22"/>
          <w:lang w:val="nl-NL"/>
        </w:rPr>
        <w:t xml:space="preserve"> </w:t>
      </w:r>
      <w:r w:rsidR="006B4420" w:rsidRPr="002F5974">
        <w:rPr>
          <w:szCs w:val="22"/>
          <w:lang w:val="nl-NL"/>
        </w:rPr>
        <w:t>3</w:t>
      </w:r>
      <w:r w:rsidR="0068684C" w:rsidRPr="002F5974">
        <w:rPr>
          <w:szCs w:val="22"/>
          <w:lang w:val="nl-NL"/>
        </w:rPr>
        <w:t>0</w:t>
      </w:r>
      <w:r w:rsidR="007922E7" w:rsidRPr="002F5974">
        <w:rPr>
          <w:szCs w:val="22"/>
          <w:lang w:val="nl-NL"/>
        </w:rPr>
        <w:t xml:space="preserve"> tháng </w:t>
      </w:r>
      <w:r w:rsidR="002C3D78" w:rsidRPr="002F5974">
        <w:rPr>
          <w:szCs w:val="22"/>
          <w:lang w:val="nl-NL"/>
        </w:rPr>
        <w:t>0</w:t>
      </w:r>
      <w:r w:rsidR="0068684C" w:rsidRPr="002F5974">
        <w:rPr>
          <w:szCs w:val="22"/>
          <w:lang w:val="nl-NL"/>
        </w:rPr>
        <w:t>6</w:t>
      </w:r>
      <w:r w:rsidR="00F73FE7" w:rsidRPr="002F5974">
        <w:rPr>
          <w:szCs w:val="22"/>
          <w:lang w:val="nl-NL"/>
        </w:rPr>
        <w:t xml:space="preserve"> năm 20</w:t>
      </w:r>
      <w:r w:rsidR="00EC3F05" w:rsidRPr="002F5974">
        <w:rPr>
          <w:szCs w:val="22"/>
          <w:lang w:val="nl-NL"/>
        </w:rPr>
        <w:t>2</w:t>
      </w:r>
      <w:r w:rsidR="002C3D78" w:rsidRPr="002F5974">
        <w:rPr>
          <w:szCs w:val="22"/>
          <w:lang w:val="nl-NL"/>
        </w:rPr>
        <w:t>2</w:t>
      </w:r>
      <w:r w:rsidR="007922E7" w:rsidRPr="002F5974">
        <w:rPr>
          <w:szCs w:val="22"/>
          <w:lang w:val="nl-NL"/>
        </w:rPr>
        <w:t xml:space="preserve">, thay đổi giá trị tài sản ròng (NAV) của Quỹ là </w:t>
      </w:r>
      <w:r w:rsidR="00755572" w:rsidRPr="002F5974">
        <w:rPr>
          <w:szCs w:val="22"/>
          <w:lang w:val="nl-NL"/>
        </w:rPr>
        <w:t>-</w:t>
      </w:r>
      <w:r w:rsidR="00B30862" w:rsidRPr="002F5974">
        <w:rPr>
          <w:szCs w:val="22"/>
          <w:lang w:val="nl-NL"/>
        </w:rPr>
        <w:t>16</w:t>
      </w:r>
      <w:r w:rsidR="00755572" w:rsidRPr="002F5974">
        <w:rPr>
          <w:szCs w:val="22"/>
          <w:lang w:val="nl-NL"/>
        </w:rPr>
        <w:t>.5</w:t>
      </w:r>
      <w:r w:rsidR="00E6135E" w:rsidRPr="002F5974">
        <w:rPr>
          <w:szCs w:val="22"/>
          <w:lang w:val="nl-NL"/>
        </w:rPr>
        <w:t xml:space="preserve">% </w:t>
      </w:r>
      <w:r w:rsidR="007922E7" w:rsidRPr="002F5974">
        <w:rPr>
          <w:szCs w:val="22"/>
          <w:lang w:val="nl-NL"/>
        </w:rPr>
        <w:t>so với giá trị tài sản ròng của quỹ đầu kỳ báo cáo</w:t>
      </w:r>
      <w:r w:rsidR="00F73FE7" w:rsidRPr="002F5974">
        <w:rPr>
          <w:szCs w:val="22"/>
          <w:lang w:val="nl-NL"/>
        </w:rPr>
        <w:t xml:space="preserve"> tại ngày 3</w:t>
      </w:r>
      <w:r w:rsidR="002C3D78" w:rsidRPr="002F5974">
        <w:rPr>
          <w:szCs w:val="22"/>
          <w:lang w:val="nl-NL"/>
        </w:rPr>
        <w:t>1</w:t>
      </w:r>
      <w:r w:rsidR="00F73FE7" w:rsidRPr="002F5974">
        <w:rPr>
          <w:szCs w:val="22"/>
          <w:lang w:val="nl-NL"/>
        </w:rPr>
        <w:t xml:space="preserve"> tháng </w:t>
      </w:r>
      <w:r w:rsidR="00B30862" w:rsidRPr="002F5974">
        <w:rPr>
          <w:szCs w:val="22"/>
          <w:lang w:val="nl-NL"/>
        </w:rPr>
        <w:t>03</w:t>
      </w:r>
      <w:r w:rsidR="0047074A" w:rsidRPr="002F5974">
        <w:rPr>
          <w:szCs w:val="22"/>
          <w:lang w:val="nl-NL"/>
        </w:rPr>
        <w:t xml:space="preserve"> năm 20</w:t>
      </w:r>
      <w:r w:rsidR="004576C1" w:rsidRPr="002F5974">
        <w:rPr>
          <w:szCs w:val="22"/>
          <w:lang w:val="nl-NL"/>
        </w:rPr>
        <w:t>2</w:t>
      </w:r>
      <w:r w:rsidR="00B30862" w:rsidRPr="002F5974">
        <w:rPr>
          <w:szCs w:val="22"/>
          <w:lang w:val="nl-NL"/>
        </w:rPr>
        <w:t>2</w:t>
      </w:r>
      <w:r w:rsidR="007922E7" w:rsidRPr="002F5974">
        <w:rPr>
          <w:szCs w:val="22"/>
          <w:lang w:val="nl-NL"/>
        </w:rPr>
        <w:t xml:space="preserve">; Trong khi giá trị của danh mục của chứng khoán cơ cấu thay đổi là </w:t>
      </w:r>
      <w:r w:rsidR="00755572" w:rsidRPr="002F5974">
        <w:rPr>
          <w:szCs w:val="22"/>
          <w:lang w:val="nl-NL"/>
        </w:rPr>
        <w:t>-1</w:t>
      </w:r>
      <w:r w:rsidR="00B30862" w:rsidRPr="002F5974">
        <w:rPr>
          <w:szCs w:val="22"/>
          <w:lang w:val="nl-NL"/>
        </w:rPr>
        <w:t>6.8</w:t>
      </w:r>
      <w:r w:rsidR="00E6135E" w:rsidRPr="002F5974">
        <w:rPr>
          <w:szCs w:val="22"/>
          <w:lang w:val="nl-NL"/>
        </w:rPr>
        <w:t>%</w:t>
      </w:r>
      <w:r w:rsidR="007922E7" w:rsidRPr="002F5974">
        <w:rPr>
          <w:szCs w:val="22"/>
          <w:lang w:val="nl-NL"/>
        </w:rPr>
        <w:t xml:space="preserve">, thay đổi của chỉ số tham chiếu là </w:t>
      </w:r>
      <w:r w:rsidR="00755572" w:rsidRPr="002F5974">
        <w:rPr>
          <w:szCs w:val="22"/>
          <w:lang w:val="nl-NL"/>
        </w:rPr>
        <w:t>-1</w:t>
      </w:r>
      <w:r w:rsidR="00B30862" w:rsidRPr="002F5974">
        <w:rPr>
          <w:szCs w:val="22"/>
          <w:lang w:val="nl-NL"/>
        </w:rPr>
        <w:t>6.8</w:t>
      </w:r>
      <w:r w:rsidR="00E6135E" w:rsidRPr="002F5974">
        <w:rPr>
          <w:szCs w:val="22"/>
          <w:lang w:val="nl-NL"/>
        </w:rPr>
        <w:t>%</w:t>
      </w:r>
      <w:r w:rsidR="007922E7" w:rsidRPr="002F5974">
        <w:rPr>
          <w:szCs w:val="22"/>
          <w:lang w:val="nl-NL"/>
        </w:rPr>
        <w:t>.</w:t>
      </w:r>
    </w:p>
    <w:p w14:paraId="2D01A3EF" w14:textId="77777777" w:rsidR="007922E7" w:rsidRPr="002F5974" w:rsidRDefault="007922E7" w:rsidP="002F5974">
      <w:pPr>
        <w:pStyle w:val="ListParagraph"/>
        <w:numPr>
          <w:ilvl w:val="0"/>
          <w:numId w:val="2"/>
        </w:numPr>
        <w:tabs>
          <w:tab w:val="left" w:pos="540"/>
        </w:tabs>
        <w:spacing w:before="260" w:after="140"/>
        <w:ind w:left="0" w:hanging="540"/>
        <w:rPr>
          <w:rFonts w:ascii="Times New Roman" w:hAnsi="Times New Roman"/>
          <w:b/>
          <w:sz w:val="24"/>
          <w:szCs w:val="24"/>
          <w:lang w:val="nl-NL"/>
        </w:rPr>
      </w:pPr>
      <w:r w:rsidRPr="002F5974">
        <w:rPr>
          <w:rFonts w:ascii="Times New Roman" w:hAnsi="Times New Roman"/>
          <w:b/>
          <w:sz w:val="24"/>
          <w:szCs w:val="24"/>
          <w:lang w:val="nl-NL"/>
        </w:rPr>
        <w:t>Chính sách và chiến lược đầu tư của Quỹ</w:t>
      </w:r>
    </w:p>
    <w:p w14:paraId="32FAD23B" w14:textId="77777777" w:rsidR="007922E7" w:rsidRPr="002F5974" w:rsidRDefault="007922E7" w:rsidP="002F5974">
      <w:pPr>
        <w:tabs>
          <w:tab w:val="left" w:pos="540"/>
        </w:tabs>
        <w:spacing w:before="120"/>
        <w:rPr>
          <w:szCs w:val="22"/>
        </w:rPr>
      </w:pPr>
      <w:proofErr w:type="spellStart"/>
      <w:r w:rsidRPr="002F5974">
        <w:rPr>
          <w:szCs w:val="22"/>
          <w:lang w:val="fr-FR"/>
        </w:rPr>
        <w:t>Mục</w:t>
      </w:r>
      <w:proofErr w:type="spellEnd"/>
      <w:r w:rsidRPr="002F5974">
        <w:rPr>
          <w:szCs w:val="22"/>
          <w:lang w:val="fr-FR"/>
        </w:rPr>
        <w:t xml:space="preserve"> </w:t>
      </w:r>
      <w:proofErr w:type="spellStart"/>
      <w:r w:rsidRPr="002F5974">
        <w:rPr>
          <w:szCs w:val="22"/>
          <w:lang w:val="fr-FR"/>
        </w:rPr>
        <w:t>tiêu</w:t>
      </w:r>
      <w:proofErr w:type="spellEnd"/>
      <w:r w:rsidRPr="002F5974">
        <w:rPr>
          <w:szCs w:val="22"/>
          <w:lang w:val="fr-FR"/>
        </w:rPr>
        <w:t xml:space="preserve"> </w:t>
      </w:r>
      <w:proofErr w:type="spellStart"/>
      <w:r w:rsidRPr="002F5974">
        <w:rPr>
          <w:szCs w:val="22"/>
          <w:lang w:val="fr-FR"/>
        </w:rPr>
        <w:t>của</w:t>
      </w:r>
      <w:proofErr w:type="spellEnd"/>
      <w:r w:rsidRPr="002F5974">
        <w:rPr>
          <w:szCs w:val="22"/>
          <w:lang w:val="fr-FR"/>
        </w:rPr>
        <w:t xml:space="preserve"> Quỹ </w:t>
      </w:r>
      <w:proofErr w:type="spellStart"/>
      <w:r w:rsidRPr="002F5974">
        <w:rPr>
          <w:szCs w:val="22"/>
        </w:rPr>
        <w:t>là</w:t>
      </w:r>
      <w:proofErr w:type="spellEnd"/>
      <w:r w:rsidRPr="002F5974">
        <w:rPr>
          <w:szCs w:val="22"/>
        </w:rPr>
        <w:t xml:space="preserve"> </w:t>
      </w:r>
      <w:proofErr w:type="spellStart"/>
      <w:r w:rsidRPr="002F5974">
        <w:rPr>
          <w:szCs w:val="22"/>
        </w:rPr>
        <w:t>mô</w:t>
      </w:r>
      <w:proofErr w:type="spellEnd"/>
      <w:r w:rsidRPr="002F5974">
        <w:rPr>
          <w:szCs w:val="22"/>
        </w:rPr>
        <w:t xml:space="preserve"> </w:t>
      </w:r>
      <w:proofErr w:type="spellStart"/>
      <w:r w:rsidRPr="002F5974">
        <w:rPr>
          <w:szCs w:val="22"/>
        </w:rPr>
        <w:t>phỏng</w:t>
      </w:r>
      <w:proofErr w:type="spellEnd"/>
      <w:r w:rsidRPr="002F5974">
        <w:rPr>
          <w:szCs w:val="22"/>
        </w:rPr>
        <w:t xml:space="preserve"> </w:t>
      </w:r>
      <w:proofErr w:type="spellStart"/>
      <w:r w:rsidRPr="002F5974">
        <w:rPr>
          <w:szCs w:val="22"/>
        </w:rPr>
        <w:t>gần</w:t>
      </w:r>
      <w:proofErr w:type="spellEnd"/>
      <w:r w:rsidRPr="002F5974">
        <w:rPr>
          <w:szCs w:val="22"/>
        </w:rPr>
        <w:t xml:space="preserve"> </w:t>
      </w:r>
      <w:proofErr w:type="spellStart"/>
      <w:r w:rsidRPr="002F5974">
        <w:rPr>
          <w:szCs w:val="22"/>
        </w:rPr>
        <w:t>nhất</w:t>
      </w:r>
      <w:proofErr w:type="spellEnd"/>
      <w:r w:rsidRPr="002F5974">
        <w:rPr>
          <w:szCs w:val="22"/>
        </w:rPr>
        <w:t xml:space="preserve"> </w:t>
      </w:r>
      <w:proofErr w:type="spellStart"/>
      <w:r w:rsidRPr="002F5974">
        <w:rPr>
          <w:szCs w:val="22"/>
        </w:rPr>
        <w:t>có</w:t>
      </w:r>
      <w:proofErr w:type="spellEnd"/>
      <w:r w:rsidRPr="002F5974">
        <w:rPr>
          <w:szCs w:val="22"/>
        </w:rPr>
        <w:t xml:space="preserve"> </w:t>
      </w:r>
      <w:proofErr w:type="spellStart"/>
      <w:r w:rsidRPr="002F5974">
        <w:rPr>
          <w:szCs w:val="22"/>
        </w:rPr>
        <w:t>thể</w:t>
      </w:r>
      <w:proofErr w:type="spellEnd"/>
      <w:r w:rsidRPr="002F5974">
        <w:rPr>
          <w:szCs w:val="22"/>
        </w:rPr>
        <w:t xml:space="preserve"> </w:t>
      </w:r>
      <w:proofErr w:type="spellStart"/>
      <w:r w:rsidRPr="002F5974">
        <w:rPr>
          <w:szCs w:val="22"/>
        </w:rPr>
        <w:t>về</w:t>
      </w:r>
      <w:proofErr w:type="spellEnd"/>
      <w:r w:rsidRPr="002F5974">
        <w:rPr>
          <w:szCs w:val="22"/>
        </w:rPr>
        <w:t xml:space="preserve"> </w:t>
      </w:r>
      <w:proofErr w:type="spellStart"/>
      <w:r w:rsidRPr="002F5974">
        <w:rPr>
          <w:szCs w:val="22"/>
        </w:rPr>
        <w:t>biến</w:t>
      </w:r>
      <w:proofErr w:type="spellEnd"/>
      <w:r w:rsidRPr="002F5974">
        <w:rPr>
          <w:szCs w:val="22"/>
        </w:rPr>
        <w:t xml:space="preserve"> </w:t>
      </w:r>
      <w:proofErr w:type="spellStart"/>
      <w:r w:rsidRPr="002F5974">
        <w:rPr>
          <w:szCs w:val="22"/>
        </w:rPr>
        <w:t>động</w:t>
      </w:r>
      <w:proofErr w:type="spellEnd"/>
      <w:r w:rsidRPr="002F5974">
        <w:rPr>
          <w:szCs w:val="22"/>
        </w:rPr>
        <w:t xml:space="preserve"> (performance) </w:t>
      </w:r>
      <w:proofErr w:type="spellStart"/>
      <w:r w:rsidRPr="002F5974">
        <w:rPr>
          <w:szCs w:val="22"/>
        </w:rPr>
        <w:t>của</w:t>
      </w:r>
      <w:proofErr w:type="spellEnd"/>
      <w:r w:rsidRPr="002F5974">
        <w:rPr>
          <w:szCs w:val="22"/>
        </w:rPr>
        <w:t xml:space="preserve"> </w:t>
      </w:r>
      <w:proofErr w:type="spellStart"/>
      <w:r w:rsidRPr="002F5974">
        <w:rPr>
          <w:szCs w:val="22"/>
        </w:rPr>
        <w:t>chỉ</w:t>
      </w:r>
      <w:proofErr w:type="spellEnd"/>
      <w:r w:rsidRPr="002F5974">
        <w:rPr>
          <w:szCs w:val="22"/>
        </w:rPr>
        <w:t xml:space="preserve"> </w:t>
      </w:r>
      <w:proofErr w:type="spellStart"/>
      <w:r w:rsidRPr="002F5974">
        <w:rPr>
          <w:szCs w:val="22"/>
        </w:rPr>
        <w:t>số</w:t>
      </w:r>
      <w:proofErr w:type="spellEnd"/>
      <w:r w:rsidRPr="002F5974">
        <w:rPr>
          <w:szCs w:val="22"/>
        </w:rPr>
        <w:t xml:space="preserve"> </w:t>
      </w:r>
      <w:proofErr w:type="spellStart"/>
      <w:r w:rsidRPr="002F5974">
        <w:rPr>
          <w:szCs w:val="22"/>
        </w:rPr>
        <w:t>tổng</w:t>
      </w:r>
      <w:proofErr w:type="spellEnd"/>
      <w:r w:rsidRPr="002F5974">
        <w:rPr>
          <w:szCs w:val="22"/>
        </w:rPr>
        <w:t xml:space="preserve"> </w:t>
      </w:r>
      <w:proofErr w:type="spellStart"/>
      <w:r w:rsidRPr="002F5974">
        <w:rPr>
          <w:szCs w:val="22"/>
        </w:rPr>
        <w:t>thu</w:t>
      </w:r>
      <w:proofErr w:type="spellEnd"/>
      <w:r w:rsidRPr="002F5974">
        <w:rPr>
          <w:szCs w:val="22"/>
        </w:rPr>
        <w:t xml:space="preserve"> </w:t>
      </w:r>
      <w:proofErr w:type="spellStart"/>
      <w:r w:rsidRPr="002F5974">
        <w:rPr>
          <w:szCs w:val="22"/>
        </w:rPr>
        <w:t>nhập</w:t>
      </w:r>
      <w:proofErr w:type="spellEnd"/>
      <w:r w:rsidRPr="002F5974">
        <w:rPr>
          <w:szCs w:val="22"/>
        </w:rPr>
        <w:t xml:space="preserve"> VN30 (VN30-TRI) </w:t>
      </w:r>
      <w:proofErr w:type="spellStart"/>
      <w:r w:rsidRPr="002F5974">
        <w:rPr>
          <w:szCs w:val="22"/>
        </w:rPr>
        <w:t>sau</w:t>
      </w:r>
      <w:proofErr w:type="spellEnd"/>
      <w:r w:rsidRPr="002F5974">
        <w:rPr>
          <w:szCs w:val="22"/>
        </w:rPr>
        <w:t xml:space="preserve"> </w:t>
      </w:r>
      <w:proofErr w:type="spellStart"/>
      <w:r w:rsidRPr="002F5974">
        <w:rPr>
          <w:szCs w:val="22"/>
        </w:rPr>
        <w:t>khi</w:t>
      </w:r>
      <w:proofErr w:type="spellEnd"/>
      <w:r w:rsidRPr="002F5974">
        <w:rPr>
          <w:szCs w:val="22"/>
        </w:rPr>
        <w:t xml:space="preserve"> </w:t>
      </w:r>
      <w:proofErr w:type="spellStart"/>
      <w:r w:rsidRPr="002F5974">
        <w:rPr>
          <w:szCs w:val="22"/>
        </w:rPr>
        <w:t>trừ</w:t>
      </w:r>
      <w:proofErr w:type="spellEnd"/>
      <w:r w:rsidRPr="002F5974">
        <w:rPr>
          <w:szCs w:val="22"/>
        </w:rPr>
        <w:t xml:space="preserve"> </w:t>
      </w:r>
      <w:proofErr w:type="spellStart"/>
      <w:r w:rsidRPr="002F5974">
        <w:rPr>
          <w:szCs w:val="22"/>
        </w:rPr>
        <w:t>đi</w:t>
      </w:r>
      <w:proofErr w:type="spellEnd"/>
      <w:r w:rsidRPr="002F5974">
        <w:rPr>
          <w:szCs w:val="22"/>
        </w:rPr>
        <w:t xml:space="preserve"> chi </w:t>
      </w:r>
      <w:proofErr w:type="spellStart"/>
      <w:r w:rsidRPr="002F5974">
        <w:rPr>
          <w:szCs w:val="22"/>
        </w:rPr>
        <w:t>phí</w:t>
      </w:r>
      <w:proofErr w:type="spellEnd"/>
      <w:r w:rsidRPr="002F5974">
        <w:rPr>
          <w:szCs w:val="22"/>
        </w:rPr>
        <w:t xml:space="preserve"> </w:t>
      </w:r>
      <w:proofErr w:type="spellStart"/>
      <w:r w:rsidRPr="002F5974">
        <w:rPr>
          <w:szCs w:val="22"/>
        </w:rPr>
        <w:t>của</w:t>
      </w:r>
      <w:proofErr w:type="spellEnd"/>
      <w:r w:rsidRPr="002F5974">
        <w:rPr>
          <w:szCs w:val="22"/>
        </w:rPr>
        <w:t xml:space="preserve"> Quỹ.  </w:t>
      </w:r>
      <w:proofErr w:type="spellStart"/>
      <w:r w:rsidRPr="002F5974">
        <w:rPr>
          <w:szCs w:val="22"/>
        </w:rPr>
        <w:t>Chỉ</w:t>
      </w:r>
      <w:proofErr w:type="spellEnd"/>
      <w:r w:rsidRPr="002F5974">
        <w:rPr>
          <w:szCs w:val="22"/>
        </w:rPr>
        <w:t xml:space="preserve"> </w:t>
      </w:r>
      <w:proofErr w:type="spellStart"/>
      <w:r w:rsidRPr="002F5974">
        <w:rPr>
          <w:szCs w:val="22"/>
        </w:rPr>
        <w:t>số</w:t>
      </w:r>
      <w:proofErr w:type="spellEnd"/>
      <w:r w:rsidRPr="002F5974">
        <w:rPr>
          <w:szCs w:val="22"/>
        </w:rPr>
        <w:t xml:space="preserve"> VN30-TRI </w:t>
      </w:r>
      <w:proofErr w:type="spellStart"/>
      <w:r w:rsidRPr="002F5974">
        <w:rPr>
          <w:szCs w:val="22"/>
        </w:rPr>
        <w:t>là</w:t>
      </w:r>
      <w:proofErr w:type="spellEnd"/>
      <w:r w:rsidRPr="002F5974">
        <w:rPr>
          <w:szCs w:val="22"/>
        </w:rPr>
        <w:t xml:space="preserve"> </w:t>
      </w:r>
      <w:proofErr w:type="spellStart"/>
      <w:r w:rsidRPr="002F5974">
        <w:rPr>
          <w:szCs w:val="22"/>
        </w:rPr>
        <w:t>chỉ</w:t>
      </w:r>
      <w:proofErr w:type="spellEnd"/>
      <w:r w:rsidRPr="002F5974">
        <w:rPr>
          <w:szCs w:val="22"/>
        </w:rPr>
        <w:t xml:space="preserve"> </w:t>
      </w:r>
      <w:proofErr w:type="spellStart"/>
      <w:r w:rsidRPr="002F5974">
        <w:rPr>
          <w:szCs w:val="22"/>
        </w:rPr>
        <w:t>số</w:t>
      </w:r>
      <w:proofErr w:type="spellEnd"/>
      <w:r w:rsidRPr="002F5974">
        <w:rPr>
          <w:szCs w:val="22"/>
        </w:rPr>
        <w:t xml:space="preserve"> </w:t>
      </w:r>
      <w:proofErr w:type="spellStart"/>
      <w:r w:rsidRPr="002F5974">
        <w:rPr>
          <w:szCs w:val="22"/>
        </w:rPr>
        <w:t>tổng</w:t>
      </w:r>
      <w:proofErr w:type="spellEnd"/>
      <w:r w:rsidRPr="002F5974">
        <w:rPr>
          <w:szCs w:val="22"/>
        </w:rPr>
        <w:t xml:space="preserve"> </w:t>
      </w:r>
      <w:proofErr w:type="spellStart"/>
      <w:r w:rsidRPr="002F5974">
        <w:rPr>
          <w:szCs w:val="22"/>
        </w:rPr>
        <w:t>thu</w:t>
      </w:r>
      <w:proofErr w:type="spellEnd"/>
      <w:r w:rsidRPr="002F5974">
        <w:rPr>
          <w:szCs w:val="22"/>
        </w:rPr>
        <w:t xml:space="preserve"> </w:t>
      </w:r>
      <w:proofErr w:type="spellStart"/>
      <w:r w:rsidRPr="002F5974">
        <w:rPr>
          <w:szCs w:val="22"/>
        </w:rPr>
        <w:t>nhập</w:t>
      </w:r>
      <w:proofErr w:type="spellEnd"/>
      <w:r w:rsidRPr="002F5974">
        <w:rPr>
          <w:szCs w:val="22"/>
        </w:rPr>
        <w:t xml:space="preserve"> (total return index) do </w:t>
      </w:r>
      <w:proofErr w:type="spellStart"/>
      <w:r w:rsidRPr="002F5974">
        <w:rPr>
          <w:szCs w:val="22"/>
        </w:rPr>
        <w:t>Sở</w:t>
      </w:r>
      <w:proofErr w:type="spellEnd"/>
      <w:r w:rsidRPr="002F5974">
        <w:rPr>
          <w:szCs w:val="22"/>
        </w:rPr>
        <w:t xml:space="preserve"> Giao </w:t>
      </w:r>
      <w:proofErr w:type="spellStart"/>
      <w:r w:rsidRPr="002F5974">
        <w:rPr>
          <w:szCs w:val="22"/>
        </w:rPr>
        <w:t>dịch</w:t>
      </w:r>
      <w:proofErr w:type="spellEnd"/>
      <w:r w:rsidRPr="002F5974">
        <w:rPr>
          <w:szCs w:val="22"/>
        </w:rPr>
        <w:t xml:space="preserve"> </w:t>
      </w:r>
      <w:r w:rsidRPr="002F5974">
        <w:rPr>
          <w:szCs w:val="22"/>
          <w:lang w:val="nl-NL"/>
        </w:rPr>
        <w:t>Chứng</w:t>
      </w:r>
      <w:r w:rsidRPr="002F5974">
        <w:rPr>
          <w:szCs w:val="22"/>
        </w:rPr>
        <w:t xml:space="preserve"> </w:t>
      </w:r>
      <w:proofErr w:type="spellStart"/>
      <w:r w:rsidRPr="002F5974">
        <w:rPr>
          <w:szCs w:val="22"/>
        </w:rPr>
        <w:t>khoán</w:t>
      </w:r>
      <w:proofErr w:type="spellEnd"/>
      <w:r w:rsidRPr="002F5974">
        <w:rPr>
          <w:szCs w:val="22"/>
        </w:rPr>
        <w:t xml:space="preserve"> </w:t>
      </w:r>
      <w:proofErr w:type="spellStart"/>
      <w:r w:rsidRPr="002F5974">
        <w:rPr>
          <w:szCs w:val="22"/>
        </w:rPr>
        <w:t>Thành</w:t>
      </w:r>
      <w:proofErr w:type="spellEnd"/>
      <w:r w:rsidRPr="002F5974">
        <w:rPr>
          <w:szCs w:val="22"/>
        </w:rPr>
        <w:t xml:space="preserve"> </w:t>
      </w:r>
      <w:proofErr w:type="spellStart"/>
      <w:r w:rsidRPr="002F5974">
        <w:rPr>
          <w:szCs w:val="22"/>
        </w:rPr>
        <w:t>phố</w:t>
      </w:r>
      <w:proofErr w:type="spellEnd"/>
      <w:r w:rsidRPr="002F5974">
        <w:rPr>
          <w:szCs w:val="22"/>
        </w:rPr>
        <w:t xml:space="preserve"> </w:t>
      </w:r>
      <w:proofErr w:type="spellStart"/>
      <w:r w:rsidRPr="002F5974">
        <w:rPr>
          <w:szCs w:val="22"/>
        </w:rPr>
        <w:t>Hồ</w:t>
      </w:r>
      <w:proofErr w:type="spellEnd"/>
      <w:r w:rsidRPr="002F5974">
        <w:rPr>
          <w:szCs w:val="22"/>
        </w:rPr>
        <w:t xml:space="preserve"> </w:t>
      </w:r>
      <w:proofErr w:type="spellStart"/>
      <w:r w:rsidRPr="002F5974">
        <w:rPr>
          <w:szCs w:val="22"/>
        </w:rPr>
        <w:t>Chí</w:t>
      </w:r>
      <w:proofErr w:type="spellEnd"/>
      <w:r w:rsidRPr="002F5974">
        <w:rPr>
          <w:szCs w:val="22"/>
        </w:rPr>
        <w:t xml:space="preserve"> Minh </w:t>
      </w:r>
      <w:proofErr w:type="spellStart"/>
      <w:r w:rsidRPr="002F5974">
        <w:rPr>
          <w:szCs w:val="22"/>
        </w:rPr>
        <w:t>xây</w:t>
      </w:r>
      <w:proofErr w:type="spellEnd"/>
      <w:r w:rsidRPr="002F5974">
        <w:rPr>
          <w:szCs w:val="22"/>
        </w:rPr>
        <w:t xml:space="preserve"> </w:t>
      </w:r>
      <w:proofErr w:type="spellStart"/>
      <w:r w:rsidRPr="002F5974">
        <w:rPr>
          <w:szCs w:val="22"/>
        </w:rPr>
        <w:t>dựng</w:t>
      </w:r>
      <w:proofErr w:type="spellEnd"/>
      <w:r w:rsidRPr="002F5974">
        <w:rPr>
          <w:szCs w:val="22"/>
        </w:rPr>
        <w:t xml:space="preserve"> </w:t>
      </w:r>
      <w:proofErr w:type="spellStart"/>
      <w:r w:rsidRPr="002F5974">
        <w:rPr>
          <w:szCs w:val="22"/>
        </w:rPr>
        <w:t>và</w:t>
      </w:r>
      <w:proofErr w:type="spellEnd"/>
      <w:r w:rsidRPr="002F5974">
        <w:rPr>
          <w:szCs w:val="22"/>
        </w:rPr>
        <w:t xml:space="preserve"> </w:t>
      </w:r>
      <w:proofErr w:type="spellStart"/>
      <w:r w:rsidRPr="002F5974">
        <w:rPr>
          <w:szCs w:val="22"/>
        </w:rPr>
        <w:t>quản</w:t>
      </w:r>
      <w:proofErr w:type="spellEnd"/>
      <w:r w:rsidRPr="002F5974">
        <w:rPr>
          <w:szCs w:val="22"/>
        </w:rPr>
        <w:t xml:space="preserve"> </w:t>
      </w:r>
      <w:proofErr w:type="spellStart"/>
      <w:r w:rsidRPr="002F5974">
        <w:rPr>
          <w:szCs w:val="22"/>
        </w:rPr>
        <w:t>lý</w:t>
      </w:r>
      <w:proofErr w:type="spellEnd"/>
      <w:r w:rsidRPr="002F5974">
        <w:rPr>
          <w:szCs w:val="22"/>
        </w:rPr>
        <w:t>.</w:t>
      </w:r>
    </w:p>
    <w:p w14:paraId="5B5FE312" w14:textId="77777777" w:rsidR="007922E7" w:rsidRPr="002F5974" w:rsidRDefault="007922E7" w:rsidP="002F5974"/>
    <w:p w14:paraId="089707E1" w14:textId="77777777" w:rsidR="007922E7" w:rsidRPr="002F5974" w:rsidRDefault="007922E7" w:rsidP="002F5974">
      <w:pPr>
        <w:tabs>
          <w:tab w:val="left" w:pos="540"/>
        </w:tabs>
        <w:rPr>
          <w:szCs w:val="22"/>
        </w:rPr>
      </w:pPr>
      <w:r w:rsidRPr="002F5974">
        <w:rPr>
          <w:szCs w:val="22"/>
        </w:rPr>
        <w:t xml:space="preserve">Quỹ </w:t>
      </w:r>
      <w:proofErr w:type="spellStart"/>
      <w:r w:rsidRPr="002F5974">
        <w:rPr>
          <w:szCs w:val="22"/>
        </w:rPr>
        <w:t>sử</w:t>
      </w:r>
      <w:proofErr w:type="spellEnd"/>
      <w:r w:rsidRPr="002F5974">
        <w:rPr>
          <w:szCs w:val="22"/>
        </w:rPr>
        <w:t xml:space="preserve"> </w:t>
      </w:r>
      <w:proofErr w:type="spellStart"/>
      <w:r w:rsidRPr="002F5974">
        <w:rPr>
          <w:szCs w:val="22"/>
        </w:rPr>
        <w:t>dụng</w:t>
      </w:r>
      <w:proofErr w:type="spellEnd"/>
      <w:r w:rsidRPr="002F5974">
        <w:rPr>
          <w:szCs w:val="22"/>
        </w:rPr>
        <w:t xml:space="preserve"> </w:t>
      </w:r>
      <w:proofErr w:type="spellStart"/>
      <w:r w:rsidRPr="002F5974">
        <w:rPr>
          <w:szCs w:val="22"/>
        </w:rPr>
        <w:t>chiến</w:t>
      </w:r>
      <w:proofErr w:type="spellEnd"/>
      <w:r w:rsidRPr="002F5974">
        <w:rPr>
          <w:szCs w:val="22"/>
        </w:rPr>
        <w:t xml:space="preserve"> </w:t>
      </w:r>
      <w:proofErr w:type="spellStart"/>
      <w:r w:rsidRPr="002F5974">
        <w:rPr>
          <w:szCs w:val="22"/>
        </w:rPr>
        <w:t>lược</w:t>
      </w:r>
      <w:proofErr w:type="spellEnd"/>
      <w:r w:rsidRPr="002F5974">
        <w:rPr>
          <w:szCs w:val="22"/>
        </w:rPr>
        <w:t xml:space="preserve"> </w:t>
      </w:r>
      <w:proofErr w:type="spellStart"/>
      <w:r w:rsidRPr="002F5974">
        <w:rPr>
          <w:szCs w:val="22"/>
        </w:rPr>
        <w:t>đầu</w:t>
      </w:r>
      <w:proofErr w:type="spellEnd"/>
      <w:r w:rsidRPr="002F5974">
        <w:rPr>
          <w:szCs w:val="22"/>
        </w:rPr>
        <w:t xml:space="preserve"> </w:t>
      </w:r>
      <w:proofErr w:type="spellStart"/>
      <w:r w:rsidRPr="002F5974">
        <w:rPr>
          <w:szCs w:val="22"/>
        </w:rPr>
        <w:t>tư</w:t>
      </w:r>
      <w:proofErr w:type="spellEnd"/>
      <w:r w:rsidRPr="002F5974">
        <w:rPr>
          <w:szCs w:val="22"/>
        </w:rPr>
        <w:t xml:space="preserve"> </w:t>
      </w:r>
      <w:proofErr w:type="spellStart"/>
      <w:r w:rsidRPr="002F5974">
        <w:rPr>
          <w:szCs w:val="22"/>
        </w:rPr>
        <w:t>thụ</w:t>
      </w:r>
      <w:proofErr w:type="spellEnd"/>
      <w:r w:rsidRPr="002F5974">
        <w:rPr>
          <w:szCs w:val="22"/>
        </w:rPr>
        <w:t xml:space="preserve"> </w:t>
      </w:r>
      <w:proofErr w:type="spellStart"/>
      <w:r w:rsidRPr="002F5974">
        <w:rPr>
          <w:szCs w:val="22"/>
        </w:rPr>
        <w:t>động</w:t>
      </w:r>
      <w:proofErr w:type="spellEnd"/>
      <w:r w:rsidRPr="002F5974">
        <w:rPr>
          <w:szCs w:val="22"/>
        </w:rPr>
        <w:t xml:space="preserve"> </w:t>
      </w:r>
      <w:proofErr w:type="spellStart"/>
      <w:r w:rsidRPr="002F5974">
        <w:rPr>
          <w:szCs w:val="22"/>
        </w:rPr>
        <w:t>để</w:t>
      </w:r>
      <w:proofErr w:type="spellEnd"/>
      <w:r w:rsidRPr="002F5974">
        <w:rPr>
          <w:szCs w:val="22"/>
        </w:rPr>
        <w:t xml:space="preserve"> </w:t>
      </w:r>
      <w:proofErr w:type="spellStart"/>
      <w:r w:rsidRPr="002F5974">
        <w:rPr>
          <w:szCs w:val="22"/>
        </w:rPr>
        <w:t>thực</w:t>
      </w:r>
      <w:proofErr w:type="spellEnd"/>
      <w:r w:rsidRPr="002F5974">
        <w:rPr>
          <w:szCs w:val="22"/>
        </w:rPr>
        <w:t xml:space="preserve"> </w:t>
      </w:r>
      <w:proofErr w:type="spellStart"/>
      <w:r w:rsidRPr="002F5974">
        <w:rPr>
          <w:szCs w:val="22"/>
        </w:rPr>
        <w:t>hiện</w:t>
      </w:r>
      <w:proofErr w:type="spellEnd"/>
      <w:r w:rsidRPr="002F5974">
        <w:rPr>
          <w:szCs w:val="22"/>
        </w:rPr>
        <w:t xml:space="preserve"> </w:t>
      </w:r>
      <w:proofErr w:type="spellStart"/>
      <w:r w:rsidRPr="002F5974">
        <w:rPr>
          <w:szCs w:val="22"/>
        </w:rPr>
        <w:t>mục</w:t>
      </w:r>
      <w:proofErr w:type="spellEnd"/>
      <w:r w:rsidRPr="002F5974">
        <w:rPr>
          <w:szCs w:val="22"/>
        </w:rPr>
        <w:t xml:space="preserve"> </w:t>
      </w:r>
      <w:proofErr w:type="spellStart"/>
      <w:r w:rsidRPr="002F5974">
        <w:rPr>
          <w:szCs w:val="22"/>
        </w:rPr>
        <w:t>tiêu</w:t>
      </w:r>
      <w:proofErr w:type="spellEnd"/>
      <w:r w:rsidRPr="002F5974">
        <w:rPr>
          <w:szCs w:val="22"/>
        </w:rPr>
        <w:t xml:space="preserve"> </w:t>
      </w:r>
      <w:proofErr w:type="spellStart"/>
      <w:r w:rsidRPr="002F5974">
        <w:rPr>
          <w:szCs w:val="22"/>
        </w:rPr>
        <w:t>đầu</w:t>
      </w:r>
      <w:proofErr w:type="spellEnd"/>
      <w:r w:rsidRPr="002F5974">
        <w:rPr>
          <w:szCs w:val="22"/>
        </w:rPr>
        <w:t xml:space="preserve"> </w:t>
      </w:r>
      <w:proofErr w:type="spellStart"/>
      <w:r w:rsidRPr="002F5974">
        <w:rPr>
          <w:szCs w:val="22"/>
        </w:rPr>
        <w:t>tư</w:t>
      </w:r>
      <w:proofErr w:type="spellEnd"/>
      <w:r w:rsidRPr="002F5974">
        <w:rPr>
          <w:szCs w:val="22"/>
        </w:rPr>
        <w:t xml:space="preserve"> </w:t>
      </w:r>
      <w:proofErr w:type="spellStart"/>
      <w:r w:rsidRPr="002F5974">
        <w:rPr>
          <w:szCs w:val="22"/>
        </w:rPr>
        <w:t>đã</w:t>
      </w:r>
      <w:proofErr w:type="spellEnd"/>
      <w:r w:rsidRPr="002F5974">
        <w:rPr>
          <w:szCs w:val="22"/>
        </w:rPr>
        <w:t xml:space="preserve"> </w:t>
      </w:r>
      <w:proofErr w:type="spellStart"/>
      <w:r w:rsidRPr="002F5974">
        <w:rPr>
          <w:szCs w:val="22"/>
        </w:rPr>
        <w:t>định</w:t>
      </w:r>
      <w:proofErr w:type="spellEnd"/>
      <w:r w:rsidRPr="002F5974">
        <w:rPr>
          <w:szCs w:val="22"/>
        </w:rPr>
        <w:t xml:space="preserve"> </w:t>
      </w:r>
      <w:proofErr w:type="spellStart"/>
      <w:r w:rsidRPr="002F5974">
        <w:rPr>
          <w:szCs w:val="22"/>
        </w:rPr>
        <w:t>trước</w:t>
      </w:r>
      <w:proofErr w:type="spellEnd"/>
      <w:r w:rsidRPr="002F5974">
        <w:rPr>
          <w:szCs w:val="22"/>
        </w:rPr>
        <w:t xml:space="preserve">.  Khi </w:t>
      </w:r>
      <w:proofErr w:type="spellStart"/>
      <w:r w:rsidRPr="002F5974">
        <w:rPr>
          <w:szCs w:val="22"/>
        </w:rPr>
        <w:t>danh</w:t>
      </w:r>
      <w:proofErr w:type="spellEnd"/>
      <w:r w:rsidRPr="002F5974">
        <w:rPr>
          <w:szCs w:val="22"/>
        </w:rPr>
        <w:t xml:space="preserve"> </w:t>
      </w:r>
      <w:proofErr w:type="spellStart"/>
      <w:r w:rsidRPr="002F5974">
        <w:rPr>
          <w:szCs w:val="22"/>
        </w:rPr>
        <w:t>mục</w:t>
      </w:r>
      <w:proofErr w:type="spellEnd"/>
      <w:r w:rsidRPr="002F5974">
        <w:rPr>
          <w:szCs w:val="22"/>
        </w:rPr>
        <w:t xml:space="preserve"> </w:t>
      </w:r>
      <w:proofErr w:type="spellStart"/>
      <w:r w:rsidRPr="002F5974">
        <w:rPr>
          <w:szCs w:val="22"/>
        </w:rPr>
        <w:t>chứng</w:t>
      </w:r>
      <w:proofErr w:type="spellEnd"/>
      <w:r w:rsidRPr="002F5974">
        <w:rPr>
          <w:szCs w:val="22"/>
        </w:rPr>
        <w:t xml:space="preserve"> </w:t>
      </w:r>
      <w:proofErr w:type="spellStart"/>
      <w:r w:rsidRPr="002F5974">
        <w:rPr>
          <w:szCs w:val="22"/>
        </w:rPr>
        <w:t>khoán</w:t>
      </w:r>
      <w:proofErr w:type="spellEnd"/>
      <w:r w:rsidRPr="002F5974">
        <w:rPr>
          <w:szCs w:val="22"/>
        </w:rPr>
        <w:t xml:space="preserve"> </w:t>
      </w:r>
      <w:proofErr w:type="spellStart"/>
      <w:r w:rsidRPr="002F5974">
        <w:rPr>
          <w:szCs w:val="22"/>
        </w:rPr>
        <w:t>của</w:t>
      </w:r>
      <w:proofErr w:type="spellEnd"/>
      <w:r w:rsidRPr="002F5974">
        <w:rPr>
          <w:szCs w:val="22"/>
        </w:rPr>
        <w:t xml:space="preserve"> </w:t>
      </w:r>
      <w:proofErr w:type="spellStart"/>
      <w:r w:rsidRPr="002F5974">
        <w:rPr>
          <w:szCs w:val="22"/>
        </w:rPr>
        <w:t>chỉ</w:t>
      </w:r>
      <w:proofErr w:type="spellEnd"/>
      <w:r w:rsidRPr="002F5974">
        <w:rPr>
          <w:szCs w:val="22"/>
        </w:rPr>
        <w:t xml:space="preserve"> </w:t>
      </w:r>
      <w:proofErr w:type="spellStart"/>
      <w:r w:rsidRPr="002F5974">
        <w:rPr>
          <w:szCs w:val="22"/>
        </w:rPr>
        <w:t>số</w:t>
      </w:r>
      <w:proofErr w:type="spellEnd"/>
      <w:r w:rsidRPr="002F5974">
        <w:rPr>
          <w:szCs w:val="22"/>
        </w:rPr>
        <w:t xml:space="preserve"> </w:t>
      </w:r>
      <w:proofErr w:type="spellStart"/>
      <w:r w:rsidRPr="002F5974">
        <w:rPr>
          <w:szCs w:val="22"/>
        </w:rPr>
        <w:t>tham</w:t>
      </w:r>
      <w:proofErr w:type="spellEnd"/>
      <w:r w:rsidRPr="002F5974">
        <w:rPr>
          <w:szCs w:val="22"/>
        </w:rPr>
        <w:t xml:space="preserve"> </w:t>
      </w:r>
      <w:proofErr w:type="spellStart"/>
      <w:r w:rsidRPr="002F5974">
        <w:rPr>
          <w:szCs w:val="22"/>
        </w:rPr>
        <w:t>chiếu</w:t>
      </w:r>
      <w:proofErr w:type="spellEnd"/>
      <w:r w:rsidRPr="002F5974">
        <w:rPr>
          <w:szCs w:val="22"/>
        </w:rPr>
        <w:t xml:space="preserve"> </w:t>
      </w:r>
      <w:proofErr w:type="spellStart"/>
      <w:r w:rsidRPr="002F5974">
        <w:rPr>
          <w:szCs w:val="22"/>
        </w:rPr>
        <w:t>có</w:t>
      </w:r>
      <w:proofErr w:type="spellEnd"/>
      <w:r w:rsidRPr="002F5974">
        <w:rPr>
          <w:szCs w:val="22"/>
        </w:rPr>
        <w:t xml:space="preserve"> </w:t>
      </w:r>
      <w:proofErr w:type="spellStart"/>
      <w:r w:rsidRPr="002F5974">
        <w:rPr>
          <w:szCs w:val="22"/>
        </w:rPr>
        <w:t>sự</w:t>
      </w:r>
      <w:proofErr w:type="spellEnd"/>
      <w:r w:rsidRPr="002F5974">
        <w:rPr>
          <w:szCs w:val="22"/>
        </w:rPr>
        <w:t xml:space="preserve"> </w:t>
      </w:r>
      <w:proofErr w:type="spellStart"/>
      <w:r w:rsidRPr="002F5974">
        <w:rPr>
          <w:szCs w:val="22"/>
        </w:rPr>
        <w:t>thay</w:t>
      </w:r>
      <w:proofErr w:type="spellEnd"/>
      <w:r w:rsidRPr="002F5974">
        <w:rPr>
          <w:szCs w:val="22"/>
        </w:rPr>
        <w:t xml:space="preserve"> </w:t>
      </w:r>
      <w:proofErr w:type="spellStart"/>
      <w:r w:rsidRPr="002F5974">
        <w:rPr>
          <w:szCs w:val="22"/>
        </w:rPr>
        <w:t>đổi</w:t>
      </w:r>
      <w:proofErr w:type="spellEnd"/>
      <w:r w:rsidRPr="002F5974">
        <w:rPr>
          <w:szCs w:val="22"/>
        </w:rPr>
        <w:t xml:space="preserve"> </w:t>
      </w:r>
      <w:proofErr w:type="spellStart"/>
      <w:r w:rsidRPr="002F5974">
        <w:rPr>
          <w:szCs w:val="22"/>
        </w:rPr>
        <w:t>thì</w:t>
      </w:r>
      <w:proofErr w:type="spellEnd"/>
      <w:r w:rsidRPr="002F5974">
        <w:rPr>
          <w:szCs w:val="22"/>
        </w:rPr>
        <w:t xml:space="preserve"> Quỹ </w:t>
      </w:r>
      <w:proofErr w:type="spellStart"/>
      <w:r w:rsidRPr="002F5974">
        <w:rPr>
          <w:szCs w:val="22"/>
        </w:rPr>
        <w:t>sẽ</w:t>
      </w:r>
      <w:proofErr w:type="spellEnd"/>
      <w:r w:rsidRPr="002F5974">
        <w:rPr>
          <w:szCs w:val="22"/>
        </w:rPr>
        <w:t xml:space="preserve"> </w:t>
      </w:r>
      <w:proofErr w:type="spellStart"/>
      <w:r w:rsidRPr="002F5974">
        <w:rPr>
          <w:szCs w:val="22"/>
        </w:rPr>
        <w:t>thực</w:t>
      </w:r>
      <w:proofErr w:type="spellEnd"/>
      <w:r w:rsidRPr="002F5974">
        <w:rPr>
          <w:szCs w:val="22"/>
        </w:rPr>
        <w:t xml:space="preserve"> </w:t>
      </w:r>
      <w:proofErr w:type="spellStart"/>
      <w:r w:rsidRPr="002F5974">
        <w:rPr>
          <w:szCs w:val="22"/>
        </w:rPr>
        <w:t>hiện</w:t>
      </w:r>
      <w:proofErr w:type="spellEnd"/>
      <w:r w:rsidRPr="002F5974">
        <w:rPr>
          <w:szCs w:val="22"/>
        </w:rPr>
        <w:t xml:space="preserve"> </w:t>
      </w:r>
      <w:proofErr w:type="spellStart"/>
      <w:r w:rsidRPr="002F5974">
        <w:rPr>
          <w:szCs w:val="22"/>
        </w:rPr>
        <w:t>điều</w:t>
      </w:r>
      <w:proofErr w:type="spellEnd"/>
      <w:r w:rsidRPr="002F5974">
        <w:rPr>
          <w:szCs w:val="22"/>
        </w:rPr>
        <w:t xml:space="preserve"> </w:t>
      </w:r>
      <w:proofErr w:type="spellStart"/>
      <w:r w:rsidRPr="002F5974">
        <w:rPr>
          <w:szCs w:val="22"/>
        </w:rPr>
        <w:t>chỉnh</w:t>
      </w:r>
      <w:proofErr w:type="spellEnd"/>
      <w:r w:rsidRPr="002F5974">
        <w:rPr>
          <w:szCs w:val="22"/>
        </w:rPr>
        <w:t xml:space="preserve"> </w:t>
      </w:r>
      <w:proofErr w:type="spellStart"/>
      <w:r w:rsidRPr="002F5974">
        <w:rPr>
          <w:szCs w:val="22"/>
        </w:rPr>
        <w:t>danh</w:t>
      </w:r>
      <w:proofErr w:type="spellEnd"/>
      <w:r w:rsidRPr="002F5974">
        <w:rPr>
          <w:szCs w:val="22"/>
        </w:rPr>
        <w:t xml:space="preserve"> </w:t>
      </w:r>
      <w:proofErr w:type="spellStart"/>
      <w:r w:rsidRPr="002F5974">
        <w:rPr>
          <w:szCs w:val="22"/>
        </w:rPr>
        <w:t>mục</w:t>
      </w:r>
      <w:proofErr w:type="spellEnd"/>
      <w:r w:rsidRPr="002F5974">
        <w:rPr>
          <w:szCs w:val="22"/>
        </w:rPr>
        <w:t xml:space="preserve"> </w:t>
      </w:r>
      <w:proofErr w:type="spellStart"/>
      <w:r w:rsidRPr="002F5974">
        <w:rPr>
          <w:szCs w:val="22"/>
        </w:rPr>
        <w:t>của</w:t>
      </w:r>
      <w:proofErr w:type="spellEnd"/>
      <w:r w:rsidRPr="002F5974">
        <w:rPr>
          <w:szCs w:val="22"/>
        </w:rPr>
        <w:t xml:space="preserve"> Quỹ </w:t>
      </w:r>
      <w:proofErr w:type="spellStart"/>
      <w:r w:rsidRPr="002F5974">
        <w:rPr>
          <w:szCs w:val="22"/>
        </w:rPr>
        <w:t>để</w:t>
      </w:r>
      <w:proofErr w:type="spellEnd"/>
      <w:r w:rsidRPr="002F5974">
        <w:rPr>
          <w:szCs w:val="22"/>
        </w:rPr>
        <w:t xml:space="preserve"> </w:t>
      </w:r>
      <w:proofErr w:type="spellStart"/>
      <w:r w:rsidRPr="002F5974">
        <w:rPr>
          <w:szCs w:val="22"/>
        </w:rPr>
        <w:t>phù</w:t>
      </w:r>
      <w:proofErr w:type="spellEnd"/>
      <w:r w:rsidRPr="002F5974">
        <w:rPr>
          <w:szCs w:val="22"/>
        </w:rPr>
        <w:t xml:space="preserve"> </w:t>
      </w:r>
      <w:proofErr w:type="spellStart"/>
      <w:r w:rsidRPr="002F5974">
        <w:rPr>
          <w:szCs w:val="22"/>
        </w:rPr>
        <w:t>hợp</w:t>
      </w:r>
      <w:proofErr w:type="spellEnd"/>
      <w:r w:rsidRPr="002F5974">
        <w:rPr>
          <w:szCs w:val="22"/>
        </w:rPr>
        <w:t xml:space="preserve"> </w:t>
      </w:r>
      <w:proofErr w:type="spellStart"/>
      <w:r w:rsidRPr="002F5974">
        <w:rPr>
          <w:szCs w:val="22"/>
        </w:rPr>
        <w:t>với</w:t>
      </w:r>
      <w:proofErr w:type="spellEnd"/>
      <w:r w:rsidRPr="002F5974">
        <w:rPr>
          <w:szCs w:val="22"/>
        </w:rPr>
        <w:t xml:space="preserve"> </w:t>
      </w:r>
      <w:proofErr w:type="spellStart"/>
      <w:r w:rsidRPr="002F5974">
        <w:rPr>
          <w:szCs w:val="22"/>
        </w:rPr>
        <w:t>danh</w:t>
      </w:r>
      <w:proofErr w:type="spellEnd"/>
      <w:r w:rsidRPr="002F5974">
        <w:rPr>
          <w:szCs w:val="22"/>
        </w:rPr>
        <w:t xml:space="preserve"> </w:t>
      </w:r>
      <w:proofErr w:type="spellStart"/>
      <w:r w:rsidRPr="002F5974">
        <w:rPr>
          <w:szCs w:val="22"/>
        </w:rPr>
        <w:t>mục</w:t>
      </w:r>
      <w:proofErr w:type="spellEnd"/>
      <w:r w:rsidRPr="002F5974">
        <w:rPr>
          <w:szCs w:val="22"/>
        </w:rPr>
        <w:t xml:space="preserve"> </w:t>
      </w:r>
      <w:proofErr w:type="spellStart"/>
      <w:r w:rsidRPr="002F5974">
        <w:rPr>
          <w:szCs w:val="22"/>
        </w:rPr>
        <w:t>của</w:t>
      </w:r>
      <w:proofErr w:type="spellEnd"/>
      <w:r w:rsidRPr="002F5974">
        <w:rPr>
          <w:szCs w:val="22"/>
        </w:rPr>
        <w:t xml:space="preserve"> </w:t>
      </w:r>
      <w:proofErr w:type="spellStart"/>
      <w:r w:rsidRPr="002F5974">
        <w:rPr>
          <w:szCs w:val="22"/>
        </w:rPr>
        <w:t>chỉ</w:t>
      </w:r>
      <w:proofErr w:type="spellEnd"/>
      <w:r w:rsidRPr="002F5974">
        <w:rPr>
          <w:szCs w:val="22"/>
        </w:rPr>
        <w:t xml:space="preserve"> </w:t>
      </w:r>
      <w:proofErr w:type="spellStart"/>
      <w:r w:rsidRPr="002F5974">
        <w:rPr>
          <w:szCs w:val="22"/>
        </w:rPr>
        <w:t>số</w:t>
      </w:r>
      <w:proofErr w:type="spellEnd"/>
      <w:r w:rsidRPr="002F5974">
        <w:rPr>
          <w:szCs w:val="22"/>
        </w:rPr>
        <w:t xml:space="preserve"> VN30-TRI </w:t>
      </w:r>
      <w:proofErr w:type="spellStart"/>
      <w:r w:rsidRPr="002F5974">
        <w:rPr>
          <w:szCs w:val="22"/>
        </w:rPr>
        <w:t>về</w:t>
      </w:r>
      <w:proofErr w:type="spellEnd"/>
      <w:r w:rsidRPr="002F5974">
        <w:rPr>
          <w:szCs w:val="22"/>
        </w:rPr>
        <w:t xml:space="preserve"> </w:t>
      </w:r>
      <w:proofErr w:type="spellStart"/>
      <w:r w:rsidRPr="002F5974">
        <w:rPr>
          <w:szCs w:val="22"/>
        </w:rPr>
        <w:t>cơ</w:t>
      </w:r>
      <w:proofErr w:type="spellEnd"/>
      <w:r w:rsidRPr="002F5974">
        <w:rPr>
          <w:szCs w:val="22"/>
        </w:rPr>
        <w:t xml:space="preserve"> </w:t>
      </w:r>
      <w:proofErr w:type="spellStart"/>
      <w:r w:rsidRPr="002F5974">
        <w:rPr>
          <w:szCs w:val="22"/>
        </w:rPr>
        <w:t>cấu</w:t>
      </w:r>
      <w:proofErr w:type="spellEnd"/>
      <w:r w:rsidRPr="002F5974">
        <w:rPr>
          <w:szCs w:val="22"/>
        </w:rPr>
        <w:t xml:space="preserve"> </w:t>
      </w:r>
      <w:proofErr w:type="spellStart"/>
      <w:r w:rsidRPr="002F5974">
        <w:rPr>
          <w:szCs w:val="22"/>
        </w:rPr>
        <w:t>và</w:t>
      </w:r>
      <w:proofErr w:type="spellEnd"/>
      <w:r w:rsidRPr="002F5974">
        <w:rPr>
          <w:szCs w:val="22"/>
        </w:rPr>
        <w:t xml:space="preserve"> </w:t>
      </w:r>
      <w:proofErr w:type="spellStart"/>
      <w:r w:rsidRPr="002F5974">
        <w:rPr>
          <w:szCs w:val="22"/>
        </w:rPr>
        <w:t>tỷ</w:t>
      </w:r>
      <w:proofErr w:type="spellEnd"/>
      <w:r w:rsidRPr="002F5974">
        <w:rPr>
          <w:szCs w:val="22"/>
        </w:rPr>
        <w:t xml:space="preserve"> </w:t>
      </w:r>
      <w:proofErr w:type="spellStart"/>
      <w:r w:rsidRPr="002F5974">
        <w:rPr>
          <w:szCs w:val="22"/>
        </w:rPr>
        <w:t>trọng</w:t>
      </w:r>
      <w:proofErr w:type="spellEnd"/>
      <w:r w:rsidRPr="002F5974">
        <w:rPr>
          <w:szCs w:val="22"/>
        </w:rPr>
        <w:t xml:space="preserve"> </w:t>
      </w:r>
      <w:proofErr w:type="spellStart"/>
      <w:r w:rsidRPr="002F5974">
        <w:rPr>
          <w:szCs w:val="22"/>
        </w:rPr>
        <w:t>tài</w:t>
      </w:r>
      <w:proofErr w:type="spellEnd"/>
      <w:r w:rsidRPr="002F5974">
        <w:rPr>
          <w:szCs w:val="22"/>
        </w:rPr>
        <w:t xml:space="preserve"> </w:t>
      </w:r>
      <w:proofErr w:type="spellStart"/>
      <w:r w:rsidRPr="002F5974">
        <w:rPr>
          <w:szCs w:val="22"/>
        </w:rPr>
        <w:t>sản</w:t>
      </w:r>
      <w:proofErr w:type="spellEnd"/>
      <w:r w:rsidRPr="002F5974">
        <w:rPr>
          <w:szCs w:val="22"/>
        </w:rPr>
        <w:t xml:space="preserve">.  Quỹ </w:t>
      </w:r>
      <w:proofErr w:type="spellStart"/>
      <w:r w:rsidRPr="002F5974">
        <w:rPr>
          <w:szCs w:val="22"/>
        </w:rPr>
        <w:t>sẽ</w:t>
      </w:r>
      <w:proofErr w:type="spellEnd"/>
      <w:r w:rsidRPr="002F5974">
        <w:rPr>
          <w:szCs w:val="22"/>
        </w:rPr>
        <w:t xml:space="preserve"> </w:t>
      </w:r>
      <w:proofErr w:type="spellStart"/>
      <w:r w:rsidRPr="002F5974">
        <w:rPr>
          <w:szCs w:val="22"/>
        </w:rPr>
        <w:t>hướng</w:t>
      </w:r>
      <w:proofErr w:type="spellEnd"/>
      <w:r w:rsidRPr="002F5974">
        <w:rPr>
          <w:szCs w:val="22"/>
        </w:rPr>
        <w:t xml:space="preserve"> </w:t>
      </w:r>
      <w:proofErr w:type="spellStart"/>
      <w:r w:rsidRPr="002F5974">
        <w:rPr>
          <w:szCs w:val="22"/>
        </w:rPr>
        <w:t>đến</w:t>
      </w:r>
      <w:proofErr w:type="spellEnd"/>
      <w:r w:rsidRPr="002F5974">
        <w:rPr>
          <w:szCs w:val="22"/>
        </w:rPr>
        <w:t xml:space="preserve"> </w:t>
      </w:r>
      <w:proofErr w:type="spellStart"/>
      <w:r w:rsidRPr="002F5974">
        <w:rPr>
          <w:szCs w:val="22"/>
        </w:rPr>
        <w:t>việc</w:t>
      </w:r>
      <w:proofErr w:type="spellEnd"/>
      <w:r w:rsidRPr="002F5974">
        <w:rPr>
          <w:szCs w:val="22"/>
        </w:rPr>
        <w:t xml:space="preserve"> </w:t>
      </w:r>
      <w:proofErr w:type="spellStart"/>
      <w:r w:rsidRPr="002F5974">
        <w:rPr>
          <w:szCs w:val="22"/>
        </w:rPr>
        <w:t>có</w:t>
      </w:r>
      <w:proofErr w:type="spellEnd"/>
      <w:r w:rsidRPr="002F5974">
        <w:rPr>
          <w:szCs w:val="22"/>
        </w:rPr>
        <w:t xml:space="preserve"> </w:t>
      </w:r>
      <w:proofErr w:type="spellStart"/>
      <w:r w:rsidRPr="002F5974">
        <w:rPr>
          <w:szCs w:val="22"/>
        </w:rPr>
        <w:t>kết</w:t>
      </w:r>
      <w:proofErr w:type="spellEnd"/>
      <w:r w:rsidRPr="002F5974">
        <w:rPr>
          <w:szCs w:val="22"/>
        </w:rPr>
        <w:t xml:space="preserve"> </w:t>
      </w:r>
      <w:proofErr w:type="spellStart"/>
      <w:r w:rsidRPr="002F5974">
        <w:rPr>
          <w:szCs w:val="22"/>
        </w:rPr>
        <w:t>quả</w:t>
      </w:r>
      <w:proofErr w:type="spellEnd"/>
      <w:r w:rsidRPr="002F5974">
        <w:rPr>
          <w:szCs w:val="22"/>
        </w:rPr>
        <w:t xml:space="preserve"> </w:t>
      </w:r>
      <w:proofErr w:type="spellStart"/>
      <w:r w:rsidRPr="002F5974">
        <w:rPr>
          <w:szCs w:val="22"/>
        </w:rPr>
        <w:t>tương</w:t>
      </w:r>
      <w:proofErr w:type="spellEnd"/>
      <w:r w:rsidRPr="002F5974">
        <w:rPr>
          <w:szCs w:val="22"/>
        </w:rPr>
        <w:t xml:space="preserve"> </w:t>
      </w:r>
      <w:proofErr w:type="spellStart"/>
      <w:r w:rsidRPr="002F5974">
        <w:rPr>
          <w:szCs w:val="22"/>
        </w:rPr>
        <w:t>đồng</w:t>
      </w:r>
      <w:proofErr w:type="spellEnd"/>
      <w:r w:rsidRPr="002F5974">
        <w:rPr>
          <w:szCs w:val="22"/>
        </w:rPr>
        <w:t xml:space="preserve"> </w:t>
      </w:r>
      <w:proofErr w:type="spellStart"/>
      <w:r w:rsidRPr="002F5974">
        <w:rPr>
          <w:szCs w:val="22"/>
        </w:rPr>
        <w:t>với</w:t>
      </w:r>
      <w:proofErr w:type="spellEnd"/>
      <w:r w:rsidRPr="002F5974">
        <w:rPr>
          <w:szCs w:val="22"/>
        </w:rPr>
        <w:t xml:space="preserve"> </w:t>
      </w:r>
      <w:proofErr w:type="spellStart"/>
      <w:r w:rsidRPr="002F5974">
        <w:rPr>
          <w:szCs w:val="22"/>
        </w:rPr>
        <w:t>chỉ</w:t>
      </w:r>
      <w:proofErr w:type="spellEnd"/>
      <w:r w:rsidRPr="002F5974">
        <w:rPr>
          <w:szCs w:val="22"/>
        </w:rPr>
        <w:t xml:space="preserve"> </w:t>
      </w:r>
      <w:proofErr w:type="spellStart"/>
      <w:r w:rsidRPr="002F5974">
        <w:rPr>
          <w:szCs w:val="22"/>
        </w:rPr>
        <w:t>số</w:t>
      </w:r>
      <w:proofErr w:type="spellEnd"/>
      <w:r w:rsidRPr="002F5974">
        <w:rPr>
          <w:szCs w:val="22"/>
        </w:rPr>
        <w:t xml:space="preserve"> </w:t>
      </w:r>
      <w:proofErr w:type="spellStart"/>
      <w:r w:rsidRPr="002F5974">
        <w:rPr>
          <w:szCs w:val="22"/>
        </w:rPr>
        <w:t>tham</w:t>
      </w:r>
      <w:proofErr w:type="spellEnd"/>
      <w:r w:rsidRPr="002F5974">
        <w:rPr>
          <w:szCs w:val="22"/>
        </w:rPr>
        <w:t xml:space="preserve"> </w:t>
      </w:r>
      <w:proofErr w:type="spellStart"/>
      <w:r w:rsidRPr="002F5974">
        <w:rPr>
          <w:szCs w:val="22"/>
        </w:rPr>
        <w:t>chiếu</w:t>
      </w:r>
      <w:proofErr w:type="spellEnd"/>
      <w:r w:rsidRPr="002F5974">
        <w:rPr>
          <w:szCs w:val="22"/>
        </w:rPr>
        <w:t xml:space="preserve"> </w:t>
      </w:r>
      <w:proofErr w:type="spellStart"/>
      <w:r w:rsidRPr="002F5974">
        <w:rPr>
          <w:szCs w:val="22"/>
        </w:rPr>
        <w:t>và</w:t>
      </w:r>
      <w:proofErr w:type="spellEnd"/>
      <w:r w:rsidRPr="002F5974">
        <w:rPr>
          <w:szCs w:val="22"/>
        </w:rPr>
        <w:t xml:space="preserve"> </w:t>
      </w:r>
      <w:proofErr w:type="spellStart"/>
      <w:r w:rsidRPr="002F5974">
        <w:rPr>
          <w:szCs w:val="22"/>
        </w:rPr>
        <w:t>không</w:t>
      </w:r>
      <w:proofErr w:type="spellEnd"/>
      <w:r w:rsidRPr="002F5974">
        <w:rPr>
          <w:szCs w:val="22"/>
        </w:rPr>
        <w:t xml:space="preserve"> </w:t>
      </w:r>
      <w:proofErr w:type="spellStart"/>
      <w:r w:rsidRPr="002F5974">
        <w:rPr>
          <w:szCs w:val="22"/>
        </w:rPr>
        <w:t>thực</w:t>
      </w:r>
      <w:proofErr w:type="spellEnd"/>
      <w:r w:rsidRPr="002F5974">
        <w:rPr>
          <w:szCs w:val="22"/>
        </w:rPr>
        <w:t xml:space="preserve"> </w:t>
      </w:r>
      <w:proofErr w:type="spellStart"/>
      <w:r w:rsidRPr="002F5974">
        <w:rPr>
          <w:szCs w:val="22"/>
        </w:rPr>
        <w:t>hiện</w:t>
      </w:r>
      <w:proofErr w:type="spellEnd"/>
      <w:r w:rsidRPr="002F5974">
        <w:rPr>
          <w:szCs w:val="22"/>
        </w:rPr>
        <w:t xml:space="preserve"> </w:t>
      </w:r>
      <w:proofErr w:type="spellStart"/>
      <w:r w:rsidRPr="002F5974">
        <w:rPr>
          <w:szCs w:val="22"/>
        </w:rPr>
        <w:t>chiến</w:t>
      </w:r>
      <w:proofErr w:type="spellEnd"/>
      <w:r w:rsidRPr="002F5974">
        <w:rPr>
          <w:szCs w:val="22"/>
        </w:rPr>
        <w:t xml:space="preserve"> </w:t>
      </w:r>
      <w:proofErr w:type="spellStart"/>
      <w:r w:rsidRPr="002F5974">
        <w:rPr>
          <w:szCs w:val="22"/>
        </w:rPr>
        <w:t>lược</w:t>
      </w:r>
      <w:proofErr w:type="spellEnd"/>
      <w:r w:rsidRPr="002F5974">
        <w:rPr>
          <w:szCs w:val="22"/>
        </w:rPr>
        <w:t xml:space="preserve"> </w:t>
      </w:r>
      <w:proofErr w:type="spellStart"/>
      <w:r w:rsidRPr="002F5974">
        <w:rPr>
          <w:szCs w:val="22"/>
        </w:rPr>
        <w:t>phòng</w:t>
      </w:r>
      <w:proofErr w:type="spellEnd"/>
      <w:r w:rsidRPr="002F5974">
        <w:rPr>
          <w:szCs w:val="22"/>
        </w:rPr>
        <w:t xml:space="preserve"> </w:t>
      </w:r>
      <w:proofErr w:type="spellStart"/>
      <w:r w:rsidRPr="002F5974">
        <w:rPr>
          <w:szCs w:val="22"/>
        </w:rPr>
        <w:t>thủ</w:t>
      </w:r>
      <w:proofErr w:type="spellEnd"/>
      <w:r w:rsidRPr="002F5974">
        <w:rPr>
          <w:szCs w:val="22"/>
        </w:rPr>
        <w:t xml:space="preserve"> </w:t>
      </w:r>
      <w:proofErr w:type="spellStart"/>
      <w:r w:rsidRPr="002F5974">
        <w:rPr>
          <w:szCs w:val="22"/>
        </w:rPr>
        <w:t>khi</w:t>
      </w:r>
      <w:proofErr w:type="spellEnd"/>
      <w:r w:rsidRPr="002F5974">
        <w:rPr>
          <w:szCs w:val="22"/>
        </w:rPr>
        <w:t xml:space="preserve"> </w:t>
      </w:r>
      <w:proofErr w:type="spellStart"/>
      <w:r w:rsidRPr="002F5974">
        <w:rPr>
          <w:szCs w:val="22"/>
        </w:rPr>
        <w:t>thị</w:t>
      </w:r>
      <w:proofErr w:type="spellEnd"/>
      <w:r w:rsidRPr="002F5974">
        <w:rPr>
          <w:szCs w:val="22"/>
        </w:rPr>
        <w:t xml:space="preserve"> </w:t>
      </w:r>
      <w:proofErr w:type="spellStart"/>
      <w:r w:rsidRPr="002F5974">
        <w:rPr>
          <w:szCs w:val="22"/>
        </w:rPr>
        <w:t>trường</w:t>
      </w:r>
      <w:proofErr w:type="spellEnd"/>
      <w:r w:rsidRPr="002F5974">
        <w:rPr>
          <w:szCs w:val="22"/>
        </w:rPr>
        <w:t xml:space="preserve"> </w:t>
      </w:r>
      <w:proofErr w:type="spellStart"/>
      <w:r w:rsidRPr="002F5974">
        <w:rPr>
          <w:szCs w:val="22"/>
        </w:rPr>
        <w:t>giảm</w:t>
      </w:r>
      <w:proofErr w:type="spellEnd"/>
      <w:r w:rsidRPr="002F5974">
        <w:rPr>
          <w:szCs w:val="22"/>
        </w:rPr>
        <w:t xml:space="preserve"> hay </w:t>
      </w:r>
      <w:proofErr w:type="spellStart"/>
      <w:r w:rsidRPr="002F5974">
        <w:rPr>
          <w:szCs w:val="22"/>
        </w:rPr>
        <w:t>hiện</w:t>
      </w:r>
      <w:proofErr w:type="spellEnd"/>
      <w:r w:rsidRPr="002F5974">
        <w:rPr>
          <w:szCs w:val="22"/>
        </w:rPr>
        <w:t xml:space="preserve"> </w:t>
      </w:r>
      <w:proofErr w:type="spellStart"/>
      <w:r w:rsidRPr="002F5974">
        <w:rPr>
          <w:szCs w:val="22"/>
        </w:rPr>
        <w:t>thực</w:t>
      </w:r>
      <w:proofErr w:type="spellEnd"/>
      <w:r w:rsidRPr="002F5974">
        <w:rPr>
          <w:szCs w:val="22"/>
        </w:rPr>
        <w:t xml:space="preserve"> </w:t>
      </w:r>
      <w:proofErr w:type="spellStart"/>
      <w:r w:rsidRPr="002F5974">
        <w:rPr>
          <w:szCs w:val="22"/>
        </w:rPr>
        <w:t>hóa</w:t>
      </w:r>
      <w:proofErr w:type="spellEnd"/>
      <w:r w:rsidRPr="002F5974">
        <w:rPr>
          <w:szCs w:val="22"/>
        </w:rPr>
        <w:t xml:space="preserve"> </w:t>
      </w:r>
      <w:proofErr w:type="spellStart"/>
      <w:r w:rsidRPr="002F5974">
        <w:rPr>
          <w:szCs w:val="22"/>
        </w:rPr>
        <w:t>lợi</w:t>
      </w:r>
      <w:proofErr w:type="spellEnd"/>
      <w:r w:rsidRPr="002F5974">
        <w:rPr>
          <w:szCs w:val="22"/>
        </w:rPr>
        <w:t xml:space="preserve"> </w:t>
      </w:r>
      <w:proofErr w:type="spellStart"/>
      <w:r w:rsidRPr="002F5974">
        <w:rPr>
          <w:szCs w:val="22"/>
        </w:rPr>
        <w:t>nhuận</w:t>
      </w:r>
      <w:proofErr w:type="spellEnd"/>
      <w:r w:rsidRPr="002F5974">
        <w:rPr>
          <w:szCs w:val="22"/>
        </w:rPr>
        <w:t xml:space="preserve"> </w:t>
      </w:r>
      <w:proofErr w:type="spellStart"/>
      <w:r w:rsidRPr="002F5974">
        <w:rPr>
          <w:szCs w:val="22"/>
        </w:rPr>
        <w:t>khi</w:t>
      </w:r>
      <w:proofErr w:type="spellEnd"/>
      <w:r w:rsidRPr="002F5974">
        <w:rPr>
          <w:szCs w:val="22"/>
        </w:rPr>
        <w:t xml:space="preserve"> </w:t>
      </w:r>
      <w:proofErr w:type="spellStart"/>
      <w:r w:rsidRPr="002F5974">
        <w:rPr>
          <w:szCs w:val="22"/>
        </w:rPr>
        <w:t>thị</w:t>
      </w:r>
      <w:proofErr w:type="spellEnd"/>
      <w:r w:rsidRPr="002F5974">
        <w:rPr>
          <w:szCs w:val="22"/>
        </w:rPr>
        <w:t xml:space="preserve"> </w:t>
      </w:r>
      <w:proofErr w:type="spellStart"/>
      <w:r w:rsidRPr="002F5974">
        <w:rPr>
          <w:szCs w:val="22"/>
        </w:rPr>
        <w:t>trường</w:t>
      </w:r>
      <w:proofErr w:type="spellEnd"/>
      <w:r w:rsidRPr="002F5974">
        <w:rPr>
          <w:szCs w:val="22"/>
        </w:rPr>
        <w:t xml:space="preserve"> </w:t>
      </w:r>
      <w:proofErr w:type="spellStart"/>
      <w:r w:rsidRPr="002F5974">
        <w:rPr>
          <w:szCs w:val="22"/>
        </w:rPr>
        <w:t>được</w:t>
      </w:r>
      <w:proofErr w:type="spellEnd"/>
      <w:r w:rsidRPr="002F5974">
        <w:rPr>
          <w:szCs w:val="22"/>
        </w:rPr>
        <w:t xml:space="preserve"> </w:t>
      </w:r>
      <w:proofErr w:type="spellStart"/>
      <w:r w:rsidRPr="002F5974">
        <w:rPr>
          <w:szCs w:val="22"/>
        </w:rPr>
        <w:t>định</w:t>
      </w:r>
      <w:proofErr w:type="spellEnd"/>
      <w:r w:rsidRPr="002F5974">
        <w:rPr>
          <w:szCs w:val="22"/>
        </w:rPr>
        <w:t xml:space="preserve"> </w:t>
      </w:r>
      <w:proofErr w:type="spellStart"/>
      <w:r w:rsidRPr="002F5974">
        <w:rPr>
          <w:szCs w:val="22"/>
        </w:rPr>
        <w:t>giá</w:t>
      </w:r>
      <w:proofErr w:type="spellEnd"/>
      <w:r w:rsidRPr="002F5974">
        <w:rPr>
          <w:szCs w:val="22"/>
        </w:rPr>
        <w:t xml:space="preserve"> </w:t>
      </w:r>
      <w:proofErr w:type="spellStart"/>
      <w:r w:rsidRPr="002F5974">
        <w:rPr>
          <w:szCs w:val="22"/>
        </w:rPr>
        <w:t>quá</w:t>
      </w:r>
      <w:proofErr w:type="spellEnd"/>
      <w:r w:rsidRPr="002F5974">
        <w:rPr>
          <w:szCs w:val="22"/>
        </w:rPr>
        <w:t xml:space="preserve"> </w:t>
      </w:r>
      <w:proofErr w:type="spellStart"/>
      <w:r w:rsidRPr="002F5974">
        <w:rPr>
          <w:szCs w:val="22"/>
        </w:rPr>
        <w:t>cao</w:t>
      </w:r>
      <w:proofErr w:type="spellEnd"/>
      <w:r w:rsidRPr="002F5974">
        <w:rPr>
          <w:szCs w:val="22"/>
        </w:rPr>
        <w:t xml:space="preserve">.  </w:t>
      </w:r>
      <w:proofErr w:type="spellStart"/>
      <w:r w:rsidRPr="002F5974">
        <w:rPr>
          <w:szCs w:val="22"/>
        </w:rPr>
        <w:t>Việc</w:t>
      </w:r>
      <w:proofErr w:type="spellEnd"/>
      <w:r w:rsidRPr="002F5974">
        <w:rPr>
          <w:szCs w:val="22"/>
        </w:rPr>
        <w:t xml:space="preserve"> </w:t>
      </w:r>
      <w:proofErr w:type="spellStart"/>
      <w:r w:rsidRPr="002F5974">
        <w:rPr>
          <w:szCs w:val="22"/>
        </w:rPr>
        <w:t>đầu</w:t>
      </w:r>
      <w:proofErr w:type="spellEnd"/>
      <w:r w:rsidRPr="002F5974">
        <w:rPr>
          <w:szCs w:val="22"/>
        </w:rPr>
        <w:t xml:space="preserve"> </w:t>
      </w:r>
      <w:proofErr w:type="spellStart"/>
      <w:r w:rsidRPr="002F5974">
        <w:rPr>
          <w:szCs w:val="22"/>
        </w:rPr>
        <w:t>tư</w:t>
      </w:r>
      <w:proofErr w:type="spellEnd"/>
      <w:r w:rsidRPr="002F5974">
        <w:rPr>
          <w:szCs w:val="22"/>
        </w:rPr>
        <w:t xml:space="preserve"> </w:t>
      </w:r>
      <w:proofErr w:type="spellStart"/>
      <w:r w:rsidRPr="002F5974">
        <w:rPr>
          <w:szCs w:val="22"/>
        </w:rPr>
        <w:t>thụ</w:t>
      </w:r>
      <w:proofErr w:type="spellEnd"/>
      <w:r w:rsidRPr="002F5974">
        <w:rPr>
          <w:szCs w:val="22"/>
        </w:rPr>
        <w:t xml:space="preserve"> </w:t>
      </w:r>
      <w:proofErr w:type="spellStart"/>
      <w:r w:rsidRPr="002F5974">
        <w:rPr>
          <w:szCs w:val="22"/>
        </w:rPr>
        <w:t>động</w:t>
      </w:r>
      <w:proofErr w:type="spellEnd"/>
      <w:r w:rsidRPr="002F5974">
        <w:rPr>
          <w:szCs w:val="22"/>
        </w:rPr>
        <w:t xml:space="preserve"> </w:t>
      </w:r>
      <w:proofErr w:type="spellStart"/>
      <w:r w:rsidRPr="002F5974">
        <w:rPr>
          <w:szCs w:val="22"/>
        </w:rPr>
        <w:t>nhằm</w:t>
      </w:r>
      <w:proofErr w:type="spellEnd"/>
      <w:r w:rsidRPr="002F5974">
        <w:rPr>
          <w:szCs w:val="22"/>
        </w:rPr>
        <w:t xml:space="preserve"> </w:t>
      </w:r>
      <w:proofErr w:type="spellStart"/>
      <w:r w:rsidRPr="002F5974">
        <w:rPr>
          <w:szCs w:val="22"/>
        </w:rPr>
        <w:t>giảm</w:t>
      </w:r>
      <w:proofErr w:type="spellEnd"/>
      <w:r w:rsidRPr="002F5974">
        <w:rPr>
          <w:szCs w:val="22"/>
        </w:rPr>
        <w:t xml:space="preserve"> </w:t>
      </w:r>
      <w:proofErr w:type="spellStart"/>
      <w:r w:rsidRPr="002F5974">
        <w:rPr>
          <w:szCs w:val="22"/>
        </w:rPr>
        <w:t>thiểu</w:t>
      </w:r>
      <w:proofErr w:type="spellEnd"/>
      <w:r w:rsidRPr="002F5974">
        <w:rPr>
          <w:szCs w:val="22"/>
        </w:rPr>
        <w:t xml:space="preserve"> chi </w:t>
      </w:r>
      <w:proofErr w:type="spellStart"/>
      <w:r w:rsidRPr="002F5974">
        <w:rPr>
          <w:szCs w:val="22"/>
        </w:rPr>
        <w:t>phí</w:t>
      </w:r>
      <w:proofErr w:type="spellEnd"/>
      <w:r w:rsidRPr="002F5974">
        <w:rPr>
          <w:szCs w:val="22"/>
        </w:rPr>
        <w:t xml:space="preserve"> </w:t>
      </w:r>
      <w:proofErr w:type="spellStart"/>
      <w:r w:rsidRPr="002F5974">
        <w:rPr>
          <w:szCs w:val="22"/>
        </w:rPr>
        <w:t>và</w:t>
      </w:r>
      <w:proofErr w:type="spellEnd"/>
      <w:r w:rsidRPr="002F5974">
        <w:rPr>
          <w:szCs w:val="22"/>
        </w:rPr>
        <w:t xml:space="preserve"> </w:t>
      </w:r>
      <w:proofErr w:type="spellStart"/>
      <w:r w:rsidRPr="002F5974">
        <w:rPr>
          <w:szCs w:val="22"/>
        </w:rPr>
        <w:t>mô</w:t>
      </w:r>
      <w:proofErr w:type="spellEnd"/>
      <w:r w:rsidRPr="002F5974">
        <w:rPr>
          <w:szCs w:val="22"/>
        </w:rPr>
        <w:t xml:space="preserve"> </w:t>
      </w:r>
      <w:proofErr w:type="spellStart"/>
      <w:r w:rsidRPr="002F5974">
        <w:rPr>
          <w:szCs w:val="22"/>
        </w:rPr>
        <w:t>phỏng</w:t>
      </w:r>
      <w:proofErr w:type="spellEnd"/>
      <w:r w:rsidRPr="002F5974">
        <w:rPr>
          <w:szCs w:val="22"/>
        </w:rPr>
        <w:t xml:space="preserve"> </w:t>
      </w:r>
      <w:proofErr w:type="spellStart"/>
      <w:r w:rsidRPr="002F5974">
        <w:rPr>
          <w:szCs w:val="22"/>
        </w:rPr>
        <w:t>gần</w:t>
      </w:r>
      <w:proofErr w:type="spellEnd"/>
      <w:r w:rsidRPr="002F5974">
        <w:rPr>
          <w:szCs w:val="22"/>
        </w:rPr>
        <w:t xml:space="preserve"> </w:t>
      </w:r>
      <w:proofErr w:type="spellStart"/>
      <w:r w:rsidRPr="002F5974">
        <w:rPr>
          <w:szCs w:val="22"/>
        </w:rPr>
        <w:t>hơn</w:t>
      </w:r>
      <w:proofErr w:type="spellEnd"/>
      <w:r w:rsidRPr="002F5974">
        <w:rPr>
          <w:szCs w:val="22"/>
        </w:rPr>
        <w:t xml:space="preserve"> </w:t>
      </w:r>
      <w:proofErr w:type="spellStart"/>
      <w:r w:rsidRPr="002F5974">
        <w:rPr>
          <w:szCs w:val="22"/>
        </w:rPr>
        <w:t>chỉ</w:t>
      </w:r>
      <w:proofErr w:type="spellEnd"/>
      <w:r w:rsidRPr="002F5974">
        <w:rPr>
          <w:szCs w:val="22"/>
        </w:rPr>
        <w:t xml:space="preserve"> </w:t>
      </w:r>
      <w:proofErr w:type="spellStart"/>
      <w:r w:rsidRPr="002F5974">
        <w:rPr>
          <w:szCs w:val="22"/>
        </w:rPr>
        <w:t>số</w:t>
      </w:r>
      <w:proofErr w:type="spellEnd"/>
      <w:r w:rsidRPr="002F5974">
        <w:rPr>
          <w:szCs w:val="22"/>
        </w:rPr>
        <w:t xml:space="preserve"> </w:t>
      </w:r>
      <w:proofErr w:type="spellStart"/>
      <w:r w:rsidRPr="002F5974">
        <w:rPr>
          <w:szCs w:val="22"/>
        </w:rPr>
        <w:t>tham</w:t>
      </w:r>
      <w:proofErr w:type="spellEnd"/>
      <w:r w:rsidRPr="002F5974">
        <w:rPr>
          <w:szCs w:val="22"/>
        </w:rPr>
        <w:t xml:space="preserve"> </w:t>
      </w:r>
      <w:proofErr w:type="spellStart"/>
      <w:r w:rsidRPr="002F5974">
        <w:rPr>
          <w:szCs w:val="22"/>
        </w:rPr>
        <w:t>chiếu</w:t>
      </w:r>
      <w:proofErr w:type="spellEnd"/>
      <w:r w:rsidRPr="002F5974">
        <w:rPr>
          <w:szCs w:val="22"/>
        </w:rPr>
        <w:t xml:space="preserve"> </w:t>
      </w:r>
      <w:proofErr w:type="spellStart"/>
      <w:r w:rsidRPr="002F5974">
        <w:rPr>
          <w:szCs w:val="22"/>
        </w:rPr>
        <w:t>bằng</w:t>
      </w:r>
      <w:proofErr w:type="spellEnd"/>
      <w:r w:rsidRPr="002F5974">
        <w:rPr>
          <w:szCs w:val="22"/>
        </w:rPr>
        <w:t xml:space="preserve"> </w:t>
      </w:r>
      <w:proofErr w:type="spellStart"/>
      <w:r w:rsidRPr="002F5974">
        <w:rPr>
          <w:szCs w:val="22"/>
        </w:rPr>
        <w:t>cách</w:t>
      </w:r>
      <w:proofErr w:type="spellEnd"/>
      <w:r w:rsidRPr="002F5974">
        <w:rPr>
          <w:szCs w:val="22"/>
        </w:rPr>
        <w:t xml:space="preserve"> </w:t>
      </w:r>
      <w:proofErr w:type="spellStart"/>
      <w:r w:rsidRPr="002F5974">
        <w:rPr>
          <w:szCs w:val="22"/>
        </w:rPr>
        <w:t>duy</w:t>
      </w:r>
      <w:proofErr w:type="spellEnd"/>
      <w:r w:rsidRPr="002F5974">
        <w:rPr>
          <w:szCs w:val="22"/>
        </w:rPr>
        <w:t xml:space="preserve"> </w:t>
      </w:r>
      <w:proofErr w:type="spellStart"/>
      <w:r w:rsidRPr="002F5974">
        <w:rPr>
          <w:szCs w:val="22"/>
        </w:rPr>
        <w:t>trì</w:t>
      </w:r>
      <w:proofErr w:type="spellEnd"/>
      <w:r w:rsidRPr="002F5974">
        <w:rPr>
          <w:szCs w:val="22"/>
        </w:rPr>
        <w:t xml:space="preserve"> </w:t>
      </w:r>
      <w:proofErr w:type="spellStart"/>
      <w:r w:rsidRPr="002F5974">
        <w:rPr>
          <w:szCs w:val="22"/>
        </w:rPr>
        <w:t>tỷ</w:t>
      </w:r>
      <w:proofErr w:type="spellEnd"/>
      <w:r w:rsidRPr="002F5974">
        <w:rPr>
          <w:szCs w:val="22"/>
        </w:rPr>
        <w:t xml:space="preserve"> </w:t>
      </w:r>
      <w:proofErr w:type="spellStart"/>
      <w:r w:rsidRPr="002F5974">
        <w:rPr>
          <w:szCs w:val="22"/>
        </w:rPr>
        <w:t>lệ</w:t>
      </w:r>
      <w:proofErr w:type="spellEnd"/>
      <w:r w:rsidRPr="002F5974">
        <w:rPr>
          <w:szCs w:val="22"/>
        </w:rPr>
        <w:t xml:space="preserve"> </w:t>
      </w:r>
      <w:proofErr w:type="spellStart"/>
      <w:r w:rsidRPr="002F5974">
        <w:rPr>
          <w:szCs w:val="22"/>
        </w:rPr>
        <w:t>vòng</w:t>
      </w:r>
      <w:proofErr w:type="spellEnd"/>
      <w:r w:rsidRPr="002F5974">
        <w:rPr>
          <w:szCs w:val="22"/>
        </w:rPr>
        <w:t xml:space="preserve"> quay </w:t>
      </w:r>
      <w:proofErr w:type="spellStart"/>
      <w:r w:rsidRPr="002F5974">
        <w:rPr>
          <w:szCs w:val="22"/>
        </w:rPr>
        <w:t>vốn</w:t>
      </w:r>
      <w:proofErr w:type="spellEnd"/>
      <w:r w:rsidRPr="002F5974">
        <w:rPr>
          <w:szCs w:val="22"/>
        </w:rPr>
        <w:t xml:space="preserve"> </w:t>
      </w:r>
      <w:proofErr w:type="spellStart"/>
      <w:r w:rsidRPr="002F5974">
        <w:rPr>
          <w:szCs w:val="22"/>
        </w:rPr>
        <w:t>đầu</w:t>
      </w:r>
      <w:proofErr w:type="spellEnd"/>
      <w:r w:rsidRPr="002F5974">
        <w:rPr>
          <w:szCs w:val="22"/>
        </w:rPr>
        <w:t xml:space="preserve"> </w:t>
      </w:r>
      <w:proofErr w:type="spellStart"/>
      <w:r w:rsidRPr="002F5974">
        <w:rPr>
          <w:szCs w:val="22"/>
        </w:rPr>
        <w:t>tư</w:t>
      </w:r>
      <w:proofErr w:type="spellEnd"/>
      <w:r w:rsidRPr="002F5974">
        <w:rPr>
          <w:szCs w:val="22"/>
        </w:rPr>
        <w:t xml:space="preserve"> </w:t>
      </w:r>
      <w:proofErr w:type="spellStart"/>
      <w:r w:rsidRPr="002F5974">
        <w:rPr>
          <w:szCs w:val="22"/>
        </w:rPr>
        <w:t>thấp</w:t>
      </w:r>
      <w:proofErr w:type="spellEnd"/>
      <w:r w:rsidRPr="002F5974">
        <w:rPr>
          <w:szCs w:val="22"/>
        </w:rPr>
        <w:t xml:space="preserve"> </w:t>
      </w:r>
      <w:proofErr w:type="spellStart"/>
      <w:r w:rsidRPr="002F5974">
        <w:rPr>
          <w:szCs w:val="22"/>
        </w:rPr>
        <w:t>hơn</w:t>
      </w:r>
      <w:proofErr w:type="spellEnd"/>
      <w:r w:rsidRPr="002F5974">
        <w:rPr>
          <w:szCs w:val="22"/>
        </w:rPr>
        <w:t xml:space="preserve"> so </w:t>
      </w:r>
      <w:proofErr w:type="spellStart"/>
      <w:r w:rsidRPr="002F5974">
        <w:rPr>
          <w:szCs w:val="22"/>
        </w:rPr>
        <w:t>với</w:t>
      </w:r>
      <w:proofErr w:type="spellEnd"/>
      <w:r w:rsidRPr="002F5974">
        <w:rPr>
          <w:szCs w:val="22"/>
        </w:rPr>
        <w:t xml:space="preserve"> </w:t>
      </w:r>
      <w:proofErr w:type="spellStart"/>
      <w:r w:rsidRPr="002F5974">
        <w:rPr>
          <w:szCs w:val="22"/>
        </w:rPr>
        <w:t>các</w:t>
      </w:r>
      <w:proofErr w:type="spellEnd"/>
      <w:r w:rsidRPr="002F5974">
        <w:rPr>
          <w:szCs w:val="22"/>
        </w:rPr>
        <w:t xml:space="preserve"> </w:t>
      </w:r>
      <w:proofErr w:type="spellStart"/>
      <w:r w:rsidRPr="002F5974">
        <w:rPr>
          <w:szCs w:val="22"/>
        </w:rPr>
        <w:t>quỹ</w:t>
      </w:r>
      <w:proofErr w:type="spellEnd"/>
      <w:r w:rsidRPr="002F5974">
        <w:rPr>
          <w:szCs w:val="22"/>
        </w:rPr>
        <w:t xml:space="preserve"> </w:t>
      </w:r>
      <w:proofErr w:type="spellStart"/>
      <w:r w:rsidRPr="002F5974">
        <w:rPr>
          <w:szCs w:val="22"/>
        </w:rPr>
        <w:t>sử</w:t>
      </w:r>
      <w:proofErr w:type="spellEnd"/>
      <w:r w:rsidRPr="002F5974">
        <w:rPr>
          <w:szCs w:val="22"/>
        </w:rPr>
        <w:t xml:space="preserve"> </w:t>
      </w:r>
      <w:proofErr w:type="spellStart"/>
      <w:r w:rsidRPr="002F5974">
        <w:rPr>
          <w:szCs w:val="22"/>
        </w:rPr>
        <w:t>dụng</w:t>
      </w:r>
      <w:proofErr w:type="spellEnd"/>
      <w:r w:rsidRPr="002F5974">
        <w:rPr>
          <w:szCs w:val="22"/>
        </w:rPr>
        <w:t xml:space="preserve"> </w:t>
      </w:r>
      <w:proofErr w:type="spellStart"/>
      <w:r w:rsidRPr="002F5974">
        <w:rPr>
          <w:szCs w:val="22"/>
        </w:rPr>
        <w:t>chiến</w:t>
      </w:r>
      <w:proofErr w:type="spellEnd"/>
      <w:r w:rsidRPr="002F5974">
        <w:rPr>
          <w:szCs w:val="22"/>
        </w:rPr>
        <w:t xml:space="preserve"> </w:t>
      </w:r>
      <w:proofErr w:type="spellStart"/>
      <w:r w:rsidRPr="002F5974">
        <w:rPr>
          <w:szCs w:val="22"/>
        </w:rPr>
        <w:t>lược</w:t>
      </w:r>
      <w:proofErr w:type="spellEnd"/>
      <w:r w:rsidRPr="002F5974">
        <w:rPr>
          <w:szCs w:val="22"/>
        </w:rPr>
        <w:t xml:space="preserve"> </w:t>
      </w:r>
      <w:proofErr w:type="spellStart"/>
      <w:r w:rsidRPr="002F5974">
        <w:rPr>
          <w:szCs w:val="22"/>
        </w:rPr>
        <w:t>đầu</w:t>
      </w:r>
      <w:proofErr w:type="spellEnd"/>
      <w:r w:rsidRPr="002F5974">
        <w:rPr>
          <w:szCs w:val="22"/>
        </w:rPr>
        <w:t xml:space="preserve"> </w:t>
      </w:r>
      <w:proofErr w:type="spellStart"/>
      <w:r w:rsidRPr="002F5974">
        <w:rPr>
          <w:szCs w:val="22"/>
        </w:rPr>
        <w:t>tư</w:t>
      </w:r>
      <w:proofErr w:type="spellEnd"/>
      <w:r w:rsidRPr="002F5974">
        <w:rPr>
          <w:szCs w:val="22"/>
        </w:rPr>
        <w:t xml:space="preserve"> </w:t>
      </w:r>
      <w:proofErr w:type="spellStart"/>
      <w:r w:rsidRPr="002F5974">
        <w:rPr>
          <w:szCs w:val="22"/>
        </w:rPr>
        <w:t>chủ</w:t>
      </w:r>
      <w:proofErr w:type="spellEnd"/>
      <w:r w:rsidRPr="002F5974">
        <w:rPr>
          <w:szCs w:val="22"/>
        </w:rPr>
        <w:t xml:space="preserve"> </w:t>
      </w:r>
      <w:proofErr w:type="spellStart"/>
      <w:r w:rsidRPr="002F5974">
        <w:rPr>
          <w:szCs w:val="22"/>
        </w:rPr>
        <w:t>động</w:t>
      </w:r>
      <w:proofErr w:type="spellEnd"/>
      <w:r w:rsidRPr="002F5974">
        <w:rPr>
          <w:szCs w:val="22"/>
        </w:rPr>
        <w:t>.</w:t>
      </w:r>
    </w:p>
    <w:p w14:paraId="54C4A279" w14:textId="77777777" w:rsidR="007922E7" w:rsidRPr="002F5974" w:rsidRDefault="007922E7" w:rsidP="002F5974">
      <w:pPr>
        <w:pStyle w:val="ListParagraph"/>
        <w:numPr>
          <w:ilvl w:val="0"/>
          <w:numId w:val="2"/>
        </w:numPr>
        <w:tabs>
          <w:tab w:val="left" w:pos="540"/>
        </w:tabs>
        <w:spacing w:before="260" w:after="140"/>
        <w:ind w:left="0" w:hanging="540"/>
        <w:rPr>
          <w:rFonts w:ascii="Times New Roman" w:hAnsi="Times New Roman"/>
          <w:b/>
          <w:sz w:val="24"/>
          <w:szCs w:val="24"/>
          <w:lang w:val="nl-NL"/>
        </w:rPr>
      </w:pPr>
      <w:r w:rsidRPr="002F5974">
        <w:rPr>
          <w:rFonts w:ascii="Times New Roman" w:hAnsi="Times New Roman"/>
          <w:b/>
          <w:sz w:val="24"/>
          <w:szCs w:val="24"/>
          <w:lang w:val="nl-NL"/>
        </w:rPr>
        <w:t xml:space="preserve">Phân loại Quỹ </w:t>
      </w:r>
    </w:p>
    <w:p w14:paraId="1699E0AA" w14:textId="77777777" w:rsidR="007922E7" w:rsidRPr="002F5974" w:rsidRDefault="007922E7" w:rsidP="002F5974">
      <w:pPr>
        <w:tabs>
          <w:tab w:val="left" w:pos="540"/>
        </w:tabs>
        <w:spacing w:before="120"/>
        <w:rPr>
          <w:lang w:val="nl-NL"/>
        </w:rPr>
      </w:pPr>
      <w:r w:rsidRPr="002F5974">
        <w:rPr>
          <w:lang w:val="nl-NL"/>
        </w:rPr>
        <w:t xml:space="preserve">Quỹ </w:t>
      </w:r>
      <w:proofErr w:type="spellStart"/>
      <w:r w:rsidRPr="002F5974">
        <w:rPr>
          <w:szCs w:val="22"/>
          <w:lang w:val="fr-FR"/>
        </w:rPr>
        <w:t>thuộc</w:t>
      </w:r>
      <w:proofErr w:type="spellEnd"/>
      <w:r w:rsidRPr="002F5974">
        <w:rPr>
          <w:lang w:val="nl-NL"/>
        </w:rPr>
        <w:t xml:space="preserve"> loại quỹ Hoán đổi danh mục.</w:t>
      </w:r>
    </w:p>
    <w:p w14:paraId="1C8B0032" w14:textId="77777777" w:rsidR="007922E7" w:rsidRPr="002F5974" w:rsidRDefault="007922E7" w:rsidP="002F5974">
      <w:pPr>
        <w:pStyle w:val="ListParagraph"/>
        <w:numPr>
          <w:ilvl w:val="0"/>
          <w:numId w:val="2"/>
        </w:numPr>
        <w:tabs>
          <w:tab w:val="left" w:pos="540"/>
        </w:tabs>
        <w:spacing w:before="260" w:after="140"/>
        <w:ind w:left="0" w:hanging="540"/>
        <w:rPr>
          <w:rFonts w:ascii="Times New Roman" w:hAnsi="Times New Roman"/>
          <w:b/>
          <w:sz w:val="24"/>
          <w:szCs w:val="24"/>
          <w:lang w:val="nl-NL"/>
        </w:rPr>
      </w:pPr>
      <w:r w:rsidRPr="002F5974">
        <w:rPr>
          <w:rFonts w:ascii="Times New Roman" w:hAnsi="Times New Roman"/>
          <w:b/>
          <w:sz w:val="24"/>
          <w:szCs w:val="24"/>
          <w:lang w:val="nl-NL"/>
        </w:rPr>
        <w:t xml:space="preserve">Thời gian khuyến cáo đầu tư của Quỹ </w:t>
      </w:r>
    </w:p>
    <w:p w14:paraId="1B9335FD" w14:textId="77777777" w:rsidR="007922E7" w:rsidRPr="002F5974" w:rsidRDefault="007922E7" w:rsidP="002F5974">
      <w:pPr>
        <w:tabs>
          <w:tab w:val="left" w:pos="540"/>
        </w:tabs>
        <w:spacing w:before="120"/>
        <w:rPr>
          <w:lang w:val="nl-NL"/>
        </w:rPr>
      </w:pPr>
      <w:r w:rsidRPr="002F5974">
        <w:rPr>
          <w:lang w:val="nl-NL"/>
        </w:rPr>
        <w:t>Không có.</w:t>
      </w:r>
    </w:p>
    <w:p w14:paraId="615C984C" w14:textId="77777777" w:rsidR="007922E7" w:rsidRPr="002F5974" w:rsidRDefault="007922E7" w:rsidP="002F5974">
      <w:pPr>
        <w:pStyle w:val="ListParagraph"/>
        <w:numPr>
          <w:ilvl w:val="0"/>
          <w:numId w:val="2"/>
        </w:numPr>
        <w:tabs>
          <w:tab w:val="left" w:pos="540"/>
        </w:tabs>
        <w:spacing w:before="260" w:after="140"/>
        <w:ind w:left="0" w:hanging="540"/>
        <w:rPr>
          <w:rFonts w:ascii="Times New Roman" w:hAnsi="Times New Roman"/>
          <w:b/>
          <w:sz w:val="24"/>
          <w:szCs w:val="24"/>
          <w:lang w:val="nl-NL"/>
        </w:rPr>
      </w:pPr>
      <w:r w:rsidRPr="002F5974">
        <w:rPr>
          <w:rFonts w:ascii="Times New Roman" w:hAnsi="Times New Roman"/>
          <w:b/>
          <w:sz w:val="24"/>
          <w:szCs w:val="24"/>
          <w:lang w:val="nl-NL"/>
        </w:rPr>
        <w:t xml:space="preserve">Mức độ rủi ro ngắn hạn </w:t>
      </w:r>
    </w:p>
    <w:p w14:paraId="384B7FA4" w14:textId="77777777" w:rsidR="007922E7" w:rsidRPr="002F5974" w:rsidRDefault="007922E7" w:rsidP="002F5974">
      <w:pPr>
        <w:tabs>
          <w:tab w:val="left" w:pos="540"/>
        </w:tabs>
        <w:spacing w:before="120"/>
        <w:rPr>
          <w:lang w:val="nl-NL"/>
        </w:rPr>
      </w:pPr>
      <w:r w:rsidRPr="002F5974">
        <w:rPr>
          <w:lang w:val="nl-NL"/>
        </w:rPr>
        <w:t>Trung bình.</w:t>
      </w:r>
    </w:p>
    <w:p w14:paraId="2782E0C5" w14:textId="77777777" w:rsidR="007922E7" w:rsidRPr="002F5974" w:rsidRDefault="007922E7" w:rsidP="002F5974">
      <w:pPr>
        <w:pStyle w:val="ListParagraph"/>
        <w:numPr>
          <w:ilvl w:val="0"/>
          <w:numId w:val="2"/>
        </w:numPr>
        <w:tabs>
          <w:tab w:val="left" w:pos="540"/>
        </w:tabs>
        <w:spacing w:before="260" w:after="140"/>
        <w:ind w:left="0" w:hanging="540"/>
        <w:rPr>
          <w:rFonts w:ascii="Times New Roman" w:hAnsi="Times New Roman"/>
          <w:b/>
          <w:sz w:val="24"/>
          <w:szCs w:val="24"/>
          <w:lang w:val="nl-NL"/>
        </w:rPr>
      </w:pPr>
      <w:r w:rsidRPr="002F5974">
        <w:rPr>
          <w:rFonts w:ascii="Times New Roman" w:hAnsi="Times New Roman"/>
          <w:b/>
          <w:sz w:val="24"/>
          <w:szCs w:val="24"/>
          <w:lang w:val="nl-NL"/>
        </w:rPr>
        <w:t>Thời điểm bắt đầu hoạt động của Quỹ</w:t>
      </w:r>
    </w:p>
    <w:p w14:paraId="62F5AFBE" w14:textId="77777777" w:rsidR="007922E7" w:rsidRPr="002F5974" w:rsidRDefault="007922E7" w:rsidP="002F5974">
      <w:pPr>
        <w:tabs>
          <w:tab w:val="left" w:pos="540"/>
        </w:tabs>
        <w:spacing w:before="120"/>
        <w:rPr>
          <w:lang w:val="nl-NL"/>
        </w:rPr>
      </w:pPr>
      <w:r w:rsidRPr="002F5974">
        <w:rPr>
          <w:lang w:val="nl-NL"/>
        </w:rPr>
        <w:t>Quỹ bắt đầu hoạt động từ ngày 18 tháng 9 năm 2014.</w:t>
      </w:r>
    </w:p>
    <w:p w14:paraId="46332A62" w14:textId="77777777" w:rsidR="007922E7" w:rsidRPr="002F5974" w:rsidRDefault="007922E7" w:rsidP="002F5974">
      <w:pPr>
        <w:pStyle w:val="ListParagraph"/>
        <w:numPr>
          <w:ilvl w:val="0"/>
          <w:numId w:val="2"/>
        </w:numPr>
        <w:tabs>
          <w:tab w:val="left" w:pos="540"/>
        </w:tabs>
        <w:spacing w:before="260" w:after="140"/>
        <w:ind w:left="0" w:hanging="540"/>
        <w:rPr>
          <w:rFonts w:ascii="Times New Roman" w:hAnsi="Times New Roman"/>
          <w:sz w:val="24"/>
          <w:szCs w:val="24"/>
          <w:lang w:val="nl-NL"/>
        </w:rPr>
      </w:pPr>
      <w:r w:rsidRPr="002F5974">
        <w:rPr>
          <w:rFonts w:ascii="Times New Roman" w:hAnsi="Times New Roman"/>
          <w:b/>
          <w:sz w:val="24"/>
          <w:szCs w:val="24"/>
          <w:lang w:val="nl-NL"/>
        </w:rPr>
        <w:t>Quy mô Quỹ tại thời điểm báo cáo</w:t>
      </w:r>
      <w:r w:rsidRPr="002F5974">
        <w:rPr>
          <w:rFonts w:ascii="Times New Roman" w:hAnsi="Times New Roman"/>
          <w:sz w:val="24"/>
          <w:szCs w:val="24"/>
          <w:lang w:val="nl-NL"/>
        </w:rPr>
        <w:t xml:space="preserve"> </w:t>
      </w:r>
    </w:p>
    <w:p w14:paraId="33EDBE41" w14:textId="6DFC57C4" w:rsidR="007922E7" w:rsidRPr="002F5974" w:rsidRDefault="007922E7" w:rsidP="002F5974">
      <w:pPr>
        <w:tabs>
          <w:tab w:val="left" w:pos="540"/>
        </w:tabs>
        <w:spacing w:before="120"/>
        <w:rPr>
          <w:lang w:val="nl-NL"/>
        </w:rPr>
      </w:pPr>
      <w:r w:rsidRPr="002F5974">
        <w:rPr>
          <w:lang w:val="nl-NL"/>
        </w:rPr>
        <w:t xml:space="preserve">Tại ngày </w:t>
      </w:r>
      <w:r w:rsidR="00DF769D" w:rsidRPr="002F5974">
        <w:rPr>
          <w:lang w:val="nl-NL"/>
        </w:rPr>
        <w:t>3</w:t>
      </w:r>
      <w:r w:rsidR="00C8597A" w:rsidRPr="002F5974">
        <w:rPr>
          <w:lang w:val="nl-NL"/>
        </w:rPr>
        <w:t>0</w:t>
      </w:r>
      <w:r w:rsidRPr="002F5974">
        <w:rPr>
          <w:lang w:val="nl-NL"/>
        </w:rPr>
        <w:t xml:space="preserve"> tháng </w:t>
      </w:r>
      <w:r w:rsidR="00C8597A" w:rsidRPr="002F5974">
        <w:rPr>
          <w:lang w:val="nl-NL"/>
        </w:rPr>
        <w:t>06</w:t>
      </w:r>
      <w:r w:rsidR="00F73FE7" w:rsidRPr="002F5974">
        <w:rPr>
          <w:lang w:val="nl-NL"/>
        </w:rPr>
        <w:t xml:space="preserve"> năm 20</w:t>
      </w:r>
      <w:r w:rsidR="00EC3F05" w:rsidRPr="002F5974">
        <w:rPr>
          <w:lang w:val="nl-NL"/>
        </w:rPr>
        <w:t>2</w:t>
      </w:r>
      <w:r w:rsidR="00C8597A" w:rsidRPr="002F5974">
        <w:rPr>
          <w:lang w:val="nl-NL"/>
        </w:rPr>
        <w:t>2</w:t>
      </w:r>
      <w:r w:rsidRPr="002F5974">
        <w:rPr>
          <w:lang w:val="nl-NL"/>
        </w:rPr>
        <w:t>, số lượng chứng chỉ quỹ đang lưu hành là</w:t>
      </w:r>
      <w:r w:rsidR="00DF769D" w:rsidRPr="002F5974">
        <w:rPr>
          <w:lang w:val="nl-NL"/>
        </w:rPr>
        <w:t xml:space="preserve"> </w:t>
      </w:r>
      <w:r w:rsidR="00B30862" w:rsidRPr="002F5974">
        <w:rPr>
          <w:lang w:val="nl-NL"/>
        </w:rPr>
        <w:t xml:space="preserve">365,500,000 </w:t>
      </w:r>
      <w:r w:rsidRPr="002F5974">
        <w:rPr>
          <w:lang w:val="nl-NL"/>
        </w:rPr>
        <w:t>và giá trị tài sản ròng của một đơn vị chứng chỉ quỹ là</w:t>
      </w:r>
      <w:r w:rsidR="00DF769D" w:rsidRPr="002F5974">
        <w:rPr>
          <w:lang w:val="nl-NL"/>
        </w:rPr>
        <w:t xml:space="preserve"> </w:t>
      </w:r>
      <w:r w:rsidR="00B30862" w:rsidRPr="002F5974">
        <w:rPr>
          <w:lang w:val="nl-NL"/>
        </w:rPr>
        <w:t xml:space="preserve">21,076.64 </w:t>
      </w:r>
      <w:r w:rsidRPr="002F5974">
        <w:rPr>
          <w:lang w:val="nl-NL"/>
        </w:rPr>
        <w:t xml:space="preserve">Đồng Việt Nam.   </w:t>
      </w:r>
    </w:p>
    <w:p w14:paraId="58A1E8D7" w14:textId="77777777" w:rsidR="007922E7" w:rsidRPr="002F5974" w:rsidRDefault="007922E7" w:rsidP="002F5974">
      <w:pPr>
        <w:pStyle w:val="ListParagraph"/>
        <w:numPr>
          <w:ilvl w:val="0"/>
          <w:numId w:val="2"/>
        </w:numPr>
        <w:tabs>
          <w:tab w:val="left" w:pos="540"/>
        </w:tabs>
        <w:spacing w:before="260" w:after="140"/>
        <w:ind w:left="0" w:hanging="540"/>
        <w:rPr>
          <w:rFonts w:ascii="Times New Roman" w:hAnsi="Times New Roman"/>
          <w:b/>
          <w:sz w:val="24"/>
          <w:szCs w:val="24"/>
          <w:lang w:val="nl-NL"/>
        </w:rPr>
      </w:pPr>
      <w:r w:rsidRPr="002F5974">
        <w:rPr>
          <w:rFonts w:ascii="Times New Roman" w:hAnsi="Times New Roman"/>
          <w:b/>
          <w:sz w:val="24"/>
          <w:szCs w:val="24"/>
          <w:lang w:val="nl-NL"/>
        </w:rPr>
        <w:t xml:space="preserve">Chỉ số tham chiếu của Quỹ </w:t>
      </w:r>
    </w:p>
    <w:p w14:paraId="566E591F" w14:textId="77777777" w:rsidR="007922E7" w:rsidRPr="002F5974" w:rsidRDefault="007922E7" w:rsidP="002F5974">
      <w:pPr>
        <w:tabs>
          <w:tab w:val="left" w:pos="540"/>
        </w:tabs>
        <w:spacing w:before="120"/>
        <w:rPr>
          <w:lang w:val="nl-NL"/>
        </w:rPr>
      </w:pPr>
      <w:r w:rsidRPr="002F5974">
        <w:rPr>
          <w:lang w:val="nl-NL"/>
        </w:rPr>
        <w:t>Chỉ số tham chiếu của Quỹ chỉ số tổng thu nhập VN30 (VN30-TRI).</w:t>
      </w:r>
    </w:p>
    <w:p w14:paraId="43684916" w14:textId="77777777" w:rsidR="007922E7" w:rsidRPr="002F5974" w:rsidRDefault="007922E7" w:rsidP="002F5974">
      <w:pPr>
        <w:pStyle w:val="ListParagraph"/>
        <w:numPr>
          <w:ilvl w:val="0"/>
          <w:numId w:val="2"/>
        </w:numPr>
        <w:tabs>
          <w:tab w:val="left" w:pos="540"/>
        </w:tabs>
        <w:spacing w:before="260" w:after="140"/>
        <w:ind w:left="0" w:hanging="540"/>
        <w:rPr>
          <w:rFonts w:ascii="Times New Roman" w:hAnsi="Times New Roman"/>
          <w:b/>
          <w:sz w:val="24"/>
          <w:szCs w:val="24"/>
          <w:lang w:val="nl-NL"/>
        </w:rPr>
      </w:pPr>
      <w:r w:rsidRPr="002F5974">
        <w:rPr>
          <w:rFonts w:ascii="Times New Roman" w:hAnsi="Times New Roman"/>
          <w:b/>
          <w:sz w:val="24"/>
          <w:szCs w:val="24"/>
          <w:lang w:val="nl-NL"/>
        </w:rPr>
        <w:lastRenderedPageBreak/>
        <w:t>Chính sách phân phối lợi nhuận của Quỹ</w:t>
      </w:r>
    </w:p>
    <w:p w14:paraId="12C89B19" w14:textId="77777777" w:rsidR="007922E7" w:rsidRPr="002F5974" w:rsidRDefault="007922E7" w:rsidP="002F5974">
      <w:pPr>
        <w:tabs>
          <w:tab w:val="left" w:pos="540"/>
        </w:tabs>
        <w:spacing w:before="120"/>
        <w:rPr>
          <w:lang w:val="nl-NL"/>
        </w:rPr>
      </w:pPr>
      <w:r w:rsidRPr="002F5974">
        <w:rPr>
          <w:lang w:val="nl-NL"/>
        </w:rPr>
        <w:t>Chính sách phân phối lợi nhuận của Quỹ sẽ được xem xét hàng năm và phụ thuộc vào kết quả hoạt động và quyết định của nhà đầu tư trong Đại hội Nhà Đầu tư.</w:t>
      </w:r>
    </w:p>
    <w:p w14:paraId="63AA1212" w14:textId="77777777" w:rsidR="007922E7" w:rsidRPr="002F5974" w:rsidRDefault="007922E7" w:rsidP="002F5974">
      <w:pPr>
        <w:pStyle w:val="ListParagraph"/>
        <w:numPr>
          <w:ilvl w:val="0"/>
          <w:numId w:val="2"/>
        </w:numPr>
        <w:tabs>
          <w:tab w:val="left" w:pos="540"/>
        </w:tabs>
        <w:spacing w:before="260" w:after="140"/>
        <w:ind w:left="0" w:hanging="540"/>
        <w:rPr>
          <w:rFonts w:ascii="Times New Roman" w:hAnsi="Times New Roman"/>
          <w:sz w:val="24"/>
          <w:szCs w:val="24"/>
          <w:lang w:val="nl-NL"/>
        </w:rPr>
      </w:pPr>
      <w:r w:rsidRPr="002F5974">
        <w:rPr>
          <w:rFonts w:ascii="Times New Roman" w:hAnsi="Times New Roman"/>
          <w:b/>
          <w:sz w:val="24"/>
          <w:szCs w:val="24"/>
          <w:lang w:val="nl-NL"/>
        </w:rPr>
        <w:t>Lợi nhuận thuần thực tế phân phối trên một đơn vị Chứng chỉ quỹ Quỹ</w:t>
      </w:r>
      <w:r w:rsidRPr="002F5974">
        <w:rPr>
          <w:rFonts w:ascii="Times New Roman" w:hAnsi="Times New Roman"/>
          <w:sz w:val="24"/>
          <w:szCs w:val="24"/>
          <w:lang w:val="nl-NL"/>
        </w:rPr>
        <w:t xml:space="preserve"> </w:t>
      </w:r>
    </w:p>
    <w:p w14:paraId="0E842F2F" w14:textId="77777777" w:rsidR="007922E7" w:rsidRPr="002F5974" w:rsidRDefault="007922E7" w:rsidP="002F5974">
      <w:proofErr w:type="spellStart"/>
      <w:r w:rsidRPr="002F5974">
        <w:t>Không</w:t>
      </w:r>
      <w:proofErr w:type="spellEnd"/>
      <w:r w:rsidRPr="002F5974">
        <w:t xml:space="preserve"> </w:t>
      </w:r>
      <w:proofErr w:type="spellStart"/>
      <w:r w:rsidRPr="002F5974">
        <w:t>có</w:t>
      </w:r>
      <w:proofErr w:type="spellEnd"/>
      <w:r w:rsidRPr="002F5974">
        <w:t>.</w:t>
      </w:r>
    </w:p>
    <w:p w14:paraId="6C79A5D7" w14:textId="77777777" w:rsidR="007922E7" w:rsidRPr="002F5974" w:rsidRDefault="007922E7" w:rsidP="002F5974">
      <w:pPr>
        <w:pStyle w:val="ListParagraph"/>
        <w:numPr>
          <w:ilvl w:val="0"/>
          <w:numId w:val="1"/>
        </w:numPr>
        <w:spacing w:before="260" w:after="140"/>
        <w:ind w:left="0" w:hanging="540"/>
        <w:rPr>
          <w:rFonts w:ascii="Times New Roman" w:hAnsi="Times New Roman"/>
          <w:b/>
          <w:sz w:val="28"/>
          <w:szCs w:val="28"/>
          <w:lang w:val="nl-NL"/>
        </w:rPr>
      </w:pPr>
      <w:r w:rsidRPr="002F5974">
        <w:rPr>
          <w:rFonts w:ascii="Times New Roman" w:hAnsi="Times New Roman"/>
          <w:b/>
          <w:sz w:val="28"/>
          <w:szCs w:val="28"/>
          <w:lang w:val="nl-NL"/>
        </w:rPr>
        <w:t>Số liệu hoạt động</w:t>
      </w:r>
    </w:p>
    <w:p w14:paraId="45C21FBD" w14:textId="77777777" w:rsidR="007922E7" w:rsidRPr="002F5974" w:rsidRDefault="007922E7" w:rsidP="002F5974">
      <w:pPr>
        <w:pStyle w:val="ListParagraph"/>
        <w:numPr>
          <w:ilvl w:val="0"/>
          <w:numId w:val="3"/>
        </w:numPr>
        <w:spacing w:after="140"/>
        <w:ind w:left="0" w:hanging="540"/>
        <w:rPr>
          <w:rFonts w:ascii="Times New Roman" w:hAnsi="Times New Roman"/>
          <w:b/>
          <w:sz w:val="24"/>
          <w:szCs w:val="24"/>
          <w:lang w:val="nl-NL"/>
        </w:rPr>
      </w:pPr>
      <w:r w:rsidRPr="002F5974">
        <w:rPr>
          <w:rFonts w:ascii="Times New Roman" w:hAnsi="Times New Roman"/>
          <w:b/>
          <w:sz w:val="24"/>
          <w:szCs w:val="24"/>
          <w:lang w:val="nl-NL"/>
        </w:rPr>
        <w:t xml:space="preserve">Cơ cấu tài sản quỹ </w:t>
      </w:r>
    </w:p>
    <w:tbl>
      <w:tblPr>
        <w:tblW w:w="10200" w:type="dxa"/>
        <w:tblLook w:val="04A0" w:firstRow="1" w:lastRow="0" w:firstColumn="1" w:lastColumn="0" w:noHBand="0" w:noVBand="1"/>
      </w:tblPr>
      <w:tblGrid>
        <w:gridCol w:w="3325"/>
        <w:gridCol w:w="2430"/>
        <w:gridCol w:w="2340"/>
        <w:gridCol w:w="2105"/>
      </w:tblGrid>
      <w:tr w:rsidR="002F5974" w:rsidRPr="002F5974" w14:paraId="5283E918" w14:textId="77777777" w:rsidTr="00D02684">
        <w:trPr>
          <w:trHeight w:val="368"/>
        </w:trPr>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37BF7A8A" w14:textId="006EE16E" w:rsidR="00D02684" w:rsidRPr="002F5974" w:rsidRDefault="00D02684" w:rsidP="002F5974">
            <w:pPr>
              <w:keepLines w:val="0"/>
              <w:overflowPunct/>
              <w:autoSpaceDE/>
              <w:autoSpaceDN/>
              <w:adjustRightInd/>
              <w:jc w:val="center"/>
              <w:textAlignment w:val="auto"/>
              <w:rPr>
                <w:b/>
                <w:bCs/>
                <w:szCs w:val="22"/>
                <w:lang w:val="en-US"/>
              </w:rPr>
            </w:pPr>
            <w:proofErr w:type="spellStart"/>
            <w:r w:rsidRPr="002F5974">
              <w:t>Cơ</w:t>
            </w:r>
            <w:proofErr w:type="spellEnd"/>
            <w:r w:rsidRPr="002F5974">
              <w:t xml:space="preserve"> </w:t>
            </w:r>
            <w:proofErr w:type="spellStart"/>
            <w:r w:rsidRPr="002F5974">
              <w:t>cấu</w:t>
            </w:r>
            <w:proofErr w:type="spellEnd"/>
            <w:r w:rsidRPr="002F5974">
              <w:t xml:space="preserve"> </w:t>
            </w:r>
            <w:proofErr w:type="spellStart"/>
            <w:r w:rsidRPr="002F5974">
              <w:t>tài</w:t>
            </w:r>
            <w:proofErr w:type="spellEnd"/>
            <w:r w:rsidRPr="002F5974">
              <w:t xml:space="preserve"> </w:t>
            </w:r>
            <w:proofErr w:type="spellStart"/>
            <w:r w:rsidRPr="002F5974">
              <w:t>sản</w:t>
            </w:r>
            <w:proofErr w:type="spellEnd"/>
            <w:r w:rsidRPr="002F5974">
              <w:t xml:space="preserve"> </w:t>
            </w:r>
            <w:proofErr w:type="spellStart"/>
            <w:r w:rsidRPr="002F5974">
              <w:t>quỹ</w:t>
            </w:r>
            <w:proofErr w:type="spellEnd"/>
          </w:p>
        </w:tc>
        <w:tc>
          <w:tcPr>
            <w:tcW w:w="2430" w:type="dxa"/>
            <w:tcBorders>
              <w:top w:val="single" w:sz="4" w:space="0" w:color="auto"/>
              <w:left w:val="nil"/>
              <w:bottom w:val="single" w:sz="4" w:space="0" w:color="auto"/>
              <w:right w:val="single" w:sz="4" w:space="0" w:color="auto"/>
            </w:tcBorders>
            <w:shd w:val="clear" w:color="auto" w:fill="auto"/>
            <w:hideMark/>
          </w:tcPr>
          <w:p w14:paraId="47CCD567" w14:textId="5D9242B4" w:rsidR="00D02684" w:rsidRPr="002F5974" w:rsidRDefault="00D02684" w:rsidP="002F5974">
            <w:pPr>
              <w:keepLines w:val="0"/>
              <w:overflowPunct/>
              <w:autoSpaceDE/>
              <w:autoSpaceDN/>
              <w:adjustRightInd/>
              <w:jc w:val="center"/>
              <w:textAlignment w:val="auto"/>
              <w:rPr>
                <w:b/>
                <w:bCs/>
                <w:sz w:val="20"/>
                <w:lang w:val="en-US"/>
              </w:rPr>
            </w:pPr>
            <w:r w:rsidRPr="002F5974">
              <w:t>30/06/2022</w:t>
            </w:r>
          </w:p>
        </w:tc>
        <w:tc>
          <w:tcPr>
            <w:tcW w:w="2340" w:type="dxa"/>
            <w:tcBorders>
              <w:top w:val="single" w:sz="4" w:space="0" w:color="auto"/>
              <w:left w:val="nil"/>
              <w:bottom w:val="single" w:sz="4" w:space="0" w:color="auto"/>
              <w:right w:val="single" w:sz="4" w:space="0" w:color="auto"/>
            </w:tcBorders>
            <w:shd w:val="clear" w:color="auto" w:fill="auto"/>
            <w:hideMark/>
          </w:tcPr>
          <w:p w14:paraId="18239F05" w14:textId="1232C4D3" w:rsidR="00D02684" w:rsidRPr="002F5974" w:rsidRDefault="00D02684" w:rsidP="002F5974">
            <w:pPr>
              <w:keepLines w:val="0"/>
              <w:overflowPunct/>
              <w:autoSpaceDE/>
              <w:autoSpaceDN/>
              <w:adjustRightInd/>
              <w:jc w:val="center"/>
              <w:textAlignment w:val="auto"/>
              <w:rPr>
                <w:b/>
                <w:bCs/>
                <w:sz w:val="20"/>
                <w:lang w:val="en-US"/>
              </w:rPr>
            </w:pPr>
            <w:r w:rsidRPr="002F5974">
              <w:t>30/06/2021</w:t>
            </w:r>
          </w:p>
        </w:tc>
        <w:tc>
          <w:tcPr>
            <w:tcW w:w="2105" w:type="dxa"/>
            <w:tcBorders>
              <w:top w:val="single" w:sz="4" w:space="0" w:color="auto"/>
              <w:left w:val="nil"/>
              <w:bottom w:val="single" w:sz="4" w:space="0" w:color="auto"/>
              <w:right w:val="single" w:sz="4" w:space="0" w:color="auto"/>
            </w:tcBorders>
            <w:shd w:val="clear" w:color="auto" w:fill="auto"/>
            <w:hideMark/>
          </w:tcPr>
          <w:p w14:paraId="29984B0D" w14:textId="104EC17F" w:rsidR="00D02684" w:rsidRPr="002F5974" w:rsidRDefault="00D02684" w:rsidP="002F5974">
            <w:pPr>
              <w:keepLines w:val="0"/>
              <w:overflowPunct/>
              <w:autoSpaceDE/>
              <w:autoSpaceDN/>
              <w:adjustRightInd/>
              <w:jc w:val="center"/>
              <w:textAlignment w:val="auto"/>
              <w:rPr>
                <w:b/>
                <w:bCs/>
                <w:sz w:val="20"/>
                <w:lang w:val="en-US"/>
              </w:rPr>
            </w:pPr>
            <w:r w:rsidRPr="002F5974">
              <w:t>30/06/2020</w:t>
            </w:r>
          </w:p>
        </w:tc>
      </w:tr>
      <w:tr w:rsidR="002F5974" w:rsidRPr="002F5974" w14:paraId="0E38306F"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2992207A" w14:textId="1FF8CB98" w:rsidR="00D02684" w:rsidRPr="002F5974" w:rsidRDefault="00D02684" w:rsidP="002F5974">
            <w:pPr>
              <w:keepLines w:val="0"/>
              <w:overflowPunct/>
              <w:autoSpaceDE/>
              <w:autoSpaceDN/>
              <w:adjustRightInd/>
              <w:textAlignment w:val="auto"/>
              <w:rPr>
                <w:szCs w:val="22"/>
                <w:lang w:val="en-US"/>
              </w:rPr>
            </w:pPr>
            <w:r w:rsidRPr="002F5974">
              <w:t xml:space="preserve">Danh </w:t>
            </w:r>
            <w:proofErr w:type="spellStart"/>
            <w:r w:rsidRPr="002F5974">
              <w:t>mục</w:t>
            </w:r>
            <w:proofErr w:type="spellEnd"/>
            <w:r w:rsidRPr="002F5974">
              <w:t xml:space="preserve"> </w:t>
            </w:r>
            <w:proofErr w:type="spellStart"/>
            <w:r w:rsidRPr="002F5974">
              <w:t>chứng</w:t>
            </w:r>
            <w:proofErr w:type="spellEnd"/>
            <w:r w:rsidRPr="002F5974">
              <w:t xml:space="preserve"> </w:t>
            </w:r>
            <w:proofErr w:type="spellStart"/>
            <w:r w:rsidRPr="002F5974">
              <w:t>khoán</w:t>
            </w:r>
            <w:proofErr w:type="spellEnd"/>
            <w:r w:rsidRPr="002F5974">
              <w:t xml:space="preserve"> </w:t>
            </w:r>
          </w:p>
        </w:tc>
        <w:tc>
          <w:tcPr>
            <w:tcW w:w="2430" w:type="dxa"/>
            <w:tcBorders>
              <w:top w:val="nil"/>
              <w:left w:val="nil"/>
              <w:bottom w:val="single" w:sz="4" w:space="0" w:color="auto"/>
              <w:right w:val="single" w:sz="4" w:space="0" w:color="auto"/>
            </w:tcBorders>
            <w:shd w:val="clear" w:color="auto" w:fill="auto"/>
            <w:hideMark/>
          </w:tcPr>
          <w:p w14:paraId="65F4AB3B" w14:textId="794608DB" w:rsidR="00D02684" w:rsidRPr="002F5974" w:rsidRDefault="00D02684" w:rsidP="002F5974">
            <w:pPr>
              <w:keepLines w:val="0"/>
              <w:overflowPunct/>
              <w:autoSpaceDE/>
              <w:autoSpaceDN/>
              <w:adjustRightInd/>
              <w:jc w:val="center"/>
              <w:textAlignment w:val="auto"/>
              <w:rPr>
                <w:szCs w:val="22"/>
                <w:lang w:val="en-US"/>
              </w:rPr>
            </w:pPr>
            <w:r w:rsidRPr="002F5974">
              <w:t>95.53%</w:t>
            </w:r>
          </w:p>
        </w:tc>
        <w:tc>
          <w:tcPr>
            <w:tcW w:w="2340" w:type="dxa"/>
            <w:tcBorders>
              <w:top w:val="nil"/>
              <w:left w:val="nil"/>
              <w:bottom w:val="single" w:sz="4" w:space="0" w:color="auto"/>
              <w:right w:val="single" w:sz="4" w:space="0" w:color="auto"/>
            </w:tcBorders>
            <w:shd w:val="clear" w:color="auto" w:fill="auto"/>
            <w:hideMark/>
          </w:tcPr>
          <w:p w14:paraId="7659D823" w14:textId="2D5FCCA7" w:rsidR="00D02684" w:rsidRPr="002F5974" w:rsidRDefault="00D02684" w:rsidP="002F5974">
            <w:pPr>
              <w:keepLines w:val="0"/>
              <w:overflowPunct/>
              <w:autoSpaceDE/>
              <w:autoSpaceDN/>
              <w:adjustRightInd/>
              <w:jc w:val="center"/>
              <w:textAlignment w:val="auto"/>
              <w:rPr>
                <w:szCs w:val="22"/>
                <w:lang w:val="en-US"/>
              </w:rPr>
            </w:pPr>
            <w:r w:rsidRPr="002F5974">
              <w:t>98.52%</w:t>
            </w:r>
          </w:p>
        </w:tc>
        <w:tc>
          <w:tcPr>
            <w:tcW w:w="2105" w:type="dxa"/>
            <w:tcBorders>
              <w:top w:val="nil"/>
              <w:left w:val="nil"/>
              <w:bottom w:val="single" w:sz="4" w:space="0" w:color="auto"/>
              <w:right w:val="single" w:sz="4" w:space="0" w:color="auto"/>
            </w:tcBorders>
            <w:shd w:val="clear" w:color="auto" w:fill="auto"/>
            <w:hideMark/>
          </w:tcPr>
          <w:p w14:paraId="6FC5B185" w14:textId="226F1600" w:rsidR="00D02684" w:rsidRPr="002F5974" w:rsidRDefault="00D02684" w:rsidP="002F5974">
            <w:pPr>
              <w:keepLines w:val="0"/>
              <w:overflowPunct/>
              <w:autoSpaceDE/>
              <w:autoSpaceDN/>
              <w:adjustRightInd/>
              <w:jc w:val="center"/>
              <w:textAlignment w:val="auto"/>
              <w:rPr>
                <w:szCs w:val="22"/>
                <w:lang w:val="en-US"/>
              </w:rPr>
            </w:pPr>
            <w:r w:rsidRPr="002F5974">
              <w:t>98.74%</w:t>
            </w:r>
          </w:p>
        </w:tc>
      </w:tr>
      <w:tr w:rsidR="002F5974" w:rsidRPr="002F5974" w14:paraId="3808E45A"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1CA6C235" w14:textId="48AD3C84" w:rsidR="00D02684" w:rsidRPr="002F5974" w:rsidRDefault="00D02684" w:rsidP="002F5974">
            <w:pPr>
              <w:keepLines w:val="0"/>
              <w:overflowPunct/>
              <w:autoSpaceDE/>
              <w:autoSpaceDN/>
              <w:adjustRightInd/>
              <w:textAlignment w:val="auto"/>
              <w:rPr>
                <w:szCs w:val="22"/>
                <w:lang w:val="en-US"/>
              </w:rPr>
            </w:pPr>
            <w:proofErr w:type="spellStart"/>
            <w:r w:rsidRPr="002F5974">
              <w:t>Tài</w:t>
            </w:r>
            <w:proofErr w:type="spellEnd"/>
            <w:r w:rsidRPr="002F5974">
              <w:t xml:space="preserve"> </w:t>
            </w:r>
            <w:proofErr w:type="spellStart"/>
            <w:r w:rsidRPr="002F5974">
              <w:t>sản</w:t>
            </w:r>
            <w:proofErr w:type="spellEnd"/>
            <w:r w:rsidRPr="002F5974">
              <w:t xml:space="preserve"> </w:t>
            </w:r>
            <w:proofErr w:type="spellStart"/>
            <w:r w:rsidRPr="002F5974">
              <w:t>khác</w:t>
            </w:r>
            <w:proofErr w:type="spellEnd"/>
          </w:p>
        </w:tc>
        <w:tc>
          <w:tcPr>
            <w:tcW w:w="2430" w:type="dxa"/>
            <w:tcBorders>
              <w:top w:val="nil"/>
              <w:left w:val="nil"/>
              <w:bottom w:val="single" w:sz="4" w:space="0" w:color="auto"/>
              <w:right w:val="single" w:sz="4" w:space="0" w:color="auto"/>
            </w:tcBorders>
            <w:shd w:val="clear" w:color="auto" w:fill="auto"/>
            <w:hideMark/>
          </w:tcPr>
          <w:p w14:paraId="4475215A" w14:textId="08E26369" w:rsidR="00D02684" w:rsidRPr="002F5974" w:rsidRDefault="00D02684" w:rsidP="002F5974">
            <w:pPr>
              <w:keepLines w:val="0"/>
              <w:overflowPunct/>
              <w:autoSpaceDE/>
              <w:autoSpaceDN/>
              <w:adjustRightInd/>
              <w:jc w:val="center"/>
              <w:textAlignment w:val="auto"/>
              <w:rPr>
                <w:szCs w:val="22"/>
                <w:lang w:val="en-US"/>
              </w:rPr>
            </w:pPr>
            <w:r w:rsidRPr="002F5974">
              <w:t>4.47%</w:t>
            </w:r>
          </w:p>
        </w:tc>
        <w:tc>
          <w:tcPr>
            <w:tcW w:w="2340" w:type="dxa"/>
            <w:tcBorders>
              <w:top w:val="nil"/>
              <w:left w:val="nil"/>
              <w:bottom w:val="single" w:sz="4" w:space="0" w:color="auto"/>
              <w:right w:val="single" w:sz="4" w:space="0" w:color="auto"/>
            </w:tcBorders>
            <w:shd w:val="clear" w:color="auto" w:fill="auto"/>
            <w:hideMark/>
          </w:tcPr>
          <w:p w14:paraId="5C8D5914" w14:textId="27EC0660" w:rsidR="00D02684" w:rsidRPr="002F5974" w:rsidRDefault="00D02684" w:rsidP="002F5974">
            <w:pPr>
              <w:keepLines w:val="0"/>
              <w:overflowPunct/>
              <w:autoSpaceDE/>
              <w:autoSpaceDN/>
              <w:adjustRightInd/>
              <w:jc w:val="center"/>
              <w:textAlignment w:val="auto"/>
              <w:rPr>
                <w:szCs w:val="22"/>
                <w:lang w:val="en-US"/>
              </w:rPr>
            </w:pPr>
            <w:r w:rsidRPr="002F5974">
              <w:t>1.48%</w:t>
            </w:r>
          </w:p>
        </w:tc>
        <w:tc>
          <w:tcPr>
            <w:tcW w:w="2105" w:type="dxa"/>
            <w:tcBorders>
              <w:top w:val="nil"/>
              <w:left w:val="nil"/>
              <w:bottom w:val="single" w:sz="4" w:space="0" w:color="auto"/>
              <w:right w:val="single" w:sz="4" w:space="0" w:color="auto"/>
            </w:tcBorders>
            <w:shd w:val="clear" w:color="auto" w:fill="auto"/>
            <w:hideMark/>
          </w:tcPr>
          <w:p w14:paraId="359F36DF" w14:textId="0CC2F90F" w:rsidR="00D02684" w:rsidRPr="002F5974" w:rsidRDefault="00D02684" w:rsidP="002F5974">
            <w:pPr>
              <w:keepLines w:val="0"/>
              <w:overflowPunct/>
              <w:autoSpaceDE/>
              <w:autoSpaceDN/>
              <w:adjustRightInd/>
              <w:jc w:val="center"/>
              <w:textAlignment w:val="auto"/>
              <w:rPr>
                <w:szCs w:val="22"/>
                <w:lang w:val="en-US"/>
              </w:rPr>
            </w:pPr>
            <w:r w:rsidRPr="002F5974">
              <w:t>1.26%</w:t>
            </w:r>
          </w:p>
        </w:tc>
      </w:tr>
      <w:tr w:rsidR="002F5974" w:rsidRPr="002F5974" w14:paraId="76574AF3"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482D1448" w14:textId="66EA6FF5" w:rsidR="00D02684" w:rsidRPr="002F5974" w:rsidRDefault="00D02684" w:rsidP="002F5974">
            <w:pPr>
              <w:keepLines w:val="0"/>
              <w:overflowPunct/>
              <w:autoSpaceDE/>
              <w:autoSpaceDN/>
              <w:adjustRightInd/>
              <w:textAlignment w:val="auto"/>
              <w:rPr>
                <w:b/>
                <w:bCs/>
                <w:szCs w:val="22"/>
                <w:lang w:val="en-US"/>
              </w:rPr>
            </w:pPr>
            <w:proofErr w:type="spellStart"/>
            <w:r w:rsidRPr="002F5974">
              <w:t>Cộng</w:t>
            </w:r>
            <w:proofErr w:type="spellEnd"/>
          </w:p>
        </w:tc>
        <w:tc>
          <w:tcPr>
            <w:tcW w:w="2430" w:type="dxa"/>
            <w:tcBorders>
              <w:top w:val="nil"/>
              <w:left w:val="nil"/>
              <w:bottom w:val="single" w:sz="4" w:space="0" w:color="auto"/>
              <w:right w:val="single" w:sz="4" w:space="0" w:color="auto"/>
            </w:tcBorders>
            <w:shd w:val="clear" w:color="auto" w:fill="auto"/>
            <w:hideMark/>
          </w:tcPr>
          <w:p w14:paraId="046FE1DB" w14:textId="0AB52598" w:rsidR="00D02684" w:rsidRPr="002F5974" w:rsidRDefault="00D02684" w:rsidP="002F5974">
            <w:pPr>
              <w:keepLines w:val="0"/>
              <w:overflowPunct/>
              <w:autoSpaceDE/>
              <w:autoSpaceDN/>
              <w:adjustRightInd/>
              <w:jc w:val="center"/>
              <w:textAlignment w:val="auto"/>
              <w:rPr>
                <w:b/>
                <w:bCs/>
                <w:szCs w:val="22"/>
                <w:lang w:val="en-US"/>
              </w:rPr>
            </w:pPr>
            <w:r w:rsidRPr="002F5974">
              <w:t>100.00%</w:t>
            </w:r>
          </w:p>
        </w:tc>
        <w:tc>
          <w:tcPr>
            <w:tcW w:w="2340" w:type="dxa"/>
            <w:tcBorders>
              <w:top w:val="nil"/>
              <w:left w:val="nil"/>
              <w:bottom w:val="single" w:sz="4" w:space="0" w:color="auto"/>
              <w:right w:val="single" w:sz="4" w:space="0" w:color="auto"/>
            </w:tcBorders>
            <w:shd w:val="clear" w:color="auto" w:fill="auto"/>
            <w:hideMark/>
          </w:tcPr>
          <w:p w14:paraId="53383DEA" w14:textId="78F73140" w:rsidR="00D02684" w:rsidRPr="002F5974" w:rsidRDefault="00D02684" w:rsidP="002F5974">
            <w:pPr>
              <w:keepLines w:val="0"/>
              <w:overflowPunct/>
              <w:autoSpaceDE/>
              <w:autoSpaceDN/>
              <w:adjustRightInd/>
              <w:jc w:val="center"/>
              <w:textAlignment w:val="auto"/>
              <w:rPr>
                <w:b/>
                <w:bCs/>
                <w:szCs w:val="22"/>
                <w:lang w:val="en-US"/>
              </w:rPr>
            </w:pPr>
            <w:r w:rsidRPr="002F5974">
              <w:t>100.00%</w:t>
            </w:r>
          </w:p>
        </w:tc>
        <w:tc>
          <w:tcPr>
            <w:tcW w:w="2105" w:type="dxa"/>
            <w:tcBorders>
              <w:top w:val="nil"/>
              <w:left w:val="nil"/>
              <w:bottom w:val="single" w:sz="4" w:space="0" w:color="auto"/>
              <w:right w:val="single" w:sz="4" w:space="0" w:color="auto"/>
            </w:tcBorders>
            <w:shd w:val="clear" w:color="auto" w:fill="auto"/>
            <w:hideMark/>
          </w:tcPr>
          <w:p w14:paraId="2FAC0C0E" w14:textId="524DA6ED" w:rsidR="00D02684" w:rsidRPr="002F5974" w:rsidRDefault="00D02684" w:rsidP="002F5974">
            <w:pPr>
              <w:keepLines w:val="0"/>
              <w:overflowPunct/>
              <w:autoSpaceDE/>
              <w:autoSpaceDN/>
              <w:adjustRightInd/>
              <w:jc w:val="center"/>
              <w:textAlignment w:val="auto"/>
              <w:rPr>
                <w:b/>
                <w:bCs/>
                <w:szCs w:val="22"/>
                <w:lang w:val="en-US"/>
              </w:rPr>
            </w:pPr>
            <w:r w:rsidRPr="002F5974">
              <w:t>100.00%</w:t>
            </w:r>
          </w:p>
        </w:tc>
      </w:tr>
    </w:tbl>
    <w:p w14:paraId="3445D821" w14:textId="77777777" w:rsidR="006D6DA6" w:rsidRPr="002F5974" w:rsidRDefault="006D6DA6" w:rsidP="002F5974">
      <w:pPr>
        <w:pStyle w:val="ListParagraph"/>
        <w:spacing w:before="260" w:after="140"/>
        <w:ind w:left="0"/>
        <w:rPr>
          <w:rFonts w:ascii="Times New Roman" w:hAnsi="Times New Roman"/>
          <w:b/>
          <w:sz w:val="24"/>
          <w:szCs w:val="24"/>
          <w:lang w:val="nl-NL"/>
        </w:rPr>
      </w:pPr>
    </w:p>
    <w:p w14:paraId="1D8AEDDA" w14:textId="748F3088" w:rsidR="007922E7" w:rsidRPr="002F5974" w:rsidRDefault="007922E7" w:rsidP="002F5974">
      <w:pPr>
        <w:pStyle w:val="ListParagraph"/>
        <w:numPr>
          <w:ilvl w:val="0"/>
          <w:numId w:val="3"/>
        </w:numPr>
        <w:spacing w:before="260" w:after="140"/>
        <w:ind w:left="0" w:hanging="540"/>
        <w:rPr>
          <w:rFonts w:ascii="Times New Roman" w:hAnsi="Times New Roman"/>
          <w:b/>
          <w:sz w:val="24"/>
          <w:szCs w:val="24"/>
          <w:lang w:val="nl-NL"/>
        </w:rPr>
      </w:pPr>
      <w:r w:rsidRPr="002F5974">
        <w:rPr>
          <w:rFonts w:ascii="Times New Roman" w:hAnsi="Times New Roman"/>
          <w:b/>
          <w:sz w:val="24"/>
          <w:szCs w:val="24"/>
          <w:lang w:val="nl-NL"/>
        </w:rPr>
        <w:t xml:space="preserve">Chi tiết chỉ tiêu hoạt động </w:t>
      </w:r>
    </w:p>
    <w:tbl>
      <w:tblPr>
        <w:tblW w:w="10165" w:type="dxa"/>
        <w:tblLook w:val="04A0" w:firstRow="1" w:lastRow="0" w:firstColumn="1" w:lastColumn="0" w:noHBand="0" w:noVBand="1"/>
      </w:tblPr>
      <w:tblGrid>
        <w:gridCol w:w="3539"/>
        <w:gridCol w:w="2216"/>
        <w:gridCol w:w="2340"/>
        <w:gridCol w:w="2070"/>
      </w:tblGrid>
      <w:tr w:rsidR="002F5974" w:rsidRPr="002F5974" w14:paraId="7D0DF174" w14:textId="77777777" w:rsidTr="00D02684">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049C2F48" w14:textId="3731F2D2" w:rsidR="00D02684" w:rsidRPr="002F5974" w:rsidRDefault="00D02684" w:rsidP="002F5974">
            <w:pPr>
              <w:keepLines w:val="0"/>
              <w:overflowPunct/>
              <w:autoSpaceDE/>
              <w:autoSpaceDN/>
              <w:adjustRightInd/>
              <w:jc w:val="center"/>
              <w:textAlignment w:val="auto"/>
              <w:rPr>
                <w:b/>
                <w:bCs/>
                <w:szCs w:val="22"/>
                <w:lang w:val="en-US"/>
              </w:rPr>
            </w:pPr>
            <w:proofErr w:type="spellStart"/>
            <w:r w:rsidRPr="002F5974">
              <w:t>Chỉ</w:t>
            </w:r>
            <w:proofErr w:type="spellEnd"/>
            <w:r w:rsidRPr="002F5974">
              <w:t xml:space="preserve"> </w:t>
            </w:r>
            <w:proofErr w:type="spellStart"/>
            <w:r w:rsidRPr="002F5974">
              <w:t>tiêu</w:t>
            </w:r>
            <w:proofErr w:type="spellEnd"/>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76CE8BAF" w14:textId="51163CB9" w:rsidR="00D02684" w:rsidRPr="002F5974" w:rsidRDefault="00D02684" w:rsidP="002F5974">
            <w:pPr>
              <w:keepLines w:val="0"/>
              <w:overflowPunct/>
              <w:autoSpaceDE/>
              <w:autoSpaceDN/>
              <w:adjustRightInd/>
              <w:jc w:val="center"/>
              <w:textAlignment w:val="auto"/>
              <w:rPr>
                <w:b/>
                <w:bCs/>
                <w:szCs w:val="22"/>
                <w:lang w:val="en-US"/>
              </w:rPr>
            </w:pPr>
            <w:r w:rsidRPr="002F5974">
              <w:t>30/06/2022</w:t>
            </w:r>
          </w:p>
        </w:tc>
        <w:tc>
          <w:tcPr>
            <w:tcW w:w="2340" w:type="dxa"/>
            <w:tcBorders>
              <w:top w:val="single" w:sz="4" w:space="0" w:color="auto"/>
              <w:left w:val="nil"/>
              <w:bottom w:val="single" w:sz="4" w:space="0" w:color="auto"/>
              <w:right w:val="single" w:sz="4" w:space="0" w:color="auto"/>
            </w:tcBorders>
            <w:shd w:val="clear" w:color="auto" w:fill="auto"/>
            <w:hideMark/>
          </w:tcPr>
          <w:p w14:paraId="6CD1B10E" w14:textId="56708BC4" w:rsidR="00D02684" w:rsidRPr="002F5974" w:rsidRDefault="00D02684" w:rsidP="002F5974">
            <w:pPr>
              <w:keepLines w:val="0"/>
              <w:overflowPunct/>
              <w:autoSpaceDE/>
              <w:autoSpaceDN/>
              <w:adjustRightInd/>
              <w:jc w:val="center"/>
              <w:textAlignment w:val="auto"/>
              <w:rPr>
                <w:b/>
                <w:bCs/>
                <w:szCs w:val="22"/>
                <w:lang w:val="en-US"/>
              </w:rPr>
            </w:pPr>
            <w:r w:rsidRPr="002F5974">
              <w:t>30/06/2021</w:t>
            </w:r>
          </w:p>
        </w:tc>
        <w:tc>
          <w:tcPr>
            <w:tcW w:w="2070" w:type="dxa"/>
            <w:tcBorders>
              <w:top w:val="single" w:sz="4" w:space="0" w:color="auto"/>
              <w:left w:val="nil"/>
              <w:bottom w:val="single" w:sz="4" w:space="0" w:color="auto"/>
              <w:right w:val="single" w:sz="4" w:space="0" w:color="auto"/>
            </w:tcBorders>
            <w:shd w:val="clear" w:color="auto" w:fill="auto"/>
            <w:hideMark/>
          </w:tcPr>
          <w:p w14:paraId="43826949" w14:textId="674A7601" w:rsidR="00D02684" w:rsidRPr="002F5974" w:rsidRDefault="00D02684" w:rsidP="002F5974">
            <w:pPr>
              <w:keepLines w:val="0"/>
              <w:overflowPunct/>
              <w:autoSpaceDE/>
              <w:autoSpaceDN/>
              <w:adjustRightInd/>
              <w:jc w:val="center"/>
              <w:textAlignment w:val="auto"/>
              <w:rPr>
                <w:b/>
                <w:bCs/>
                <w:szCs w:val="22"/>
                <w:lang w:val="en-US"/>
              </w:rPr>
            </w:pPr>
            <w:r w:rsidRPr="002F5974">
              <w:t>30/06/2020</w:t>
            </w:r>
          </w:p>
        </w:tc>
      </w:tr>
      <w:tr w:rsidR="002F5974" w:rsidRPr="002F5974" w14:paraId="78D728EE"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4237FD7B" w14:textId="7AD511E0" w:rsidR="00D02684" w:rsidRPr="002F5974" w:rsidRDefault="00D02684" w:rsidP="002F5974">
            <w:pPr>
              <w:keepLines w:val="0"/>
              <w:overflowPunct/>
              <w:autoSpaceDE/>
              <w:autoSpaceDN/>
              <w:adjustRightInd/>
              <w:jc w:val="left"/>
              <w:textAlignment w:val="auto"/>
              <w:rPr>
                <w:szCs w:val="22"/>
                <w:lang w:val="en-US"/>
              </w:rPr>
            </w:pPr>
            <w:proofErr w:type="spellStart"/>
            <w:r w:rsidRPr="002F5974">
              <w:t>Giá</w:t>
            </w:r>
            <w:proofErr w:type="spellEnd"/>
            <w:r w:rsidRPr="002F5974">
              <w:t xml:space="preserve"> </w:t>
            </w:r>
            <w:proofErr w:type="spellStart"/>
            <w:r w:rsidRPr="002F5974">
              <w:t>trị</w:t>
            </w:r>
            <w:proofErr w:type="spellEnd"/>
            <w:r w:rsidRPr="002F5974">
              <w:t xml:space="preserve"> </w:t>
            </w:r>
            <w:proofErr w:type="spellStart"/>
            <w:r w:rsidRPr="002F5974">
              <w:t>tài</w:t>
            </w:r>
            <w:proofErr w:type="spellEnd"/>
            <w:r w:rsidRPr="002F5974">
              <w:t xml:space="preserve"> </w:t>
            </w:r>
            <w:proofErr w:type="spellStart"/>
            <w:r w:rsidRPr="002F5974">
              <w:t>sản</w:t>
            </w:r>
            <w:proofErr w:type="spellEnd"/>
            <w:r w:rsidRPr="002F5974">
              <w:t xml:space="preserve"> </w:t>
            </w:r>
            <w:proofErr w:type="spellStart"/>
            <w:r w:rsidRPr="002F5974">
              <w:t>ròng</w:t>
            </w:r>
            <w:proofErr w:type="spellEnd"/>
            <w:r w:rsidRPr="002F5974">
              <w:t xml:space="preserve"> </w:t>
            </w:r>
            <w:proofErr w:type="spellStart"/>
            <w:r w:rsidRPr="002F5974">
              <w:t>của</w:t>
            </w:r>
            <w:proofErr w:type="spellEnd"/>
            <w:r w:rsidRPr="002F5974">
              <w:t xml:space="preserve"> Quỹ (VND)</w:t>
            </w:r>
          </w:p>
        </w:tc>
        <w:tc>
          <w:tcPr>
            <w:tcW w:w="2216" w:type="dxa"/>
            <w:tcBorders>
              <w:top w:val="nil"/>
              <w:left w:val="single" w:sz="4" w:space="0" w:color="auto"/>
              <w:bottom w:val="single" w:sz="4" w:space="0" w:color="auto"/>
              <w:right w:val="single" w:sz="4" w:space="0" w:color="auto"/>
            </w:tcBorders>
            <w:shd w:val="clear" w:color="auto" w:fill="auto"/>
          </w:tcPr>
          <w:p w14:paraId="79043F75" w14:textId="532B9CEC" w:rsidR="00D02684" w:rsidRPr="002F5974" w:rsidRDefault="00D02684" w:rsidP="002F5974">
            <w:pPr>
              <w:keepLines w:val="0"/>
              <w:overflowPunct/>
              <w:autoSpaceDE/>
              <w:autoSpaceDN/>
              <w:adjustRightInd/>
              <w:jc w:val="center"/>
              <w:textAlignment w:val="auto"/>
              <w:rPr>
                <w:szCs w:val="22"/>
                <w:lang w:val="en-US"/>
              </w:rPr>
            </w:pPr>
            <w:r w:rsidRPr="002F5974">
              <w:t>7,703,513,010,992</w:t>
            </w:r>
          </w:p>
        </w:tc>
        <w:tc>
          <w:tcPr>
            <w:tcW w:w="2340" w:type="dxa"/>
            <w:tcBorders>
              <w:top w:val="nil"/>
              <w:left w:val="nil"/>
              <w:bottom w:val="single" w:sz="4" w:space="0" w:color="auto"/>
              <w:right w:val="single" w:sz="4" w:space="0" w:color="auto"/>
            </w:tcBorders>
            <w:shd w:val="clear" w:color="auto" w:fill="auto"/>
            <w:hideMark/>
          </w:tcPr>
          <w:p w14:paraId="33035B4C" w14:textId="081D65DC" w:rsidR="00D02684" w:rsidRPr="002F5974" w:rsidRDefault="00D02684" w:rsidP="002F5974">
            <w:pPr>
              <w:keepLines w:val="0"/>
              <w:overflowPunct/>
              <w:autoSpaceDE/>
              <w:autoSpaceDN/>
              <w:adjustRightInd/>
              <w:jc w:val="center"/>
              <w:textAlignment w:val="auto"/>
              <w:rPr>
                <w:szCs w:val="22"/>
                <w:lang w:val="en-US"/>
              </w:rPr>
            </w:pPr>
            <w:r w:rsidRPr="002F5974">
              <w:t>10,225,479,776,367</w:t>
            </w:r>
          </w:p>
        </w:tc>
        <w:tc>
          <w:tcPr>
            <w:tcW w:w="2070" w:type="dxa"/>
            <w:tcBorders>
              <w:top w:val="nil"/>
              <w:left w:val="nil"/>
              <w:bottom w:val="single" w:sz="4" w:space="0" w:color="auto"/>
              <w:right w:val="single" w:sz="4" w:space="0" w:color="auto"/>
            </w:tcBorders>
            <w:shd w:val="clear" w:color="auto" w:fill="auto"/>
            <w:hideMark/>
          </w:tcPr>
          <w:p w14:paraId="22D24CC0" w14:textId="329D457E" w:rsidR="00D02684" w:rsidRPr="002F5974" w:rsidRDefault="00D02684" w:rsidP="002F5974">
            <w:pPr>
              <w:keepLines w:val="0"/>
              <w:overflowPunct/>
              <w:autoSpaceDE/>
              <w:autoSpaceDN/>
              <w:adjustRightInd/>
              <w:jc w:val="center"/>
              <w:textAlignment w:val="auto"/>
              <w:rPr>
                <w:szCs w:val="22"/>
                <w:lang w:val="en-US"/>
              </w:rPr>
            </w:pPr>
            <w:r w:rsidRPr="002F5974">
              <w:t>5,071,210,799,975</w:t>
            </w:r>
          </w:p>
        </w:tc>
      </w:tr>
      <w:tr w:rsidR="002F5974" w:rsidRPr="002F5974" w14:paraId="2A1EAA30"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14A21BA" w14:textId="7C4D1D92" w:rsidR="00D02684" w:rsidRPr="002F5974" w:rsidRDefault="00D02684" w:rsidP="002F5974">
            <w:pPr>
              <w:keepLines w:val="0"/>
              <w:overflowPunct/>
              <w:autoSpaceDE/>
              <w:autoSpaceDN/>
              <w:adjustRightInd/>
              <w:jc w:val="left"/>
              <w:textAlignment w:val="auto"/>
              <w:rPr>
                <w:szCs w:val="22"/>
                <w:lang w:val="en-US"/>
              </w:rPr>
            </w:pPr>
            <w:proofErr w:type="spellStart"/>
            <w:r w:rsidRPr="002F5974">
              <w:t>Tổng</w:t>
            </w:r>
            <w:proofErr w:type="spellEnd"/>
            <w:r w:rsidRPr="002F5974">
              <w:t xml:space="preserve"> </w:t>
            </w:r>
            <w:proofErr w:type="spellStart"/>
            <w:r w:rsidRPr="002F5974">
              <w:t>số</w:t>
            </w:r>
            <w:proofErr w:type="spellEnd"/>
            <w:r w:rsidRPr="002F5974">
              <w:t xml:space="preserve"> </w:t>
            </w:r>
            <w:proofErr w:type="spellStart"/>
            <w:r w:rsidRPr="002F5974">
              <w:t>chứng</w:t>
            </w:r>
            <w:proofErr w:type="spellEnd"/>
            <w:r w:rsidRPr="002F5974">
              <w:t xml:space="preserve"> </w:t>
            </w:r>
            <w:proofErr w:type="spellStart"/>
            <w:r w:rsidRPr="002F5974">
              <w:t>chỉ</w:t>
            </w:r>
            <w:proofErr w:type="spellEnd"/>
            <w:r w:rsidRPr="002F5974">
              <w:t xml:space="preserve"> </w:t>
            </w:r>
            <w:proofErr w:type="spellStart"/>
            <w:r w:rsidRPr="002F5974">
              <w:t>quỹ</w:t>
            </w:r>
            <w:proofErr w:type="spellEnd"/>
            <w:r w:rsidRPr="002F5974">
              <w:t xml:space="preserve"> </w:t>
            </w:r>
            <w:proofErr w:type="spellStart"/>
            <w:r w:rsidRPr="002F5974">
              <w:t>đang</w:t>
            </w:r>
            <w:proofErr w:type="spellEnd"/>
            <w:r w:rsidRPr="002F5974">
              <w:t xml:space="preserve"> </w:t>
            </w:r>
            <w:proofErr w:type="spellStart"/>
            <w:r w:rsidRPr="002F5974">
              <w:t>lưu</w:t>
            </w:r>
            <w:proofErr w:type="spellEnd"/>
            <w:r w:rsidRPr="002F5974">
              <w:t xml:space="preserve"> </w:t>
            </w:r>
            <w:proofErr w:type="spellStart"/>
            <w:r w:rsidRPr="002F5974">
              <w:t>hành</w:t>
            </w:r>
            <w:proofErr w:type="spellEnd"/>
            <w:r w:rsidRPr="002F5974">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43FCD2BB" w14:textId="4DBAE2AB" w:rsidR="00D02684" w:rsidRPr="002F5974" w:rsidRDefault="00D02684" w:rsidP="002F5974">
            <w:pPr>
              <w:keepLines w:val="0"/>
              <w:overflowPunct/>
              <w:autoSpaceDE/>
              <w:autoSpaceDN/>
              <w:adjustRightInd/>
              <w:jc w:val="center"/>
              <w:textAlignment w:val="auto"/>
              <w:rPr>
                <w:szCs w:val="22"/>
                <w:lang w:val="en-US"/>
              </w:rPr>
            </w:pPr>
            <w:r w:rsidRPr="002F5974">
              <w:t xml:space="preserve"> 365,500,000.00 </w:t>
            </w:r>
          </w:p>
        </w:tc>
        <w:tc>
          <w:tcPr>
            <w:tcW w:w="2340" w:type="dxa"/>
            <w:tcBorders>
              <w:top w:val="nil"/>
              <w:left w:val="nil"/>
              <w:bottom w:val="single" w:sz="4" w:space="0" w:color="auto"/>
              <w:right w:val="single" w:sz="4" w:space="0" w:color="auto"/>
            </w:tcBorders>
            <w:shd w:val="clear" w:color="auto" w:fill="auto"/>
            <w:hideMark/>
          </w:tcPr>
          <w:p w14:paraId="552D3B01" w14:textId="4BB181CF" w:rsidR="00D02684" w:rsidRPr="002F5974" w:rsidRDefault="00D02684" w:rsidP="002F5974">
            <w:pPr>
              <w:keepLines w:val="0"/>
              <w:overflowPunct/>
              <w:autoSpaceDE/>
              <w:autoSpaceDN/>
              <w:adjustRightInd/>
              <w:jc w:val="center"/>
              <w:textAlignment w:val="auto"/>
              <w:rPr>
                <w:szCs w:val="22"/>
                <w:lang w:val="en-US"/>
              </w:rPr>
            </w:pPr>
            <w:r w:rsidRPr="002F5974">
              <w:t xml:space="preserve"> 397,700,000.00 </w:t>
            </w:r>
          </w:p>
        </w:tc>
        <w:tc>
          <w:tcPr>
            <w:tcW w:w="2070" w:type="dxa"/>
            <w:tcBorders>
              <w:top w:val="nil"/>
              <w:left w:val="nil"/>
              <w:bottom w:val="single" w:sz="4" w:space="0" w:color="auto"/>
              <w:right w:val="single" w:sz="4" w:space="0" w:color="auto"/>
            </w:tcBorders>
            <w:shd w:val="clear" w:color="auto" w:fill="auto"/>
            <w:hideMark/>
          </w:tcPr>
          <w:p w14:paraId="433D84DB" w14:textId="3557CCF4" w:rsidR="00D02684" w:rsidRPr="002F5974" w:rsidRDefault="00D02684" w:rsidP="002F5974">
            <w:pPr>
              <w:keepLines w:val="0"/>
              <w:overflowPunct/>
              <w:autoSpaceDE/>
              <w:autoSpaceDN/>
              <w:adjustRightInd/>
              <w:jc w:val="center"/>
              <w:textAlignment w:val="auto"/>
              <w:rPr>
                <w:szCs w:val="22"/>
                <w:lang w:val="en-US"/>
              </w:rPr>
            </w:pPr>
            <w:r w:rsidRPr="002F5974">
              <w:t xml:space="preserve"> 394,700,000.00 </w:t>
            </w:r>
          </w:p>
        </w:tc>
      </w:tr>
      <w:tr w:rsidR="002F5974" w:rsidRPr="002F5974" w14:paraId="3DE75AB9" w14:textId="77777777" w:rsidTr="00D02684">
        <w:trPr>
          <w:trHeight w:val="60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573CB1A" w14:textId="3948AF22" w:rsidR="00D02684" w:rsidRPr="002F5974" w:rsidRDefault="00D02684" w:rsidP="002F5974">
            <w:pPr>
              <w:keepLines w:val="0"/>
              <w:overflowPunct/>
              <w:autoSpaceDE/>
              <w:autoSpaceDN/>
              <w:adjustRightInd/>
              <w:jc w:val="left"/>
              <w:textAlignment w:val="auto"/>
              <w:rPr>
                <w:szCs w:val="22"/>
                <w:lang w:val="en-US"/>
              </w:rPr>
            </w:pPr>
            <w:proofErr w:type="spellStart"/>
            <w:r w:rsidRPr="002F5974">
              <w:t>Giá</w:t>
            </w:r>
            <w:proofErr w:type="spellEnd"/>
            <w:r w:rsidRPr="002F5974">
              <w:t xml:space="preserve"> </w:t>
            </w:r>
            <w:proofErr w:type="spellStart"/>
            <w:r w:rsidRPr="002F5974">
              <w:t>trị</w:t>
            </w:r>
            <w:proofErr w:type="spellEnd"/>
            <w:r w:rsidRPr="002F5974">
              <w:t xml:space="preserve"> </w:t>
            </w:r>
            <w:proofErr w:type="spellStart"/>
            <w:r w:rsidRPr="002F5974">
              <w:t>tài</w:t>
            </w:r>
            <w:proofErr w:type="spellEnd"/>
            <w:r w:rsidRPr="002F5974">
              <w:t xml:space="preserve"> </w:t>
            </w:r>
            <w:proofErr w:type="spellStart"/>
            <w:r w:rsidRPr="002F5974">
              <w:t>sản</w:t>
            </w:r>
            <w:proofErr w:type="spellEnd"/>
            <w:r w:rsidRPr="002F5974">
              <w:t xml:space="preserve"> </w:t>
            </w:r>
            <w:proofErr w:type="spellStart"/>
            <w:r w:rsidRPr="002F5974">
              <w:t>ròng</w:t>
            </w:r>
            <w:proofErr w:type="spellEnd"/>
            <w:r w:rsidRPr="002F5974">
              <w:t xml:space="preserve"> </w:t>
            </w:r>
            <w:proofErr w:type="spellStart"/>
            <w:r w:rsidRPr="002F5974">
              <w:t>của</w:t>
            </w:r>
            <w:proofErr w:type="spellEnd"/>
            <w:r w:rsidRPr="002F5974">
              <w:t xml:space="preserve"> </w:t>
            </w:r>
            <w:proofErr w:type="spellStart"/>
            <w:r w:rsidRPr="002F5974">
              <w:t>một</w:t>
            </w:r>
            <w:proofErr w:type="spellEnd"/>
            <w:r w:rsidRPr="002F5974">
              <w:t xml:space="preserve"> </w:t>
            </w:r>
            <w:proofErr w:type="spellStart"/>
            <w:r w:rsidRPr="002F5974">
              <w:t>đơn</w:t>
            </w:r>
            <w:proofErr w:type="spellEnd"/>
            <w:r w:rsidRPr="002F5974">
              <w:t xml:space="preserve"> </w:t>
            </w:r>
            <w:proofErr w:type="spellStart"/>
            <w:r w:rsidRPr="002F5974">
              <w:t>vị</w:t>
            </w:r>
            <w:proofErr w:type="spellEnd"/>
            <w:r w:rsidRPr="002F5974">
              <w:t xml:space="preserve"> </w:t>
            </w:r>
            <w:proofErr w:type="spellStart"/>
            <w:r w:rsidRPr="002F5974">
              <w:t>Chứng</w:t>
            </w:r>
            <w:proofErr w:type="spellEnd"/>
            <w:r w:rsidRPr="002F5974">
              <w:t xml:space="preserve"> </w:t>
            </w:r>
            <w:proofErr w:type="spellStart"/>
            <w:r w:rsidRPr="002F5974">
              <w:t>chỉ</w:t>
            </w:r>
            <w:proofErr w:type="spellEnd"/>
            <w:r w:rsidRPr="002F5974">
              <w:t xml:space="preserve"> </w:t>
            </w:r>
            <w:proofErr w:type="spellStart"/>
            <w:r w:rsidRPr="002F5974">
              <w:t>quỹ</w:t>
            </w:r>
            <w:proofErr w:type="spellEnd"/>
            <w:r w:rsidRPr="002F5974">
              <w:t xml:space="preserve"> (CCQ) (VND)</w:t>
            </w:r>
          </w:p>
        </w:tc>
        <w:tc>
          <w:tcPr>
            <w:tcW w:w="2216" w:type="dxa"/>
            <w:tcBorders>
              <w:top w:val="nil"/>
              <w:left w:val="single" w:sz="4" w:space="0" w:color="auto"/>
              <w:bottom w:val="single" w:sz="4" w:space="0" w:color="auto"/>
              <w:right w:val="single" w:sz="4" w:space="0" w:color="auto"/>
            </w:tcBorders>
            <w:shd w:val="clear" w:color="auto" w:fill="auto"/>
          </w:tcPr>
          <w:p w14:paraId="76439236" w14:textId="4CAD12C9" w:rsidR="00D02684" w:rsidRPr="002F5974" w:rsidRDefault="00D02684" w:rsidP="002F5974">
            <w:pPr>
              <w:keepLines w:val="0"/>
              <w:overflowPunct/>
              <w:autoSpaceDE/>
              <w:autoSpaceDN/>
              <w:adjustRightInd/>
              <w:jc w:val="center"/>
              <w:textAlignment w:val="auto"/>
              <w:rPr>
                <w:szCs w:val="22"/>
                <w:lang w:val="en-US"/>
              </w:rPr>
            </w:pPr>
            <w:r w:rsidRPr="002F5974">
              <w:t>21,076.64</w:t>
            </w:r>
          </w:p>
        </w:tc>
        <w:tc>
          <w:tcPr>
            <w:tcW w:w="2340" w:type="dxa"/>
            <w:tcBorders>
              <w:top w:val="nil"/>
              <w:left w:val="nil"/>
              <w:bottom w:val="single" w:sz="4" w:space="0" w:color="auto"/>
              <w:right w:val="single" w:sz="4" w:space="0" w:color="auto"/>
            </w:tcBorders>
            <w:shd w:val="clear" w:color="auto" w:fill="auto"/>
            <w:hideMark/>
          </w:tcPr>
          <w:p w14:paraId="194D25DE" w14:textId="43D53770" w:rsidR="00D02684" w:rsidRPr="002F5974" w:rsidRDefault="00D02684" w:rsidP="002F5974">
            <w:pPr>
              <w:keepLines w:val="0"/>
              <w:overflowPunct/>
              <w:autoSpaceDE/>
              <w:autoSpaceDN/>
              <w:adjustRightInd/>
              <w:jc w:val="center"/>
              <w:textAlignment w:val="auto"/>
              <w:rPr>
                <w:szCs w:val="22"/>
                <w:lang w:val="en-US"/>
              </w:rPr>
            </w:pPr>
            <w:r w:rsidRPr="002F5974">
              <w:t>25,711.54</w:t>
            </w:r>
          </w:p>
        </w:tc>
        <w:tc>
          <w:tcPr>
            <w:tcW w:w="2070" w:type="dxa"/>
            <w:tcBorders>
              <w:top w:val="nil"/>
              <w:left w:val="nil"/>
              <w:bottom w:val="single" w:sz="4" w:space="0" w:color="auto"/>
              <w:right w:val="single" w:sz="4" w:space="0" w:color="auto"/>
            </w:tcBorders>
            <w:shd w:val="clear" w:color="auto" w:fill="auto"/>
            <w:hideMark/>
          </w:tcPr>
          <w:p w14:paraId="3FB2800D" w14:textId="0F531CF6" w:rsidR="00D02684" w:rsidRPr="002F5974" w:rsidRDefault="00D02684" w:rsidP="002F5974">
            <w:pPr>
              <w:keepLines w:val="0"/>
              <w:overflowPunct/>
              <w:autoSpaceDE/>
              <w:autoSpaceDN/>
              <w:adjustRightInd/>
              <w:jc w:val="center"/>
              <w:textAlignment w:val="auto"/>
              <w:rPr>
                <w:szCs w:val="22"/>
                <w:lang w:val="en-US"/>
              </w:rPr>
            </w:pPr>
            <w:r w:rsidRPr="002F5974">
              <w:t>12,848.26</w:t>
            </w:r>
          </w:p>
        </w:tc>
      </w:tr>
      <w:tr w:rsidR="002F5974" w:rsidRPr="002F5974" w14:paraId="72A3CF6A" w14:textId="77777777" w:rsidTr="00D02684">
        <w:trPr>
          <w:trHeight w:val="82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6F90498A" w14:textId="1F813BE2" w:rsidR="00D02684" w:rsidRPr="002F5974" w:rsidRDefault="00D02684" w:rsidP="002F5974">
            <w:pPr>
              <w:keepLines w:val="0"/>
              <w:overflowPunct/>
              <w:autoSpaceDE/>
              <w:autoSpaceDN/>
              <w:adjustRightInd/>
              <w:jc w:val="left"/>
              <w:textAlignment w:val="auto"/>
              <w:rPr>
                <w:szCs w:val="22"/>
                <w:lang w:val="en-US"/>
              </w:rPr>
            </w:pPr>
            <w:proofErr w:type="spellStart"/>
            <w:r w:rsidRPr="002F5974">
              <w:t>Giá</w:t>
            </w:r>
            <w:proofErr w:type="spellEnd"/>
            <w:r w:rsidRPr="002F5974">
              <w:t xml:space="preserve"> </w:t>
            </w:r>
            <w:proofErr w:type="spellStart"/>
            <w:r w:rsidRPr="002F5974">
              <w:t>trị</w:t>
            </w:r>
            <w:proofErr w:type="spellEnd"/>
            <w:r w:rsidRPr="002F5974">
              <w:t xml:space="preserve"> </w:t>
            </w:r>
            <w:proofErr w:type="spellStart"/>
            <w:r w:rsidRPr="002F5974">
              <w:t>tài</w:t>
            </w:r>
            <w:proofErr w:type="spellEnd"/>
            <w:r w:rsidRPr="002F5974">
              <w:t xml:space="preserve"> </w:t>
            </w:r>
            <w:proofErr w:type="spellStart"/>
            <w:r w:rsidRPr="002F5974">
              <w:t>sản</w:t>
            </w:r>
            <w:proofErr w:type="spellEnd"/>
            <w:r w:rsidRPr="002F5974">
              <w:t xml:space="preserve"> </w:t>
            </w:r>
            <w:proofErr w:type="spellStart"/>
            <w:r w:rsidRPr="002F5974">
              <w:t>ròng</w:t>
            </w:r>
            <w:proofErr w:type="spellEnd"/>
            <w:r w:rsidRPr="002F5974">
              <w:t xml:space="preserve"> </w:t>
            </w:r>
            <w:proofErr w:type="spellStart"/>
            <w:r w:rsidRPr="002F5974">
              <w:t>cao</w:t>
            </w:r>
            <w:proofErr w:type="spellEnd"/>
            <w:r w:rsidRPr="002F5974">
              <w:t xml:space="preserve"> </w:t>
            </w:r>
            <w:proofErr w:type="spellStart"/>
            <w:r w:rsidRPr="002F5974">
              <w:t>nhất</w:t>
            </w:r>
            <w:proofErr w:type="spellEnd"/>
            <w:r w:rsidRPr="002F5974">
              <w:t xml:space="preserve"> </w:t>
            </w:r>
            <w:proofErr w:type="spellStart"/>
            <w:r w:rsidRPr="002F5974">
              <w:t>của</w:t>
            </w:r>
            <w:proofErr w:type="spellEnd"/>
            <w:r w:rsidRPr="002F5974">
              <w:t xml:space="preserve"> 1 </w:t>
            </w:r>
            <w:proofErr w:type="spellStart"/>
            <w:r w:rsidRPr="002F5974">
              <w:t>đơn</w:t>
            </w:r>
            <w:proofErr w:type="spellEnd"/>
            <w:r w:rsidRPr="002F5974">
              <w:t xml:space="preserve"> </w:t>
            </w:r>
            <w:proofErr w:type="spellStart"/>
            <w:r w:rsidRPr="002F5974">
              <w:t>vị</w:t>
            </w:r>
            <w:proofErr w:type="spellEnd"/>
            <w:r w:rsidRPr="002F5974">
              <w:t xml:space="preserve"> CCQ </w:t>
            </w:r>
            <w:proofErr w:type="spellStart"/>
            <w:r w:rsidRPr="002F5974">
              <w:t>trong</w:t>
            </w:r>
            <w:proofErr w:type="spellEnd"/>
            <w:r w:rsidRPr="002F5974">
              <w:t xml:space="preserve"> </w:t>
            </w:r>
            <w:proofErr w:type="spellStart"/>
            <w:r w:rsidRPr="002F5974">
              <w:t>kỳ</w:t>
            </w:r>
            <w:proofErr w:type="spellEnd"/>
            <w:r w:rsidRPr="002F5974">
              <w:t xml:space="preserve"> </w:t>
            </w:r>
            <w:proofErr w:type="spellStart"/>
            <w:r w:rsidRPr="002F5974">
              <w:t>báo</w:t>
            </w:r>
            <w:proofErr w:type="spellEnd"/>
            <w:r w:rsidRPr="002F5974">
              <w:t xml:space="preserve"> </w:t>
            </w:r>
            <w:proofErr w:type="spellStart"/>
            <w:r w:rsidRPr="002F5974">
              <w:t>cáo</w:t>
            </w:r>
            <w:proofErr w:type="spellEnd"/>
            <w:r w:rsidRPr="002F5974">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0D622746" w14:textId="130C633B" w:rsidR="00D02684" w:rsidRPr="002F5974" w:rsidRDefault="00D02684" w:rsidP="002F5974">
            <w:pPr>
              <w:keepLines w:val="0"/>
              <w:overflowPunct/>
              <w:autoSpaceDE/>
              <w:autoSpaceDN/>
              <w:adjustRightInd/>
              <w:jc w:val="center"/>
              <w:textAlignment w:val="auto"/>
              <w:rPr>
                <w:szCs w:val="22"/>
                <w:lang w:val="en-US"/>
              </w:rPr>
            </w:pPr>
            <w:r w:rsidRPr="002F5974">
              <w:t xml:space="preserve"> 26,126.01 </w:t>
            </w:r>
          </w:p>
        </w:tc>
        <w:tc>
          <w:tcPr>
            <w:tcW w:w="2340" w:type="dxa"/>
            <w:tcBorders>
              <w:top w:val="nil"/>
              <w:left w:val="nil"/>
              <w:bottom w:val="single" w:sz="4" w:space="0" w:color="auto"/>
              <w:right w:val="single" w:sz="4" w:space="0" w:color="auto"/>
            </w:tcBorders>
            <w:shd w:val="clear" w:color="auto" w:fill="auto"/>
            <w:hideMark/>
          </w:tcPr>
          <w:p w14:paraId="098970E4" w14:textId="1C88EB39" w:rsidR="00D02684" w:rsidRPr="002F5974" w:rsidRDefault="00D02684" w:rsidP="002F5974">
            <w:pPr>
              <w:keepLines w:val="0"/>
              <w:overflowPunct/>
              <w:autoSpaceDE/>
              <w:autoSpaceDN/>
              <w:adjustRightInd/>
              <w:jc w:val="center"/>
              <w:textAlignment w:val="auto"/>
              <w:rPr>
                <w:szCs w:val="22"/>
                <w:lang w:val="en-US"/>
              </w:rPr>
            </w:pPr>
            <w:r w:rsidRPr="002F5974">
              <w:t xml:space="preserve"> 25,729.54 </w:t>
            </w:r>
          </w:p>
        </w:tc>
        <w:tc>
          <w:tcPr>
            <w:tcW w:w="2070" w:type="dxa"/>
            <w:tcBorders>
              <w:top w:val="nil"/>
              <w:left w:val="nil"/>
              <w:bottom w:val="single" w:sz="4" w:space="0" w:color="auto"/>
              <w:right w:val="single" w:sz="4" w:space="0" w:color="auto"/>
            </w:tcBorders>
            <w:shd w:val="clear" w:color="auto" w:fill="auto"/>
            <w:hideMark/>
          </w:tcPr>
          <w:p w14:paraId="78BC80BD" w14:textId="6C99F340" w:rsidR="00D02684" w:rsidRPr="002F5974" w:rsidRDefault="00D02684" w:rsidP="002F5974">
            <w:pPr>
              <w:keepLines w:val="0"/>
              <w:overflowPunct/>
              <w:autoSpaceDE/>
              <w:autoSpaceDN/>
              <w:adjustRightInd/>
              <w:jc w:val="center"/>
              <w:textAlignment w:val="auto"/>
              <w:rPr>
                <w:szCs w:val="22"/>
                <w:lang w:val="en-US"/>
              </w:rPr>
            </w:pPr>
            <w:r w:rsidRPr="002F5974">
              <w:t xml:space="preserve"> 13,977.00 </w:t>
            </w:r>
          </w:p>
        </w:tc>
      </w:tr>
      <w:tr w:rsidR="002F5974" w:rsidRPr="002F5974" w14:paraId="44A3997A" w14:textId="77777777" w:rsidTr="00D02684">
        <w:trPr>
          <w:trHeight w:val="69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158FFFC" w14:textId="04DED285" w:rsidR="00D02684" w:rsidRPr="002F5974" w:rsidRDefault="00D02684" w:rsidP="002F5974">
            <w:pPr>
              <w:keepLines w:val="0"/>
              <w:overflowPunct/>
              <w:autoSpaceDE/>
              <w:autoSpaceDN/>
              <w:adjustRightInd/>
              <w:jc w:val="left"/>
              <w:textAlignment w:val="auto"/>
              <w:rPr>
                <w:szCs w:val="22"/>
                <w:lang w:val="en-US"/>
              </w:rPr>
            </w:pPr>
            <w:proofErr w:type="spellStart"/>
            <w:r w:rsidRPr="002F5974">
              <w:t>Giá</w:t>
            </w:r>
            <w:proofErr w:type="spellEnd"/>
            <w:r w:rsidRPr="002F5974">
              <w:t xml:space="preserve"> </w:t>
            </w:r>
            <w:proofErr w:type="spellStart"/>
            <w:r w:rsidRPr="002F5974">
              <w:t>trị</w:t>
            </w:r>
            <w:proofErr w:type="spellEnd"/>
            <w:r w:rsidRPr="002F5974">
              <w:t xml:space="preserve"> </w:t>
            </w:r>
            <w:proofErr w:type="spellStart"/>
            <w:r w:rsidRPr="002F5974">
              <w:t>tài</w:t>
            </w:r>
            <w:proofErr w:type="spellEnd"/>
            <w:r w:rsidRPr="002F5974">
              <w:t xml:space="preserve"> </w:t>
            </w:r>
            <w:proofErr w:type="spellStart"/>
            <w:r w:rsidRPr="002F5974">
              <w:t>sản</w:t>
            </w:r>
            <w:proofErr w:type="spellEnd"/>
            <w:r w:rsidRPr="002F5974">
              <w:t xml:space="preserve"> </w:t>
            </w:r>
            <w:proofErr w:type="spellStart"/>
            <w:r w:rsidRPr="002F5974">
              <w:t>ròng</w:t>
            </w:r>
            <w:proofErr w:type="spellEnd"/>
            <w:r w:rsidRPr="002F5974">
              <w:t xml:space="preserve"> </w:t>
            </w:r>
            <w:proofErr w:type="spellStart"/>
            <w:r w:rsidRPr="002F5974">
              <w:t>thấp</w:t>
            </w:r>
            <w:proofErr w:type="spellEnd"/>
            <w:r w:rsidRPr="002F5974">
              <w:t xml:space="preserve"> </w:t>
            </w:r>
            <w:proofErr w:type="spellStart"/>
            <w:r w:rsidRPr="002F5974">
              <w:t>nhất</w:t>
            </w:r>
            <w:proofErr w:type="spellEnd"/>
            <w:r w:rsidRPr="002F5974">
              <w:t xml:space="preserve"> </w:t>
            </w:r>
            <w:proofErr w:type="spellStart"/>
            <w:r w:rsidRPr="002F5974">
              <w:t>của</w:t>
            </w:r>
            <w:proofErr w:type="spellEnd"/>
            <w:r w:rsidRPr="002F5974">
              <w:t xml:space="preserve"> 1 </w:t>
            </w:r>
            <w:proofErr w:type="spellStart"/>
            <w:r w:rsidRPr="002F5974">
              <w:t>đơn</w:t>
            </w:r>
            <w:proofErr w:type="spellEnd"/>
            <w:r w:rsidRPr="002F5974">
              <w:t xml:space="preserve"> </w:t>
            </w:r>
            <w:proofErr w:type="spellStart"/>
            <w:r w:rsidRPr="002F5974">
              <w:t>vị</w:t>
            </w:r>
            <w:proofErr w:type="spellEnd"/>
            <w:r w:rsidRPr="002F5974">
              <w:t xml:space="preserve"> CCQ </w:t>
            </w:r>
            <w:proofErr w:type="spellStart"/>
            <w:r w:rsidRPr="002F5974">
              <w:t>trong</w:t>
            </w:r>
            <w:proofErr w:type="spellEnd"/>
            <w:r w:rsidRPr="002F5974">
              <w:t xml:space="preserve"> </w:t>
            </w:r>
            <w:proofErr w:type="spellStart"/>
            <w:r w:rsidRPr="002F5974">
              <w:t>kỳ</w:t>
            </w:r>
            <w:proofErr w:type="spellEnd"/>
            <w:r w:rsidRPr="002F5974">
              <w:t xml:space="preserve"> </w:t>
            </w:r>
            <w:proofErr w:type="spellStart"/>
            <w:r w:rsidRPr="002F5974">
              <w:t>báo</w:t>
            </w:r>
            <w:proofErr w:type="spellEnd"/>
            <w:r w:rsidRPr="002F5974">
              <w:t xml:space="preserve"> </w:t>
            </w:r>
            <w:proofErr w:type="spellStart"/>
            <w:r w:rsidRPr="002F5974">
              <w:t>cáo</w:t>
            </w:r>
            <w:proofErr w:type="spellEnd"/>
            <w:r w:rsidRPr="002F5974">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1E611E5F" w14:textId="4D115D23" w:rsidR="00D02684" w:rsidRPr="002F5974" w:rsidRDefault="00D02684" w:rsidP="002F5974">
            <w:pPr>
              <w:keepLines w:val="0"/>
              <w:overflowPunct/>
              <w:autoSpaceDE/>
              <w:autoSpaceDN/>
              <w:adjustRightInd/>
              <w:jc w:val="center"/>
              <w:textAlignment w:val="auto"/>
              <w:rPr>
                <w:szCs w:val="22"/>
                <w:lang w:val="en-US"/>
              </w:rPr>
            </w:pPr>
            <w:r w:rsidRPr="002F5974">
              <w:t xml:space="preserve"> 20,407.83 </w:t>
            </w:r>
          </w:p>
        </w:tc>
        <w:tc>
          <w:tcPr>
            <w:tcW w:w="2340" w:type="dxa"/>
            <w:tcBorders>
              <w:top w:val="nil"/>
              <w:left w:val="nil"/>
              <w:bottom w:val="single" w:sz="4" w:space="0" w:color="auto"/>
              <w:right w:val="single" w:sz="4" w:space="0" w:color="auto"/>
            </w:tcBorders>
            <w:shd w:val="clear" w:color="auto" w:fill="auto"/>
            <w:hideMark/>
          </w:tcPr>
          <w:p w14:paraId="0ED6E25B" w14:textId="58870B22" w:rsidR="00D02684" w:rsidRPr="002F5974" w:rsidRDefault="00D02684" w:rsidP="002F5974">
            <w:pPr>
              <w:keepLines w:val="0"/>
              <w:overflowPunct/>
              <w:autoSpaceDE/>
              <w:autoSpaceDN/>
              <w:adjustRightInd/>
              <w:jc w:val="center"/>
              <w:textAlignment w:val="auto"/>
              <w:rPr>
                <w:szCs w:val="22"/>
                <w:lang w:val="en-US"/>
              </w:rPr>
            </w:pPr>
            <w:r w:rsidRPr="002F5974">
              <w:t xml:space="preserve"> 20,592.84 </w:t>
            </w:r>
          </w:p>
        </w:tc>
        <w:tc>
          <w:tcPr>
            <w:tcW w:w="2070" w:type="dxa"/>
            <w:tcBorders>
              <w:top w:val="nil"/>
              <w:left w:val="nil"/>
              <w:bottom w:val="single" w:sz="4" w:space="0" w:color="auto"/>
              <w:right w:val="single" w:sz="4" w:space="0" w:color="auto"/>
            </w:tcBorders>
            <w:shd w:val="clear" w:color="auto" w:fill="auto"/>
            <w:hideMark/>
          </w:tcPr>
          <w:p w14:paraId="64B6673E" w14:textId="08FB84D1" w:rsidR="00D02684" w:rsidRPr="002F5974" w:rsidRDefault="00D02684" w:rsidP="002F5974">
            <w:pPr>
              <w:keepLines w:val="0"/>
              <w:overflowPunct/>
              <w:autoSpaceDE/>
              <w:autoSpaceDN/>
              <w:adjustRightInd/>
              <w:jc w:val="center"/>
              <w:textAlignment w:val="auto"/>
              <w:rPr>
                <w:szCs w:val="22"/>
                <w:lang w:val="en-US"/>
              </w:rPr>
            </w:pPr>
            <w:r w:rsidRPr="002F5974">
              <w:t xml:space="preserve"> 10,462.32 </w:t>
            </w:r>
          </w:p>
        </w:tc>
      </w:tr>
      <w:tr w:rsidR="002F5974" w:rsidRPr="002F5974" w14:paraId="42334279" w14:textId="77777777" w:rsidTr="00D02684">
        <w:trPr>
          <w:trHeight w:val="511"/>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5343C2FF" w14:textId="3B45876C" w:rsidR="00D02684" w:rsidRPr="002F5974" w:rsidRDefault="00D02684" w:rsidP="002F5974">
            <w:pPr>
              <w:keepLines w:val="0"/>
              <w:overflowPunct/>
              <w:autoSpaceDE/>
              <w:autoSpaceDN/>
              <w:adjustRightInd/>
              <w:jc w:val="left"/>
              <w:textAlignment w:val="auto"/>
              <w:rPr>
                <w:szCs w:val="22"/>
                <w:lang w:val="en-US"/>
              </w:rPr>
            </w:pPr>
            <w:proofErr w:type="spellStart"/>
            <w:r w:rsidRPr="002F5974">
              <w:t>Giá</w:t>
            </w:r>
            <w:proofErr w:type="spellEnd"/>
            <w:r w:rsidRPr="002F5974">
              <w:t xml:space="preserve"> </w:t>
            </w:r>
            <w:proofErr w:type="spellStart"/>
            <w:r w:rsidRPr="002F5974">
              <w:t>cuối</w:t>
            </w:r>
            <w:proofErr w:type="spellEnd"/>
            <w:r w:rsidRPr="002F5974">
              <w:t xml:space="preserve"> </w:t>
            </w:r>
            <w:proofErr w:type="spellStart"/>
            <w:r w:rsidRPr="002F5974">
              <w:t>ngày</w:t>
            </w:r>
            <w:proofErr w:type="spellEnd"/>
            <w:r w:rsidRPr="002F5974">
              <w:t xml:space="preserve"> </w:t>
            </w:r>
            <w:proofErr w:type="spellStart"/>
            <w:r w:rsidRPr="002F5974">
              <w:t>của</w:t>
            </w:r>
            <w:proofErr w:type="spellEnd"/>
            <w:r w:rsidRPr="002F5974">
              <w:t xml:space="preserve"> 1 </w:t>
            </w:r>
            <w:proofErr w:type="spellStart"/>
            <w:r w:rsidRPr="002F5974">
              <w:t>đơn</w:t>
            </w:r>
            <w:proofErr w:type="spellEnd"/>
            <w:r w:rsidRPr="002F5974">
              <w:t xml:space="preserve"> </w:t>
            </w:r>
            <w:proofErr w:type="spellStart"/>
            <w:r w:rsidRPr="002F5974">
              <w:t>vị</w:t>
            </w:r>
            <w:proofErr w:type="spellEnd"/>
            <w:r w:rsidRPr="002F5974">
              <w:t xml:space="preserve"> CCQ </w:t>
            </w:r>
            <w:proofErr w:type="spellStart"/>
            <w:r w:rsidRPr="002F5974">
              <w:t>tại</w:t>
            </w:r>
            <w:proofErr w:type="spellEnd"/>
            <w:r w:rsidRPr="002F5974">
              <w:t xml:space="preserve"> </w:t>
            </w:r>
            <w:proofErr w:type="spellStart"/>
            <w:r w:rsidRPr="002F5974">
              <w:t>ngày</w:t>
            </w:r>
            <w:proofErr w:type="spellEnd"/>
            <w:r w:rsidRPr="002F5974">
              <w:t xml:space="preserve"> </w:t>
            </w:r>
            <w:proofErr w:type="spellStart"/>
            <w:r w:rsidRPr="002F5974">
              <w:t>báo</w:t>
            </w:r>
            <w:proofErr w:type="spellEnd"/>
            <w:r w:rsidRPr="002F5974">
              <w:t xml:space="preserve"> </w:t>
            </w:r>
            <w:proofErr w:type="spellStart"/>
            <w:r w:rsidRPr="002F5974">
              <w:t>cáo</w:t>
            </w:r>
            <w:proofErr w:type="spellEnd"/>
            <w:r w:rsidRPr="002F5974">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699C9D21" w14:textId="57A79771" w:rsidR="00D02684" w:rsidRPr="002F5974" w:rsidRDefault="00D02684" w:rsidP="002F5974">
            <w:pPr>
              <w:keepLines w:val="0"/>
              <w:overflowPunct/>
              <w:autoSpaceDE/>
              <w:autoSpaceDN/>
              <w:adjustRightInd/>
              <w:jc w:val="center"/>
              <w:textAlignment w:val="auto"/>
              <w:rPr>
                <w:szCs w:val="22"/>
                <w:lang w:val="en-US"/>
              </w:rPr>
            </w:pPr>
            <w:r w:rsidRPr="002F5974">
              <w:t xml:space="preserve"> 21,350.00 </w:t>
            </w:r>
          </w:p>
        </w:tc>
        <w:tc>
          <w:tcPr>
            <w:tcW w:w="2340" w:type="dxa"/>
            <w:tcBorders>
              <w:top w:val="nil"/>
              <w:left w:val="nil"/>
              <w:bottom w:val="single" w:sz="4" w:space="0" w:color="auto"/>
              <w:right w:val="single" w:sz="4" w:space="0" w:color="auto"/>
            </w:tcBorders>
            <w:shd w:val="clear" w:color="auto" w:fill="auto"/>
            <w:hideMark/>
          </w:tcPr>
          <w:p w14:paraId="3844FBCA" w14:textId="166537A4" w:rsidR="00D02684" w:rsidRPr="002F5974" w:rsidRDefault="00D02684" w:rsidP="002F5974">
            <w:pPr>
              <w:keepLines w:val="0"/>
              <w:overflowPunct/>
              <w:autoSpaceDE/>
              <w:autoSpaceDN/>
              <w:adjustRightInd/>
              <w:jc w:val="center"/>
              <w:textAlignment w:val="auto"/>
              <w:rPr>
                <w:szCs w:val="22"/>
                <w:lang w:val="en-US"/>
              </w:rPr>
            </w:pPr>
            <w:r w:rsidRPr="002F5974">
              <w:t xml:space="preserve"> 25,840.00 </w:t>
            </w:r>
          </w:p>
        </w:tc>
        <w:tc>
          <w:tcPr>
            <w:tcW w:w="2070" w:type="dxa"/>
            <w:tcBorders>
              <w:top w:val="nil"/>
              <w:left w:val="nil"/>
              <w:bottom w:val="single" w:sz="4" w:space="0" w:color="auto"/>
              <w:right w:val="single" w:sz="4" w:space="0" w:color="auto"/>
            </w:tcBorders>
            <w:shd w:val="clear" w:color="auto" w:fill="auto"/>
            <w:hideMark/>
          </w:tcPr>
          <w:p w14:paraId="497C5770" w14:textId="5AA98890" w:rsidR="00D02684" w:rsidRPr="002F5974" w:rsidRDefault="00D02684" w:rsidP="002F5974">
            <w:pPr>
              <w:keepLines w:val="0"/>
              <w:overflowPunct/>
              <w:autoSpaceDE/>
              <w:autoSpaceDN/>
              <w:adjustRightInd/>
              <w:jc w:val="center"/>
              <w:textAlignment w:val="auto"/>
              <w:rPr>
                <w:szCs w:val="22"/>
                <w:lang w:val="en-US"/>
              </w:rPr>
            </w:pPr>
            <w:r w:rsidRPr="002F5974">
              <w:t xml:space="preserve"> 13,300.00 </w:t>
            </w:r>
          </w:p>
        </w:tc>
      </w:tr>
      <w:tr w:rsidR="002F5974" w:rsidRPr="002F5974" w14:paraId="0B1A4ED0" w14:textId="77777777" w:rsidTr="00D02684">
        <w:trPr>
          <w:trHeight w:val="54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4389ED2E" w14:textId="66B3C213" w:rsidR="00D02684" w:rsidRPr="002F5974" w:rsidRDefault="00D02684" w:rsidP="002F5974">
            <w:pPr>
              <w:keepLines w:val="0"/>
              <w:overflowPunct/>
              <w:autoSpaceDE/>
              <w:autoSpaceDN/>
              <w:adjustRightInd/>
              <w:jc w:val="left"/>
              <w:textAlignment w:val="auto"/>
              <w:rPr>
                <w:szCs w:val="22"/>
                <w:lang w:val="en-US"/>
              </w:rPr>
            </w:pPr>
            <w:proofErr w:type="spellStart"/>
            <w:r w:rsidRPr="002F5974">
              <w:t>Giá</w:t>
            </w:r>
            <w:proofErr w:type="spellEnd"/>
            <w:r w:rsidRPr="002F5974">
              <w:t xml:space="preserve"> </w:t>
            </w:r>
            <w:proofErr w:type="spellStart"/>
            <w:r w:rsidRPr="002F5974">
              <w:t>cuối</w:t>
            </w:r>
            <w:proofErr w:type="spellEnd"/>
            <w:r w:rsidRPr="002F5974">
              <w:t xml:space="preserve"> </w:t>
            </w:r>
            <w:proofErr w:type="spellStart"/>
            <w:r w:rsidRPr="002F5974">
              <w:t>ngày</w:t>
            </w:r>
            <w:proofErr w:type="spellEnd"/>
            <w:r w:rsidRPr="002F5974">
              <w:t xml:space="preserve"> </w:t>
            </w:r>
            <w:proofErr w:type="spellStart"/>
            <w:r w:rsidRPr="002F5974">
              <w:t>cao</w:t>
            </w:r>
            <w:proofErr w:type="spellEnd"/>
            <w:r w:rsidRPr="002F5974">
              <w:t xml:space="preserve"> </w:t>
            </w:r>
            <w:proofErr w:type="spellStart"/>
            <w:r w:rsidRPr="002F5974">
              <w:t>nhất</w:t>
            </w:r>
            <w:proofErr w:type="spellEnd"/>
            <w:r w:rsidRPr="002F5974">
              <w:t xml:space="preserve"> </w:t>
            </w:r>
            <w:proofErr w:type="spellStart"/>
            <w:r w:rsidRPr="002F5974">
              <w:t>của</w:t>
            </w:r>
            <w:proofErr w:type="spellEnd"/>
            <w:r w:rsidRPr="002F5974">
              <w:t xml:space="preserve"> 1 </w:t>
            </w:r>
            <w:proofErr w:type="spellStart"/>
            <w:r w:rsidRPr="002F5974">
              <w:t>đơn</w:t>
            </w:r>
            <w:proofErr w:type="spellEnd"/>
            <w:r w:rsidRPr="002F5974">
              <w:t xml:space="preserve"> </w:t>
            </w:r>
            <w:proofErr w:type="spellStart"/>
            <w:r w:rsidRPr="002F5974">
              <w:t>vị</w:t>
            </w:r>
            <w:proofErr w:type="spellEnd"/>
            <w:r w:rsidRPr="002F5974">
              <w:t xml:space="preserve"> CCQ </w:t>
            </w:r>
            <w:proofErr w:type="spellStart"/>
            <w:r w:rsidRPr="002F5974">
              <w:t>trong</w:t>
            </w:r>
            <w:proofErr w:type="spellEnd"/>
            <w:r w:rsidRPr="002F5974">
              <w:t xml:space="preserve"> </w:t>
            </w:r>
            <w:proofErr w:type="spellStart"/>
            <w:r w:rsidRPr="002F5974">
              <w:t>kỳ</w:t>
            </w:r>
            <w:proofErr w:type="spellEnd"/>
            <w:r w:rsidRPr="002F5974">
              <w:t xml:space="preserve"> </w:t>
            </w:r>
            <w:proofErr w:type="spellStart"/>
            <w:r w:rsidRPr="002F5974">
              <w:t>báo</w:t>
            </w:r>
            <w:proofErr w:type="spellEnd"/>
            <w:r w:rsidRPr="002F5974">
              <w:t xml:space="preserve"> </w:t>
            </w:r>
            <w:proofErr w:type="spellStart"/>
            <w:r w:rsidRPr="002F5974">
              <w:t>cáo</w:t>
            </w:r>
            <w:proofErr w:type="spellEnd"/>
            <w:r w:rsidRPr="002F5974">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1D5CD3A8" w14:textId="5F385D91" w:rsidR="00D02684" w:rsidRPr="002F5974" w:rsidRDefault="00D02684" w:rsidP="002F5974">
            <w:pPr>
              <w:keepLines w:val="0"/>
              <w:overflowPunct/>
              <w:autoSpaceDE/>
              <w:autoSpaceDN/>
              <w:adjustRightInd/>
              <w:jc w:val="center"/>
              <w:textAlignment w:val="auto"/>
              <w:rPr>
                <w:szCs w:val="22"/>
                <w:lang w:val="en-US"/>
              </w:rPr>
            </w:pPr>
            <w:r w:rsidRPr="002F5974">
              <w:t>26,100.00</w:t>
            </w:r>
          </w:p>
        </w:tc>
        <w:tc>
          <w:tcPr>
            <w:tcW w:w="2340" w:type="dxa"/>
            <w:tcBorders>
              <w:top w:val="nil"/>
              <w:left w:val="nil"/>
              <w:bottom w:val="single" w:sz="4" w:space="0" w:color="auto"/>
              <w:right w:val="single" w:sz="4" w:space="0" w:color="auto"/>
            </w:tcBorders>
            <w:shd w:val="clear" w:color="auto" w:fill="auto"/>
            <w:hideMark/>
          </w:tcPr>
          <w:p w14:paraId="0D30949F" w14:textId="60552BCA" w:rsidR="00D02684" w:rsidRPr="002F5974" w:rsidRDefault="00D02684" w:rsidP="002F5974">
            <w:pPr>
              <w:keepLines w:val="0"/>
              <w:overflowPunct/>
              <w:autoSpaceDE/>
              <w:autoSpaceDN/>
              <w:adjustRightInd/>
              <w:jc w:val="center"/>
              <w:textAlignment w:val="auto"/>
              <w:rPr>
                <w:szCs w:val="22"/>
                <w:lang w:val="en-US"/>
              </w:rPr>
            </w:pPr>
            <w:r w:rsidRPr="002F5974">
              <w:t>25,840.00</w:t>
            </w:r>
          </w:p>
        </w:tc>
        <w:tc>
          <w:tcPr>
            <w:tcW w:w="2070" w:type="dxa"/>
            <w:tcBorders>
              <w:top w:val="nil"/>
              <w:left w:val="nil"/>
              <w:bottom w:val="single" w:sz="4" w:space="0" w:color="auto"/>
              <w:right w:val="single" w:sz="4" w:space="0" w:color="auto"/>
            </w:tcBorders>
            <w:shd w:val="clear" w:color="auto" w:fill="auto"/>
            <w:hideMark/>
          </w:tcPr>
          <w:p w14:paraId="1BC26145" w14:textId="7B810526" w:rsidR="00D02684" w:rsidRPr="002F5974" w:rsidRDefault="00D02684" w:rsidP="002F5974">
            <w:pPr>
              <w:keepLines w:val="0"/>
              <w:overflowPunct/>
              <w:autoSpaceDE/>
              <w:autoSpaceDN/>
              <w:adjustRightInd/>
              <w:jc w:val="center"/>
              <w:textAlignment w:val="auto"/>
              <w:rPr>
                <w:szCs w:val="22"/>
                <w:lang w:val="en-US"/>
              </w:rPr>
            </w:pPr>
            <w:r w:rsidRPr="002F5974">
              <w:t>14,140.00</w:t>
            </w:r>
          </w:p>
        </w:tc>
      </w:tr>
      <w:tr w:rsidR="002F5974" w:rsidRPr="002F5974" w14:paraId="4B739E9D" w14:textId="77777777" w:rsidTr="00D02684">
        <w:trPr>
          <w:trHeight w:val="57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0B4E44A0" w14:textId="2998489E" w:rsidR="00D02684" w:rsidRPr="002F5974" w:rsidRDefault="00D02684" w:rsidP="002F5974">
            <w:pPr>
              <w:keepLines w:val="0"/>
              <w:overflowPunct/>
              <w:autoSpaceDE/>
              <w:autoSpaceDN/>
              <w:adjustRightInd/>
              <w:jc w:val="left"/>
              <w:textAlignment w:val="auto"/>
              <w:rPr>
                <w:szCs w:val="22"/>
                <w:lang w:val="en-US"/>
              </w:rPr>
            </w:pPr>
            <w:proofErr w:type="spellStart"/>
            <w:r w:rsidRPr="002F5974">
              <w:t>Giá</w:t>
            </w:r>
            <w:proofErr w:type="spellEnd"/>
            <w:r w:rsidRPr="002F5974">
              <w:t xml:space="preserve"> </w:t>
            </w:r>
            <w:proofErr w:type="spellStart"/>
            <w:r w:rsidRPr="002F5974">
              <w:t>cuối</w:t>
            </w:r>
            <w:proofErr w:type="spellEnd"/>
            <w:r w:rsidRPr="002F5974">
              <w:t xml:space="preserve"> </w:t>
            </w:r>
            <w:proofErr w:type="spellStart"/>
            <w:r w:rsidRPr="002F5974">
              <w:t>ngày</w:t>
            </w:r>
            <w:proofErr w:type="spellEnd"/>
            <w:r w:rsidRPr="002F5974">
              <w:t xml:space="preserve"> </w:t>
            </w:r>
            <w:proofErr w:type="spellStart"/>
            <w:r w:rsidRPr="002F5974">
              <w:t>thấp</w:t>
            </w:r>
            <w:proofErr w:type="spellEnd"/>
            <w:r w:rsidRPr="002F5974">
              <w:t xml:space="preserve"> </w:t>
            </w:r>
            <w:proofErr w:type="spellStart"/>
            <w:r w:rsidRPr="002F5974">
              <w:t>nhất</w:t>
            </w:r>
            <w:proofErr w:type="spellEnd"/>
            <w:r w:rsidRPr="002F5974">
              <w:t xml:space="preserve"> </w:t>
            </w:r>
            <w:proofErr w:type="spellStart"/>
            <w:r w:rsidRPr="002F5974">
              <w:t>của</w:t>
            </w:r>
            <w:proofErr w:type="spellEnd"/>
            <w:r w:rsidRPr="002F5974">
              <w:t xml:space="preserve"> 1 </w:t>
            </w:r>
            <w:proofErr w:type="spellStart"/>
            <w:r w:rsidRPr="002F5974">
              <w:t>đơn</w:t>
            </w:r>
            <w:proofErr w:type="spellEnd"/>
            <w:r w:rsidRPr="002F5974">
              <w:t xml:space="preserve"> </w:t>
            </w:r>
            <w:proofErr w:type="spellStart"/>
            <w:r w:rsidRPr="002F5974">
              <w:t>vị</w:t>
            </w:r>
            <w:proofErr w:type="spellEnd"/>
            <w:r w:rsidRPr="002F5974">
              <w:t xml:space="preserve"> CCQ </w:t>
            </w:r>
            <w:proofErr w:type="spellStart"/>
            <w:r w:rsidRPr="002F5974">
              <w:t>trong</w:t>
            </w:r>
            <w:proofErr w:type="spellEnd"/>
            <w:r w:rsidRPr="002F5974">
              <w:t xml:space="preserve"> </w:t>
            </w:r>
            <w:proofErr w:type="spellStart"/>
            <w:r w:rsidRPr="002F5974">
              <w:t>kỳ</w:t>
            </w:r>
            <w:proofErr w:type="spellEnd"/>
            <w:r w:rsidRPr="002F5974">
              <w:t xml:space="preserve"> </w:t>
            </w:r>
            <w:proofErr w:type="spellStart"/>
            <w:r w:rsidRPr="002F5974">
              <w:t>báo</w:t>
            </w:r>
            <w:proofErr w:type="spellEnd"/>
            <w:r w:rsidRPr="002F5974">
              <w:t xml:space="preserve"> </w:t>
            </w:r>
            <w:proofErr w:type="spellStart"/>
            <w:r w:rsidRPr="002F5974">
              <w:t>cáo</w:t>
            </w:r>
            <w:proofErr w:type="spellEnd"/>
            <w:r w:rsidRPr="002F5974">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54AB7767" w14:textId="2BC26686" w:rsidR="00D02684" w:rsidRPr="002F5974" w:rsidRDefault="00D02684" w:rsidP="002F5974">
            <w:pPr>
              <w:keepLines w:val="0"/>
              <w:overflowPunct/>
              <w:autoSpaceDE/>
              <w:autoSpaceDN/>
              <w:adjustRightInd/>
              <w:jc w:val="center"/>
              <w:textAlignment w:val="auto"/>
              <w:rPr>
                <w:szCs w:val="22"/>
                <w:lang w:val="en-US"/>
              </w:rPr>
            </w:pPr>
            <w:r w:rsidRPr="002F5974">
              <w:t>20,600.00</w:t>
            </w:r>
          </w:p>
        </w:tc>
        <w:tc>
          <w:tcPr>
            <w:tcW w:w="2340" w:type="dxa"/>
            <w:tcBorders>
              <w:top w:val="nil"/>
              <w:left w:val="nil"/>
              <w:bottom w:val="single" w:sz="4" w:space="0" w:color="auto"/>
              <w:right w:val="single" w:sz="4" w:space="0" w:color="auto"/>
            </w:tcBorders>
            <w:shd w:val="clear" w:color="auto" w:fill="auto"/>
            <w:hideMark/>
          </w:tcPr>
          <w:p w14:paraId="51109CFC" w14:textId="4FEBDF12" w:rsidR="00D02684" w:rsidRPr="002F5974" w:rsidRDefault="00D02684" w:rsidP="002F5974">
            <w:pPr>
              <w:keepLines w:val="0"/>
              <w:overflowPunct/>
              <w:autoSpaceDE/>
              <w:autoSpaceDN/>
              <w:adjustRightInd/>
              <w:jc w:val="center"/>
              <w:textAlignment w:val="auto"/>
              <w:rPr>
                <w:szCs w:val="22"/>
                <w:lang w:val="en-US"/>
              </w:rPr>
            </w:pPr>
            <w:r w:rsidRPr="002F5974">
              <w:t>20,600.00</w:t>
            </w:r>
          </w:p>
        </w:tc>
        <w:tc>
          <w:tcPr>
            <w:tcW w:w="2070" w:type="dxa"/>
            <w:tcBorders>
              <w:top w:val="nil"/>
              <w:left w:val="nil"/>
              <w:bottom w:val="single" w:sz="4" w:space="0" w:color="auto"/>
              <w:right w:val="single" w:sz="4" w:space="0" w:color="auto"/>
            </w:tcBorders>
            <w:shd w:val="clear" w:color="auto" w:fill="auto"/>
            <w:hideMark/>
          </w:tcPr>
          <w:p w14:paraId="05633EFA" w14:textId="05C8521C" w:rsidR="00D02684" w:rsidRPr="002F5974" w:rsidRDefault="00D02684" w:rsidP="002F5974">
            <w:pPr>
              <w:keepLines w:val="0"/>
              <w:overflowPunct/>
              <w:autoSpaceDE/>
              <w:autoSpaceDN/>
              <w:adjustRightInd/>
              <w:jc w:val="center"/>
              <w:textAlignment w:val="auto"/>
              <w:rPr>
                <w:szCs w:val="22"/>
                <w:lang w:val="en-US"/>
              </w:rPr>
            </w:pPr>
            <w:r w:rsidRPr="002F5974">
              <w:t>10,380.00</w:t>
            </w:r>
          </w:p>
        </w:tc>
      </w:tr>
      <w:tr w:rsidR="002F5974" w:rsidRPr="002F5974" w14:paraId="0E504D73" w14:textId="77777777" w:rsidTr="00D02684">
        <w:trPr>
          <w:trHeight w:val="55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2D98C3CE" w14:textId="0E7B2C18" w:rsidR="00D02684" w:rsidRPr="002F5974" w:rsidRDefault="00D02684" w:rsidP="002F5974">
            <w:pPr>
              <w:keepLines w:val="0"/>
              <w:overflowPunct/>
              <w:autoSpaceDE/>
              <w:autoSpaceDN/>
              <w:adjustRightInd/>
              <w:jc w:val="left"/>
              <w:textAlignment w:val="auto"/>
              <w:rPr>
                <w:szCs w:val="22"/>
                <w:lang w:val="en-US"/>
              </w:rPr>
            </w:pPr>
            <w:proofErr w:type="spellStart"/>
            <w:r w:rsidRPr="002F5974">
              <w:t>Tổng</w:t>
            </w:r>
            <w:proofErr w:type="spellEnd"/>
            <w:r w:rsidRPr="002F5974">
              <w:t xml:space="preserve"> </w:t>
            </w:r>
            <w:proofErr w:type="spellStart"/>
            <w:r w:rsidRPr="002F5974">
              <w:t>tăng</w:t>
            </w:r>
            <w:proofErr w:type="spellEnd"/>
            <w:r w:rsidRPr="002F5974">
              <w:t xml:space="preserve"> </w:t>
            </w:r>
            <w:proofErr w:type="spellStart"/>
            <w:r w:rsidRPr="002F5974">
              <w:t>trưởng</w:t>
            </w:r>
            <w:proofErr w:type="spellEnd"/>
            <w:r w:rsidRPr="002F5974">
              <w:t xml:space="preserve"> (%)/1 </w:t>
            </w:r>
            <w:proofErr w:type="spellStart"/>
            <w:r w:rsidRPr="002F5974">
              <w:t>đơn</w:t>
            </w:r>
            <w:proofErr w:type="spellEnd"/>
            <w:r w:rsidRPr="002F5974">
              <w:t xml:space="preserve"> </w:t>
            </w:r>
            <w:proofErr w:type="spellStart"/>
            <w:r w:rsidRPr="002F5974">
              <w:t>vị</w:t>
            </w:r>
            <w:proofErr w:type="spellEnd"/>
            <w:r w:rsidRPr="002F5974">
              <w:t xml:space="preserve"> CCQ</w:t>
            </w:r>
          </w:p>
        </w:tc>
        <w:tc>
          <w:tcPr>
            <w:tcW w:w="2216" w:type="dxa"/>
            <w:tcBorders>
              <w:top w:val="nil"/>
              <w:left w:val="single" w:sz="4" w:space="0" w:color="auto"/>
              <w:bottom w:val="single" w:sz="4" w:space="0" w:color="auto"/>
              <w:right w:val="single" w:sz="4" w:space="0" w:color="auto"/>
            </w:tcBorders>
            <w:shd w:val="clear" w:color="auto" w:fill="auto"/>
          </w:tcPr>
          <w:p w14:paraId="589C7659" w14:textId="7CE3FE8F" w:rsidR="00D02684" w:rsidRPr="002F5974" w:rsidRDefault="00D02684" w:rsidP="002F5974">
            <w:pPr>
              <w:keepLines w:val="0"/>
              <w:overflowPunct/>
              <w:autoSpaceDE/>
              <w:autoSpaceDN/>
              <w:adjustRightInd/>
              <w:jc w:val="center"/>
              <w:textAlignment w:val="auto"/>
              <w:rPr>
                <w:szCs w:val="22"/>
                <w:lang w:val="en-US"/>
              </w:rPr>
            </w:pPr>
            <w:r w:rsidRPr="002F5974">
              <w:t>-16.79%</w:t>
            </w:r>
          </w:p>
        </w:tc>
        <w:tc>
          <w:tcPr>
            <w:tcW w:w="2340" w:type="dxa"/>
            <w:tcBorders>
              <w:top w:val="nil"/>
              <w:left w:val="nil"/>
              <w:bottom w:val="single" w:sz="4" w:space="0" w:color="auto"/>
              <w:right w:val="single" w:sz="4" w:space="0" w:color="auto"/>
            </w:tcBorders>
            <w:shd w:val="clear" w:color="auto" w:fill="auto"/>
            <w:hideMark/>
          </w:tcPr>
          <w:p w14:paraId="05751D3C" w14:textId="73FE6A1B" w:rsidR="00D02684" w:rsidRPr="002F5974" w:rsidRDefault="00D02684" w:rsidP="002F5974">
            <w:pPr>
              <w:keepLines w:val="0"/>
              <w:overflowPunct/>
              <w:autoSpaceDE/>
              <w:autoSpaceDN/>
              <w:adjustRightInd/>
              <w:jc w:val="center"/>
              <w:textAlignment w:val="auto"/>
              <w:rPr>
                <w:szCs w:val="22"/>
                <w:lang w:val="en-US"/>
              </w:rPr>
            </w:pPr>
            <w:r w:rsidRPr="002F5974">
              <w:t>27.98%</w:t>
            </w:r>
          </w:p>
        </w:tc>
        <w:tc>
          <w:tcPr>
            <w:tcW w:w="2070" w:type="dxa"/>
            <w:tcBorders>
              <w:top w:val="nil"/>
              <w:left w:val="nil"/>
              <w:bottom w:val="single" w:sz="4" w:space="0" w:color="auto"/>
              <w:right w:val="single" w:sz="4" w:space="0" w:color="auto"/>
            </w:tcBorders>
            <w:shd w:val="clear" w:color="auto" w:fill="auto"/>
            <w:hideMark/>
          </w:tcPr>
          <w:p w14:paraId="78EF45A9" w14:textId="72AB560C" w:rsidR="00D02684" w:rsidRPr="002F5974" w:rsidRDefault="00D02684" w:rsidP="002F5974">
            <w:pPr>
              <w:keepLines w:val="0"/>
              <w:overflowPunct/>
              <w:autoSpaceDE/>
              <w:autoSpaceDN/>
              <w:adjustRightInd/>
              <w:jc w:val="center"/>
              <w:textAlignment w:val="auto"/>
              <w:rPr>
                <w:szCs w:val="22"/>
                <w:lang w:val="en-US"/>
              </w:rPr>
            </w:pPr>
            <w:r w:rsidRPr="002F5974">
              <w:t>26.45%</w:t>
            </w:r>
          </w:p>
        </w:tc>
      </w:tr>
      <w:tr w:rsidR="002F5974" w:rsidRPr="002F5974" w14:paraId="0A7A5F4D" w14:textId="77777777" w:rsidTr="00D02684">
        <w:trPr>
          <w:trHeight w:val="55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9B7DB5E" w14:textId="50D255F4" w:rsidR="00D02684" w:rsidRPr="002F5974" w:rsidRDefault="00D02684" w:rsidP="002F5974">
            <w:pPr>
              <w:keepLines w:val="0"/>
              <w:overflowPunct/>
              <w:autoSpaceDE/>
              <w:autoSpaceDN/>
              <w:adjustRightInd/>
              <w:jc w:val="left"/>
              <w:textAlignment w:val="auto"/>
              <w:rPr>
                <w:szCs w:val="22"/>
                <w:lang w:val="en-US"/>
              </w:rPr>
            </w:pPr>
            <w:proofErr w:type="spellStart"/>
            <w:r w:rsidRPr="002F5974">
              <w:t>Tăng</w:t>
            </w:r>
            <w:proofErr w:type="spellEnd"/>
            <w:r w:rsidRPr="002F5974">
              <w:t xml:space="preserve"> </w:t>
            </w:r>
            <w:proofErr w:type="spellStart"/>
            <w:r w:rsidRPr="002F5974">
              <w:t>trưởng</w:t>
            </w:r>
            <w:proofErr w:type="spellEnd"/>
            <w:r w:rsidRPr="002F5974">
              <w:t xml:space="preserve"> </w:t>
            </w:r>
            <w:proofErr w:type="spellStart"/>
            <w:r w:rsidRPr="002F5974">
              <w:t>vốn</w:t>
            </w:r>
            <w:proofErr w:type="spellEnd"/>
            <w:r w:rsidRPr="002F5974">
              <w:t xml:space="preserve"> (%)/1 </w:t>
            </w:r>
            <w:proofErr w:type="spellStart"/>
            <w:r w:rsidRPr="002F5974">
              <w:t>đơn</w:t>
            </w:r>
            <w:proofErr w:type="spellEnd"/>
            <w:r w:rsidRPr="002F5974">
              <w:t xml:space="preserve"> </w:t>
            </w:r>
            <w:proofErr w:type="spellStart"/>
            <w:r w:rsidRPr="002F5974">
              <w:t>vị</w:t>
            </w:r>
            <w:proofErr w:type="spellEnd"/>
            <w:r w:rsidRPr="002F5974">
              <w:t xml:space="preserve"> CCQ (</w:t>
            </w:r>
            <w:proofErr w:type="spellStart"/>
            <w:r w:rsidRPr="002F5974">
              <w:t>Thay</w:t>
            </w:r>
            <w:proofErr w:type="spellEnd"/>
            <w:r w:rsidRPr="002F5974">
              <w:t xml:space="preserve"> </w:t>
            </w:r>
            <w:proofErr w:type="spellStart"/>
            <w:r w:rsidRPr="002F5974">
              <w:t>đổi</w:t>
            </w:r>
            <w:proofErr w:type="spellEnd"/>
            <w:r w:rsidRPr="002F5974">
              <w:t xml:space="preserve"> do </w:t>
            </w:r>
            <w:proofErr w:type="spellStart"/>
            <w:r w:rsidRPr="002F5974">
              <w:t>biến</w:t>
            </w:r>
            <w:proofErr w:type="spellEnd"/>
            <w:r w:rsidRPr="002F5974">
              <w:t xml:space="preserve"> </w:t>
            </w:r>
            <w:proofErr w:type="spellStart"/>
            <w:r w:rsidRPr="002F5974">
              <w:t>động</w:t>
            </w:r>
            <w:proofErr w:type="spellEnd"/>
            <w:r w:rsidRPr="002F5974">
              <w:t xml:space="preserve"> </w:t>
            </w:r>
            <w:proofErr w:type="spellStart"/>
            <w:r w:rsidRPr="002F5974">
              <w:t>giá</w:t>
            </w:r>
            <w:proofErr w:type="spellEnd"/>
            <w:r w:rsidRPr="002F5974">
              <w:t>)</w:t>
            </w:r>
          </w:p>
        </w:tc>
        <w:tc>
          <w:tcPr>
            <w:tcW w:w="2216" w:type="dxa"/>
            <w:tcBorders>
              <w:top w:val="nil"/>
              <w:left w:val="single" w:sz="4" w:space="0" w:color="auto"/>
              <w:bottom w:val="single" w:sz="4" w:space="0" w:color="auto"/>
              <w:right w:val="single" w:sz="4" w:space="0" w:color="auto"/>
            </w:tcBorders>
            <w:shd w:val="clear" w:color="auto" w:fill="auto"/>
          </w:tcPr>
          <w:p w14:paraId="5D676D87" w14:textId="7A66E2D8" w:rsidR="00D02684" w:rsidRPr="002F5974" w:rsidRDefault="00D02684" w:rsidP="002F5974">
            <w:pPr>
              <w:keepLines w:val="0"/>
              <w:overflowPunct/>
              <w:autoSpaceDE/>
              <w:autoSpaceDN/>
              <w:adjustRightInd/>
              <w:jc w:val="center"/>
              <w:textAlignment w:val="auto"/>
              <w:rPr>
                <w:szCs w:val="22"/>
                <w:lang w:val="en-US"/>
              </w:rPr>
            </w:pPr>
            <w:r w:rsidRPr="002F5974">
              <w:t>-19.05%</w:t>
            </w:r>
          </w:p>
        </w:tc>
        <w:tc>
          <w:tcPr>
            <w:tcW w:w="2340" w:type="dxa"/>
            <w:tcBorders>
              <w:top w:val="nil"/>
              <w:left w:val="nil"/>
              <w:bottom w:val="single" w:sz="4" w:space="0" w:color="auto"/>
              <w:right w:val="single" w:sz="4" w:space="0" w:color="auto"/>
            </w:tcBorders>
            <w:shd w:val="clear" w:color="auto" w:fill="auto"/>
            <w:hideMark/>
          </w:tcPr>
          <w:p w14:paraId="63E1BFB7" w14:textId="639357AD" w:rsidR="00D02684" w:rsidRPr="002F5974" w:rsidRDefault="00D02684" w:rsidP="002F5974">
            <w:pPr>
              <w:keepLines w:val="0"/>
              <w:overflowPunct/>
              <w:autoSpaceDE/>
              <w:autoSpaceDN/>
              <w:adjustRightInd/>
              <w:jc w:val="center"/>
              <w:textAlignment w:val="auto"/>
              <w:rPr>
                <w:szCs w:val="22"/>
                <w:lang w:val="en-US"/>
              </w:rPr>
            </w:pPr>
            <w:r w:rsidRPr="002F5974">
              <w:t>18.57%</w:t>
            </w:r>
          </w:p>
        </w:tc>
        <w:tc>
          <w:tcPr>
            <w:tcW w:w="2070" w:type="dxa"/>
            <w:tcBorders>
              <w:top w:val="nil"/>
              <w:left w:val="nil"/>
              <w:bottom w:val="single" w:sz="4" w:space="0" w:color="auto"/>
              <w:right w:val="single" w:sz="4" w:space="0" w:color="auto"/>
            </w:tcBorders>
            <w:shd w:val="clear" w:color="auto" w:fill="auto"/>
            <w:hideMark/>
          </w:tcPr>
          <w:p w14:paraId="6684A9FE" w14:textId="1B45EF30" w:rsidR="00D02684" w:rsidRPr="002F5974" w:rsidRDefault="00D02684" w:rsidP="002F5974">
            <w:pPr>
              <w:keepLines w:val="0"/>
              <w:overflowPunct/>
              <w:autoSpaceDE/>
              <w:autoSpaceDN/>
              <w:adjustRightInd/>
              <w:jc w:val="center"/>
              <w:textAlignment w:val="auto"/>
              <w:rPr>
                <w:szCs w:val="22"/>
                <w:lang w:val="en-US"/>
              </w:rPr>
            </w:pPr>
            <w:r w:rsidRPr="002F5974">
              <w:t>31.53%</w:t>
            </w:r>
          </w:p>
        </w:tc>
      </w:tr>
      <w:tr w:rsidR="002F5974" w:rsidRPr="002F5974" w14:paraId="1BAEF2B9" w14:textId="77777777" w:rsidTr="00D02684">
        <w:trPr>
          <w:trHeight w:val="98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C147" w14:textId="77777777" w:rsidR="00770898" w:rsidRPr="002F5974" w:rsidRDefault="00770898" w:rsidP="002F5974">
            <w:pPr>
              <w:keepLines w:val="0"/>
              <w:overflowPunct/>
              <w:autoSpaceDE/>
              <w:autoSpaceDN/>
              <w:adjustRightInd/>
              <w:ind w:leftChars="-13" w:hangingChars="13" w:hanging="29"/>
              <w:jc w:val="left"/>
              <w:textAlignment w:val="auto"/>
              <w:rPr>
                <w:szCs w:val="22"/>
                <w:lang w:val="en-US"/>
              </w:rPr>
            </w:pPr>
            <w:proofErr w:type="spellStart"/>
            <w:r w:rsidRPr="002F5974">
              <w:rPr>
                <w:szCs w:val="22"/>
                <w:lang w:val="en-US"/>
              </w:rPr>
              <w:t>Tăng</w:t>
            </w:r>
            <w:proofErr w:type="spellEnd"/>
            <w:r w:rsidRPr="002F5974">
              <w:rPr>
                <w:szCs w:val="22"/>
                <w:lang w:val="en-US"/>
              </w:rPr>
              <w:t xml:space="preserve"> </w:t>
            </w:r>
            <w:proofErr w:type="spellStart"/>
            <w:r w:rsidRPr="002F5974">
              <w:rPr>
                <w:szCs w:val="22"/>
                <w:lang w:val="en-US"/>
              </w:rPr>
              <w:t>trưởng</w:t>
            </w:r>
            <w:proofErr w:type="spellEnd"/>
            <w:r w:rsidRPr="002F5974">
              <w:rPr>
                <w:szCs w:val="22"/>
                <w:lang w:val="en-US"/>
              </w:rPr>
              <w:t xml:space="preserve"> </w:t>
            </w:r>
            <w:proofErr w:type="spellStart"/>
            <w:r w:rsidRPr="002F5974">
              <w:rPr>
                <w:szCs w:val="22"/>
                <w:lang w:val="en-US"/>
              </w:rPr>
              <w:t>thu</w:t>
            </w:r>
            <w:proofErr w:type="spellEnd"/>
            <w:r w:rsidRPr="002F5974">
              <w:rPr>
                <w:szCs w:val="22"/>
                <w:lang w:val="en-US"/>
              </w:rPr>
              <w:t xml:space="preserve"> </w:t>
            </w:r>
            <w:proofErr w:type="spellStart"/>
            <w:r w:rsidRPr="002F5974">
              <w:rPr>
                <w:szCs w:val="22"/>
                <w:lang w:val="en-US"/>
              </w:rPr>
              <w:t>nhập</w:t>
            </w:r>
            <w:proofErr w:type="spellEnd"/>
            <w:r w:rsidRPr="002F5974">
              <w:rPr>
                <w:szCs w:val="22"/>
                <w:lang w:val="en-US"/>
              </w:rPr>
              <w:t xml:space="preserve"> (%)/1 </w:t>
            </w:r>
            <w:proofErr w:type="spellStart"/>
            <w:r w:rsidRPr="002F5974">
              <w:rPr>
                <w:szCs w:val="22"/>
                <w:lang w:val="en-US"/>
              </w:rPr>
              <w:t>đơn</w:t>
            </w:r>
            <w:proofErr w:type="spellEnd"/>
            <w:r w:rsidRPr="002F5974">
              <w:rPr>
                <w:szCs w:val="22"/>
                <w:lang w:val="en-US"/>
              </w:rPr>
              <w:t xml:space="preserve"> </w:t>
            </w:r>
            <w:proofErr w:type="spellStart"/>
            <w:r w:rsidRPr="002F5974">
              <w:rPr>
                <w:szCs w:val="22"/>
                <w:lang w:val="en-US"/>
              </w:rPr>
              <w:t>vị</w:t>
            </w:r>
            <w:proofErr w:type="spellEnd"/>
            <w:r w:rsidRPr="002F5974">
              <w:rPr>
                <w:szCs w:val="22"/>
                <w:lang w:val="en-US"/>
              </w:rPr>
              <w:t xml:space="preserve"> CCQ (</w:t>
            </w:r>
            <w:proofErr w:type="spellStart"/>
            <w:r w:rsidRPr="002F5974">
              <w:rPr>
                <w:szCs w:val="22"/>
                <w:lang w:val="en-US"/>
              </w:rPr>
              <w:t>Tính</w:t>
            </w:r>
            <w:proofErr w:type="spellEnd"/>
            <w:r w:rsidRPr="002F5974">
              <w:rPr>
                <w:szCs w:val="22"/>
                <w:lang w:val="en-US"/>
              </w:rPr>
              <w:t xml:space="preserve"> </w:t>
            </w:r>
            <w:proofErr w:type="spellStart"/>
            <w:r w:rsidRPr="002F5974">
              <w:rPr>
                <w:szCs w:val="22"/>
                <w:lang w:val="en-US"/>
              </w:rPr>
              <w:t>trên</w:t>
            </w:r>
            <w:proofErr w:type="spellEnd"/>
            <w:r w:rsidRPr="002F5974">
              <w:rPr>
                <w:szCs w:val="22"/>
                <w:lang w:val="en-US"/>
              </w:rPr>
              <w:t xml:space="preserve"> </w:t>
            </w:r>
            <w:proofErr w:type="spellStart"/>
            <w:r w:rsidRPr="002F5974">
              <w:rPr>
                <w:szCs w:val="22"/>
                <w:lang w:val="en-US"/>
              </w:rPr>
              <w:t>thu</w:t>
            </w:r>
            <w:proofErr w:type="spellEnd"/>
            <w:r w:rsidRPr="002F5974">
              <w:rPr>
                <w:szCs w:val="22"/>
                <w:lang w:val="en-US"/>
              </w:rPr>
              <w:t xml:space="preserve"> </w:t>
            </w:r>
            <w:proofErr w:type="spellStart"/>
            <w:r w:rsidRPr="002F5974">
              <w:rPr>
                <w:szCs w:val="22"/>
                <w:lang w:val="en-US"/>
              </w:rPr>
              <w:t>nhập</w:t>
            </w:r>
            <w:proofErr w:type="spellEnd"/>
            <w:r w:rsidRPr="002F5974">
              <w:rPr>
                <w:szCs w:val="22"/>
                <w:lang w:val="en-US"/>
              </w:rPr>
              <w:t xml:space="preserve"> </w:t>
            </w:r>
            <w:proofErr w:type="spellStart"/>
            <w:r w:rsidRPr="002F5974">
              <w:rPr>
                <w:szCs w:val="22"/>
                <w:lang w:val="en-US"/>
              </w:rPr>
              <w:t>đã</w:t>
            </w:r>
            <w:proofErr w:type="spellEnd"/>
            <w:r w:rsidRPr="002F5974">
              <w:rPr>
                <w:szCs w:val="22"/>
                <w:lang w:val="en-US"/>
              </w:rPr>
              <w:t xml:space="preserve"> </w:t>
            </w:r>
            <w:proofErr w:type="spellStart"/>
            <w:r w:rsidRPr="002F5974">
              <w:rPr>
                <w:szCs w:val="22"/>
                <w:lang w:val="en-US"/>
              </w:rPr>
              <w:t>thực</w:t>
            </w:r>
            <w:proofErr w:type="spellEnd"/>
            <w:r w:rsidRPr="002F5974">
              <w:rPr>
                <w:szCs w:val="22"/>
                <w:lang w:val="en-US"/>
              </w:rPr>
              <w:t xml:space="preserve"> </w:t>
            </w:r>
            <w:proofErr w:type="spellStart"/>
            <w:r w:rsidRPr="002F5974">
              <w:rPr>
                <w:szCs w:val="22"/>
                <w:lang w:val="en-US"/>
              </w:rPr>
              <w:t>hiện</w:t>
            </w:r>
            <w:proofErr w:type="spellEnd"/>
            <w:r w:rsidRPr="002F5974">
              <w:rPr>
                <w:szCs w:val="22"/>
                <w:lang w:val="en-US"/>
              </w:rPr>
              <w:t>)</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14:paraId="7F516C06" w14:textId="434B1CA9" w:rsidR="00770898" w:rsidRPr="002F5974" w:rsidRDefault="00770898" w:rsidP="002F5974">
            <w:pPr>
              <w:keepLines w:val="0"/>
              <w:overflowPunct/>
              <w:autoSpaceDE/>
              <w:autoSpaceDN/>
              <w:adjustRightInd/>
              <w:jc w:val="center"/>
              <w:textAlignment w:val="auto"/>
              <w:rPr>
                <w:szCs w:val="22"/>
                <w:lang w:val="en-US"/>
              </w:rPr>
            </w:pPr>
            <w:r w:rsidRPr="002F5974">
              <w:rPr>
                <w:szCs w:val="22"/>
              </w:rPr>
              <w:t>3.52%</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1AA1AF6" w14:textId="4E7B3929" w:rsidR="00770898" w:rsidRPr="002F5974" w:rsidRDefault="00770898" w:rsidP="002F5974">
            <w:pPr>
              <w:keepLines w:val="0"/>
              <w:overflowPunct/>
              <w:autoSpaceDE/>
              <w:autoSpaceDN/>
              <w:adjustRightInd/>
              <w:jc w:val="center"/>
              <w:textAlignment w:val="auto"/>
              <w:rPr>
                <w:szCs w:val="22"/>
                <w:lang w:val="en-US"/>
              </w:rPr>
            </w:pPr>
            <w:r w:rsidRPr="002F5974">
              <w:rPr>
                <w:szCs w:val="22"/>
              </w:rPr>
              <w:t>2.25%</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5D94814" w14:textId="629AB954" w:rsidR="00770898" w:rsidRPr="002F5974" w:rsidRDefault="00770898" w:rsidP="002F5974">
            <w:pPr>
              <w:keepLines w:val="0"/>
              <w:overflowPunct/>
              <w:autoSpaceDE/>
              <w:autoSpaceDN/>
              <w:adjustRightInd/>
              <w:jc w:val="center"/>
              <w:textAlignment w:val="auto"/>
              <w:rPr>
                <w:szCs w:val="22"/>
                <w:lang w:val="en-US"/>
              </w:rPr>
            </w:pPr>
            <w:r w:rsidRPr="002F5974">
              <w:rPr>
                <w:szCs w:val="22"/>
              </w:rPr>
              <w:t>0.02%</w:t>
            </w:r>
          </w:p>
        </w:tc>
      </w:tr>
      <w:tr w:rsidR="002F5974" w:rsidRPr="002F5974" w14:paraId="51D7A0F7"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5350" w14:textId="77777777" w:rsidR="00770898" w:rsidRPr="002F5974" w:rsidRDefault="00770898" w:rsidP="002F5974">
            <w:pPr>
              <w:keepLines w:val="0"/>
              <w:overflowPunct/>
              <w:autoSpaceDE/>
              <w:autoSpaceDN/>
              <w:adjustRightInd/>
              <w:jc w:val="left"/>
              <w:textAlignment w:val="auto"/>
              <w:rPr>
                <w:szCs w:val="22"/>
                <w:lang w:val="en-US"/>
              </w:rPr>
            </w:pPr>
            <w:proofErr w:type="spellStart"/>
            <w:r w:rsidRPr="002F5974">
              <w:rPr>
                <w:szCs w:val="22"/>
                <w:lang w:val="en-US"/>
              </w:rPr>
              <w:t>Phân</w:t>
            </w:r>
            <w:proofErr w:type="spellEnd"/>
            <w:r w:rsidRPr="002F5974">
              <w:rPr>
                <w:szCs w:val="22"/>
                <w:lang w:val="en-US"/>
              </w:rPr>
              <w:t xml:space="preserve"> </w:t>
            </w:r>
            <w:proofErr w:type="spellStart"/>
            <w:r w:rsidRPr="002F5974">
              <w:rPr>
                <w:szCs w:val="22"/>
                <w:lang w:val="en-US"/>
              </w:rPr>
              <w:t>phối</w:t>
            </w:r>
            <w:proofErr w:type="spellEnd"/>
            <w:r w:rsidRPr="002F5974">
              <w:rPr>
                <w:szCs w:val="22"/>
                <w:lang w:val="en-US"/>
              </w:rPr>
              <w:t xml:space="preserve"> </w:t>
            </w:r>
            <w:proofErr w:type="spellStart"/>
            <w:r w:rsidRPr="002F5974">
              <w:rPr>
                <w:szCs w:val="22"/>
                <w:lang w:val="en-US"/>
              </w:rPr>
              <w:t>gộp</w:t>
            </w:r>
            <w:proofErr w:type="spellEnd"/>
            <w:r w:rsidRPr="002F5974">
              <w:rPr>
                <w:szCs w:val="22"/>
                <w:lang w:val="en-US"/>
              </w:rPr>
              <w:t xml:space="preserve"> </w:t>
            </w:r>
            <w:proofErr w:type="spellStart"/>
            <w:r w:rsidRPr="002F5974">
              <w:rPr>
                <w:szCs w:val="22"/>
                <w:lang w:val="en-US"/>
              </w:rPr>
              <w:t>trên</w:t>
            </w:r>
            <w:proofErr w:type="spellEnd"/>
            <w:r w:rsidRPr="002F5974">
              <w:rPr>
                <w:szCs w:val="22"/>
                <w:lang w:val="en-US"/>
              </w:rPr>
              <w:t xml:space="preserve"> 1 </w:t>
            </w:r>
            <w:proofErr w:type="spellStart"/>
            <w:r w:rsidRPr="002F5974">
              <w:rPr>
                <w:szCs w:val="22"/>
                <w:lang w:val="en-US"/>
              </w:rPr>
              <w:t>đơn</w:t>
            </w:r>
            <w:proofErr w:type="spellEnd"/>
            <w:r w:rsidRPr="002F5974">
              <w:rPr>
                <w:szCs w:val="22"/>
                <w:lang w:val="en-US"/>
              </w:rPr>
              <w:t xml:space="preserve"> </w:t>
            </w:r>
            <w:proofErr w:type="spellStart"/>
            <w:r w:rsidRPr="002F5974">
              <w:rPr>
                <w:szCs w:val="22"/>
                <w:lang w:val="en-US"/>
              </w:rPr>
              <w:t>vị</w:t>
            </w:r>
            <w:proofErr w:type="spellEnd"/>
            <w:r w:rsidRPr="002F5974">
              <w:rPr>
                <w:szCs w:val="22"/>
                <w:lang w:val="en-US"/>
              </w:rPr>
              <w:t xml:space="preserve"> CCQ (VND)</w:t>
            </w:r>
          </w:p>
        </w:tc>
        <w:tc>
          <w:tcPr>
            <w:tcW w:w="2216" w:type="dxa"/>
            <w:tcBorders>
              <w:top w:val="nil"/>
              <w:left w:val="single" w:sz="4" w:space="0" w:color="auto"/>
              <w:bottom w:val="single" w:sz="4" w:space="0" w:color="auto"/>
              <w:right w:val="single" w:sz="4" w:space="0" w:color="auto"/>
            </w:tcBorders>
            <w:shd w:val="clear" w:color="auto" w:fill="auto"/>
            <w:vAlign w:val="center"/>
          </w:tcPr>
          <w:p w14:paraId="6B62EF10" w14:textId="129C4A74" w:rsidR="00770898" w:rsidRPr="002F5974" w:rsidRDefault="00770898" w:rsidP="002F5974">
            <w:pPr>
              <w:keepLines w:val="0"/>
              <w:overflowPunct/>
              <w:autoSpaceDE/>
              <w:autoSpaceDN/>
              <w:adjustRightInd/>
              <w:jc w:val="center"/>
              <w:textAlignment w:val="auto"/>
              <w:rPr>
                <w:szCs w:val="22"/>
                <w:lang w:val="en-US"/>
              </w:rPr>
            </w:pPr>
            <w:proofErr w:type="spellStart"/>
            <w:r w:rsidRPr="002F5974">
              <w:rPr>
                <w:szCs w:val="22"/>
              </w:rPr>
              <w:t>Không</w:t>
            </w:r>
            <w:proofErr w:type="spellEnd"/>
            <w:r w:rsidRPr="002F5974">
              <w:rPr>
                <w:szCs w:val="22"/>
              </w:rPr>
              <w:t xml:space="preserve"> </w:t>
            </w:r>
            <w:proofErr w:type="spellStart"/>
            <w:r w:rsidRPr="002F5974">
              <w:rPr>
                <w:szCs w:val="22"/>
              </w:rPr>
              <w:t>có</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4D7A3232" w14:textId="10E10B40" w:rsidR="00770898" w:rsidRPr="002F5974" w:rsidRDefault="00770898" w:rsidP="002F5974">
            <w:pPr>
              <w:keepLines w:val="0"/>
              <w:overflowPunct/>
              <w:autoSpaceDE/>
              <w:autoSpaceDN/>
              <w:adjustRightInd/>
              <w:jc w:val="center"/>
              <w:textAlignment w:val="auto"/>
              <w:rPr>
                <w:szCs w:val="22"/>
                <w:lang w:val="en-US"/>
              </w:rPr>
            </w:pPr>
            <w:proofErr w:type="spellStart"/>
            <w:r w:rsidRPr="002F5974">
              <w:rPr>
                <w:szCs w:val="22"/>
              </w:rPr>
              <w:t>Không</w:t>
            </w:r>
            <w:proofErr w:type="spellEnd"/>
            <w:r w:rsidRPr="002F5974">
              <w:rPr>
                <w:szCs w:val="22"/>
              </w:rPr>
              <w:t xml:space="preserve"> </w:t>
            </w:r>
            <w:proofErr w:type="spellStart"/>
            <w:r w:rsidRPr="002F5974">
              <w:rPr>
                <w:szCs w:val="22"/>
              </w:rPr>
              <w:t>có</w:t>
            </w:r>
            <w:proofErr w:type="spellEnd"/>
          </w:p>
        </w:tc>
        <w:tc>
          <w:tcPr>
            <w:tcW w:w="2070" w:type="dxa"/>
            <w:tcBorders>
              <w:top w:val="nil"/>
              <w:left w:val="nil"/>
              <w:bottom w:val="single" w:sz="4" w:space="0" w:color="auto"/>
              <w:right w:val="single" w:sz="4" w:space="0" w:color="auto"/>
            </w:tcBorders>
            <w:shd w:val="clear" w:color="auto" w:fill="auto"/>
            <w:vAlign w:val="center"/>
            <w:hideMark/>
          </w:tcPr>
          <w:p w14:paraId="63E48BE4" w14:textId="24795830" w:rsidR="00770898" w:rsidRPr="002F5974" w:rsidRDefault="00770898" w:rsidP="002F5974">
            <w:pPr>
              <w:keepLines w:val="0"/>
              <w:overflowPunct/>
              <w:autoSpaceDE/>
              <w:autoSpaceDN/>
              <w:adjustRightInd/>
              <w:jc w:val="center"/>
              <w:textAlignment w:val="auto"/>
              <w:rPr>
                <w:szCs w:val="22"/>
                <w:lang w:val="en-US"/>
              </w:rPr>
            </w:pPr>
            <w:proofErr w:type="spellStart"/>
            <w:r w:rsidRPr="002F5974">
              <w:rPr>
                <w:szCs w:val="22"/>
              </w:rPr>
              <w:t>Không</w:t>
            </w:r>
            <w:proofErr w:type="spellEnd"/>
            <w:r w:rsidRPr="002F5974">
              <w:rPr>
                <w:szCs w:val="22"/>
              </w:rPr>
              <w:t xml:space="preserve"> </w:t>
            </w:r>
            <w:proofErr w:type="spellStart"/>
            <w:r w:rsidRPr="002F5974">
              <w:rPr>
                <w:szCs w:val="22"/>
              </w:rPr>
              <w:t>có</w:t>
            </w:r>
            <w:proofErr w:type="spellEnd"/>
          </w:p>
        </w:tc>
      </w:tr>
      <w:tr w:rsidR="002F5974" w:rsidRPr="002F5974" w14:paraId="3841D836"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vAlign w:val="center"/>
            <w:hideMark/>
          </w:tcPr>
          <w:p w14:paraId="6D625056" w14:textId="3EC8E8F8" w:rsidR="00770898" w:rsidRPr="002F5974" w:rsidRDefault="00770898" w:rsidP="002F5974">
            <w:pPr>
              <w:keepLines w:val="0"/>
              <w:overflowPunct/>
              <w:autoSpaceDE/>
              <w:autoSpaceDN/>
              <w:adjustRightInd/>
              <w:jc w:val="left"/>
              <w:textAlignment w:val="auto"/>
              <w:rPr>
                <w:szCs w:val="22"/>
                <w:lang w:val="en-US"/>
              </w:rPr>
            </w:pPr>
            <w:proofErr w:type="spellStart"/>
            <w:r w:rsidRPr="002F5974">
              <w:rPr>
                <w:szCs w:val="22"/>
                <w:lang w:val="en-US"/>
              </w:rPr>
              <w:t>Phân</w:t>
            </w:r>
            <w:proofErr w:type="spellEnd"/>
            <w:r w:rsidRPr="002F5974">
              <w:rPr>
                <w:szCs w:val="22"/>
                <w:lang w:val="en-US"/>
              </w:rPr>
              <w:t xml:space="preserve"> </w:t>
            </w:r>
            <w:proofErr w:type="spellStart"/>
            <w:r w:rsidRPr="002F5974">
              <w:rPr>
                <w:szCs w:val="22"/>
                <w:lang w:val="en-US"/>
              </w:rPr>
              <w:t>phối</w:t>
            </w:r>
            <w:proofErr w:type="spellEnd"/>
            <w:r w:rsidRPr="002F5974">
              <w:rPr>
                <w:szCs w:val="22"/>
                <w:lang w:val="en-US"/>
              </w:rPr>
              <w:t xml:space="preserve"> </w:t>
            </w:r>
            <w:proofErr w:type="spellStart"/>
            <w:r w:rsidRPr="002F5974">
              <w:rPr>
                <w:szCs w:val="22"/>
                <w:lang w:val="en-US"/>
              </w:rPr>
              <w:t>ròng</w:t>
            </w:r>
            <w:proofErr w:type="spellEnd"/>
            <w:r w:rsidRPr="002F5974">
              <w:rPr>
                <w:szCs w:val="22"/>
                <w:lang w:val="en-US"/>
              </w:rPr>
              <w:t xml:space="preserve"> </w:t>
            </w:r>
            <w:proofErr w:type="spellStart"/>
            <w:r w:rsidRPr="002F5974">
              <w:rPr>
                <w:szCs w:val="22"/>
                <w:lang w:val="en-US"/>
              </w:rPr>
              <w:t>trên</w:t>
            </w:r>
            <w:proofErr w:type="spellEnd"/>
            <w:r w:rsidRPr="002F5974">
              <w:rPr>
                <w:szCs w:val="22"/>
                <w:lang w:val="en-US"/>
              </w:rPr>
              <w:t xml:space="preserve"> 1 </w:t>
            </w:r>
            <w:proofErr w:type="spellStart"/>
            <w:r w:rsidRPr="002F5974">
              <w:rPr>
                <w:szCs w:val="22"/>
                <w:lang w:val="en-US"/>
              </w:rPr>
              <w:t>đơn</w:t>
            </w:r>
            <w:proofErr w:type="spellEnd"/>
            <w:r w:rsidRPr="002F5974">
              <w:rPr>
                <w:szCs w:val="22"/>
                <w:lang w:val="en-US"/>
              </w:rPr>
              <w:t xml:space="preserve"> </w:t>
            </w:r>
            <w:proofErr w:type="spellStart"/>
            <w:r w:rsidRPr="002F5974">
              <w:rPr>
                <w:szCs w:val="22"/>
                <w:lang w:val="en-US"/>
              </w:rPr>
              <w:t>vị</w:t>
            </w:r>
            <w:proofErr w:type="spellEnd"/>
            <w:r w:rsidRPr="002F5974">
              <w:rPr>
                <w:szCs w:val="22"/>
                <w:lang w:val="en-US"/>
              </w:rPr>
              <w:t xml:space="preserve"> CCQ (VND)</w:t>
            </w:r>
          </w:p>
        </w:tc>
        <w:tc>
          <w:tcPr>
            <w:tcW w:w="2216" w:type="dxa"/>
            <w:tcBorders>
              <w:top w:val="nil"/>
              <w:left w:val="single" w:sz="4" w:space="0" w:color="auto"/>
              <w:bottom w:val="single" w:sz="4" w:space="0" w:color="auto"/>
              <w:right w:val="single" w:sz="4" w:space="0" w:color="auto"/>
            </w:tcBorders>
            <w:shd w:val="clear" w:color="auto" w:fill="auto"/>
            <w:vAlign w:val="center"/>
          </w:tcPr>
          <w:p w14:paraId="6FB0DC5D" w14:textId="5E38FD48" w:rsidR="00770898" w:rsidRPr="002F5974" w:rsidRDefault="00770898" w:rsidP="002F5974">
            <w:pPr>
              <w:keepLines w:val="0"/>
              <w:overflowPunct/>
              <w:autoSpaceDE/>
              <w:autoSpaceDN/>
              <w:adjustRightInd/>
              <w:jc w:val="center"/>
              <w:textAlignment w:val="auto"/>
              <w:rPr>
                <w:szCs w:val="22"/>
                <w:lang w:val="en-US"/>
              </w:rPr>
            </w:pPr>
            <w:proofErr w:type="spellStart"/>
            <w:r w:rsidRPr="002F5974">
              <w:rPr>
                <w:szCs w:val="22"/>
              </w:rPr>
              <w:t>Không</w:t>
            </w:r>
            <w:proofErr w:type="spellEnd"/>
            <w:r w:rsidRPr="002F5974">
              <w:rPr>
                <w:szCs w:val="22"/>
              </w:rPr>
              <w:t xml:space="preserve"> </w:t>
            </w:r>
            <w:proofErr w:type="spellStart"/>
            <w:r w:rsidRPr="002F5974">
              <w:rPr>
                <w:szCs w:val="22"/>
              </w:rPr>
              <w:t>có</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6F02D5FE" w14:textId="4B5996CF" w:rsidR="00770898" w:rsidRPr="002F5974" w:rsidRDefault="00770898" w:rsidP="002F5974">
            <w:pPr>
              <w:keepLines w:val="0"/>
              <w:overflowPunct/>
              <w:autoSpaceDE/>
              <w:autoSpaceDN/>
              <w:adjustRightInd/>
              <w:jc w:val="center"/>
              <w:textAlignment w:val="auto"/>
              <w:rPr>
                <w:szCs w:val="22"/>
                <w:lang w:val="en-US"/>
              </w:rPr>
            </w:pPr>
            <w:proofErr w:type="spellStart"/>
            <w:r w:rsidRPr="002F5974">
              <w:rPr>
                <w:szCs w:val="22"/>
              </w:rPr>
              <w:t>Không</w:t>
            </w:r>
            <w:proofErr w:type="spellEnd"/>
            <w:r w:rsidRPr="002F5974">
              <w:rPr>
                <w:szCs w:val="22"/>
              </w:rPr>
              <w:t xml:space="preserve"> </w:t>
            </w:r>
            <w:proofErr w:type="spellStart"/>
            <w:r w:rsidRPr="002F5974">
              <w:rPr>
                <w:szCs w:val="22"/>
              </w:rPr>
              <w:t>có</w:t>
            </w:r>
            <w:proofErr w:type="spellEnd"/>
          </w:p>
        </w:tc>
        <w:tc>
          <w:tcPr>
            <w:tcW w:w="2070" w:type="dxa"/>
            <w:tcBorders>
              <w:top w:val="nil"/>
              <w:left w:val="nil"/>
              <w:bottom w:val="single" w:sz="4" w:space="0" w:color="auto"/>
              <w:right w:val="single" w:sz="4" w:space="0" w:color="auto"/>
            </w:tcBorders>
            <w:shd w:val="clear" w:color="auto" w:fill="auto"/>
            <w:vAlign w:val="center"/>
            <w:hideMark/>
          </w:tcPr>
          <w:p w14:paraId="5AD85500" w14:textId="46FB735E" w:rsidR="00770898" w:rsidRPr="002F5974" w:rsidRDefault="00770898" w:rsidP="002F5974">
            <w:pPr>
              <w:keepLines w:val="0"/>
              <w:overflowPunct/>
              <w:autoSpaceDE/>
              <w:autoSpaceDN/>
              <w:adjustRightInd/>
              <w:jc w:val="center"/>
              <w:textAlignment w:val="auto"/>
              <w:rPr>
                <w:szCs w:val="22"/>
                <w:lang w:val="en-US"/>
              </w:rPr>
            </w:pPr>
            <w:proofErr w:type="spellStart"/>
            <w:r w:rsidRPr="002F5974">
              <w:rPr>
                <w:szCs w:val="22"/>
              </w:rPr>
              <w:t>Không</w:t>
            </w:r>
            <w:proofErr w:type="spellEnd"/>
            <w:r w:rsidRPr="002F5974">
              <w:rPr>
                <w:szCs w:val="22"/>
              </w:rPr>
              <w:t xml:space="preserve"> </w:t>
            </w:r>
            <w:proofErr w:type="spellStart"/>
            <w:r w:rsidRPr="002F5974">
              <w:rPr>
                <w:szCs w:val="22"/>
              </w:rPr>
              <w:t>có</w:t>
            </w:r>
            <w:proofErr w:type="spellEnd"/>
          </w:p>
        </w:tc>
      </w:tr>
      <w:tr w:rsidR="002F5974" w:rsidRPr="002F5974" w14:paraId="22A1C5B8" w14:textId="77777777" w:rsidTr="00D02684">
        <w:trPr>
          <w:trHeight w:val="269"/>
        </w:trPr>
        <w:tc>
          <w:tcPr>
            <w:tcW w:w="3539" w:type="dxa"/>
            <w:tcBorders>
              <w:top w:val="single" w:sz="4" w:space="0" w:color="auto"/>
              <w:left w:val="single" w:sz="4" w:space="0" w:color="auto"/>
              <w:bottom w:val="single" w:sz="4" w:space="0" w:color="auto"/>
              <w:right w:val="single" w:sz="4" w:space="0" w:color="auto"/>
            </w:tcBorders>
          </w:tcPr>
          <w:p w14:paraId="09CB0A52" w14:textId="6177A56D" w:rsidR="00D02684" w:rsidRPr="002F5974" w:rsidRDefault="00D02684" w:rsidP="002F5974">
            <w:pPr>
              <w:keepLines w:val="0"/>
              <w:overflowPunct/>
              <w:autoSpaceDE/>
              <w:autoSpaceDN/>
              <w:adjustRightInd/>
              <w:jc w:val="left"/>
              <w:textAlignment w:val="auto"/>
              <w:rPr>
                <w:szCs w:val="22"/>
                <w:lang w:val="en-US"/>
              </w:rPr>
            </w:pPr>
            <w:proofErr w:type="spellStart"/>
            <w:r w:rsidRPr="002F5974">
              <w:lastRenderedPageBreak/>
              <w:t>Chỉ</w:t>
            </w:r>
            <w:proofErr w:type="spellEnd"/>
            <w:r w:rsidRPr="002F5974">
              <w:t xml:space="preserve"> </w:t>
            </w:r>
            <w:proofErr w:type="spellStart"/>
            <w:r w:rsidRPr="002F5974">
              <w:t>tiêu</w:t>
            </w:r>
            <w:proofErr w:type="spellEnd"/>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4D57A45C" w14:textId="4612333E" w:rsidR="00D02684" w:rsidRPr="002F5974" w:rsidRDefault="00D02684" w:rsidP="002F5974">
            <w:pPr>
              <w:keepLines w:val="0"/>
              <w:overflowPunct/>
              <w:autoSpaceDE/>
              <w:autoSpaceDN/>
              <w:adjustRightInd/>
              <w:jc w:val="center"/>
              <w:textAlignment w:val="auto"/>
              <w:rPr>
                <w:szCs w:val="22"/>
              </w:rPr>
            </w:pPr>
            <w:r w:rsidRPr="002F5974">
              <w:t>30/06/2022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493C95" w14:textId="4344B9E6" w:rsidR="00D02684" w:rsidRPr="002F5974" w:rsidRDefault="00D02684" w:rsidP="002F5974">
            <w:pPr>
              <w:keepLines w:val="0"/>
              <w:overflowPunct/>
              <w:autoSpaceDE/>
              <w:autoSpaceDN/>
              <w:adjustRightInd/>
              <w:jc w:val="center"/>
              <w:textAlignment w:val="auto"/>
              <w:rPr>
                <w:szCs w:val="22"/>
              </w:rPr>
            </w:pPr>
            <w:r w:rsidRPr="002F5974">
              <w:t>30/06/2021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2A5EDD5" w14:textId="3E9C875E" w:rsidR="00D02684" w:rsidRPr="002F5974" w:rsidRDefault="00D02684" w:rsidP="002F5974">
            <w:pPr>
              <w:keepLines w:val="0"/>
              <w:overflowPunct/>
              <w:autoSpaceDE/>
              <w:autoSpaceDN/>
              <w:adjustRightInd/>
              <w:jc w:val="center"/>
              <w:textAlignment w:val="auto"/>
              <w:rPr>
                <w:szCs w:val="22"/>
              </w:rPr>
            </w:pPr>
            <w:r w:rsidRPr="002F5974">
              <w:t>30/06/2020</w:t>
            </w:r>
          </w:p>
        </w:tc>
      </w:tr>
      <w:tr w:rsidR="002F5974" w:rsidRPr="002F5974" w14:paraId="7B3B4C6D"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hideMark/>
          </w:tcPr>
          <w:p w14:paraId="6F8633C9" w14:textId="0877356C" w:rsidR="00D02684" w:rsidRPr="002F5974" w:rsidRDefault="00D02684" w:rsidP="002F5974">
            <w:pPr>
              <w:keepLines w:val="0"/>
              <w:overflowPunct/>
              <w:autoSpaceDE/>
              <w:autoSpaceDN/>
              <w:adjustRightInd/>
              <w:jc w:val="left"/>
              <w:textAlignment w:val="auto"/>
              <w:rPr>
                <w:szCs w:val="22"/>
                <w:lang w:val="en-US"/>
              </w:rPr>
            </w:pPr>
            <w:proofErr w:type="spellStart"/>
            <w:r w:rsidRPr="002F5974">
              <w:t>Ngày</w:t>
            </w:r>
            <w:proofErr w:type="spellEnd"/>
            <w:r w:rsidRPr="002F5974">
              <w:t xml:space="preserve"> </w:t>
            </w:r>
            <w:proofErr w:type="spellStart"/>
            <w:r w:rsidRPr="002F5974">
              <w:t>chốt</w:t>
            </w:r>
            <w:proofErr w:type="spellEnd"/>
            <w:r w:rsidRPr="002F5974">
              <w:t xml:space="preserve"> </w:t>
            </w:r>
            <w:proofErr w:type="spellStart"/>
            <w:r w:rsidRPr="002F5974">
              <w:t>quyền</w:t>
            </w:r>
            <w:proofErr w:type="spellEnd"/>
            <w:r w:rsidRPr="002F5974">
              <w:t xml:space="preserve"> (Ex-date of distribution)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A7DA3E7" w14:textId="6E98C98F" w:rsidR="00D02684" w:rsidRPr="002F5974" w:rsidRDefault="00D02684" w:rsidP="002F5974">
            <w:pPr>
              <w:keepLines w:val="0"/>
              <w:overflowPunct/>
              <w:autoSpaceDE/>
              <w:autoSpaceDN/>
              <w:adjustRightInd/>
              <w:jc w:val="center"/>
              <w:textAlignment w:val="auto"/>
              <w:rPr>
                <w:szCs w:val="22"/>
                <w:lang w:val="en-US"/>
              </w:rPr>
            </w:pPr>
            <w:r w:rsidRPr="002F5974">
              <w:t xml:space="preserve">         </w:t>
            </w:r>
            <w:proofErr w:type="spellStart"/>
            <w:r w:rsidRPr="002F5974">
              <w:t>Không</w:t>
            </w:r>
            <w:proofErr w:type="spellEnd"/>
            <w:r w:rsidRPr="002F5974">
              <w:t xml:space="preserve"> </w:t>
            </w:r>
            <w:proofErr w:type="spellStart"/>
            <w:r w:rsidRPr="002F5974">
              <w:t>có</w:t>
            </w:r>
            <w:proofErr w:type="spellEnd"/>
          </w:p>
        </w:tc>
        <w:tc>
          <w:tcPr>
            <w:tcW w:w="2340" w:type="dxa"/>
            <w:tcBorders>
              <w:top w:val="single" w:sz="4" w:space="0" w:color="auto"/>
              <w:left w:val="nil"/>
              <w:bottom w:val="single" w:sz="4" w:space="0" w:color="auto"/>
              <w:right w:val="single" w:sz="4" w:space="0" w:color="auto"/>
            </w:tcBorders>
            <w:shd w:val="clear" w:color="auto" w:fill="auto"/>
            <w:hideMark/>
          </w:tcPr>
          <w:p w14:paraId="11058E64" w14:textId="27CE4455" w:rsidR="00D02684" w:rsidRPr="002F5974" w:rsidRDefault="00D02684" w:rsidP="002F5974">
            <w:pPr>
              <w:keepLines w:val="0"/>
              <w:overflowPunct/>
              <w:autoSpaceDE/>
              <w:autoSpaceDN/>
              <w:adjustRightInd/>
              <w:jc w:val="center"/>
              <w:textAlignment w:val="auto"/>
              <w:rPr>
                <w:szCs w:val="22"/>
                <w:lang w:val="en-US"/>
              </w:rPr>
            </w:pPr>
            <w:r w:rsidRPr="002F5974">
              <w:t xml:space="preserve">         </w:t>
            </w:r>
            <w:proofErr w:type="spellStart"/>
            <w:r w:rsidRPr="002F5974">
              <w:t>Không</w:t>
            </w:r>
            <w:proofErr w:type="spellEnd"/>
            <w:r w:rsidRPr="002F5974">
              <w:t xml:space="preserve"> </w:t>
            </w:r>
            <w:proofErr w:type="spellStart"/>
            <w:r w:rsidRPr="002F5974">
              <w:t>có</w:t>
            </w:r>
            <w:proofErr w:type="spellEnd"/>
          </w:p>
        </w:tc>
        <w:tc>
          <w:tcPr>
            <w:tcW w:w="2070" w:type="dxa"/>
            <w:tcBorders>
              <w:top w:val="single" w:sz="4" w:space="0" w:color="auto"/>
              <w:left w:val="nil"/>
              <w:bottom w:val="single" w:sz="4" w:space="0" w:color="auto"/>
              <w:right w:val="single" w:sz="4" w:space="0" w:color="auto"/>
            </w:tcBorders>
            <w:shd w:val="clear" w:color="auto" w:fill="auto"/>
            <w:hideMark/>
          </w:tcPr>
          <w:p w14:paraId="1D345205" w14:textId="04DF4685" w:rsidR="00D02684" w:rsidRPr="002F5974" w:rsidRDefault="00D02684" w:rsidP="002F5974">
            <w:pPr>
              <w:keepLines w:val="0"/>
              <w:overflowPunct/>
              <w:autoSpaceDE/>
              <w:autoSpaceDN/>
              <w:adjustRightInd/>
              <w:jc w:val="center"/>
              <w:textAlignment w:val="auto"/>
              <w:rPr>
                <w:szCs w:val="22"/>
                <w:lang w:val="en-US"/>
              </w:rPr>
            </w:pPr>
            <w:r w:rsidRPr="002F5974">
              <w:t xml:space="preserve">               </w:t>
            </w:r>
            <w:proofErr w:type="spellStart"/>
            <w:r w:rsidRPr="002F5974">
              <w:t>Không</w:t>
            </w:r>
            <w:proofErr w:type="spellEnd"/>
            <w:r w:rsidRPr="002F5974">
              <w:t xml:space="preserve"> </w:t>
            </w:r>
            <w:proofErr w:type="spellStart"/>
            <w:r w:rsidRPr="002F5974">
              <w:t>có</w:t>
            </w:r>
            <w:proofErr w:type="spellEnd"/>
          </w:p>
        </w:tc>
      </w:tr>
      <w:tr w:rsidR="002F5974" w:rsidRPr="002F5974" w14:paraId="48E1928A" w14:textId="77777777" w:rsidTr="00D02684">
        <w:trPr>
          <w:trHeight w:val="38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2CEFDDCC" w14:textId="31D67132" w:rsidR="00D02684" w:rsidRPr="002F5974" w:rsidRDefault="00D02684" w:rsidP="002F5974">
            <w:pPr>
              <w:keepLines w:val="0"/>
              <w:overflowPunct/>
              <w:autoSpaceDE/>
              <w:autoSpaceDN/>
              <w:adjustRightInd/>
              <w:jc w:val="left"/>
              <w:textAlignment w:val="auto"/>
              <w:rPr>
                <w:szCs w:val="22"/>
                <w:lang w:val="en-US"/>
              </w:rPr>
            </w:pPr>
            <w:proofErr w:type="spellStart"/>
            <w:r w:rsidRPr="002F5974">
              <w:t>Tỷ</w:t>
            </w:r>
            <w:proofErr w:type="spellEnd"/>
            <w:r w:rsidRPr="002F5974">
              <w:t xml:space="preserve"> </w:t>
            </w:r>
            <w:proofErr w:type="spellStart"/>
            <w:r w:rsidRPr="002F5974">
              <w:t>lệ</w:t>
            </w:r>
            <w:proofErr w:type="spellEnd"/>
            <w:r w:rsidRPr="002F5974">
              <w:t xml:space="preserve"> chi </w:t>
            </w:r>
            <w:proofErr w:type="spellStart"/>
            <w:r w:rsidRPr="002F5974">
              <w:t>phí</w:t>
            </w:r>
            <w:proofErr w:type="spellEnd"/>
            <w:r w:rsidRPr="002F5974">
              <w:t xml:space="preserve"> </w:t>
            </w:r>
            <w:proofErr w:type="spellStart"/>
            <w:r w:rsidRPr="002F5974">
              <w:t>hoạt</w:t>
            </w:r>
            <w:proofErr w:type="spellEnd"/>
            <w:r w:rsidRPr="002F5974">
              <w:t xml:space="preserve"> </w:t>
            </w:r>
            <w:proofErr w:type="spellStart"/>
            <w:r w:rsidRPr="002F5974">
              <w:t>động</w:t>
            </w:r>
            <w:proofErr w:type="spellEnd"/>
            <w:r w:rsidRPr="002F5974">
              <w:t xml:space="preserve"> </w:t>
            </w:r>
            <w:proofErr w:type="spellStart"/>
            <w:r w:rsidRPr="002F5974">
              <w:t>của</w:t>
            </w:r>
            <w:proofErr w:type="spellEnd"/>
            <w:r w:rsidRPr="002F5974">
              <w:t xml:space="preserve"> </w:t>
            </w:r>
            <w:proofErr w:type="spellStart"/>
            <w:r w:rsidRPr="002F5974">
              <w:t>quỹ</w:t>
            </w:r>
            <w:proofErr w:type="spellEnd"/>
            <w:r w:rsidRPr="002F5974">
              <w:t xml:space="preserve"> (%)</w:t>
            </w:r>
          </w:p>
        </w:tc>
        <w:tc>
          <w:tcPr>
            <w:tcW w:w="2216" w:type="dxa"/>
            <w:tcBorders>
              <w:top w:val="nil"/>
              <w:left w:val="single" w:sz="4" w:space="0" w:color="auto"/>
              <w:bottom w:val="single" w:sz="4" w:space="0" w:color="auto"/>
              <w:right w:val="single" w:sz="4" w:space="0" w:color="auto"/>
            </w:tcBorders>
            <w:shd w:val="clear" w:color="auto" w:fill="auto"/>
          </w:tcPr>
          <w:p w14:paraId="091C99AE" w14:textId="36304159" w:rsidR="00D02684" w:rsidRPr="002F5974" w:rsidRDefault="00D02684" w:rsidP="002F5974">
            <w:pPr>
              <w:keepLines w:val="0"/>
              <w:overflowPunct/>
              <w:autoSpaceDE/>
              <w:autoSpaceDN/>
              <w:adjustRightInd/>
              <w:jc w:val="center"/>
              <w:textAlignment w:val="auto"/>
              <w:rPr>
                <w:szCs w:val="22"/>
                <w:lang w:val="en-US"/>
              </w:rPr>
            </w:pPr>
            <w:r w:rsidRPr="002F5974">
              <w:t>1.13%</w:t>
            </w:r>
          </w:p>
        </w:tc>
        <w:tc>
          <w:tcPr>
            <w:tcW w:w="2340" w:type="dxa"/>
            <w:tcBorders>
              <w:top w:val="nil"/>
              <w:left w:val="nil"/>
              <w:bottom w:val="single" w:sz="4" w:space="0" w:color="auto"/>
              <w:right w:val="single" w:sz="4" w:space="0" w:color="auto"/>
            </w:tcBorders>
            <w:shd w:val="clear" w:color="auto" w:fill="auto"/>
            <w:hideMark/>
          </w:tcPr>
          <w:p w14:paraId="29404F07" w14:textId="02A51681" w:rsidR="00D02684" w:rsidRPr="002F5974" w:rsidRDefault="00D02684" w:rsidP="002F5974">
            <w:pPr>
              <w:keepLines w:val="0"/>
              <w:overflowPunct/>
              <w:autoSpaceDE/>
              <w:autoSpaceDN/>
              <w:adjustRightInd/>
              <w:jc w:val="center"/>
              <w:textAlignment w:val="auto"/>
              <w:rPr>
                <w:szCs w:val="22"/>
                <w:lang w:val="en-US"/>
              </w:rPr>
            </w:pPr>
            <w:r w:rsidRPr="002F5974">
              <w:t>0.97%</w:t>
            </w:r>
          </w:p>
        </w:tc>
        <w:tc>
          <w:tcPr>
            <w:tcW w:w="2070" w:type="dxa"/>
            <w:tcBorders>
              <w:top w:val="nil"/>
              <w:left w:val="nil"/>
              <w:bottom w:val="single" w:sz="4" w:space="0" w:color="auto"/>
              <w:right w:val="single" w:sz="4" w:space="0" w:color="auto"/>
            </w:tcBorders>
            <w:shd w:val="clear" w:color="auto" w:fill="auto"/>
            <w:hideMark/>
          </w:tcPr>
          <w:p w14:paraId="23247678" w14:textId="15281086" w:rsidR="00D02684" w:rsidRPr="002F5974" w:rsidRDefault="00D02684" w:rsidP="002F5974">
            <w:pPr>
              <w:keepLines w:val="0"/>
              <w:overflowPunct/>
              <w:autoSpaceDE/>
              <w:autoSpaceDN/>
              <w:adjustRightInd/>
              <w:jc w:val="center"/>
              <w:textAlignment w:val="auto"/>
              <w:rPr>
                <w:szCs w:val="22"/>
                <w:lang w:val="en-US"/>
              </w:rPr>
            </w:pPr>
            <w:r w:rsidRPr="002F5974">
              <w:t>0.90%</w:t>
            </w:r>
          </w:p>
        </w:tc>
      </w:tr>
      <w:tr w:rsidR="002F5974" w:rsidRPr="002F5974" w14:paraId="1329DAD8" w14:textId="77777777" w:rsidTr="00D02684">
        <w:trPr>
          <w:trHeight w:val="332"/>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0BF93C6" w14:textId="7768403D" w:rsidR="00D02684" w:rsidRPr="002F5974" w:rsidRDefault="00D02684" w:rsidP="002F5974">
            <w:pPr>
              <w:keepLines w:val="0"/>
              <w:overflowPunct/>
              <w:autoSpaceDE/>
              <w:autoSpaceDN/>
              <w:adjustRightInd/>
              <w:jc w:val="left"/>
              <w:textAlignment w:val="auto"/>
              <w:rPr>
                <w:szCs w:val="22"/>
                <w:lang w:val="en-US"/>
              </w:rPr>
            </w:pPr>
            <w:proofErr w:type="spellStart"/>
            <w:r w:rsidRPr="002F5974">
              <w:t>Tốc</w:t>
            </w:r>
            <w:proofErr w:type="spellEnd"/>
            <w:r w:rsidRPr="002F5974">
              <w:t xml:space="preserve"> </w:t>
            </w:r>
            <w:proofErr w:type="spellStart"/>
            <w:r w:rsidRPr="002F5974">
              <w:t>độ</w:t>
            </w:r>
            <w:proofErr w:type="spellEnd"/>
            <w:r w:rsidRPr="002F5974">
              <w:t xml:space="preserve"> </w:t>
            </w:r>
            <w:proofErr w:type="spellStart"/>
            <w:r w:rsidRPr="002F5974">
              <w:t>vòng</w:t>
            </w:r>
            <w:proofErr w:type="spellEnd"/>
            <w:r w:rsidRPr="002F5974">
              <w:t xml:space="preserve"> quay </w:t>
            </w:r>
            <w:proofErr w:type="spellStart"/>
            <w:r w:rsidRPr="002F5974">
              <w:t>danh</w:t>
            </w:r>
            <w:proofErr w:type="spellEnd"/>
            <w:r w:rsidRPr="002F5974">
              <w:t xml:space="preserve"> </w:t>
            </w:r>
            <w:proofErr w:type="spellStart"/>
            <w:r w:rsidRPr="002F5974">
              <w:t>mục</w:t>
            </w:r>
            <w:proofErr w:type="spellEnd"/>
            <w:r w:rsidRPr="002F5974">
              <w:t xml:space="preserve"> (%)</w:t>
            </w:r>
          </w:p>
        </w:tc>
        <w:tc>
          <w:tcPr>
            <w:tcW w:w="2216" w:type="dxa"/>
            <w:tcBorders>
              <w:top w:val="nil"/>
              <w:left w:val="single" w:sz="4" w:space="0" w:color="auto"/>
              <w:bottom w:val="single" w:sz="4" w:space="0" w:color="auto"/>
              <w:right w:val="single" w:sz="4" w:space="0" w:color="auto"/>
            </w:tcBorders>
            <w:shd w:val="clear" w:color="auto" w:fill="auto"/>
          </w:tcPr>
          <w:p w14:paraId="2094CC07" w14:textId="326A4330" w:rsidR="00D02684" w:rsidRPr="002F5974" w:rsidRDefault="00D02684" w:rsidP="002F5974">
            <w:pPr>
              <w:keepLines w:val="0"/>
              <w:overflowPunct/>
              <w:autoSpaceDE/>
              <w:autoSpaceDN/>
              <w:adjustRightInd/>
              <w:jc w:val="center"/>
              <w:textAlignment w:val="auto"/>
              <w:rPr>
                <w:szCs w:val="22"/>
                <w:lang w:val="en-US"/>
              </w:rPr>
            </w:pPr>
            <w:r w:rsidRPr="002F5974">
              <w:t>127.80%</w:t>
            </w:r>
          </w:p>
        </w:tc>
        <w:tc>
          <w:tcPr>
            <w:tcW w:w="2340" w:type="dxa"/>
            <w:tcBorders>
              <w:top w:val="nil"/>
              <w:left w:val="nil"/>
              <w:bottom w:val="single" w:sz="4" w:space="0" w:color="auto"/>
              <w:right w:val="single" w:sz="4" w:space="0" w:color="auto"/>
            </w:tcBorders>
            <w:shd w:val="clear" w:color="auto" w:fill="auto"/>
            <w:hideMark/>
          </w:tcPr>
          <w:p w14:paraId="0763EBC2" w14:textId="6ECAA7C7" w:rsidR="00D02684" w:rsidRPr="002F5974" w:rsidRDefault="00D02684" w:rsidP="002F5974">
            <w:pPr>
              <w:keepLines w:val="0"/>
              <w:overflowPunct/>
              <w:autoSpaceDE/>
              <w:autoSpaceDN/>
              <w:adjustRightInd/>
              <w:jc w:val="center"/>
              <w:textAlignment w:val="auto"/>
              <w:rPr>
                <w:szCs w:val="22"/>
                <w:lang w:val="en-US"/>
              </w:rPr>
            </w:pPr>
            <w:r w:rsidRPr="002F5974">
              <w:t>57.85%</w:t>
            </w:r>
          </w:p>
        </w:tc>
        <w:tc>
          <w:tcPr>
            <w:tcW w:w="2070" w:type="dxa"/>
            <w:tcBorders>
              <w:top w:val="nil"/>
              <w:left w:val="nil"/>
              <w:bottom w:val="single" w:sz="4" w:space="0" w:color="auto"/>
              <w:right w:val="single" w:sz="4" w:space="0" w:color="auto"/>
            </w:tcBorders>
            <w:shd w:val="clear" w:color="auto" w:fill="auto"/>
            <w:hideMark/>
          </w:tcPr>
          <w:p w14:paraId="1F582255" w14:textId="0390B8F2" w:rsidR="00D02684" w:rsidRPr="002F5974" w:rsidRDefault="00D02684" w:rsidP="002F5974">
            <w:pPr>
              <w:keepLines w:val="0"/>
              <w:overflowPunct/>
              <w:autoSpaceDE/>
              <w:autoSpaceDN/>
              <w:adjustRightInd/>
              <w:jc w:val="center"/>
              <w:textAlignment w:val="auto"/>
              <w:rPr>
                <w:szCs w:val="22"/>
                <w:lang w:val="en-US"/>
              </w:rPr>
            </w:pPr>
            <w:r w:rsidRPr="002F5974">
              <w:t>33.01%</w:t>
            </w:r>
          </w:p>
        </w:tc>
      </w:tr>
    </w:tbl>
    <w:p w14:paraId="592DA103" w14:textId="77777777" w:rsidR="006D6DA6" w:rsidRPr="002F5974" w:rsidRDefault="006D6DA6" w:rsidP="002F5974">
      <w:pPr>
        <w:pStyle w:val="ListParagraph"/>
        <w:spacing w:before="260" w:after="140"/>
        <w:ind w:left="0"/>
        <w:rPr>
          <w:rFonts w:ascii="Times New Roman" w:hAnsi="Times New Roman"/>
          <w:b/>
          <w:sz w:val="24"/>
          <w:szCs w:val="24"/>
          <w:lang w:val="nl-NL"/>
        </w:rPr>
      </w:pPr>
    </w:p>
    <w:p w14:paraId="06664BA7" w14:textId="76814B2B" w:rsidR="007922E7" w:rsidRPr="002F5974" w:rsidRDefault="007922E7" w:rsidP="002F5974">
      <w:pPr>
        <w:pStyle w:val="ListParagraph"/>
        <w:numPr>
          <w:ilvl w:val="0"/>
          <w:numId w:val="3"/>
        </w:numPr>
        <w:spacing w:before="260" w:after="140"/>
        <w:ind w:left="0" w:hanging="540"/>
        <w:rPr>
          <w:rFonts w:ascii="Times New Roman" w:hAnsi="Times New Roman"/>
          <w:b/>
          <w:sz w:val="24"/>
          <w:szCs w:val="24"/>
          <w:lang w:val="nl-NL"/>
        </w:rPr>
      </w:pPr>
      <w:r w:rsidRPr="002F5974">
        <w:rPr>
          <w:rFonts w:ascii="Times New Roman" w:hAnsi="Times New Roman"/>
          <w:b/>
          <w:sz w:val="24"/>
          <w:szCs w:val="24"/>
          <w:lang w:val="nl-NL"/>
        </w:rPr>
        <w:t>Tăng trưởng qua các thời kỳ</w:t>
      </w:r>
    </w:p>
    <w:tbl>
      <w:tblPr>
        <w:tblW w:w="9000" w:type="dxa"/>
        <w:tblInd w:w="-93" w:type="dxa"/>
        <w:tblCellMar>
          <w:left w:w="0" w:type="dxa"/>
          <w:right w:w="0" w:type="dxa"/>
        </w:tblCellMar>
        <w:tblLook w:val="04A0" w:firstRow="1" w:lastRow="0" w:firstColumn="1" w:lastColumn="0" w:noHBand="0" w:noVBand="1"/>
      </w:tblPr>
      <w:tblGrid>
        <w:gridCol w:w="2436"/>
        <w:gridCol w:w="3238"/>
        <w:gridCol w:w="3326"/>
      </w:tblGrid>
      <w:tr w:rsidR="002F5974" w:rsidRPr="002F5974" w14:paraId="63241065" w14:textId="77777777" w:rsidTr="004A1F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D7109DB" w14:textId="77777777" w:rsidR="007922E7" w:rsidRPr="002F5974" w:rsidRDefault="007922E7" w:rsidP="002F5974">
            <w:pPr>
              <w:tabs>
                <w:tab w:val="left" w:pos="540"/>
              </w:tabs>
              <w:spacing w:before="120"/>
              <w:ind w:left="90"/>
              <w:rPr>
                <w:b/>
                <w:szCs w:val="22"/>
                <w:lang w:val="nl-NL"/>
              </w:rPr>
            </w:pPr>
            <w:r w:rsidRPr="002F5974">
              <w:rPr>
                <w:b/>
                <w:szCs w:val="22"/>
                <w:lang w:val="nl-NL"/>
              </w:rPr>
              <w:t>Giai đoạn</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center"/>
          </w:tcPr>
          <w:p w14:paraId="1493D547" w14:textId="77777777" w:rsidR="007922E7" w:rsidRPr="002F5974" w:rsidRDefault="007922E7" w:rsidP="002F5974">
            <w:pPr>
              <w:tabs>
                <w:tab w:val="left" w:pos="540"/>
              </w:tabs>
              <w:spacing w:before="120"/>
              <w:rPr>
                <w:b/>
                <w:szCs w:val="22"/>
                <w:lang w:val="nl-NL"/>
              </w:rPr>
            </w:pPr>
            <w:r w:rsidRPr="002F5974">
              <w:rPr>
                <w:b/>
                <w:szCs w:val="22"/>
                <w:lang w:val="nl-NL"/>
              </w:rPr>
              <w:t>Tổng tăng trưởng của NAV/CCQ</w:t>
            </w:r>
          </w:p>
          <w:p w14:paraId="0669B98C" w14:textId="77777777" w:rsidR="007922E7" w:rsidRPr="002F5974" w:rsidRDefault="007922E7" w:rsidP="002F5974">
            <w:pPr>
              <w:tabs>
                <w:tab w:val="left" w:pos="540"/>
              </w:tabs>
              <w:spacing w:before="120"/>
              <w:jc w:val="center"/>
              <w:rPr>
                <w:b/>
                <w:szCs w:val="22"/>
                <w:lang w:val="nl-NL"/>
              </w:rPr>
            </w:pPr>
            <w:r w:rsidRPr="002F5974">
              <w:rPr>
                <w:b/>
                <w:szCs w:val="22"/>
                <w:lang w:val="nl-NL"/>
              </w:rPr>
              <w:t>(%)</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center"/>
          </w:tcPr>
          <w:p w14:paraId="20FFDE8B" w14:textId="77777777" w:rsidR="007922E7" w:rsidRPr="002F5974" w:rsidRDefault="007922E7" w:rsidP="002F5974">
            <w:pPr>
              <w:tabs>
                <w:tab w:val="left" w:pos="540"/>
              </w:tabs>
              <w:spacing w:before="120"/>
              <w:ind w:right="90"/>
              <w:rPr>
                <w:b/>
                <w:szCs w:val="22"/>
                <w:lang w:val="nl-NL"/>
              </w:rPr>
            </w:pPr>
            <w:r w:rsidRPr="002F5974">
              <w:rPr>
                <w:b/>
                <w:szCs w:val="22"/>
                <w:lang w:val="nl-NL"/>
              </w:rPr>
              <w:t>Tăng trưởng NAV/CCQ hàng năm</w:t>
            </w:r>
          </w:p>
          <w:p w14:paraId="13093432" w14:textId="77777777" w:rsidR="007922E7" w:rsidRPr="002F5974" w:rsidRDefault="007922E7" w:rsidP="002F5974">
            <w:pPr>
              <w:tabs>
                <w:tab w:val="left" w:pos="540"/>
              </w:tabs>
              <w:spacing w:before="120"/>
              <w:ind w:right="90"/>
              <w:jc w:val="center"/>
              <w:rPr>
                <w:b/>
                <w:szCs w:val="22"/>
                <w:lang w:val="nl-NL"/>
              </w:rPr>
            </w:pPr>
            <w:r w:rsidRPr="002F5974">
              <w:rPr>
                <w:b/>
                <w:szCs w:val="22"/>
                <w:lang w:val="nl-NL"/>
              </w:rPr>
              <w:t>(%)</w:t>
            </w:r>
          </w:p>
        </w:tc>
      </w:tr>
      <w:tr w:rsidR="002F5974" w:rsidRPr="002F5974" w14:paraId="5E53268E" w14:textId="77777777" w:rsidTr="007C4FCE">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508522BA" w14:textId="77777777" w:rsidR="00C16DA9" w:rsidRPr="002F5974" w:rsidRDefault="00C16DA9" w:rsidP="002F5974">
            <w:pPr>
              <w:tabs>
                <w:tab w:val="left" w:pos="540"/>
              </w:tabs>
              <w:ind w:left="90"/>
              <w:rPr>
                <w:szCs w:val="22"/>
                <w:lang w:val="nl-NL"/>
              </w:rPr>
            </w:pPr>
            <w:r w:rsidRPr="002F5974">
              <w:rPr>
                <w:szCs w:val="22"/>
                <w:lang w:val="nl-NL"/>
              </w:rPr>
              <w:t>1 năm</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1E921D87" w14:textId="669FA3F2" w:rsidR="00C16DA9" w:rsidRPr="002F5974" w:rsidRDefault="00C16DA9" w:rsidP="002F5974">
            <w:pPr>
              <w:tabs>
                <w:tab w:val="left" w:pos="540"/>
              </w:tabs>
              <w:ind w:right="180"/>
              <w:jc w:val="center"/>
            </w:pPr>
            <w:r w:rsidRPr="002F5974">
              <w:t>-18.0</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6683835B" w14:textId="52593DA5" w:rsidR="00C16DA9" w:rsidRPr="002F5974" w:rsidRDefault="00C16DA9" w:rsidP="002F5974">
            <w:pPr>
              <w:tabs>
                <w:tab w:val="left" w:pos="540"/>
              </w:tabs>
              <w:ind w:right="90"/>
              <w:jc w:val="center"/>
            </w:pPr>
            <w:r w:rsidRPr="002F5974">
              <w:t>-18.0</w:t>
            </w:r>
          </w:p>
        </w:tc>
      </w:tr>
      <w:tr w:rsidR="002F5974" w:rsidRPr="002F5974" w14:paraId="015A925B" w14:textId="77777777" w:rsidTr="007C4FCE">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6FAF006" w14:textId="77777777" w:rsidR="00C16DA9" w:rsidRPr="002F5974" w:rsidRDefault="00C16DA9" w:rsidP="002F5974">
            <w:pPr>
              <w:tabs>
                <w:tab w:val="left" w:pos="540"/>
              </w:tabs>
              <w:ind w:left="90"/>
              <w:rPr>
                <w:szCs w:val="22"/>
                <w:lang w:val="nl-NL"/>
              </w:rPr>
            </w:pPr>
            <w:r w:rsidRPr="002F5974">
              <w:rPr>
                <w:szCs w:val="22"/>
                <w:lang w:val="nl-NL"/>
              </w:rPr>
              <w:t>3 năm</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53D6F93C" w14:textId="1BE7B1DC" w:rsidR="00C16DA9" w:rsidRPr="002F5974" w:rsidRDefault="00C16DA9" w:rsidP="002F5974">
            <w:pPr>
              <w:tabs>
                <w:tab w:val="left" w:pos="540"/>
              </w:tabs>
              <w:ind w:right="180"/>
              <w:jc w:val="center"/>
            </w:pPr>
            <w:r w:rsidRPr="002F5974">
              <w:t>47.0</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245194" w14:textId="4BAB84B0" w:rsidR="00C16DA9" w:rsidRPr="002F5974" w:rsidRDefault="00C16DA9" w:rsidP="002F5974">
            <w:pPr>
              <w:tabs>
                <w:tab w:val="left" w:pos="540"/>
              </w:tabs>
              <w:ind w:right="90"/>
              <w:jc w:val="center"/>
            </w:pPr>
            <w:r w:rsidRPr="002F5974">
              <w:t>13.7</w:t>
            </w:r>
          </w:p>
        </w:tc>
      </w:tr>
      <w:tr w:rsidR="002F5974" w:rsidRPr="002F5974" w14:paraId="521F17EB" w14:textId="77777777" w:rsidTr="007C4FCE">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AAD5CA4" w14:textId="77777777" w:rsidR="00C16DA9" w:rsidRPr="002F5974" w:rsidRDefault="00C16DA9" w:rsidP="002F5974">
            <w:pPr>
              <w:tabs>
                <w:tab w:val="left" w:pos="540"/>
              </w:tabs>
              <w:ind w:left="90"/>
              <w:rPr>
                <w:szCs w:val="22"/>
                <w:lang w:val="nl-NL"/>
              </w:rPr>
            </w:pPr>
            <w:r w:rsidRPr="002F5974">
              <w:rPr>
                <w:szCs w:val="22"/>
                <w:lang w:val="nl-NL"/>
              </w:rPr>
              <w:t>Từ khi thành lập</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37C7C02B" w14:textId="4F894DC7" w:rsidR="00C16DA9" w:rsidRPr="002F5974" w:rsidRDefault="00C16DA9" w:rsidP="002F5974">
            <w:pPr>
              <w:tabs>
                <w:tab w:val="left" w:pos="540"/>
              </w:tabs>
              <w:ind w:right="180"/>
              <w:jc w:val="center"/>
            </w:pPr>
            <w:r w:rsidRPr="002F5974">
              <w:t>110.8</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052406A2" w14:textId="127BDE21" w:rsidR="00C16DA9" w:rsidRPr="002F5974" w:rsidRDefault="00C16DA9" w:rsidP="002F5974">
            <w:pPr>
              <w:tabs>
                <w:tab w:val="left" w:pos="540"/>
              </w:tabs>
              <w:ind w:right="180"/>
              <w:jc w:val="center"/>
            </w:pPr>
            <w:r w:rsidRPr="002F5974">
              <w:t>9.9</w:t>
            </w:r>
          </w:p>
        </w:tc>
      </w:tr>
      <w:tr w:rsidR="002F5974" w:rsidRPr="002F5974" w14:paraId="1DE5C978" w14:textId="77777777" w:rsidTr="001F4D3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DE56C83" w14:textId="77777777" w:rsidR="00C16DA9" w:rsidRPr="002F5974" w:rsidRDefault="00C16DA9" w:rsidP="002F5974">
            <w:pPr>
              <w:tabs>
                <w:tab w:val="left" w:pos="540"/>
              </w:tabs>
              <w:ind w:left="90"/>
              <w:jc w:val="left"/>
              <w:rPr>
                <w:szCs w:val="22"/>
                <w:lang w:val="nl-NL"/>
              </w:rPr>
            </w:pPr>
            <w:r w:rsidRPr="002F5974">
              <w:rPr>
                <w:szCs w:val="22"/>
                <w:lang w:val="nl-NL"/>
              </w:rPr>
              <w:t>Tăng trưởng của chỉ số tham chiếu</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3580A4C6" w14:textId="2A6E8066" w:rsidR="00C16DA9" w:rsidRPr="002F5974" w:rsidRDefault="00C16DA9" w:rsidP="002F5974">
            <w:pPr>
              <w:tabs>
                <w:tab w:val="left" w:pos="540"/>
              </w:tabs>
              <w:ind w:right="180"/>
              <w:jc w:val="center"/>
              <w:rPr>
                <w:szCs w:val="22"/>
                <w:lang w:val="nl-NL"/>
              </w:rPr>
            </w:pPr>
            <w:r w:rsidRPr="002F5974">
              <w:t>N/A</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233E08D6" w14:textId="05C487BB" w:rsidR="00C16DA9" w:rsidRPr="002F5974" w:rsidRDefault="00C16DA9" w:rsidP="002F5974">
            <w:pPr>
              <w:tabs>
                <w:tab w:val="left" w:pos="540"/>
              </w:tabs>
              <w:ind w:right="90"/>
              <w:jc w:val="center"/>
              <w:rPr>
                <w:szCs w:val="22"/>
                <w:lang w:val="nl-NL"/>
              </w:rPr>
            </w:pPr>
            <w:r w:rsidRPr="002F5974">
              <w:t>N/A</w:t>
            </w:r>
          </w:p>
        </w:tc>
      </w:tr>
    </w:tbl>
    <w:p w14:paraId="48DAF994" w14:textId="77777777" w:rsidR="007922E7" w:rsidRPr="002F5974" w:rsidRDefault="007922E7" w:rsidP="002F5974"/>
    <w:p w14:paraId="13A56CF3" w14:textId="77777777" w:rsidR="007922E7" w:rsidRPr="002F5974" w:rsidRDefault="007922E7" w:rsidP="002F5974">
      <w:pPr>
        <w:pStyle w:val="ListParagraph"/>
        <w:numPr>
          <w:ilvl w:val="0"/>
          <w:numId w:val="3"/>
        </w:numPr>
        <w:spacing w:before="260" w:after="140"/>
        <w:ind w:left="0" w:hanging="540"/>
        <w:rPr>
          <w:rFonts w:ascii="Times New Roman" w:hAnsi="Times New Roman"/>
          <w:b/>
          <w:lang w:val="nl-NL"/>
        </w:rPr>
      </w:pPr>
      <w:r w:rsidRPr="002F5974">
        <w:rPr>
          <w:rFonts w:ascii="Times New Roman" w:hAnsi="Times New Roman"/>
          <w:b/>
          <w:lang w:val="nl-NL"/>
        </w:rPr>
        <w:t>Tăng trưởng hàng năm</w:t>
      </w:r>
    </w:p>
    <w:tbl>
      <w:tblPr>
        <w:tblW w:w="90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358"/>
        <w:gridCol w:w="1453"/>
        <w:gridCol w:w="1453"/>
        <w:gridCol w:w="1856"/>
      </w:tblGrid>
      <w:tr w:rsidR="002F5974" w:rsidRPr="002F5974" w14:paraId="50D0431A" w14:textId="77777777" w:rsidTr="002903CB">
        <w:tc>
          <w:tcPr>
            <w:tcW w:w="1634" w:type="pct"/>
            <w:shd w:val="clear" w:color="auto" w:fill="auto"/>
          </w:tcPr>
          <w:p w14:paraId="4C515302" w14:textId="77777777" w:rsidR="00770898" w:rsidRPr="002F5974" w:rsidRDefault="00770898" w:rsidP="002F5974">
            <w:pPr>
              <w:tabs>
                <w:tab w:val="left" w:pos="540"/>
              </w:tabs>
              <w:spacing w:before="120"/>
              <w:jc w:val="center"/>
              <w:rPr>
                <w:b/>
                <w:szCs w:val="22"/>
                <w:lang w:val="nl-NL"/>
              </w:rPr>
            </w:pPr>
            <w:r w:rsidRPr="002F5974">
              <w:rPr>
                <w:b/>
                <w:szCs w:val="22"/>
                <w:lang w:val="nl-NL"/>
              </w:rPr>
              <w:t>Thời kỳ</w:t>
            </w:r>
          </w:p>
        </w:tc>
        <w:tc>
          <w:tcPr>
            <w:tcW w:w="747" w:type="pct"/>
            <w:shd w:val="clear" w:color="auto" w:fill="auto"/>
            <w:vAlign w:val="center"/>
          </w:tcPr>
          <w:p w14:paraId="66EA5E6C" w14:textId="0502375C" w:rsidR="00770898" w:rsidRPr="002F5974" w:rsidRDefault="00770898" w:rsidP="002F5974">
            <w:pPr>
              <w:tabs>
                <w:tab w:val="left" w:pos="540"/>
              </w:tabs>
              <w:spacing w:before="120"/>
              <w:jc w:val="center"/>
              <w:rPr>
                <w:b/>
                <w:bCs/>
                <w:szCs w:val="22"/>
                <w:lang w:val="nl-NL"/>
              </w:rPr>
            </w:pPr>
            <w:r w:rsidRPr="002F5974">
              <w:rPr>
                <w:b/>
                <w:bCs/>
                <w:sz w:val="20"/>
              </w:rPr>
              <w:t>3</w:t>
            </w:r>
            <w:r w:rsidR="002F5974">
              <w:rPr>
                <w:b/>
                <w:bCs/>
                <w:sz w:val="20"/>
              </w:rPr>
              <w:t>0</w:t>
            </w:r>
            <w:r w:rsidRPr="002F5974">
              <w:rPr>
                <w:b/>
                <w:bCs/>
                <w:sz w:val="20"/>
              </w:rPr>
              <w:t>-</w:t>
            </w:r>
            <w:r w:rsidR="005C7BBA" w:rsidRPr="002F5974">
              <w:rPr>
                <w:b/>
                <w:bCs/>
                <w:sz w:val="20"/>
              </w:rPr>
              <w:t>0</w:t>
            </w:r>
            <w:r w:rsidR="002F5974">
              <w:rPr>
                <w:b/>
                <w:bCs/>
                <w:sz w:val="20"/>
              </w:rPr>
              <w:t>6</w:t>
            </w:r>
            <w:r w:rsidRPr="002F5974">
              <w:rPr>
                <w:b/>
                <w:bCs/>
                <w:sz w:val="20"/>
              </w:rPr>
              <w:t>-202</w:t>
            </w:r>
            <w:r w:rsidR="005C7BBA" w:rsidRPr="002F5974">
              <w:rPr>
                <w:b/>
                <w:bCs/>
                <w:sz w:val="20"/>
              </w:rPr>
              <w:t>2</w:t>
            </w:r>
          </w:p>
        </w:tc>
        <w:tc>
          <w:tcPr>
            <w:tcW w:w="799" w:type="pct"/>
            <w:shd w:val="clear" w:color="auto" w:fill="auto"/>
            <w:vAlign w:val="center"/>
          </w:tcPr>
          <w:p w14:paraId="48354840" w14:textId="51C86D58" w:rsidR="00770898" w:rsidRPr="002F5974" w:rsidRDefault="00770898" w:rsidP="002F5974">
            <w:pPr>
              <w:tabs>
                <w:tab w:val="left" w:pos="540"/>
              </w:tabs>
              <w:spacing w:before="120"/>
              <w:jc w:val="center"/>
              <w:rPr>
                <w:b/>
                <w:bCs/>
                <w:szCs w:val="22"/>
                <w:lang w:val="nl-NL"/>
              </w:rPr>
            </w:pPr>
            <w:r w:rsidRPr="002F5974">
              <w:rPr>
                <w:b/>
                <w:bCs/>
                <w:sz w:val="20"/>
              </w:rPr>
              <w:t>3</w:t>
            </w:r>
            <w:r w:rsidR="002F5974">
              <w:rPr>
                <w:b/>
                <w:bCs/>
                <w:sz w:val="20"/>
              </w:rPr>
              <w:t>0</w:t>
            </w:r>
            <w:r w:rsidRPr="002F5974">
              <w:rPr>
                <w:b/>
                <w:bCs/>
                <w:sz w:val="20"/>
              </w:rPr>
              <w:t>-</w:t>
            </w:r>
            <w:r w:rsidR="005C7BBA" w:rsidRPr="002F5974">
              <w:rPr>
                <w:b/>
                <w:bCs/>
                <w:sz w:val="20"/>
              </w:rPr>
              <w:t>0</w:t>
            </w:r>
            <w:r w:rsidR="002F5974">
              <w:rPr>
                <w:b/>
                <w:bCs/>
                <w:sz w:val="20"/>
              </w:rPr>
              <w:t>6</w:t>
            </w:r>
            <w:r w:rsidRPr="002F5974">
              <w:rPr>
                <w:b/>
                <w:bCs/>
                <w:sz w:val="20"/>
              </w:rPr>
              <w:t>-202</w:t>
            </w:r>
            <w:r w:rsidR="005C7BBA" w:rsidRPr="002F5974">
              <w:rPr>
                <w:b/>
                <w:bCs/>
                <w:sz w:val="20"/>
              </w:rPr>
              <w:t>1</w:t>
            </w:r>
          </w:p>
        </w:tc>
        <w:tc>
          <w:tcPr>
            <w:tcW w:w="799" w:type="pct"/>
            <w:shd w:val="clear" w:color="auto" w:fill="auto"/>
            <w:vAlign w:val="center"/>
          </w:tcPr>
          <w:p w14:paraId="3F21921F" w14:textId="2FD154A6" w:rsidR="00770898" w:rsidRPr="002F5974" w:rsidRDefault="00770898" w:rsidP="002F5974">
            <w:pPr>
              <w:tabs>
                <w:tab w:val="left" w:pos="540"/>
              </w:tabs>
              <w:spacing w:before="120"/>
              <w:jc w:val="center"/>
              <w:rPr>
                <w:b/>
                <w:bCs/>
                <w:szCs w:val="22"/>
                <w:lang w:val="nl-NL"/>
              </w:rPr>
            </w:pPr>
            <w:r w:rsidRPr="002F5974">
              <w:rPr>
                <w:b/>
                <w:bCs/>
                <w:sz w:val="20"/>
              </w:rPr>
              <w:t>3</w:t>
            </w:r>
            <w:r w:rsidR="002F5974">
              <w:rPr>
                <w:b/>
                <w:bCs/>
                <w:sz w:val="20"/>
              </w:rPr>
              <w:t>0</w:t>
            </w:r>
            <w:r w:rsidRPr="002F5974">
              <w:rPr>
                <w:b/>
                <w:bCs/>
                <w:sz w:val="20"/>
              </w:rPr>
              <w:t>-</w:t>
            </w:r>
            <w:r w:rsidR="005C7BBA" w:rsidRPr="002F5974">
              <w:rPr>
                <w:b/>
                <w:bCs/>
                <w:sz w:val="20"/>
              </w:rPr>
              <w:t>0</w:t>
            </w:r>
            <w:r w:rsidR="002F5974">
              <w:rPr>
                <w:b/>
                <w:bCs/>
                <w:sz w:val="20"/>
              </w:rPr>
              <w:t>6</w:t>
            </w:r>
            <w:r w:rsidRPr="002F5974">
              <w:rPr>
                <w:b/>
                <w:bCs/>
                <w:sz w:val="20"/>
              </w:rPr>
              <w:t>-20</w:t>
            </w:r>
            <w:r w:rsidR="005C7BBA" w:rsidRPr="002F5974">
              <w:rPr>
                <w:b/>
                <w:bCs/>
                <w:sz w:val="20"/>
              </w:rPr>
              <w:t>20</w:t>
            </w:r>
          </w:p>
        </w:tc>
        <w:tc>
          <w:tcPr>
            <w:tcW w:w="1021" w:type="pct"/>
            <w:shd w:val="clear" w:color="auto" w:fill="auto"/>
          </w:tcPr>
          <w:p w14:paraId="05EF850F" w14:textId="2CDCD162" w:rsidR="00770898" w:rsidRPr="002F5974" w:rsidRDefault="00770898" w:rsidP="002F5974">
            <w:pPr>
              <w:tabs>
                <w:tab w:val="left" w:pos="540"/>
              </w:tabs>
              <w:spacing w:before="120"/>
              <w:jc w:val="center"/>
              <w:rPr>
                <w:b/>
                <w:bCs/>
                <w:szCs w:val="22"/>
                <w:lang w:val="nl-NL"/>
              </w:rPr>
            </w:pPr>
            <w:r w:rsidRPr="002F5974">
              <w:rPr>
                <w:b/>
                <w:bCs/>
                <w:sz w:val="20"/>
              </w:rPr>
              <w:t>3</w:t>
            </w:r>
            <w:r w:rsidR="002F5974">
              <w:rPr>
                <w:b/>
                <w:bCs/>
                <w:sz w:val="20"/>
              </w:rPr>
              <w:t>0</w:t>
            </w:r>
            <w:r w:rsidRPr="002F5974">
              <w:rPr>
                <w:b/>
                <w:bCs/>
                <w:sz w:val="20"/>
              </w:rPr>
              <w:t>-</w:t>
            </w:r>
            <w:r w:rsidR="005C7BBA" w:rsidRPr="002F5974">
              <w:rPr>
                <w:b/>
                <w:bCs/>
                <w:sz w:val="20"/>
              </w:rPr>
              <w:t>0</w:t>
            </w:r>
            <w:r w:rsidR="002F5974">
              <w:rPr>
                <w:b/>
                <w:bCs/>
                <w:sz w:val="20"/>
              </w:rPr>
              <w:t>6</w:t>
            </w:r>
            <w:r w:rsidRPr="002F5974">
              <w:rPr>
                <w:b/>
                <w:bCs/>
                <w:sz w:val="20"/>
              </w:rPr>
              <w:t>-201</w:t>
            </w:r>
            <w:r w:rsidR="005C7BBA" w:rsidRPr="002F5974">
              <w:rPr>
                <w:b/>
                <w:bCs/>
                <w:sz w:val="20"/>
              </w:rPr>
              <w:t>9</w:t>
            </w:r>
          </w:p>
        </w:tc>
      </w:tr>
      <w:tr w:rsidR="002F5974" w:rsidRPr="002F5974" w14:paraId="12177FF6" w14:textId="77777777" w:rsidTr="002410C9">
        <w:tc>
          <w:tcPr>
            <w:tcW w:w="1634" w:type="pct"/>
            <w:shd w:val="clear" w:color="auto" w:fill="auto"/>
          </w:tcPr>
          <w:p w14:paraId="57AC7CA8" w14:textId="77777777" w:rsidR="00C16DA9" w:rsidRPr="002F5974" w:rsidRDefault="00C16DA9" w:rsidP="002F5974">
            <w:pPr>
              <w:tabs>
                <w:tab w:val="left" w:pos="540"/>
              </w:tabs>
              <w:ind w:left="90"/>
              <w:jc w:val="left"/>
              <w:rPr>
                <w:szCs w:val="22"/>
                <w:lang w:val="nl-NL"/>
              </w:rPr>
            </w:pPr>
            <w:r w:rsidRPr="002F5974">
              <w:rPr>
                <w:szCs w:val="22"/>
                <w:lang w:val="nl-NL"/>
              </w:rPr>
              <w:t>Tỷ lệ tăng trưởng (%)/1 đơn vị CCQ</w:t>
            </w:r>
          </w:p>
        </w:tc>
        <w:tc>
          <w:tcPr>
            <w:tcW w:w="747" w:type="pct"/>
            <w:shd w:val="clear" w:color="auto" w:fill="auto"/>
          </w:tcPr>
          <w:p w14:paraId="0F3711E6" w14:textId="65A5FC10" w:rsidR="00C16DA9" w:rsidRPr="002F5974" w:rsidRDefault="00C16DA9" w:rsidP="002F5974">
            <w:pPr>
              <w:tabs>
                <w:tab w:val="left" w:pos="540"/>
              </w:tabs>
              <w:ind w:right="180"/>
              <w:jc w:val="center"/>
            </w:pPr>
            <w:r w:rsidRPr="002F5974">
              <w:t>-18.0</w:t>
            </w:r>
          </w:p>
        </w:tc>
        <w:tc>
          <w:tcPr>
            <w:tcW w:w="799" w:type="pct"/>
            <w:shd w:val="clear" w:color="auto" w:fill="auto"/>
          </w:tcPr>
          <w:p w14:paraId="4EB6685D" w14:textId="1481F3A6" w:rsidR="00C16DA9" w:rsidRPr="002F5974" w:rsidRDefault="00C16DA9" w:rsidP="002F5974">
            <w:pPr>
              <w:tabs>
                <w:tab w:val="left" w:pos="540"/>
              </w:tabs>
              <w:ind w:right="180"/>
              <w:jc w:val="center"/>
            </w:pPr>
            <w:r w:rsidRPr="002F5974">
              <w:t>100.1</w:t>
            </w:r>
          </w:p>
        </w:tc>
        <w:tc>
          <w:tcPr>
            <w:tcW w:w="799" w:type="pct"/>
            <w:shd w:val="clear" w:color="auto" w:fill="auto"/>
          </w:tcPr>
          <w:p w14:paraId="46CEA063" w14:textId="650625D3" w:rsidR="00C16DA9" w:rsidRPr="002F5974" w:rsidRDefault="00C16DA9" w:rsidP="002F5974">
            <w:pPr>
              <w:tabs>
                <w:tab w:val="left" w:pos="540"/>
              </w:tabs>
              <w:ind w:right="180"/>
              <w:jc w:val="center"/>
            </w:pPr>
            <w:r w:rsidRPr="002F5974">
              <w:t>-10.4</w:t>
            </w:r>
          </w:p>
        </w:tc>
        <w:tc>
          <w:tcPr>
            <w:tcW w:w="1021" w:type="pct"/>
            <w:shd w:val="clear" w:color="auto" w:fill="auto"/>
          </w:tcPr>
          <w:p w14:paraId="7FEBBF51" w14:textId="0BF044CB" w:rsidR="00C16DA9" w:rsidRPr="002F5974" w:rsidRDefault="00C16DA9" w:rsidP="002F5974">
            <w:pPr>
              <w:tabs>
                <w:tab w:val="left" w:pos="540"/>
              </w:tabs>
              <w:ind w:right="180"/>
              <w:jc w:val="center"/>
            </w:pPr>
            <w:r w:rsidRPr="002F5974">
              <w:t>-7.9</w:t>
            </w:r>
          </w:p>
        </w:tc>
      </w:tr>
    </w:tbl>
    <w:p w14:paraId="133ABD85" w14:textId="77777777" w:rsidR="00FB0B17" w:rsidRPr="002F5974" w:rsidRDefault="00FB0B17" w:rsidP="002F5974">
      <w:pPr>
        <w:tabs>
          <w:tab w:val="left" w:pos="540"/>
        </w:tabs>
        <w:spacing w:before="120"/>
        <w:rPr>
          <w:b/>
          <w:szCs w:val="22"/>
          <w:lang w:val="nl-NL"/>
        </w:rPr>
      </w:pPr>
    </w:p>
    <w:p w14:paraId="691E463D" w14:textId="7CAFA49E" w:rsidR="008A0CBE" w:rsidRPr="002F5974" w:rsidRDefault="007922E7" w:rsidP="002F5974">
      <w:pPr>
        <w:pStyle w:val="ListParagraph"/>
        <w:numPr>
          <w:ilvl w:val="0"/>
          <w:numId w:val="1"/>
        </w:numPr>
        <w:tabs>
          <w:tab w:val="left" w:pos="540"/>
        </w:tabs>
        <w:spacing w:before="120"/>
        <w:ind w:left="0" w:hanging="540"/>
        <w:rPr>
          <w:rFonts w:ascii="Times New Roman" w:hAnsi="Times New Roman"/>
          <w:b/>
          <w:sz w:val="28"/>
          <w:szCs w:val="28"/>
          <w:lang w:val="nl-NL"/>
        </w:rPr>
      </w:pPr>
      <w:r w:rsidRPr="002F5974">
        <w:rPr>
          <w:rFonts w:ascii="Times New Roman" w:hAnsi="Times New Roman"/>
          <w:b/>
          <w:sz w:val="28"/>
          <w:szCs w:val="28"/>
          <w:lang w:val="nl-NL"/>
        </w:rPr>
        <w:t>Mô tả thị trường trong kỳ</w:t>
      </w:r>
    </w:p>
    <w:p w14:paraId="614B7C82" w14:textId="77777777" w:rsidR="00C16DA9" w:rsidRPr="002F5974" w:rsidRDefault="00C16DA9" w:rsidP="002F5974">
      <w:pPr>
        <w:pStyle w:val="ListParagraph"/>
        <w:tabs>
          <w:tab w:val="left" w:pos="540"/>
          <w:tab w:val="left" w:pos="720"/>
        </w:tabs>
        <w:spacing w:before="120"/>
        <w:ind w:left="0"/>
        <w:rPr>
          <w:rFonts w:ascii="Times New Roman" w:eastAsia="Times New Roman" w:hAnsi="Times New Roman"/>
          <w:szCs w:val="20"/>
          <w:lang w:val="nl-NL"/>
        </w:rPr>
      </w:pPr>
      <w:r w:rsidRPr="002F5974">
        <w:rPr>
          <w:rFonts w:ascii="Times New Roman" w:eastAsia="Times New Roman" w:hAnsi="Times New Roman"/>
          <w:szCs w:val="20"/>
          <w:lang w:val="nl-NL"/>
        </w:rPr>
        <w:t>VNINDEX giảm 7.4% trong tháng 6, ghi nhận tháng giảm thứ 3 liên tiếp. VNINDEX đóng cửa tại mức 1.197,6 điểm, giảm 20,1% so với đầu năm. Thanh khoản trung bình trong quý 2 là hơn 16,000 tỷ, giảm 35,6% so với quý 1.</w:t>
      </w:r>
    </w:p>
    <w:p w14:paraId="27F47E5D" w14:textId="4A82EABA" w:rsidR="00C16DA9" w:rsidRPr="002F5974" w:rsidRDefault="00C16DA9" w:rsidP="002F5974">
      <w:pPr>
        <w:pStyle w:val="ListParagraph"/>
        <w:tabs>
          <w:tab w:val="left" w:pos="540"/>
          <w:tab w:val="left" w:pos="720"/>
        </w:tabs>
        <w:spacing w:before="120"/>
        <w:ind w:left="0"/>
        <w:rPr>
          <w:rFonts w:ascii="Times New Roman" w:eastAsia="Times New Roman" w:hAnsi="Times New Roman"/>
          <w:szCs w:val="20"/>
          <w:lang w:val="nl-NL"/>
        </w:rPr>
      </w:pPr>
      <w:r w:rsidRPr="002F5974">
        <w:rPr>
          <w:rFonts w:ascii="Times New Roman" w:eastAsia="Times New Roman" w:hAnsi="Times New Roman"/>
          <w:szCs w:val="20"/>
          <w:lang w:val="nl-NL"/>
        </w:rPr>
        <w:t xml:space="preserve">Những điểm chính của thị trường trong </w:t>
      </w:r>
      <w:r w:rsidR="00054D1A" w:rsidRPr="002F5974">
        <w:rPr>
          <w:rFonts w:ascii="Times New Roman" w:eastAsia="Times New Roman" w:hAnsi="Times New Roman"/>
          <w:szCs w:val="20"/>
          <w:lang w:val="nl-NL"/>
        </w:rPr>
        <w:t>Q</w:t>
      </w:r>
      <w:r w:rsidR="009F567C" w:rsidRPr="002F5974">
        <w:rPr>
          <w:rFonts w:ascii="Times New Roman" w:eastAsia="Times New Roman" w:hAnsi="Times New Roman"/>
          <w:szCs w:val="20"/>
          <w:lang w:val="nl-NL"/>
        </w:rPr>
        <w:t>II.</w:t>
      </w:r>
      <w:r w:rsidRPr="002F5974">
        <w:rPr>
          <w:rFonts w:ascii="Times New Roman" w:eastAsia="Times New Roman" w:hAnsi="Times New Roman"/>
          <w:szCs w:val="20"/>
          <w:lang w:val="nl-NL"/>
        </w:rPr>
        <w:t>2022:</w:t>
      </w:r>
    </w:p>
    <w:p w14:paraId="69A08847" w14:textId="77777777" w:rsidR="00C16DA9" w:rsidRPr="002F5974" w:rsidRDefault="00C16DA9" w:rsidP="002F5974">
      <w:pPr>
        <w:pStyle w:val="ListParagraph"/>
        <w:tabs>
          <w:tab w:val="left" w:pos="540"/>
          <w:tab w:val="left" w:pos="720"/>
        </w:tabs>
        <w:spacing w:before="120"/>
        <w:ind w:left="0"/>
        <w:rPr>
          <w:rFonts w:ascii="Times New Roman" w:eastAsia="Times New Roman" w:hAnsi="Times New Roman"/>
          <w:szCs w:val="20"/>
          <w:lang w:val="nl-NL"/>
        </w:rPr>
      </w:pPr>
      <w:r w:rsidRPr="002F5974">
        <w:rPr>
          <w:rFonts w:ascii="Times New Roman" w:eastAsia="Times New Roman" w:hAnsi="Times New Roman"/>
          <w:szCs w:val="20"/>
          <w:lang w:val="nl-NL"/>
        </w:rPr>
        <w:t>i.</w:t>
      </w:r>
      <w:r w:rsidRPr="002F5974">
        <w:rPr>
          <w:rFonts w:ascii="Times New Roman" w:eastAsia="Times New Roman" w:hAnsi="Times New Roman"/>
          <w:szCs w:val="20"/>
          <w:lang w:val="nl-NL"/>
        </w:rPr>
        <w:tab/>
        <w:t>Thanh khoản giảm mạnh theo tâm lý tiêu cực của nhà đầu tư</w:t>
      </w:r>
    </w:p>
    <w:p w14:paraId="4E990B78" w14:textId="77777777" w:rsidR="00C16DA9" w:rsidRPr="002F5974" w:rsidRDefault="00C16DA9" w:rsidP="002F5974">
      <w:pPr>
        <w:pStyle w:val="ListParagraph"/>
        <w:tabs>
          <w:tab w:val="left" w:pos="540"/>
          <w:tab w:val="left" w:pos="720"/>
        </w:tabs>
        <w:spacing w:before="120"/>
        <w:ind w:left="0"/>
        <w:rPr>
          <w:rFonts w:ascii="Times New Roman" w:eastAsia="Times New Roman" w:hAnsi="Times New Roman"/>
          <w:szCs w:val="20"/>
          <w:lang w:val="nl-NL"/>
        </w:rPr>
      </w:pPr>
      <w:r w:rsidRPr="002F5974">
        <w:rPr>
          <w:rFonts w:ascii="Times New Roman" w:eastAsia="Times New Roman" w:hAnsi="Times New Roman"/>
          <w:szCs w:val="20"/>
          <w:lang w:val="nl-NL"/>
        </w:rPr>
        <w:t>ii.</w:t>
      </w:r>
      <w:r w:rsidRPr="002F5974">
        <w:rPr>
          <w:rFonts w:ascii="Times New Roman" w:eastAsia="Times New Roman" w:hAnsi="Times New Roman"/>
          <w:szCs w:val="20"/>
          <w:lang w:val="nl-NL"/>
        </w:rPr>
        <w:tab/>
        <w:t>Nhóm ngành thực phẩm đứng vững trước xu hướng giảm của thị trường</w:t>
      </w:r>
    </w:p>
    <w:p w14:paraId="6059E836" w14:textId="77777777" w:rsidR="00C16DA9" w:rsidRPr="002F5974" w:rsidRDefault="00C16DA9" w:rsidP="002F5974">
      <w:pPr>
        <w:pStyle w:val="ListParagraph"/>
        <w:tabs>
          <w:tab w:val="left" w:pos="540"/>
          <w:tab w:val="left" w:pos="720"/>
        </w:tabs>
        <w:spacing w:before="120"/>
        <w:ind w:left="0"/>
        <w:rPr>
          <w:rFonts w:ascii="Times New Roman" w:eastAsia="Times New Roman" w:hAnsi="Times New Roman"/>
          <w:szCs w:val="20"/>
          <w:lang w:val="nl-NL"/>
        </w:rPr>
      </w:pPr>
      <w:r w:rsidRPr="002F5974">
        <w:rPr>
          <w:rFonts w:ascii="Times New Roman" w:eastAsia="Times New Roman" w:hAnsi="Times New Roman"/>
          <w:szCs w:val="20"/>
          <w:lang w:val="nl-NL"/>
        </w:rPr>
        <w:t>iii.</w:t>
      </w:r>
      <w:r w:rsidRPr="002F5974">
        <w:rPr>
          <w:rFonts w:ascii="Times New Roman" w:eastAsia="Times New Roman" w:hAnsi="Times New Roman"/>
          <w:szCs w:val="20"/>
          <w:lang w:val="nl-NL"/>
        </w:rPr>
        <w:tab/>
        <w:t xml:space="preserve">Các ngành như chứng khoán, bất động sản, thép tiếp tục giảm điểm </w:t>
      </w:r>
    </w:p>
    <w:p w14:paraId="742E55DA" w14:textId="77777777" w:rsidR="00C16DA9" w:rsidRPr="002F5974" w:rsidRDefault="00C16DA9" w:rsidP="002F5974">
      <w:pPr>
        <w:pStyle w:val="ListParagraph"/>
        <w:tabs>
          <w:tab w:val="left" w:pos="540"/>
          <w:tab w:val="left" w:pos="720"/>
        </w:tabs>
        <w:spacing w:before="120"/>
        <w:ind w:left="0"/>
        <w:rPr>
          <w:rFonts w:ascii="Times New Roman" w:eastAsia="Times New Roman" w:hAnsi="Times New Roman"/>
          <w:szCs w:val="20"/>
          <w:lang w:val="nl-NL"/>
        </w:rPr>
      </w:pPr>
    </w:p>
    <w:p w14:paraId="3296ACF1" w14:textId="314A2F3D" w:rsidR="007922E7" w:rsidRPr="002F5974" w:rsidRDefault="007922E7" w:rsidP="002F5974">
      <w:pPr>
        <w:pStyle w:val="ListParagraph"/>
        <w:numPr>
          <w:ilvl w:val="0"/>
          <w:numId w:val="1"/>
        </w:numPr>
        <w:tabs>
          <w:tab w:val="left" w:pos="540"/>
        </w:tabs>
        <w:spacing w:before="120"/>
        <w:ind w:left="0" w:hanging="540"/>
        <w:rPr>
          <w:rFonts w:ascii="Times New Roman" w:hAnsi="Times New Roman"/>
          <w:b/>
          <w:sz w:val="28"/>
          <w:szCs w:val="28"/>
          <w:lang w:val="nl-NL"/>
        </w:rPr>
      </w:pPr>
      <w:r w:rsidRPr="002F5974">
        <w:rPr>
          <w:rFonts w:ascii="Times New Roman" w:hAnsi="Times New Roman"/>
          <w:b/>
          <w:sz w:val="28"/>
          <w:szCs w:val="28"/>
          <w:lang w:val="nl-NL"/>
        </w:rPr>
        <w:t>Chi tiết các chỉ tiêu hoạt động của quỹ</w:t>
      </w:r>
    </w:p>
    <w:p w14:paraId="59756B4C" w14:textId="77777777" w:rsidR="007922E7" w:rsidRPr="002F5974" w:rsidRDefault="007922E7" w:rsidP="002F5974">
      <w:pPr>
        <w:pStyle w:val="ListParagraph"/>
        <w:tabs>
          <w:tab w:val="left" w:pos="540"/>
        </w:tabs>
        <w:spacing w:before="120"/>
        <w:ind w:left="0"/>
        <w:rPr>
          <w:rFonts w:ascii="Times New Roman" w:hAnsi="Times New Roman"/>
          <w:b/>
          <w:sz w:val="16"/>
          <w:szCs w:val="16"/>
          <w:lang w:val="nl-NL"/>
        </w:rPr>
      </w:pPr>
    </w:p>
    <w:p w14:paraId="08A222F9" w14:textId="77777777" w:rsidR="007922E7" w:rsidRPr="002F5974" w:rsidRDefault="007922E7" w:rsidP="002F5974">
      <w:pPr>
        <w:pStyle w:val="ListParagraph"/>
        <w:numPr>
          <w:ilvl w:val="0"/>
          <w:numId w:val="4"/>
        </w:numPr>
        <w:tabs>
          <w:tab w:val="left" w:pos="540"/>
        </w:tabs>
        <w:spacing w:before="120"/>
        <w:ind w:left="0" w:hanging="540"/>
        <w:rPr>
          <w:rFonts w:ascii="Times New Roman" w:hAnsi="Times New Roman"/>
          <w:b/>
          <w:sz w:val="24"/>
          <w:szCs w:val="24"/>
          <w:lang w:val="nl-NL"/>
        </w:rPr>
      </w:pPr>
      <w:r w:rsidRPr="002F5974">
        <w:rPr>
          <w:rFonts w:ascii="Times New Roman" w:hAnsi="Times New Roman"/>
          <w:b/>
          <w:sz w:val="24"/>
          <w:szCs w:val="24"/>
          <w:lang w:val="nl-NL"/>
        </w:rPr>
        <w:t>Số liệu chi tiết hoạt động của Quỹ</w:t>
      </w:r>
    </w:p>
    <w:tbl>
      <w:tblPr>
        <w:tblW w:w="10000" w:type="dxa"/>
        <w:tblLook w:val="04A0" w:firstRow="1" w:lastRow="0" w:firstColumn="1" w:lastColumn="0" w:noHBand="0" w:noVBand="1"/>
      </w:tblPr>
      <w:tblGrid>
        <w:gridCol w:w="2500"/>
        <w:gridCol w:w="2500"/>
        <w:gridCol w:w="2500"/>
        <w:gridCol w:w="2500"/>
      </w:tblGrid>
      <w:tr w:rsidR="002F5974" w:rsidRPr="002F5974" w14:paraId="3AFA27A6" w14:textId="77777777" w:rsidTr="006D6DA6">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EBBC" w14:textId="77777777" w:rsidR="005A78F8" w:rsidRPr="002F5974" w:rsidRDefault="005A78F8" w:rsidP="002F5974">
            <w:pPr>
              <w:keepLines w:val="0"/>
              <w:overflowPunct/>
              <w:autoSpaceDE/>
              <w:autoSpaceDN/>
              <w:adjustRightInd/>
              <w:jc w:val="center"/>
              <w:textAlignment w:val="auto"/>
              <w:rPr>
                <w:b/>
                <w:bCs/>
                <w:szCs w:val="22"/>
                <w:lang w:val="en-US"/>
              </w:rPr>
            </w:pPr>
            <w:proofErr w:type="spellStart"/>
            <w:r w:rsidRPr="002F5974">
              <w:rPr>
                <w:b/>
                <w:bCs/>
                <w:szCs w:val="22"/>
                <w:lang w:val="en-US"/>
              </w:rPr>
              <w:t>Chỉ</w:t>
            </w:r>
            <w:proofErr w:type="spellEnd"/>
            <w:r w:rsidRPr="002F5974">
              <w:rPr>
                <w:b/>
                <w:bCs/>
                <w:szCs w:val="22"/>
                <w:lang w:val="en-US"/>
              </w:rPr>
              <w:t xml:space="preserve"> </w:t>
            </w:r>
            <w:proofErr w:type="spellStart"/>
            <w:r w:rsidRPr="002F5974">
              <w:rPr>
                <w:b/>
                <w:bCs/>
                <w:szCs w:val="22"/>
                <w:lang w:val="en-US"/>
              </w:rPr>
              <w:t>tiêu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8522" w14:textId="77777777" w:rsidR="005A78F8" w:rsidRPr="002F5974" w:rsidRDefault="005A78F8" w:rsidP="002F5974">
            <w:pPr>
              <w:keepLines w:val="0"/>
              <w:overflowPunct/>
              <w:autoSpaceDE/>
              <w:autoSpaceDN/>
              <w:adjustRightInd/>
              <w:jc w:val="center"/>
              <w:textAlignment w:val="auto"/>
              <w:rPr>
                <w:b/>
                <w:bCs/>
                <w:szCs w:val="22"/>
                <w:lang w:val="en-US"/>
              </w:rPr>
            </w:pPr>
            <w:r w:rsidRPr="002F5974">
              <w:rPr>
                <w:b/>
                <w:bCs/>
                <w:szCs w:val="22"/>
                <w:lang w:val="en-US"/>
              </w:rPr>
              <w:t xml:space="preserve">1 </w:t>
            </w:r>
            <w:proofErr w:type="spellStart"/>
            <w:r w:rsidRPr="002F5974">
              <w:rPr>
                <w:b/>
                <w:bCs/>
                <w:szCs w:val="22"/>
                <w:lang w:val="en-US"/>
              </w:rPr>
              <w:t>năm</w:t>
            </w:r>
            <w:proofErr w:type="spellEnd"/>
            <w:r w:rsidRPr="002F5974">
              <w:rPr>
                <w:b/>
                <w:bCs/>
                <w:szCs w:val="22"/>
                <w:lang w:val="en-US"/>
              </w:rPr>
              <w:t xml:space="preserve"> </w:t>
            </w:r>
            <w:proofErr w:type="spellStart"/>
            <w:r w:rsidRPr="002F5974">
              <w:rPr>
                <w:b/>
                <w:bCs/>
                <w:szCs w:val="22"/>
                <w:lang w:val="en-US"/>
              </w:rPr>
              <w:t>đến</w:t>
            </w:r>
            <w:proofErr w:type="spellEnd"/>
            <w:r w:rsidRPr="002F5974">
              <w:rPr>
                <w:b/>
                <w:bCs/>
                <w:szCs w:val="22"/>
                <w:lang w:val="en-US"/>
              </w:rPr>
              <w:t xml:space="preserve"> </w:t>
            </w:r>
            <w:proofErr w:type="spellStart"/>
            <w:r w:rsidRPr="002F5974">
              <w:rPr>
                <w:b/>
                <w:bCs/>
                <w:szCs w:val="22"/>
                <w:lang w:val="en-US"/>
              </w:rPr>
              <w:t>thời</w:t>
            </w:r>
            <w:proofErr w:type="spellEnd"/>
            <w:r w:rsidRPr="002F5974">
              <w:rPr>
                <w:b/>
                <w:bCs/>
                <w:szCs w:val="22"/>
                <w:lang w:val="en-US"/>
              </w:rPr>
              <w:t xml:space="preserve"> </w:t>
            </w:r>
            <w:proofErr w:type="spellStart"/>
            <w:r w:rsidRPr="002F5974">
              <w:rPr>
                <w:b/>
                <w:bCs/>
                <w:szCs w:val="22"/>
                <w:lang w:val="en-US"/>
              </w:rPr>
              <w:t>điểm</w:t>
            </w:r>
            <w:proofErr w:type="spellEnd"/>
            <w:r w:rsidRPr="002F5974">
              <w:rPr>
                <w:b/>
                <w:bCs/>
                <w:szCs w:val="22"/>
                <w:lang w:val="en-US"/>
              </w:rPr>
              <w:t xml:space="preserve"> </w:t>
            </w:r>
            <w:proofErr w:type="spellStart"/>
            <w:r w:rsidRPr="002F5974">
              <w:rPr>
                <w:b/>
                <w:bCs/>
                <w:szCs w:val="22"/>
                <w:lang w:val="en-US"/>
              </w:rPr>
              <w:t>báo</w:t>
            </w:r>
            <w:proofErr w:type="spellEnd"/>
            <w:r w:rsidRPr="002F5974">
              <w:rPr>
                <w:b/>
                <w:bCs/>
                <w:szCs w:val="22"/>
                <w:lang w:val="en-US"/>
              </w:rPr>
              <w:t xml:space="preserve"> </w:t>
            </w:r>
            <w:proofErr w:type="spellStart"/>
            <w:r w:rsidRPr="002F5974">
              <w:rPr>
                <w:b/>
                <w:bCs/>
                <w:szCs w:val="22"/>
                <w:lang w:val="en-US"/>
              </w:rPr>
              <w:t>cáo</w:t>
            </w:r>
            <w:proofErr w:type="spellEnd"/>
            <w:r w:rsidRPr="002F5974">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2A50" w14:textId="77777777" w:rsidR="005A78F8" w:rsidRPr="002F5974" w:rsidRDefault="005A78F8" w:rsidP="002F5974">
            <w:pPr>
              <w:keepLines w:val="0"/>
              <w:overflowPunct/>
              <w:autoSpaceDE/>
              <w:autoSpaceDN/>
              <w:adjustRightInd/>
              <w:jc w:val="center"/>
              <w:textAlignment w:val="auto"/>
              <w:rPr>
                <w:b/>
                <w:bCs/>
                <w:szCs w:val="22"/>
                <w:lang w:val="en-US"/>
              </w:rPr>
            </w:pPr>
            <w:r w:rsidRPr="002F5974">
              <w:rPr>
                <w:b/>
                <w:bCs/>
                <w:szCs w:val="22"/>
                <w:lang w:val="en-US"/>
              </w:rPr>
              <w:t xml:space="preserve">3 </w:t>
            </w:r>
            <w:proofErr w:type="spellStart"/>
            <w:r w:rsidRPr="002F5974">
              <w:rPr>
                <w:b/>
                <w:bCs/>
                <w:szCs w:val="22"/>
                <w:lang w:val="en-US"/>
              </w:rPr>
              <w:t>năm</w:t>
            </w:r>
            <w:proofErr w:type="spellEnd"/>
            <w:r w:rsidRPr="002F5974">
              <w:rPr>
                <w:b/>
                <w:bCs/>
                <w:szCs w:val="22"/>
                <w:lang w:val="en-US"/>
              </w:rPr>
              <w:t xml:space="preserve"> </w:t>
            </w:r>
            <w:proofErr w:type="spellStart"/>
            <w:r w:rsidRPr="002F5974">
              <w:rPr>
                <w:b/>
                <w:bCs/>
                <w:szCs w:val="22"/>
                <w:lang w:val="en-US"/>
              </w:rPr>
              <w:t>gần</w:t>
            </w:r>
            <w:proofErr w:type="spellEnd"/>
            <w:r w:rsidRPr="002F5974">
              <w:rPr>
                <w:b/>
                <w:bCs/>
                <w:szCs w:val="22"/>
                <w:lang w:val="en-US"/>
              </w:rPr>
              <w:t xml:space="preserve"> </w:t>
            </w:r>
            <w:proofErr w:type="spellStart"/>
            <w:r w:rsidRPr="002F5974">
              <w:rPr>
                <w:b/>
                <w:bCs/>
                <w:szCs w:val="22"/>
                <w:lang w:val="en-US"/>
              </w:rPr>
              <w:t>nhất</w:t>
            </w:r>
            <w:proofErr w:type="spellEnd"/>
            <w:r w:rsidRPr="002F5974">
              <w:rPr>
                <w:b/>
                <w:bCs/>
                <w:szCs w:val="22"/>
                <w:lang w:val="en-US"/>
              </w:rPr>
              <w:t xml:space="preserve"> </w:t>
            </w:r>
            <w:proofErr w:type="spellStart"/>
            <w:r w:rsidRPr="002F5974">
              <w:rPr>
                <w:b/>
                <w:bCs/>
                <w:szCs w:val="22"/>
                <w:lang w:val="en-US"/>
              </w:rPr>
              <w:t>tính</w:t>
            </w:r>
            <w:proofErr w:type="spellEnd"/>
            <w:r w:rsidRPr="002F5974">
              <w:rPr>
                <w:b/>
                <w:bCs/>
                <w:szCs w:val="22"/>
                <w:lang w:val="en-US"/>
              </w:rPr>
              <w:t xml:space="preserve"> </w:t>
            </w:r>
            <w:proofErr w:type="spellStart"/>
            <w:r w:rsidRPr="002F5974">
              <w:rPr>
                <w:b/>
                <w:bCs/>
                <w:szCs w:val="22"/>
                <w:lang w:val="en-US"/>
              </w:rPr>
              <w:t>đến</w:t>
            </w:r>
            <w:proofErr w:type="spellEnd"/>
            <w:r w:rsidRPr="002F5974">
              <w:rPr>
                <w:b/>
                <w:bCs/>
                <w:szCs w:val="22"/>
                <w:lang w:val="en-US"/>
              </w:rPr>
              <w:t xml:space="preserve"> </w:t>
            </w:r>
            <w:proofErr w:type="spellStart"/>
            <w:r w:rsidRPr="002F5974">
              <w:rPr>
                <w:b/>
                <w:bCs/>
                <w:szCs w:val="22"/>
                <w:lang w:val="en-US"/>
              </w:rPr>
              <w:t>thời</w:t>
            </w:r>
            <w:proofErr w:type="spellEnd"/>
            <w:r w:rsidRPr="002F5974">
              <w:rPr>
                <w:b/>
                <w:bCs/>
                <w:szCs w:val="22"/>
                <w:lang w:val="en-US"/>
              </w:rPr>
              <w:t xml:space="preserve"> </w:t>
            </w:r>
            <w:proofErr w:type="spellStart"/>
            <w:r w:rsidRPr="002F5974">
              <w:rPr>
                <w:b/>
                <w:bCs/>
                <w:szCs w:val="22"/>
                <w:lang w:val="en-US"/>
              </w:rPr>
              <w:t>điểm</w:t>
            </w:r>
            <w:proofErr w:type="spellEnd"/>
            <w:r w:rsidRPr="002F5974">
              <w:rPr>
                <w:b/>
                <w:bCs/>
                <w:szCs w:val="22"/>
                <w:lang w:val="en-US"/>
              </w:rPr>
              <w:t xml:space="preserve"> </w:t>
            </w:r>
            <w:proofErr w:type="spellStart"/>
            <w:r w:rsidRPr="002F5974">
              <w:rPr>
                <w:b/>
                <w:bCs/>
                <w:szCs w:val="22"/>
                <w:lang w:val="en-US"/>
              </w:rPr>
              <w:t>báo</w:t>
            </w:r>
            <w:proofErr w:type="spellEnd"/>
            <w:r w:rsidRPr="002F5974">
              <w:rPr>
                <w:b/>
                <w:bCs/>
                <w:szCs w:val="22"/>
                <w:lang w:val="en-US"/>
              </w:rPr>
              <w:t xml:space="preserve"> </w:t>
            </w:r>
            <w:proofErr w:type="spellStart"/>
            <w:r w:rsidRPr="002F5974">
              <w:rPr>
                <w:b/>
                <w:bCs/>
                <w:szCs w:val="22"/>
                <w:lang w:val="en-US"/>
              </w:rPr>
              <w:t>cáo</w:t>
            </w:r>
            <w:proofErr w:type="spellEnd"/>
            <w:r w:rsidRPr="002F5974">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2B69" w14:textId="77777777" w:rsidR="005A78F8" w:rsidRPr="002F5974" w:rsidRDefault="005A78F8" w:rsidP="002F5974">
            <w:pPr>
              <w:keepLines w:val="0"/>
              <w:overflowPunct/>
              <w:autoSpaceDE/>
              <w:autoSpaceDN/>
              <w:adjustRightInd/>
              <w:jc w:val="center"/>
              <w:textAlignment w:val="auto"/>
              <w:rPr>
                <w:b/>
                <w:bCs/>
                <w:szCs w:val="22"/>
                <w:lang w:val="en-US"/>
              </w:rPr>
            </w:pPr>
            <w:proofErr w:type="spellStart"/>
            <w:r w:rsidRPr="002F5974">
              <w:rPr>
                <w:b/>
                <w:bCs/>
                <w:szCs w:val="22"/>
                <w:lang w:val="en-US"/>
              </w:rPr>
              <w:t>Từ</w:t>
            </w:r>
            <w:proofErr w:type="spellEnd"/>
            <w:r w:rsidRPr="002F5974">
              <w:rPr>
                <w:b/>
                <w:bCs/>
                <w:szCs w:val="22"/>
                <w:lang w:val="en-US"/>
              </w:rPr>
              <w:t xml:space="preserve"> </w:t>
            </w:r>
            <w:proofErr w:type="spellStart"/>
            <w:r w:rsidRPr="002F5974">
              <w:rPr>
                <w:b/>
                <w:bCs/>
                <w:szCs w:val="22"/>
                <w:lang w:val="en-US"/>
              </w:rPr>
              <w:t>khi</w:t>
            </w:r>
            <w:proofErr w:type="spellEnd"/>
            <w:r w:rsidRPr="002F5974">
              <w:rPr>
                <w:b/>
                <w:bCs/>
                <w:szCs w:val="22"/>
                <w:lang w:val="en-US"/>
              </w:rPr>
              <w:t xml:space="preserve"> </w:t>
            </w:r>
            <w:proofErr w:type="spellStart"/>
            <w:r w:rsidRPr="002F5974">
              <w:rPr>
                <w:b/>
                <w:bCs/>
                <w:szCs w:val="22"/>
                <w:lang w:val="en-US"/>
              </w:rPr>
              <w:t>thành</w:t>
            </w:r>
            <w:proofErr w:type="spellEnd"/>
            <w:r w:rsidRPr="002F5974">
              <w:rPr>
                <w:b/>
                <w:bCs/>
                <w:szCs w:val="22"/>
                <w:lang w:val="en-US"/>
              </w:rPr>
              <w:t xml:space="preserve"> </w:t>
            </w:r>
            <w:proofErr w:type="spellStart"/>
            <w:r w:rsidRPr="002F5974">
              <w:rPr>
                <w:b/>
                <w:bCs/>
                <w:szCs w:val="22"/>
                <w:lang w:val="en-US"/>
              </w:rPr>
              <w:t>lập</w:t>
            </w:r>
            <w:proofErr w:type="spellEnd"/>
            <w:r w:rsidRPr="002F5974">
              <w:rPr>
                <w:b/>
                <w:bCs/>
                <w:szCs w:val="22"/>
                <w:lang w:val="en-US"/>
              </w:rPr>
              <w:t xml:space="preserve"> </w:t>
            </w:r>
            <w:proofErr w:type="spellStart"/>
            <w:r w:rsidRPr="002F5974">
              <w:rPr>
                <w:b/>
                <w:bCs/>
                <w:szCs w:val="22"/>
                <w:lang w:val="en-US"/>
              </w:rPr>
              <w:t>đến</w:t>
            </w:r>
            <w:proofErr w:type="spellEnd"/>
            <w:r w:rsidRPr="002F5974">
              <w:rPr>
                <w:b/>
                <w:bCs/>
                <w:szCs w:val="22"/>
                <w:lang w:val="en-US"/>
              </w:rPr>
              <w:t xml:space="preserve"> </w:t>
            </w:r>
            <w:proofErr w:type="spellStart"/>
            <w:r w:rsidRPr="002F5974">
              <w:rPr>
                <w:b/>
                <w:bCs/>
                <w:szCs w:val="22"/>
                <w:lang w:val="en-US"/>
              </w:rPr>
              <w:t>thời</w:t>
            </w:r>
            <w:proofErr w:type="spellEnd"/>
            <w:r w:rsidRPr="002F5974">
              <w:rPr>
                <w:b/>
                <w:bCs/>
                <w:szCs w:val="22"/>
                <w:lang w:val="en-US"/>
              </w:rPr>
              <w:t xml:space="preserve"> </w:t>
            </w:r>
            <w:proofErr w:type="spellStart"/>
            <w:r w:rsidRPr="002F5974">
              <w:rPr>
                <w:b/>
                <w:bCs/>
                <w:szCs w:val="22"/>
                <w:lang w:val="en-US"/>
              </w:rPr>
              <w:t>điểm</w:t>
            </w:r>
            <w:proofErr w:type="spellEnd"/>
            <w:r w:rsidRPr="002F5974">
              <w:rPr>
                <w:b/>
                <w:bCs/>
                <w:szCs w:val="22"/>
                <w:lang w:val="en-US"/>
              </w:rPr>
              <w:t xml:space="preserve"> </w:t>
            </w:r>
            <w:proofErr w:type="spellStart"/>
            <w:r w:rsidRPr="002F5974">
              <w:rPr>
                <w:b/>
                <w:bCs/>
                <w:szCs w:val="22"/>
                <w:lang w:val="en-US"/>
              </w:rPr>
              <w:t>báo</w:t>
            </w:r>
            <w:proofErr w:type="spellEnd"/>
            <w:r w:rsidRPr="002F5974">
              <w:rPr>
                <w:b/>
                <w:bCs/>
                <w:szCs w:val="22"/>
                <w:lang w:val="en-US"/>
              </w:rPr>
              <w:t xml:space="preserve"> </w:t>
            </w:r>
            <w:proofErr w:type="spellStart"/>
            <w:r w:rsidRPr="002F5974">
              <w:rPr>
                <w:b/>
                <w:bCs/>
                <w:szCs w:val="22"/>
                <w:lang w:val="en-US"/>
              </w:rPr>
              <w:t>cáo</w:t>
            </w:r>
            <w:proofErr w:type="spellEnd"/>
            <w:r w:rsidRPr="002F5974">
              <w:rPr>
                <w:b/>
                <w:bCs/>
                <w:szCs w:val="22"/>
                <w:lang w:val="en-US"/>
              </w:rPr>
              <w:t xml:space="preserve"> (%)</w:t>
            </w:r>
          </w:p>
        </w:tc>
      </w:tr>
      <w:tr w:rsidR="002F5974" w:rsidRPr="002F5974" w14:paraId="42072AE2"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95C" w14:textId="77777777" w:rsidR="009F567C" w:rsidRPr="002F5974" w:rsidRDefault="009F567C" w:rsidP="002F5974">
            <w:pPr>
              <w:keepLines w:val="0"/>
              <w:overflowPunct/>
              <w:autoSpaceDE/>
              <w:autoSpaceDN/>
              <w:adjustRightInd/>
              <w:jc w:val="left"/>
              <w:textAlignment w:val="auto"/>
              <w:rPr>
                <w:szCs w:val="22"/>
                <w:lang w:val="en-US"/>
              </w:rPr>
            </w:pPr>
            <w:proofErr w:type="spellStart"/>
            <w:r w:rsidRPr="002F5974">
              <w:rPr>
                <w:szCs w:val="22"/>
                <w:lang w:val="en-US"/>
              </w:rPr>
              <w:t>Tăng</w:t>
            </w:r>
            <w:proofErr w:type="spellEnd"/>
            <w:r w:rsidRPr="002F5974">
              <w:rPr>
                <w:szCs w:val="22"/>
                <w:lang w:val="en-US"/>
              </w:rPr>
              <w:t xml:space="preserve"> </w:t>
            </w:r>
            <w:proofErr w:type="spellStart"/>
            <w:r w:rsidRPr="002F5974">
              <w:rPr>
                <w:szCs w:val="22"/>
                <w:lang w:val="en-US"/>
              </w:rPr>
              <w:t>trưởng</w:t>
            </w:r>
            <w:proofErr w:type="spellEnd"/>
            <w:r w:rsidRPr="002F5974">
              <w:rPr>
                <w:szCs w:val="22"/>
                <w:lang w:val="en-US"/>
              </w:rPr>
              <w:t xml:space="preserve"> </w:t>
            </w:r>
            <w:proofErr w:type="spellStart"/>
            <w:r w:rsidRPr="002F5974">
              <w:rPr>
                <w:szCs w:val="22"/>
                <w:lang w:val="en-US"/>
              </w:rPr>
              <w:t>thu</w:t>
            </w:r>
            <w:proofErr w:type="spellEnd"/>
            <w:r w:rsidRPr="002F5974">
              <w:rPr>
                <w:szCs w:val="22"/>
                <w:lang w:val="en-US"/>
              </w:rPr>
              <w:t xml:space="preserve"> </w:t>
            </w:r>
            <w:proofErr w:type="spellStart"/>
            <w:r w:rsidRPr="002F5974">
              <w:rPr>
                <w:szCs w:val="22"/>
                <w:lang w:val="en-US"/>
              </w:rPr>
              <w:t>nhập</w:t>
            </w:r>
            <w:proofErr w:type="spellEnd"/>
            <w:r w:rsidRPr="002F5974">
              <w:rPr>
                <w:szCs w:val="22"/>
                <w:lang w:val="en-US"/>
              </w:rPr>
              <w:t xml:space="preserve">/1 </w:t>
            </w:r>
            <w:proofErr w:type="spellStart"/>
            <w:r w:rsidRPr="002F5974">
              <w:rPr>
                <w:szCs w:val="22"/>
                <w:lang w:val="en-US"/>
              </w:rPr>
              <w:t>đơn</w:t>
            </w:r>
            <w:proofErr w:type="spellEnd"/>
            <w:r w:rsidRPr="002F5974">
              <w:rPr>
                <w:szCs w:val="22"/>
                <w:lang w:val="en-US"/>
              </w:rPr>
              <w:t xml:space="preserve"> </w:t>
            </w:r>
            <w:proofErr w:type="spellStart"/>
            <w:r w:rsidRPr="002F5974">
              <w:rPr>
                <w:szCs w:val="22"/>
                <w:lang w:val="en-US"/>
              </w:rPr>
              <w:t>vị</w:t>
            </w:r>
            <w:proofErr w:type="spellEnd"/>
            <w:r w:rsidRPr="002F5974">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FEA0DC5" w14:textId="6421BD33" w:rsidR="009F567C" w:rsidRPr="002F5974" w:rsidRDefault="009F567C" w:rsidP="002F5974">
            <w:pPr>
              <w:keepLines w:val="0"/>
              <w:overflowPunct/>
              <w:autoSpaceDE/>
              <w:autoSpaceDN/>
              <w:adjustRightInd/>
              <w:jc w:val="center"/>
              <w:textAlignment w:val="auto"/>
              <w:rPr>
                <w:szCs w:val="22"/>
                <w:lang w:val="en-US"/>
              </w:rPr>
            </w:pPr>
            <w:r w:rsidRPr="002F5974">
              <w:t>22.69%</w:t>
            </w:r>
          </w:p>
        </w:tc>
        <w:tc>
          <w:tcPr>
            <w:tcW w:w="2500" w:type="dxa"/>
            <w:tcBorders>
              <w:top w:val="single" w:sz="4" w:space="0" w:color="auto"/>
              <w:left w:val="nil"/>
              <w:bottom w:val="single" w:sz="4" w:space="0" w:color="auto"/>
              <w:right w:val="single" w:sz="4" w:space="0" w:color="auto"/>
            </w:tcBorders>
            <w:shd w:val="clear" w:color="auto" w:fill="auto"/>
          </w:tcPr>
          <w:p w14:paraId="211EEF0C" w14:textId="073B67D5" w:rsidR="009F567C" w:rsidRPr="002F5974" w:rsidRDefault="009F567C" w:rsidP="002F5974">
            <w:pPr>
              <w:keepLines w:val="0"/>
              <w:overflowPunct/>
              <w:autoSpaceDE/>
              <w:autoSpaceDN/>
              <w:adjustRightInd/>
              <w:jc w:val="center"/>
              <w:textAlignment w:val="auto"/>
              <w:rPr>
                <w:szCs w:val="22"/>
                <w:lang w:val="en-US"/>
              </w:rPr>
            </w:pPr>
            <w:r w:rsidRPr="002F5974">
              <w:t>57.96%</w:t>
            </w:r>
          </w:p>
        </w:tc>
        <w:tc>
          <w:tcPr>
            <w:tcW w:w="2500" w:type="dxa"/>
            <w:tcBorders>
              <w:top w:val="single" w:sz="4" w:space="0" w:color="auto"/>
              <w:left w:val="nil"/>
              <w:bottom w:val="single" w:sz="4" w:space="0" w:color="auto"/>
              <w:right w:val="single" w:sz="4" w:space="0" w:color="auto"/>
            </w:tcBorders>
            <w:shd w:val="clear" w:color="auto" w:fill="auto"/>
          </w:tcPr>
          <w:p w14:paraId="3AC566D7" w14:textId="7AB6F18A" w:rsidR="009F567C" w:rsidRPr="002F5974" w:rsidRDefault="009F567C" w:rsidP="002F5974">
            <w:pPr>
              <w:keepLines w:val="0"/>
              <w:overflowPunct/>
              <w:autoSpaceDE/>
              <w:autoSpaceDN/>
              <w:adjustRightInd/>
              <w:jc w:val="center"/>
              <w:textAlignment w:val="auto"/>
              <w:rPr>
                <w:szCs w:val="22"/>
                <w:lang w:val="en-US"/>
              </w:rPr>
            </w:pPr>
            <w:r w:rsidRPr="002F5974">
              <w:t>91.68%</w:t>
            </w:r>
          </w:p>
        </w:tc>
      </w:tr>
      <w:tr w:rsidR="002F5974" w:rsidRPr="002F5974" w14:paraId="2C386863"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05B5" w14:textId="77777777" w:rsidR="009F567C" w:rsidRPr="002F5974" w:rsidRDefault="009F567C" w:rsidP="002F5974">
            <w:pPr>
              <w:keepLines w:val="0"/>
              <w:overflowPunct/>
              <w:autoSpaceDE/>
              <w:autoSpaceDN/>
              <w:adjustRightInd/>
              <w:jc w:val="left"/>
              <w:textAlignment w:val="auto"/>
              <w:rPr>
                <w:szCs w:val="22"/>
                <w:lang w:val="en-US"/>
              </w:rPr>
            </w:pPr>
            <w:proofErr w:type="spellStart"/>
            <w:r w:rsidRPr="002F5974">
              <w:rPr>
                <w:szCs w:val="22"/>
                <w:lang w:val="en-US"/>
              </w:rPr>
              <w:t>Tăng</w:t>
            </w:r>
            <w:proofErr w:type="spellEnd"/>
            <w:r w:rsidRPr="002F5974">
              <w:rPr>
                <w:szCs w:val="22"/>
                <w:lang w:val="en-US"/>
              </w:rPr>
              <w:t xml:space="preserve"> </w:t>
            </w:r>
            <w:proofErr w:type="spellStart"/>
            <w:r w:rsidRPr="002F5974">
              <w:rPr>
                <w:szCs w:val="22"/>
                <w:lang w:val="en-US"/>
              </w:rPr>
              <w:t>trưởng</w:t>
            </w:r>
            <w:proofErr w:type="spellEnd"/>
            <w:r w:rsidRPr="002F5974">
              <w:rPr>
                <w:szCs w:val="22"/>
                <w:lang w:val="en-US"/>
              </w:rPr>
              <w:t xml:space="preserve"> </w:t>
            </w:r>
            <w:proofErr w:type="spellStart"/>
            <w:r w:rsidRPr="002F5974">
              <w:rPr>
                <w:szCs w:val="22"/>
                <w:lang w:val="en-US"/>
              </w:rPr>
              <w:t>Vốn</w:t>
            </w:r>
            <w:proofErr w:type="spellEnd"/>
            <w:r w:rsidRPr="002F5974">
              <w:rPr>
                <w:szCs w:val="22"/>
                <w:lang w:val="en-US"/>
              </w:rPr>
              <w:t xml:space="preserve">/1 </w:t>
            </w:r>
            <w:proofErr w:type="spellStart"/>
            <w:r w:rsidRPr="002F5974">
              <w:rPr>
                <w:szCs w:val="22"/>
                <w:lang w:val="en-US"/>
              </w:rPr>
              <w:t>đơn</w:t>
            </w:r>
            <w:proofErr w:type="spellEnd"/>
            <w:r w:rsidRPr="002F5974">
              <w:rPr>
                <w:szCs w:val="22"/>
                <w:lang w:val="en-US"/>
              </w:rPr>
              <w:t xml:space="preserve"> </w:t>
            </w:r>
            <w:proofErr w:type="spellStart"/>
            <w:r w:rsidRPr="002F5974">
              <w:rPr>
                <w:szCs w:val="22"/>
                <w:lang w:val="en-US"/>
              </w:rPr>
              <w:t>vị</w:t>
            </w:r>
            <w:proofErr w:type="spellEnd"/>
            <w:r w:rsidRPr="002F5974">
              <w:rPr>
                <w:szCs w:val="22"/>
                <w:lang w:val="en-US"/>
              </w:rPr>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63B8AFEB" w14:textId="2D21F65B" w:rsidR="009F567C" w:rsidRPr="002F5974" w:rsidRDefault="009F567C" w:rsidP="002F5974">
            <w:pPr>
              <w:keepLines w:val="0"/>
              <w:overflowPunct/>
              <w:autoSpaceDE/>
              <w:autoSpaceDN/>
              <w:adjustRightInd/>
              <w:jc w:val="center"/>
              <w:textAlignment w:val="auto"/>
              <w:rPr>
                <w:szCs w:val="22"/>
                <w:lang w:val="en-US"/>
              </w:rPr>
            </w:pPr>
            <w:r w:rsidRPr="002F5974">
              <w:t>-40.72%</w:t>
            </w:r>
          </w:p>
        </w:tc>
        <w:tc>
          <w:tcPr>
            <w:tcW w:w="2500" w:type="dxa"/>
            <w:tcBorders>
              <w:top w:val="nil"/>
              <w:left w:val="nil"/>
              <w:bottom w:val="single" w:sz="4" w:space="0" w:color="auto"/>
              <w:right w:val="single" w:sz="4" w:space="0" w:color="auto"/>
            </w:tcBorders>
            <w:shd w:val="clear" w:color="auto" w:fill="auto"/>
          </w:tcPr>
          <w:p w14:paraId="3F41A8EE" w14:textId="6B2E8160" w:rsidR="009F567C" w:rsidRPr="002F5974" w:rsidRDefault="009F567C" w:rsidP="002F5974">
            <w:pPr>
              <w:keepLines w:val="0"/>
              <w:overflowPunct/>
              <w:autoSpaceDE/>
              <w:autoSpaceDN/>
              <w:adjustRightInd/>
              <w:jc w:val="center"/>
              <w:textAlignment w:val="auto"/>
              <w:rPr>
                <w:szCs w:val="22"/>
                <w:lang w:val="en-US"/>
              </w:rPr>
            </w:pPr>
            <w:r w:rsidRPr="002F5974">
              <w:t>-10.98%</w:t>
            </w:r>
          </w:p>
        </w:tc>
        <w:tc>
          <w:tcPr>
            <w:tcW w:w="2500" w:type="dxa"/>
            <w:tcBorders>
              <w:top w:val="nil"/>
              <w:left w:val="nil"/>
              <w:bottom w:val="single" w:sz="4" w:space="0" w:color="auto"/>
              <w:right w:val="single" w:sz="4" w:space="0" w:color="auto"/>
            </w:tcBorders>
            <w:shd w:val="clear" w:color="auto" w:fill="auto"/>
          </w:tcPr>
          <w:p w14:paraId="54FA9524" w14:textId="3E9AC66D" w:rsidR="009F567C" w:rsidRPr="002F5974" w:rsidRDefault="009F567C" w:rsidP="002F5974">
            <w:pPr>
              <w:keepLines w:val="0"/>
              <w:overflowPunct/>
              <w:autoSpaceDE/>
              <w:autoSpaceDN/>
              <w:adjustRightInd/>
              <w:jc w:val="center"/>
              <w:textAlignment w:val="auto"/>
              <w:rPr>
                <w:szCs w:val="22"/>
                <w:lang w:val="en-US"/>
              </w:rPr>
            </w:pPr>
            <w:r w:rsidRPr="002F5974">
              <w:t>19.09%</w:t>
            </w:r>
          </w:p>
        </w:tc>
      </w:tr>
      <w:tr w:rsidR="002F5974" w:rsidRPr="002F5974" w14:paraId="05DAE975"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5D6F" w14:textId="77777777" w:rsidR="009F567C" w:rsidRPr="002F5974" w:rsidRDefault="009F567C" w:rsidP="002F5974">
            <w:pPr>
              <w:keepLines w:val="0"/>
              <w:overflowPunct/>
              <w:autoSpaceDE/>
              <w:autoSpaceDN/>
              <w:adjustRightInd/>
              <w:jc w:val="left"/>
              <w:textAlignment w:val="auto"/>
              <w:rPr>
                <w:szCs w:val="22"/>
                <w:lang w:val="en-US"/>
              </w:rPr>
            </w:pPr>
            <w:proofErr w:type="spellStart"/>
            <w:r w:rsidRPr="002F5974">
              <w:rPr>
                <w:szCs w:val="22"/>
                <w:lang w:val="en-US"/>
              </w:rPr>
              <w:t>Tổng</w:t>
            </w:r>
            <w:proofErr w:type="spellEnd"/>
            <w:r w:rsidRPr="002F5974">
              <w:rPr>
                <w:szCs w:val="22"/>
                <w:lang w:val="en-US"/>
              </w:rPr>
              <w:t xml:space="preserve"> </w:t>
            </w:r>
            <w:proofErr w:type="spellStart"/>
            <w:r w:rsidRPr="002F5974">
              <w:rPr>
                <w:szCs w:val="22"/>
                <w:lang w:val="en-US"/>
              </w:rPr>
              <w:t>tăng</w:t>
            </w:r>
            <w:proofErr w:type="spellEnd"/>
            <w:r w:rsidRPr="002F5974">
              <w:rPr>
                <w:szCs w:val="22"/>
                <w:lang w:val="en-US"/>
              </w:rPr>
              <w:t xml:space="preserve"> </w:t>
            </w:r>
            <w:proofErr w:type="spellStart"/>
            <w:r w:rsidRPr="002F5974">
              <w:rPr>
                <w:szCs w:val="22"/>
                <w:lang w:val="en-US"/>
              </w:rPr>
              <w:t>trưởng</w:t>
            </w:r>
            <w:proofErr w:type="spellEnd"/>
            <w:r w:rsidRPr="002F5974">
              <w:rPr>
                <w:szCs w:val="22"/>
                <w:lang w:val="en-US"/>
              </w:rPr>
              <w:t xml:space="preserve">/1 </w:t>
            </w:r>
            <w:proofErr w:type="spellStart"/>
            <w:r w:rsidRPr="002F5974">
              <w:rPr>
                <w:szCs w:val="22"/>
                <w:lang w:val="en-US"/>
              </w:rPr>
              <w:t>đơn</w:t>
            </w:r>
            <w:proofErr w:type="spellEnd"/>
            <w:r w:rsidRPr="002F5974">
              <w:rPr>
                <w:szCs w:val="22"/>
                <w:lang w:val="en-US"/>
              </w:rPr>
              <w:t xml:space="preserve"> </w:t>
            </w:r>
            <w:proofErr w:type="spellStart"/>
            <w:r w:rsidRPr="002F5974">
              <w:rPr>
                <w:szCs w:val="22"/>
                <w:lang w:val="en-US"/>
              </w:rPr>
              <w:t>vị</w:t>
            </w:r>
            <w:proofErr w:type="spellEnd"/>
            <w:r w:rsidRPr="002F5974">
              <w:rPr>
                <w:szCs w:val="22"/>
                <w:lang w:val="en-US"/>
              </w:rPr>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01521909" w14:textId="6FD81E2F" w:rsidR="009F567C" w:rsidRPr="002F5974" w:rsidRDefault="009F567C" w:rsidP="002F5974">
            <w:pPr>
              <w:keepLines w:val="0"/>
              <w:overflowPunct/>
              <w:autoSpaceDE/>
              <w:autoSpaceDN/>
              <w:adjustRightInd/>
              <w:jc w:val="center"/>
              <w:textAlignment w:val="auto"/>
              <w:rPr>
                <w:szCs w:val="22"/>
                <w:lang w:val="en-US"/>
              </w:rPr>
            </w:pPr>
            <w:r w:rsidRPr="002F5974">
              <w:t>-18.03%</w:t>
            </w:r>
          </w:p>
        </w:tc>
        <w:tc>
          <w:tcPr>
            <w:tcW w:w="2500" w:type="dxa"/>
            <w:tcBorders>
              <w:top w:val="nil"/>
              <w:left w:val="nil"/>
              <w:bottom w:val="single" w:sz="4" w:space="0" w:color="auto"/>
              <w:right w:val="single" w:sz="4" w:space="0" w:color="auto"/>
            </w:tcBorders>
            <w:shd w:val="clear" w:color="auto" w:fill="auto"/>
          </w:tcPr>
          <w:p w14:paraId="45971A1A" w14:textId="2A10D6FA" w:rsidR="009F567C" w:rsidRPr="002F5974" w:rsidRDefault="009F567C" w:rsidP="002F5974">
            <w:pPr>
              <w:keepLines w:val="0"/>
              <w:overflowPunct/>
              <w:autoSpaceDE/>
              <w:autoSpaceDN/>
              <w:adjustRightInd/>
              <w:jc w:val="center"/>
              <w:textAlignment w:val="auto"/>
              <w:rPr>
                <w:szCs w:val="22"/>
                <w:lang w:val="en-US"/>
              </w:rPr>
            </w:pPr>
            <w:r w:rsidRPr="002F5974">
              <w:t>46.98%</w:t>
            </w:r>
          </w:p>
        </w:tc>
        <w:tc>
          <w:tcPr>
            <w:tcW w:w="2500" w:type="dxa"/>
            <w:tcBorders>
              <w:top w:val="nil"/>
              <w:left w:val="nil"/>
              <w:bottom w:val="single" w:sz="4" w:space="0" w:color="auto"/>
              <w:right w:val="single" w:sz="4" w:space="0" w:color="auto"/>
            </w:tcBorders>
            <w:shd w:val="clear" w:color="auto" w:fill="auto"/>
          </w:tcPr>
          <w:p w14:paraId="50D13B40" w14:textId="0E9553D8" w:rsidR="009F567C" w:rsidRPr="002F5974" w:rsidRDefault="009F567C" w:rsidP="002F5974">
            <w:pPr>
              <w:keepLines w:val="0"/>
              <w:overflowPunct/>
              <w:autoSpaceDE/>
              <w:autoSpaceDN/>
              <w:adjustRightInd/>
              <w:jc w:val="center"/>
              <w:textAlignment w:val="auto"/>
              <w:rPr>
                <w:szCs w:val="22"/>
                <w:lang w:val="en-US"/>
              </w:rPr>
            </w:pPr>
            <w:r w:rsidRPr="002F5974">
              <w:t>110.77%</w:t>
            </w:r>
          </w:p>
        </w:tc>
      </w:tr>
      <w:tr w:rsidR="002F5974" w:rsidRPr="002F5974" w14:paraId="061F109C" w14:textId="77777777" w:rsidTr="002410C9">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F3DD" w14:textId="77777777" w:rsidR="00C16DA9" w:rsidRPr="002F5974" w:rsidRDefault="00C16DA9" w:rsidP="002F5974">
            <w:pPr>
              <w:keepLines w:val="0"/>
              <w:overflowPunct/>
              <w:autoSpaceDE/>
              <w:autoSpaceDN/>
              <w:adjustRightInd/>
              <w:jc w:val="left"/>
              <w:textAlignment w:val="auto"/>
              <w:rPr>
                <w:szCs w:val="22"/>
                <w:lang w:val="en-US"/>
              </w:rPr>
            </w:pPr>
            <w:proofErr w:type="spellStart"/>
            <w:r w:rsidRPr="002F5974">
              <w:rPr>
                <w:szCs w:val="22"/>
                <w:lang w:val="en-US"/>
              </w:rPr>
              <w:t>Tăng</w:t>
            </w:r>
            <w:proofErr w:type="spellEnd"/>
            <w:r w:rsidRPr="002F5974">
              <w:rPr>
                <w:szCs w:val="22"/>
                <w:lang w:val="en-US"/>
              </w:rPr>
              <w:t xml:space="preserve"> </w:t>
            </w:r>
            <w:proofErr w:type="spellStart"/>
            <w:r w:rsidRPr="002F5974">
              <w:rPr>
                <w:szCs w:val="22"/>
                <w:lang w:val="en-US"/>
              </w:rPr>
              <w:t>trưởng</w:t>
            </w:r>
            <w:proofErr w:type="spellEnd"/>
            <w:r w:rsidRPr="002F5974">
              <w:rPr>
                <w:szCs w:val="22"/>
                <w:lang w:val="en-US"/>
              </w:rPr>
              <w:t xml:space="preserve"> </w:t>
            </w:r>
            <w:proofErr w:type="spellStart"/>
            <w:r w:rsidRPr="002F5974">
              <w:rPr>
                <w:szCs w:val="22"/>
                <w:lang w:val="en-US"/>
              </w:rPr>
              <w:t>hàng</w:t>
            </w:r>
            <w:proofErr w:type="spellEnd"/>
            <w:r w:rsidRPr="002F5974">
              <w:rPr>
                <w:szCs w:val="22"/>
                <w:lang w:val="en-US"/>
              </w:rPr>
              <w:t xml:space="preserve"> </w:t>
            </w:r>
            <w:proofErr w:type="spellStart"/>
            <w:proofErr w:type="gramStart"/>
            <w:r w:rsidRPr="002F5974">
              <w:rPr>
                <w:szCs w:val="22"/>
                <w:lang w:val="en-US"/>
              </w:rPr>
              <w:t>năm</w:t>
            </w:r>
            <w:proofErr w:type="spellEnd"/>
            <w:r w:rsidRPr="002F5974">
              <w:rPr>
                <w:szCs w:val="22"/>
                <w:lang w:val="en-US"/>
              </w:rPr>
              <w:t>(</w:t>
            </w:r>
            <w:proofErr w:type="gramEnd"/>
            <w:r w:rsidRPr="002F5974">
              <w:rPr>
                <w:szCs w:val="22"/>
                <w:lang w:val="en-US"/>
              </w:rPr>
              <w:t xml:space="preserve">%)/1 </w:t>
            </w:r>
            <w:proofErr w:type="spellStart"/>
            <w:r w:rsidRPr="002F5974">
              <w:rPr>
                <w:szCs w:val="22"/>
                <w:lang w:val="en-US"/>
              </w:rPr>
              <w:t>đơn</w:t>
            </w:r>
            <w:proofErr w:type="spellEnd"/>
            <w:r w:rsidRPr="002F5974">
              <w:rPr>
                <w:szCs w:val="22"/>
                <w:lang w:val="en-US"/>
              </w:rPr>
              <w:t xml:space="preserve"> </w:t>
            </w:r>
            <w:proofErr w:type="spellStart"/>
            <w:r w:rsidRPr="002F5974">
              <w:rPr>
                <w:szCs w:val="22"/>
                <w:lang w:val="en-US"/>
              </w:rPr>
              <w:t>vị</w:t>
            </w:r>
            <w:proofErr w:type="spellEnd"/>
            <w:r w:rsidRPr="002F5974">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2AA2E45" w14:textId="5150A580" w:rsidR="00C16DA9" w:rsidRPr="002F5974" w:rsidRDefault="00C16DA9" w:rsidP="002F5974">
            <w:pPr>
              <w:tabs>
                <w:tab w:val="left" w:pos="540"/>
              </w:tabs>
              <w:ind w:right="180"/>
              <w:jc w:val="center"/>
            </w:pPr>
            <w:r w:rsidRPr="002F5974">
              <w:t>-18.0%</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5BDBD65" w14:textId="341DAFA2" w:rsidR="00C16DA9" w:rsidRPr="002F5974" w:rsidRDefault="00C16DA9" w:rsidP="002F5974">
            <w:pPr>
              <w:tabs>
                <w:tab w:val="left" w:pos="540"/>
              </w:tabs>
              <w:ind w:right="180"/>
              <w:jc w:val="center"/>
            </w:pPr>
            <w:r w:rsidRPr="002F5974">
              <w:t>13.7%</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B17AB9A" w14:textId="5DBDA350" w:rsidR="00C16DA9" w:rsidRPr="002F5974" w:rsidRDefault="00C16DA9" w:rsidP="002F5974">
            <w:pPr>
              <w:tabs>
                <w:tab w:val="left" w:pos="540"/>
              </w:tabs>
              <w:ind w:right="180"/>
              <w:jc w:val="center"/>
            </w:pPr>
            <w:r w:rsidRPr="002F5974">
              <w:t>9.9%</w:t>
            </w:r>
          </w:p>
        </w:tc>
      </w:tr>
      <w:tr w:rsidR="002F5974" w:rsidRPr="002F5974" w14:paraId="654D1DB4" w14:textId="77777777" w:rsidTr="002410C9">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E63E" w14:textId="77777777" w:rsidR="00C16DA9" w:rsidRPr="002F5974" w:rsidRDefault="00C16DA9" w:rsidP="002F5974">
            <w:pPr>
              <w:keepLines w:val="0"/>
              <w:overflowPunct/>
              <w:autoSpaceDE/>
              <w:autoSpaceDN/>
              <w:adjustRightInd/>
              <w:jc w:val="left"/>
              <w:textAlignment w:val="auto"/>
              <w:rPr>
                <w:szCs w:val="22"/>
                <w:lang w:val="en-US"/>
              </w:rPr>
            </w:pPr>
            <w:proofErr w:type="spellStart"/>
            <w:r w:rsidRPr="002F5974">
              <w:rPr>
                <w:szCs w:val="22"/>
                <w:lang w:val="en-US"/>
              </w:rPr>
              <w:lastRenderedPageBreak/>
              <w:t>Tăng</w:t>
            </w:r>
            <w:proofErr w:type="spellEnd"/>
            <w:r w:rsidRPr="002F5974">
              <w:rPr>
                <w:szCs w:val="22"/>
                <w:lang w:val="en-US"/>
              </w:rPr>
              <w:t xml:space="preserve"> </w:t>
            </w:r>
            <w:proofErr w:type="spellStart"/>
            <w:r w:rsidRPr="002F5974">
              <w:rPr>
                <w:szCs w:val="22"/>
                <w:lang w:val="en-US"/>
              </w:rPr>
              <w:t>trưởng</w:t>
            </w:r>
            <w:proofErr w:type="spellEnd"/>
            <w:r w:rsidRPr="002F5974">
              <w:rPr>
                <w:szCs w:val="22"/>
                <w:lang w:val="en-US"/>
              </w:rPr>
              <w:t xml:space="preserve"> </w:t>
            </w:r>
            <w:proofErr w:type="spellStart"/>
            <w:r w:rsidRPr="002F5974">
              <w:rPr>
                <w:szCs w:val="22"/>
                <w:lang w:val="en-US"/>
              </w:rPr>
              <w:t>của</w:t>
            </w:r>
            <w:proofErr w:type="spellEnd"/>
            <w:r w:rsidRPr="002F5974">
              <w:rPr>
                <w:szCs w:val="22"/>
                <w:lang w:val="en-US"/>
              </w:rPr>
              <w:t xml:space="preserve"> </w:t>
            </w:r>
            <w:proofErr w:type="spellStart"/>
            <w:r w:rsidRPr="002F5974">
              <w:rPr>
                <w:szCs w:val="22"/>
                <w:lang w:val="en-US"/>
              </w:rPr>
              <w:t>danh</w:t>
            </w:r>
            <w:proofErr w:type="spellEnd"/>
            <w:r w:rsidRPr="002F5974">
              <w:rPr>
                <w:szCs w:val="22"/>
                <w:lang w:val="en-US"/>
              </w:rPr>
              <w:t xml:space="preserve"> </w:t>
            </w:r>
            <w:proofErr w:type="spellStart"/>
            <w:r w:rsidRPr="002F5974">
              <w:rPr>
                <w:szCs w:val="22"/>
                <w:lang w:val="en-US"/>
              </w:rPr>
              <w:t>mục</w:t>
            </w:r>
            <w:proofErr w:type="spellEnd"/>
            <w:r w:rsidRPr="002F5974">
              <w:rPr>
                <w:szCs w:val="22"/>
                <w:lang w:val="en-US"/>
              </w:rPr>
              <w:t xml:space="preserve"> </w:t>
            </w:r>
            <w:proofErr w:type="spellStart"/>
            <w:r w:rsidRPr="002F5974">
              <w:rPr>
                <w:szCs w:val="22"/>
                <w:lang w:val="en-US"/>
              </w:rPr>
              <w:t>cơ</w:t>
            </w:r>
            <w:proofErr w:type="spellEnd"/>
            <w:r w:rsidRPr="002F5974">
              <w:rPr>
                <w:szCs w:val="22"/>
                <w:lang w:val="en-US"/>
              </w:rPr>
              <w:t xml:space="preserve"> </w:t>
            </w:r>
            <w:proofErr w:type="spellStart"/>
            <w:r w:rsidRPr="002F5974">
              <w:rPr>
                <w:szCs w:val="22"/>
                <w:lang w:val="en-US"/>
              </w:rPr>
              <w:t>cấu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FA9D3DA" w14:textId="5C37DCF3" w:rsidR="00C16DA9" w:rsidRPr="002F5974" w:rsidRDefault="00C16DA9" w:rsidP="002F5974">
            <w:pPr>
              <w:tabs>
                <w:tab w:val="left" w:pos="540"/>
              </w:tabs>
              <w:ind w:right="180"/>
              <w:jc w:val="center"/>
            </w:pPr>
            <w:r w:rsidRPr="002F5974">
              <w:t>-18.0%</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313151CD" w14:textId="172E2B5D" w:rsidR="00C16DA9" w:rsidRPr="002F5974" w:rsidRDefault="00C16DA9" w:rsidP="002F5974">
            <w:pPr>
              <w:tabs>
                <w:tab w:val="left" w:pos="540"/>
              </w:tabs>
              <w:ind w:right="180"/>
              <w:jc w:val="center"/>
            </w:pPr>
            <w:r w:rsidRPr="002F5974">
              <w:t>47.0%</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C1BE5D6" w14:textId="4816FD71" w:rsidR="00C16DA9" w:rsidRPr="002F5974" w:rsidRDefault="00C16DA9" w:rsidP="002F5974">
            <w:pPr>
              <w:tabs>
                <w:tab w:val="left" w:pos="540"/>
              </w:tabs>
              <w:ind w:right="180"/>
              <w:jc w:val="center"/>
            </w:pPr>
            <w:r w:rsidRPr="002F5974">
              <w:t>110.8%</w:t>
            </w:r>
          </w:p>
        </w:tc>
      </w:tr>
      <w:tr w:rsidR="00C16DA9" w:rsidRPr="002F5974" w14:paraId="4703A26A" w14:textId="77777777" w:rsidTr="002410C9">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6FDC" w14:textId="77777777" w:rsidR="00C16DA9" w:rsidRPr="002F5974" w:rsidRDefault="00C16DA9" w:rsidP="002F5974">
            <w:pPr>
              <w:keepLines w:val="0"/>
              <w:overflowPunct/>
              <w:autoSpaceDE/>
              <w:autoSpaceDN/>
              <w:adjustRightInd/>
              <w:jc w:val="left"/>
              <w:textAlignment w:val="auto"/>
              <w:rPr>
                <w:szCs w:val="22"/>
                <w:lang w:val="en-US"/>
              </w:rPr>
            </w:pPr>
            <w:proofErr w:type="spellStart"/>
            <w:r w:rsidRPr="002F5974">
              <w:rPr>
                <w:szCs w:val="22"/>
                <w:lang w:val="en-US"/>
              </w:rPr>
              <w:t>Thay</w:t>
            </w:r>
            <w:proofErr w:type="spellEnd"/>
            <w:r w:rsidRPr="002F5974">
              <w:rPr>
                <w:szCs w:val="22"/>
                <w:lang w:val="en-US"/>
              </w:rPr>
              <w:t xml:space="preserve"> </w:t>
            </w:r>
            <w:proofErr w:type="spellStart"/>
            <w:r w:rsidRPr="002F5974">
              <w:rPr>
                <w:szCs w:val="22"/>
                <w:lang w:val="en-US"/>
              </w:rPr>
              <w:t>đổi</w:t>
            </w:r>
            <w:proofErr w:type="spellEnd"/>
            <w:r w:rsidRPr="002F5974">
              <w:rPr>
                <w:szCs w:val="22"/>
                <w:lang w:val="en-US"/>
              </w:rPr>
              <w:t xml:space="preserve"> </w:t>
            </w:r>
            <w:proofErr w:type="spellStart"/>
            <w:r w:rsidRPr="002F5974">
              <w:rPr>
                <w:szCs w:val="22"/>
                <w:lang w:val="en-US"/>
              </w:rPr>
              <w:t>giá</w:t>
            </w:r>
            <w:proofErr w:type="spellEnd"/>
            <w:r w:rsidRPr="002F5974">
              <w:rPr>
                <w:szCs w:val="22"/>
                <w:lang w:val="en-US"/>
              </w:rPr>
              <w:t xml:space="preserve"> </w:t>
            </w:r>
            <w:proofErr w:type="spellStart"/>
            <w:r w:rsidRPr="002F5974">
              <w:rPr>
                <w:szCs w:val="22"/>
                <w:lang w:val="en-US"/>
              </w:rPr>
              <w:t>trị</w:t>
            </w:r>
            <w:proofErr w:type="spellEnd"/>
            <w:r w:rsidRPr="002F5974">
              <w:rPr>
                <w:szCs w:val="22"/>
                <w:lang w:val="en-US"/>
              </w:rPr>
              <w:t xml:space="preserve"> </w:t>
            </w:r>
            <w:proofErr w:type="spellStart"/>
            <w:r w:rsidRPr="002F5974">
              <w:rPr>
                <w:szCs w:val="22"/>
                <w:lang w:val="en-US"/>
              </w:rPr>
              <w:t>thị</w:t>
            </w:r>
            <w:proofErr w:type="spellEnd"/>
            <w:r w:rsidRPr="002F5974">
              <w:rPr>
                <w:szCs w:val="22"/>
                <w:lang w:val="en-US"/>
              </w:rPr>
              <w:t xml:space="preserve"> </w:t>
            </w:r>
            <w:proofErr w:type="spellStart"/>
            <w:r w:rsidRPr="002F5974">
              <w:rPr>
                <w:szCs w:val="22"/>
                <w:lang w:val="en-US"/>
              </w:rPr>
              <w:t>trường</w:t>
            </w:r>
            <w:proofErr w:type="spellEnd"/>
            <w:r w:rsidRPr="002F5974">
              <w:rPr>
                <w:szCs w:val="22"/>
                <w:lang w:val="en-US"/>
              </w:rPr>
              <w:t xml:space="preserve"> </w:t>
            </w:r>
            <w:proofErr w:type="spellStart"/>
            <w:r w:rsidRPr="002F5974">
              <w:rPr>
                <w:szCs w:val="22"/>
                <w:lang w:val="en-US"/>
              </w:rPr>
              <w:t>của</w:t>
            </w:r>
            <w:proofErr w:type="spellEnd"/>
            <w:r w:rsidRPr="002F5974">
              <w:rPr>
                <w:szCs w:val="22"/>
                <w:lang w:val="en-US"/>
              </w:rPr>
              <w:t xml:space="preserve"> 1 </w:t>
            </w:r>
            <w:proofErr w:type="spellStart"/>
            <w:r w:rsidRPr="002F5974">
              <w:rPr>
                <w:szCs w:val="22"/>
                <w:lang w:val="en-US"/>
              </w:rPr>
              <w:t>đơn</w:t>
            </w:r>
            <w:proofErr w:type="spellEnd"/>
            <w:r w:rsidRPr="002F5974">
              <w:rPr>
                <w:szCs w:val="22"/>
                <w:lang w:val="en-US"/>
              </w:rPr>
              <w:t xml:space="preserve"> </w:t>
            </w:r>
            <w:proofErr w:type="spellStart"/>
            <w:r w:rsidRPr="002F5974">
              <w:rPr>
                <w:szCs w:val="22"/>
                <w:lang w:val="en-US"/>
              </w:rPr>
              <w:t>vị</w:t>
            </w:r>
            <w:proofErr w:type="spellEnd"/>
            <w:r w:rsidRPr="002F5974">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FC53338" w14:textId="3419656F" w:rsidR="00C16DA9" w:rsidRPr="002F5974" w:rsidRDefault="00C16DA9" w:rsidP="002F5974">
            <w:pPr>
              <w:tabs>
                <w:tab w:val="left" w:pos="540"/>
              </w:tabs>
              <w:ind w:right="180"/>
              <w:jc w:val="center"/>
            </w:pPr>
            <w:r w:rsidRPr="002F5974">
              <w:t>-17.4%</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B4AE58D" w14:textId="58CC2941" w:rsidR="00C16DA9" w:rsidRPr="002F5974" w:rsidRDefault="00C16DA9" w:rsidP="002F5974">
            <w:pPr>
              <w:tabs>
                <w:tab w:val="left" w:pos="540"/>
              </w:tabs>
              <w:ind w:right="180"/>
              <w:jc w:val="center"/>
            </w:pPr>
            <w:r w:rsidRPr="002F5974">
              <w:t>50.2%</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135535F5" w14:textId="58F4A14A" w:rsidR="00C16DA9" w:rsidRPr="002F5974" w:rsidRDefault="00C16DA9" w:rsidP="002F5974">
            <w:pPr>
              <w:tabs>
                <w:tab w:val="left" w:pos="540"/>
              </w:tabs>
              <w:ind w:right="180"/>
              <w:jc w:val="center"/>
            </w:pPr>
            <w:r w:rsidRPr="002F5974">
              <w:t>105.3%</w:t>
            </w:r>
          </w:p>
        </w:tc>
      </w:tr>
    </w:tbl>
    <w:p w14:paraId="03372088" w14:textId="77777777" w:rsidR="006D6DA6" w:rsidRPr="002F5974" w:rsidRDefault="006D6DA6" w:rsidP="002F5974">
      <w:pPr>
        <w:keepLines w:val="0"/>
        <w:overflowPunct/>
        <w:autoSpaceDE/>
        <w:autoSpaceDN/>
        <w:adjustRightInd/>
        <w:jc w:val="left"/>
        <w:textAlignment w:val="auto"/>
        <w:rPr>
          <w:szCs w:val="22"/>
          <w:lang w:val="nl-NL"/>
        </w:rPr>
      </w:pPr>
    </w:p>
    <w:p w14:paraId="7AB97540" w14:textId="77777777" w:rsidR="006D6DA6" w:rsidRPr="002F5974" w:rsidRDefault="006D6DA6" w:rsidP="002F5974">
      <w:pPr>
        <w:keepLines w:val="0"/>
        <w:overflowPunct/>
        <w:autoSpaceDE/>
        <w:autoSpaceDN/>
        <w:adjustRightInd/>
        <w:jc w:val="left"/>
        <w:textAlignment w:val="auto"/>
        <w:rPr>
          <w:szCs w:val="22"/>
          <w:lang w:val="nl-NL"/>
        </w:rPr>
      </w:pPr>
    </w:p>
    <w:p w14:paraId="0D640C7A" w14:textId="59116574" w:rsidR="007922E7" w:rsidRPr="002F5974" w:rsidRDefault="007922E7" w:rsidP="002F5974">
      <w:pPr>
        <w:keepLines w:val="0"/>
        <w:overflowPunct/>
        <w:autoSpaceDE/>
        <w:autoSpaceDN/>
        <w:adjustRightInd/>
        <w:jc w:val="left"/>
        <w:textAlignment w:val="auto"/>
        <w:rPr>
          <w:szCs w:val="22"/>
          <w:lang w:val="nl-NL"/>
        </w:rPr>
      </w:pPr>
      <w:r w:rsidRPr="002F5974">
        <w:rPr>
          <w:szCs w:val="22"/>
          <w:lang w:val="nl-NL"/>
        </w:rPr>
        <w:t>● Biểu đồ tăng trưởng hàng tháng của Quỹ trong 3 năm gần nhất như sau:</w:t>
      </w:r>
    </w:p>
    <w:p w14:paraId="523F637C" w14:textId="27D6D467" w:rsidR="0047074A" w:rsidRPr="002F5974" w:rsidRDefault="00C16DA9" w:rsidP="002F5974">
      <w:pPr>
        <w:tabs>
          <w:tab w:val="left" w:pos="540"/>
        </w:tabs>
        <w:spacing w:before="120"/>
        <w:rPr>
          <w:szCs w:val="22"/>
          <w:lang w:val="nl-NL"/>
        </w:rPr>
      </w:pPr>
      <w:r w:rsidRPr="002F5974">
        <w:rPr>
          <w:noProof/>
        </w:rPr>
        <w:drawing>
          <wp:inline distT="0" distB="0" distL="0" distR="0" wp14:anchorId="25B34285" wp14:editId="690BB4D1">
            <wp:extent cx="5943600" cy="2679065"/>
            <wp:effectExtent l="0" t="0" r="0" b="6985"/>
            <wp:docPr id="1" name="Chart 1">
              <a:extLst xmlns:a="http://schemas.openxmlformats.org/drawingml/2006/main">
                <a:ext uri="{FF2B5EF4-FFF2-40B4-BE49-F238E27FC236}">
                  <a16:creationId xmlns:a16="http://schemas.microsoft.com/office/drawing/2014/main" id="{6748CC33-BAD0-4B62-B3F5-61C08961DF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E14DCF" w14:textId="77777777" w:rsidR="007922E7" w:rsidRPr="002F5974" w:rsidRDefault="007922E7" w:rsidP="002F5974">
      <w:pPr>
        <w:tabs>
          <w:tab w:val="left" w:pos="540"/>
        </w:tabs>
        <w:spacing w:before="120"/>
        <w:rPr>
          <w:szCs w:val="22"/>
          <w:lang w:val="nl-NL"/>
        </w:rPr>
      </w:pPr>
      <w:r w:rsidRPr="002F5974">
        <w:rPr>
          <w:szCs w:val="22"/>
          <w:lang w:val="nl-NL"/>
        </w:rPr>
        <w:t>● Thay đổi giá trị tài sản ròng</w:t>
      </w:r>
    </w:p>
    <w:p w14:paraId="1D72D245" w14:textId="77777777" w:rsidR="001C2728" w:rsidRPr="002F5974" w:rsidRDefault="001C2728" w:rsidP="002F5974">
      <w:pPr>
        <w:tabs>
          <w:tab w:val="left" w:pos="540"/>
        </w:tabs>
        <w:spacing w:before="120"/>
      </w:pPr>
    </w:p>
    <w:tbl>
      <w:tblPr>
        <w:tblW w:w="10000" w:type="dxa"/>
        <w:tblLook w:val="04A0" w:firstRow="1" w:lastRow="0" w:firstColumn="1" w:lastColumn="0" w:noHBand="0" w:noVBand="1"/>
      </w:tblPr>
      <w:tblGrid>
        <w:gridCol w:w="2500"/>
        <w:gridCol w:w="2500"/>
        <w:gridCol w:w="2500"/>
        <w:gridCol w:w="2500"/>
      </w:tblGrid>
      <w:tr w:rsidR="002F5974" w:rsidRPr="002F5974" w14:paraId="4C62990C" w14:textId="77777777" w:rsidTr="009B4078">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ABC7454" w14:textId="319C8F94" w:rsidR="009F567C" w:rsidRPr="002F5974" w:rsidRDefault="009F567C" w:rsidP="002F5974">
            <w:pPr>
              <w:keepLines w:val="0"/>
              <w:overflowPunct/>
              <w:autoSpaceDE/>
              <w:autoSpaceDN/>
              <w:adjustRightInd/>
              <w:jc w:val="center"/>
              <w:textAlignment w:val="auto"/>
              <w:rPr>
                <w:b/>
                <w:bCs/>
                <w:szCs w:val="22"/>
                <w:lang w:val="en-US"/>
              </w:rPr>
            </w:pPr>
            <w:proofErr w:type="spellStart"/>
            <w:r w:rsidRPr="002F5974">
              <w:t>Chỉ</w:t>
            </w:r>
            <w:proofErr w:type="spellEnd"/>
            <w:r w:rsidRPr="002F5974">
              <w:t xml:space="preserve"> </w:t>
            </w:r>
            <w:proofErr w:type="spellStart"/>
            <w:r w:rsidRPr="002F5974">
              <w:t>tiêu</w:t>
            </w:r>
            <w:proofErr w:type="spellEnd"/>
          </w:p>
        </w:tc>
        <w:tc>
          <w:tcPr>
            <w:tcW w:w="2500" w:type="dxa"/>
            <w:tcBorders>
              <w:top w:val="single" w:sz="4" w:space="0" w:color="auto"/>
              <w:left w:val="nil"/>
              <w:bottom w:val="single" w:sz="4" w:space="0" w:color="auto"/>
              <w:right w:val="single" w:sz="4" w:space="0" w:color="auto"/>
            </w:tcBorders>
            <w:shd w:val="clear" w:color="auto" w:fill="auto"/>
            <w:hideMark/>
          </w:tcPr>
          <w:p w14:paraId="1AC79435" w14:textId="641C2157" w:rsidR="009F567C" w:rsidRPr="002F5974" w:rsidRDefault="009F567C" w:rsidP="002F5974">
            <w:pPr>
              <w:keepLines w:val="0"/>
              <w:overflowPunct/>
              <w:autoSpaceDE/>
              <w:autoSpaceDN/>
              <w:adjustRightInd/>
              <w:jc w:val="center"/>
              <w:textAlignment w:val="auto"/>
              <w:rPr>
                <w:b/>
                <w:bCs/>
                <w:szCs w:val="22"/>
                <w:lang w:val="en-US"/>
              </w:rPr>
            </w:pPr>
            <w:r w:rsidRPr="002F5974">
              <w:t>30/06/2022</w:t>
            </w:r>
          </w:p>
        </w:tc>
        <w:tc>
          <w:tcPr>
            <w:tcW w:w="2500" w:type="dxa"/>
            <w:tcBorders>
              <w:top w:val="single" w:sz="4" w:space="0" w:color="auto"/>
              <w:left w:val="nil"/>
              <w:bottom w:val="single" w:sz="4" w:space="0" w:color="auto"/>
              <w:right w:val="single" w:sz="4" w:space="0" w:color="auto"/>
            </w:tcBorders>
            <w:shd w:val="clear" w:color="auto" w:fill="auto"/>
            <w:hideMark/>
          </w:tcPr>
          <w:p w14:paraId="758D78FC" w14:textId="4D28135B" w:rsidR="009F567C" w:rsidRPr="002F5974" w:rsidRDefault="009F567C" w:rsidP="002F5974">
            <w:pPr>
              <w:keepLines w:val="0"/>
              <w:overflowPunct/>
              <w:autoSpaceDE/>
              <w:autoSpaceDN/>
              <w:adjustRightInd/>
              <w:jc w:val="center"/>
              <w:textAlignment w:val="auto"/>
              <w:rPr>
                <w:b/>
                <w:bCs/>
                <w:szCs w:val="22"/>
                <w:lang w:val="en-US"/>
              </w:rPr>
            </w:pPr>
            <w:r w:rsidRPr="002F5974">
              <w:t>30/06/2021</w:t>
            </w:r>
          </w:p>
        </w:tc>
        <w:tc>
          <w:tcPr>
            <w:tcW w:w="2500" w:type="dxa"/>
            <w:tcBorders>
              <w:top w:val="single" w:sz="4" w:space="0" w:color="auto"/>
              <w:left w:val="nil"/>
              <w:bottom w:val="single" w:sz="4" w:space="0" w:color="auto"/>
              <w:right w:val="single" w:sz="4" w:space="0" w:color="auto"/>
            </w:tcBorders>
            <w:shd w:val="clear" w:color="auto" w:fill="auto"/>
            <w:hideMark/>
          </w:tcPr>
          <w:p w14:paraId="4F67638B" w14:textId="39D0FEEF" w:rsidR="009F567C" w:rsidRPr="002F5974" w:rsidRDefault="009F567C" w:rsidP="002F5974">
            <w:pPr>
              <w:keepLines w:val="0"/>
              <w:overflowPunct/>
              <w:autoSpaceDE/>
              <w:autoSpaceDN/>
              <w:adjustRightInd/>
              <w:jc w:val="center"/>
              <w:textAlignment w:val="auto"/>
              <w:rPr>
                <w:b/>
                <w:bCs/>
                <w:szCs w:val="22"/>
                <w:lang w:val="en-US"/>
              </w:rPr>
            </w:pPr>
            <w:proofErr w:type="spellStart"/>
            <w:r w:rsidRPr="002F5974">
              <w:t>Tỷ</w:t>
            </w:r>
            <w:proofErr w:type="spellEnd"/>
            <w:r w:rsidRPr="002F5974">
              <w:t xml:space="preserve"> </w:t>
            </w:r>
            <w:proofErr w:type="spellStart"/>
            <w:r w:rsidRPr="002F5974">
              <w:t>lệ</w:t>
            </w:r>
            <w:proofErr w:type="spellEnd"/>
            <w:r w:rsidRPr="002F5974">
              <w:t xml:space="preserve"> </w:t>
            </w:r>
            <w:proofErr w:type="spellStart"/>
            <w:r w:rsidRPr="002F5974">
              <w:t>thay</w:t>
            </w:r>
            <w:proofErr w:type="spellEnd"/>
            <w:r w:rsidRPr="002F5974">
              <w:t xml:space="preserve"> </w:t>
            </w:r>
            <w:proofErr w:type="spellStart"/>
            <w:r w:rsidRPr="002F5974">
              <w:t>đổi</w:t>
            </w:r>
            <w:proofErr w:type="spellEnd"/>
          </w:p>
        </w:tc>
      </w:tr>
      <w:tr w:rsidR="002F5974" w:rsidRPr="002F5974" w14:paraId="4951BADB" w14:textId="77777777" w:rsidTr="009B4078">
        <w:trPr>
          <w:trHeight w:val="600"/>
        </w:trPr>
        <w:tc>
          <w:tcPr>
            <w:tcW w:w="2500" w:type="dxa"/>
            <w:tcBorders>
              <w:top w:val="nil"/>
              <w:left w:val="single" w:sz="4" w:space="0" w:color="auto"/>
              <w:bottom w:val="single" w:sz="4" w:space="0" w:color="auto"/>
              <w:right w:val="single" w:sz="4" w:space="0" w:color="auto"/>
            </w:tcBorders>
            <w:shd w:val="clear" w:color="auto" w:fill="auto"/>
            <w:hideMark/>
          </w:tcPr>
          <w:p w14:paraId="7D963B1F" w14:textId="672F011E" w:rsidR="009F567C" w:rsidRPr="002F5974" w:rsidRDefault="009F567C" w:rsidP="002F5974">
            <w:pPr>
              <w:keepLines w:val="0"/>
              <w:overflowPunct/>
              <w:autoSpaceDE/>
              <w:autoSpaceDN/>
              <w:adjustRightInd/>
              <w:textAlignment w:val="auto"/>
              <w:rPr>
                <w:szCs w:val="22"/>
                <w:lang w:val="en-US"/>
              </w:rPr>
            </w:pPr>
            <w:proofErr w:type="spellStart"/>
            <w:r w:rsidRPr="002F5974">
              <w:t>Giá</w:t>
            </w:r>
            <w:proofErr w:type="spellEnd"/>
            <w:r w:rsidRPr="002F5974">
              <w:t xml:space="preserve"> </w:t>
            </w:r>
            <w:proofErr w:type="spellStart"/>
            <w:r w:rsidRPr="002F5974">
              <w:t>trị</w:t>
            </w:r>
            <w:proofErr w:type="spellEnd"/>
            <w:r w:rsidRPr="002F5974">
              <w:t xml:space="preserve"> </w:t>
            </w:r>
            <w:proofErr w:type="spellStart"/>
            <w:r w:rsidRPr="002F5974">
              <w:t>tài</w:t>
            </w:r>
            <w:proofErr w:type="spellEnd"/>
            <w:r w:rsidRPr="002F5974">
              <w:t xml:space="preserve"> </w:t>
            </w:r>
            <w:proofErr w:type="spellStart"/>
            <w:r w:rsidRPr="002F5974">
              <w:t>sản</w:t>
            </w:r>
            <w:proofErr w:type="spellEnd"/>
            <w:r w:rsidRPr="002F5974">
              <w:t xml:space="preserve"> </w:t>
            </w:r>
            <w:proofErr w:type="spellStart"/>
            <w:r w:rsidRPr="002F5974">
              <w:t>ròng</w:t>
            </w:r>
            <w:proofErr w:type="spellEnd"/>
            <w:r w:rsidRPr="002F5974">
              <w:t xml:space="preserve"> (NAV) </w:t>
            </w:r>
            <w:proofErr w:type="spellStart"/>
            <w:r w:rsidRPr="002F5974">
              <w:t>của</w:t>
            </w:r>
            <w:proofErr w:type="spellEnd"/>
            <w:r w:rsidRPr="002F5974">
              <w:t xml:space="preserve"> Quỹ</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7670555" w14:textId="7E46F5FF" w:rsidR="009F567C" w:rsidRPr="002F5974" w:rsidRDefault="009F567C" w:rsidP="002F5974">
            <w:pPr>
              <w:keepLines w:val="0"/>
              <w:overflowPunct/>
              <w:autoSpaceDE/>
              <w:autoSpaceDN/>
              <w:adjustRightInd/>
              <w:jc w:val="center"/>
              <w:textAlignment w:val="auto"/>
              <w:rPr>
                <w:szCs w:val="22"/>
                <w:lang w:val="en-US"/>
              </w:rPr>
            </w:pPr>
            <w:r w:rsidRPr="002F5974">
              <w:t>7,703,513,010,992</w:t>
            </w:r>
          </w:p>
        </w:tc>
        <w:tc>
          <w:tcPr>
            <w:tcW w:w="2500" w:type="dxa"/>
            <w:tcBorders>
              <w:top w:val="single" w:sz="4" w:space="0" w:color="auto"/>
              <w:left w:val="nil"/>
              <w:bottom w:val="single" w:sz="4" w:space="0" w:color="auto"/>
              <w:right w:val="single" w:sz="4" w:space="0" w:color="auto"/>
            </w:tcBorders>
            <w:shd w:val="clear" w:color="auto" w:fill="auto"/>
          </w:tcPr>
          <w:p w14:paraId="1644451B" w14:textId="68801A94" w:rsidR="009F567C" w:rsidRPr="002F5974" w:rsidRDefault="009F567C" w:rsidP="002F5974">
            <w:pPr>
              <w:keepLines w:val="0"/>
              <w:overflowPunct/>
              <w:autoSpaceDE/>
              <w:autoSpaceDN/>
              <w:adjustRightInd/>
              <w:jc w:val="center"/>
              <w:textAlignment w:val="auto"/>
              <w:rPr>
                <w:szCs w:val="22"/>
              </w:rPr>
            </w:pPr>
            <w:r w:rsidRPr="002F5974">
              <w:t>10,225,479,776,367</w:t>
            </w:r>
          </w:p>
        </w:tc>
        <w:tc>
          <w:tcPr>
            <w:tcW w:w="2500" w:type="dxa"/>
            <w:tcBorders>
              <w:top w:val="single" w:sz="4" w:space="0" w:color="auto"/>
              <w:left w:val="nil"/>
              <w:bottom w:val="single" w:sz="4" w:space="0" w:color="auto"/>
              <w:right w:val="single" w:sz="4" w:space="0" w:color="auto"/>
            </w:tcBorders>
            <w:shd w:val="clear" w:color="auto" w:fill="auto"/>
          </w:tcPr>
          <w:p w14:paraId="541BCB43" w14:textId="30ED12A0" w:rsidR="009F567C" w:rsidRPr="002F5974" w:rsidRDefault="009F567C" w:rsidP="002F5974">
            <w:pPr>
              <w:keepLines w:val="0"/>
              <w:overflowPunct/>
              <w:autoSpaceDE/>
              <w:autoSpaceDN/>
              <w:adjustRightInd/>
              <w:jc w:val="center"/>
              <w:textAlignment w:val="auto"/>
              <w:rPr>
                <w:szCs w:val="22"/>
              </w:rPr>
            </w:pPr>
            <w:r w:rsidRPr="002F5974">
              <w:t>-24.66%</w:t>
            </w:r>
          </w:p>
        </w:tc>
      </w:tr>
      <w:tr w:rsidR="002F5974" w:rsidRPr="002F5974" w14:paraId="27446507" w14:textId="77777777" w:rsidTr="009B4078">
        <w:trPr>
          <w:trHeight w:val="900"/>
        </w:trPr>
        <w:tc>
          <w:tcPr>
            <w:tcW w:w="2500" w:type="dxa"/>
            <w:tcBorders>
              <w:top w:val="nil"/>
              <w:left w:val="single" w:sz="4" w:space="0" w:color="auto"/>
              <w:bottom w:val="single" w:sz="4" w:space="0" w:color="auto"/>
              <w:right w:val="single" w:sz="4" w:space="0" w:color="auto"/>
            </w:tcBorders>
            <w:shd w:val="clear" w:color="auto" w:fill="auto"/>
            <w:hideMark/>
          </w:tcPr>
          <w:p w14:paraId="5F7A4484" w14:textId="4DB07A22" w:rsidR="009F567C" w:rsidRPr="002F5974" w:rsidRDefault="009F567C" w:rsidP="002F5974">
            <w:pPr>
              <w:keepLines w:val="0"/>
              <w:overflowPunct/>
              <w:autoSpaceDE/>
              <w:autoSpaceDN/>
              <w:adjustRightInd/>
              <w:jc w:val="left"/>
              <w:textAlignment w:val="auto"/>
              <w:rPr>
                <w:szCs w:val="22"/>
                <w:lang w:val="en-US"/>
              </w:rPr>
            </w:pPr>
            <w:proofErr w:type="spellStart"/>
            <w:r w:rsidRPr="002F5974">
              <w:t>Giá</w:t>
            </w:r>
            <w:proofErr w:type="spellEnd"/>
            <w:r w:rsidRPr="002F5974">
              <w:t xml:space="preserve"> </w:t>
            </w:r>
            <w:proofErr w:type="spellStart"/>
            <w:r w:rsidRPr="002F5974">
              <w:t>trị</w:t>
            </w:r>
            <w:proofErr w:type="spellEnd"/>
            <w:r w:rsidRPr="002F5974">
              <w:t xml:space="preserve"> </w:t>
            </w:r>
            <w:proofErr w:type="spellStart"/>
            <w:r w:rsidRPr="002F5974">
              <w:t>tài</w:t>
            </w:r>
            <w:proofErr w:type="spellEnd"/>
            <w:r w:rsidRPr="002F5974">
              <w:t xml:space="preserve"> </w:t>
            </w:r>
            <w:proofErr w:type="spellStart"/>
            <w:r w:rsidRPr="002F5974">
              <w:t>sản</w:t>
            </w:r>
            <w:proofErr w:type="spellEnd"/>
            <w:r w:rsidRPr="002F5974">
              <w:t xml:space="preserve"> </w:t>
            </w:r>
            <w:proofErr w:type="spellStart"/>
            <w:r w:rsidRPr="002F5974">
              <w:t>ròng</w:t>
            </w:r>
            <w:proofErr w:type="spellEnd"/>
            <w:r w:rsidRPr="002F5974">
              <w:t xml:space="preserve"> (NAV) </w:t>
            </w:r>
            <w:proofErr w:type="spellStart"/>
            <w:r w:rsidRPr="002F5974">
              <w:t>trên</w:t>
            </w:r>
            <w:proofErr w:type="spellEnd"/>
            <w:r w:rsidRPr="002F5974">
              <w:t xml:space="preserve"> 1 </w:t>
            </w:r>
            <w:proofErr w:type="spellStart"/>
            <w:r w:rsidRPr="002F5974">
              <w:t>đơn</w:t>
            </w:r>
            <w:proofErr w:type="spellEnd"/>
            <w:r w:rsidRPr="002F5974">
              <w:t xml:space="preserve"> </w:t>
            </w:r>
            <w:proofErr w:type="spellStart"/>
            <w:r w:rsidRPr="002F5974">
              <w:t>vị</w:t>
            </w:r>
            <w:proofErr w:type="spellEnd"/>
            <w:r w:rsidRPr="002F5974">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70A35770" w14:textId="6CB3601D" w:rsidR="009F567C" w:rsidRPr="002F5974" w:rsidRDefault="009F567C" w:rsidP="002F5974">
            <w:pPr>
              <w:keepLines w:val="0"/>
              <w:overflowPunct/>
              <w:autoSpaceDE/>
              <w:autoSpaceDN/>
              <w:adjustRightInd/>
              <w:jc w:val="center"/>
              <w:textAlignment w:val="auto"/>
              <w:rPr>
                <w:szCs w:val="22"/>
                <w:lang w:val="en-US"/>
              </w:rPr>
            </w:pPr>
            <w:r w:rsidRPr="002F5974">
              <w:t xml:space="preserve"> 21,076.64 </w:t>
            </w:r>
          </w:p>
        </w:tc>
        <w:tc>
          <w:tcPr>
            <w:tcW w:w="2500" w:type="dxa"/>
            <w:tcBorders>
              <w:top w:val="nil"/>
              <w:left w:val="nil"/>
              <w:bottom w:val="single" w:sz="4" w:space="0" w:color="auto"/>
              <w:right w:val="single" w:sz="4" w:space="0" w:color="auto"/>
            </w:tcBorders>
            <w:shd w:val="clear" w:color="auto" w:fill="auto"/>
          </w:tcPr>
          <w:p w14:paraId="455E5B93" w14:textId="67F4F695" w:rsidR="009F567C" w:rsidRPr="002F5974" w:rsidRDefault="009F567C" w:rsidP="002F5974">
            <w:pPr>
              <w:keepLines w:val="0"/>
              <w:overflowPunct/>
              <w:autoSpaceDE/>
              <w:autoSpaceDN/>
              <w:adjustRightInd/>
              <w:jc w:val="center"/>
              <w:textAlignment w:val="auto"/>
              <w:rPr>
                <w:szCs w:val="22"/>
              </w:rPr>
            </w:pPr>
            <w:r w:rsidRPr="002F5974">
              <w:t xml:space="preserve"> 25,711.54 </w:t>
            </w:r>
          </w:p>
        </w:tc>
        <w:tc>
          <w:tcPr>
            <w:tcW w:w="2500" w:type="dxa"/>
            <w:tcBorders>
              <w:top w:val="nil"/>
              <w:left w:val="nil"/>
              <w:bottom w:val="single" w:sz="4" w:space="0" w:color="auto"/>
              <w:right w:val="single" w:sz="4" w:space="0" w:color="auto"/>
            </w:tcBorders>
            <w:shd w:val="clear" w:color="auto" w:fill="auto"/>
          </w:tcPr>
          <w:p w14:paraId="4FEBE1DB" w14:textId="372C6621" w:rsidR="009F567C" w:rsidRPr="002F5974" w:rsidRDefault="009F567C" w:rsidP="002F5974">
            <w:pPr>
              <w:keepLines w:val="0"/>
              <w:overflowPunct/>
              <w:autoSpaceDE/>
              <w:autoSpaceDN/>
              <w:adjustRightInd/>
              <w:jc w:val="center"/>
              <w:textAlignment w:val="auto"/>
              <w:rPr>
                <w:szCs w:val="22"/>
              </w:rPr>
            </w:pPr>
            <w:r w:rsidRPr="002F5974">
              <w:t>-18.03%</w:t>
            </w:r>
          </w:p>
        </w:tc>
      </w:tr>
    </w:tbl>
    <w:p w14:paraId="77B348A3" w14:textId="4893D88C" w:rsidR="007922E7" w:rsidRPr="002F5974" w:rsidRDefault="00C16DA9" w:rsidP="002F5974">
      <w:pPr>
        <w:keepLines w:val="0"/>
        <w:overflowPunct/>
        <w:autoSpaceDE/>
        <w:autoSpaceDN/>
        <w:adjustRightInd/>
        <w:textAlignment w:val="auto"/>
        <w:rPr>
          <w:b/>
          <w:szCs w:val="22"/>
          <w:lang w:val="nl-NL"/>
        </w:rPr>
      </w:pPr>
      <w:r w:rsidRPr="002F5974">
        <w:t xml:space="preserve">Trong 12 </w:t>
      </w:r>
      <w:proofErr w:type="spellStart"/>
      <w:r w:rsidRPr="002F5974">
        <w:t>tháng</w:t>
      </w:r>
      <w:proofErr w:type="spellEnd"/>
      <w:r w:rsidRPr="002F5974">
        <w:t xml:space="preserve"> qua (</w:t>
      </w:r>
      <w:proofErr w:type="spellStart"/>
      <w:r w:rsidRPr="002F5974">
        <w:t>từ</w:t>
      </w:r>
      <w:proofErr w:type="spellEnd"/>
      <w:r w:rsidRPr="002F5974">
        <w:t xml:space="preserve"> </w:t>
      </w:r>
      <w:proofErr w:type="spellStart"/>
      <w:r w:rsidRPr="002F5974">
        <w:t>ngày</w:t>
      </w:r>
      <w:proofErr w:type="spellEnd"/>
      <w:r w:rsidRPr="002F5974">
        <w:t xml:space="preserve"> 30 </w:t>
      </w:r>
      <w:proofErr w:type="spellStart"/>
      <w:r w:rsidRPr="002F5974">
        <w:t>tháng</w:t>
      </w:r>
      <w:proofErr w:type="spellEnd"/>
      <w:r w:rsidRPr="002F5974">
        <w:t xml:space="preserve"> 06 </w:t>
      </w:r>
      <w:proofErr w:type="spellStart"/>
      <w:r w:rsidRPr="002F5974">
        <w:t>năm</w:t>
      </w:r>
      <w:proofErr w:type="spellEnd"/>
      <w:r w:rsidRPr="002F5974">
        <w:t xml:space="preserve"> 2021 </w:t>
      </w:r>
      <w:proofErr w:type="spellStart"/>
      <w:r w:rsidRPr="002F5974">
        <w:t>đến</w:t>
      </w:r>
      <w:proofErr w:type="spellEnd"/>
      <w:r w:rsidRPr="002F5974">
        <w:t xml:space="preserve"> </w:t>
      </w:r>
      <w:proofErr w:type="spellStart"/>
      <w:r w:rsidRPr="002F5974">
        <w:t>ngày</w:t>
      </w:r>
      <w:proofErr w:type="spellEnd"/>
      <w:r w:rsidRPr="002F5974">
        <w:t xml:space="preserve"> 30 </w:t>
      </w:r>
      <w:proofErr w:type="spellStart"/>
      <w:r w:rsidRPr="002F5974">
        <w:t>tháng</w:t>
      </w:r>
      <w:proofErr w:type="spellEnd"/>
      <w:r w:rsidRPr="002F5974">
        <w:t xml:space="preserve"> 06 </w:t>
      </w:r>
      <w:proofErr w:type="spellStart"/>
      <w:r w:rsidRPr="002F5974">
        <w:t>năm</w:t>
      </w:r>
      <w:proofErr w:type="spellEnd"/>
      <w:r w:rsidRPr="002F5974">
        <w:t xml:space="preserve"> 2022), </w:t>
      </w:r>
      <w:proofErr w:type="spellStart"/>
      <w:r w:rsidRPr="002F5974">
        <w:t>thị</w:t>
      </w:r>
      <w:proofErr w:type="spellEnd"/>
      <w:r w:rsidRPr="002F5974">
        <w:t xml:space="preserve"> </w:t>
      </w:r>
      <w:proofErr w:type="spellStart"/>
      <w:r w:rsidRPr="002F5974">
        <w:t>trường</w:t>
      </w:r>
      <w:proofErr w:type="spellEnd"/>
      <w:r w:rsidRPr="002F5974">
        <w:t xml:space="preserve"> </w:t>
      </w:r>
      <w:proofErr w:type="spellStart"/>
      <w:r w:rsidRPr="002F5974">
        <w:t>chứng</w:t>
      </w:r>
      <w:proofErr w:type="spellEnd"/>
      <w:r w:rsidRPr="002F5974">
        <w:t xml:space="preserve"> </w:t>
      </w:r>
      <w:proofErr w:type="spellStart"/>
      <w:r w:rsidRPr="002F5974">
        <w:t>khoán</w:t>
      </w:r>
      <w:proofErr w:type="spellEnd"/>
      <w:r w:rsidRPr="002F5974">
        <w:t xml:space="preserve"> </w:t>
      </w:r>
      <w:proofErr w:type="spellStart"/>
      <w:r w:rsidRPr="002F5974">
        <w:t>Việt</w:t>
      </w:r>
      <w:proofErr w:type="spellEnd"/>
      <w:r w:rsidRPr="002F5974">
        <w:t xml:space="preserve"> Nam </w:t>
      </w:r>
      <w:proofErr w:type="spellStart"/>
      <w:r w:rsidRPr="002F5974">
        <w:t>giảm</w:t>
      </w:r>
      <w:proofErr w:type="spellEnd"/>
      <w:r w:rsidRPr="002F5974">
        <w:t xml:space="preserve"> </w:t>
      </w:r>
      <w:proofErr w:type="spellStart"/>
      <w:r w:rsidRPr="002F5974">
        <w:t>mạnh</w:t>
      </w:r>
      <w:proofErr w:type="spellEnd"/>
      <w:r w:rsidRPr="002F5974">
        <w:t xml:space="preserve"> </w:t>
      </w:r>
      <w:proofErr w:type="spellStart"/>
      <w:r w:rsidRPr="002F5974">
        <w:t>và</w:t>
      </w:r>
      <w:proofErr w:type="spellEnd"/>
      <w:r w:rsidRPr="002F5974">
        <w:t xml:space="preserve"> </w:t>
      </w:r>
      <w:proofErr w:type="spellStart"/>
      <w:r w:rsidRPr="002F5974">
        <w:t>trong</w:t>
      </w:r>
      <w:proofErr w:type="spellEnd"/>
      <w:r w:rsidRPr="002F5974">
        <w:t xml:space="preserve"> </w:t>
      </w:r>
      <w:proofErr w:type="spellStart"/>
      <w:r w:rsidRPr="002F5974">
        <w:t>kỳ</w:t>
      </w:r>
      <w:proofErr w:type="spellEnd"/>
      <w:r w:rsidRPr="002F5974">
        <w:t xml:space="preserve"> </w:t>
      </w:r>
      <w:proofErr w:type="spellStart"/>
      <w:r w:rsidRPr="002F5974">
        <w:t>có</w:t>
      </w:r>
      <w:proofErr w:type="spellEnd"/>
      <w:r w:rsidRPr="002F5974">
        <w:t xml:space="preserve"> </w:t>
      </w:r>
      <w:proofErr w:type="spellStart"/>
      <w:r w:rsidRPr="002F5974">
        <w:t>sự</w:t>
      </w:r>
      <w:proofErr w:type="spellEnd"/>
      <w:r w:rsidRPr="002F5974">
        <w:t xml:space="preserve"> </w:t>
      </w:r>
      <w:proofErr w:type="spellStart"/>
      <w:r w:rsidRPr="002F5974">
        <w:t>rút</w:t>
      </w:r>
      <w:proofErr w:type="spellEnd"/>
      <w:r w:rsidRPr="002F5974">
        <w:t xml:space="preserve"> </w:t>
      </w:r>
      <w:proofErr w:type="spellStart"/>
      <w:r w:rsidRPr="002F5974">
        <w:t>vốn</w:t>
      </w:r>
      <w:proofErr w:type="spellEnd"/>
      <w:r w:rsidRPr="002F5974">
        <w:t xml:space="preserve"> </w:t>
      </w:r>
      <w:proofErr w:type="spellStart"/>
      <w:r w:rsidRPr="002F5974">
        <w:t>từ</w:t>
      </w:r>
      <w:proofErr w:type="spellEnd"/>
      <w:r w:rsidRPr="002F5974">
        <w:t xml:space="preserve"> </w:t>
      </w:r>
      <w:proofErr w:type="spellStart"/>
      <w:r w:rsidRPr="002F5974">
        <w:t>phía</w:t>
      </w:r>
      <w:proofErr w:type="spellEnd"/>
      <w:r w:rsidRPr="002F5974">
        <w:t xml:space="preserve"> </w:t>
      </w:r>
      <w:proofErr w:type="spellStart"/>
      <w:r w:rsidRPr="002F5974">
        <w:t>nhà</w:t>
      </w:r>
      <w:proofErr w:type="spellEnd"/>
      <w:r w:rsidRPr="002F5974">
        <w:t xml:space="preserve"> </w:t>
      </w:r>
      <w:proofErr w:type="spellStart"/>
      <w:r w:rsidRPr="002F5974">
        <w:t>đầu</w:t>
      </w:r>
      <w:proofErr w:type="spellEnd"/>
      <w:r w:rsidRPr="002F5974">
        <w:t xml:space="preserve"> </w:t>
      </w:r>
      <w:proofErr w:type="spellStart"/>
      <w:r w:rsidRPr="002F5974">
        <w:t>tư</w:t>
      </w:r>
      <w:proofErr w:type="spellEnd"/>
      <w:r w:rsidRPr="002F5974">
        <w:t xml:space="preserve">. </w:t>
      </w:r>
      <w:proofErr w:type="spellStart"/>
      <w:r w:rsidRPr="002F5974">
        <w:t>Chính</w:t>
      </w:r>
      <w:proofErr w:type="spellEnd"/>
      <w:r w:rsidRPr="002F5974">
        <w:t xml:space="preserve"> </w:t>
      </w:r>
      <w:proofErr w:type="spellStart"/>
      <w:r w:rsidRPr="002F5974">
        <w:t>vì</w:t>
      </w:r>
      <w:proofErr w:type="spellEnd"/>
      <w:r w:rsidRPr="002F5974">
        <w:t xml:space="preserve"> </w:t>
      </w:r>
      <w:proofErr w:type="spellStart"/>
      <w:r w:rsidRPr="002F5974">
        <w:t>thế</w:t>
      </w:r>
      <w:proofErr w:type="spellEnd"/>
      <w:r w:rsidRPr="002F5974">
        <w:t xml:space="preserve"> </w:t>
      </w:r>
      <w:proofErr w:type="spellStart"/>
      <w:r w:rsidRPr="002F5974">
        <w:t>mà</w:t>
      </w:r>
      <w:proofErr w:type="spellEnd"/>
      <w:r w:rsidRPr="002F5974">
        <w:t xml:space="preserve"> NAV </w:t>
      </w:r>
      <w:proofErr w:type="spellStart"/>
      <w:r w:rsidRPr="002F5974">
        <w:t>có</w:t>
      </w:r>
      <w:proofErr w:type="spellEnd"/>
      <w:r w:rsidRPr="002F5974">
        <w:t xml:space="preserve"> </w:t>
      </w:r>
      <w:proofErr w:type="spellStart"/>
      <w:r w:rsidRPr="002F5974">
        <w:t>mức</w:t>
      </w:r>
      <w:proofErr w:type="spellEnd"/>
      <w:r w:rsidRPr="002F5974">
        <w:t xml:space="preserve"> </w:t>
      </w:r>
      <w:proofErr w:type="spellStart"/>
      <w:r w:rsidRPr="002F5974">
        <w:t>giảm</w:t>
      </w:r>
      <w:proofErr w:type="spellEnd"/>
      <w:r w:rsidRPr="002F5974">
        <w:t xml:space="preserve"> </w:t>
      </w:r>
      <w:proofErr w:type="spellStart"/>
      <w:r w:rsidRPr="002F5974">
        <w:t>lớn</w:t>
      </w:r>
      <w:proofErr w:type="spellEnd"/>
      <w:r w:rsidRPr="002F5974">
        <w:t xml:space="preserve"> </w:t>
      </w:r>
      <w:proofErr w:type="spellStart"/>
      <w:r w:rsidRPr="002F5974">
        <w:t>hơn</w:t>
      </w:r>
      <w:proofErr w:type="spellEnd"/>
      <w:r w:rsidRPr="002F5974">
        <w:t xml:space="preserve"> </w:t>
      </w:r>
      <w:proofErr w:type="spellStart"/>
      <w:r w:rsidRPr="002F5974">
        <w:t>mức</w:t>
      </w:r>
      <w:proofErr w:type="spellEnd"/>
      <w:r w:rsidRPr="002F5974">
        <w:t xml:space="preserve"> </w:t>
      </w:r>
      <w:proofErr w:type="spellStart"/>
      <w:r w:rsidRPr="002F5974">
        <w:t>giảm</w:t>
      </w:r>
      <w:proofErr w:type="spellEnd"/>
      <w:r w:rsidRPr="002F5974">
        <w:t xml:space="preserve"> </w:t>
      </w:r>
      <w:proofErr w:type="spellStart"/>
      <w:r w:rsidRPr="002F5974">
        <w:t>của</w:t>
      </w:r>
      <w:proofErr w:type="spellEnd"/>
      <w:r w:rsidRPr="002F5974">
        <w:t xml:space="preserve"> NAV/CCQ</w:t>
      </w:r>
    </w:p>
    <w:p w14:paraId="33F68ED3" w14:textId="77777777" w:rsidR="007922E7" w:rsidRPr="002F5974" w:rsidRDefault="007922E7" w:rsidP="002F5974">
      <w:pPr>
        <w:pStyle w:val="ListParagraph"/>
        <w:numPr>
          <w:ilvl w:val="0"/>
          <w:numId w:val="4"/>
        </w:numPr>
        <w:tabs>
          <w:tab w:val="left" w:pos="540"/>
        </w:tabs>
        <w:spacing w:before="120"/>
        <w:ind w:left="0" w:hanging="540"/>
        <w:rPr>
          <w:rFonts w:ascii="Times New Roman" w:hAnsi="Times New Roman"/>
          <w:b/>
          <w:sz w:val="24"/>
          <w:szCs w:val="24"/>
          <w:lang w:val="nl-NL"/>
        </w:rPr>
      </w:pPr>
      <w:r w:rsidRPr="002F5974">
        <w:rPr>
          <w:rFonts w:ascii="Times New Roman" w:hAnsi="Times New Roman"/>
          <w:b/>
          <w:sz w:val="24"/>
          <w:szCs w:val="24"/>
          <w:lang w:val="nl-NL"/>
        </w:rPr>
        <w:t>Thống kê về Nhà đầu tư nắm giữ Chứng chỉ quỹ tại thời điểm báo cáo</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00"/>
        <w:gridCol w:w="2500"/>
        <w:gridCol w:w="2500"/>
      </w:tblGrid>
      <w:tr w:rsidR="002F5974" w:rsidRPr="002F5974" w14:paraId="10AFDDC3" w14:textId="77777777" w:rsidTr="0073505C">
        <w:trPr>
          <w:trHeight w:val="300"/>
        </w:trPr>
        <w:tc>
          <w:tcPr>
            <w:tcW w:w="2500" w:type="dxa"/>
            <w:vMerge w:val="restart"/>
            <w:shd w:val="clear" w:color="auto" w:fill="auto"/>
            <w:vAlign w:val="center"/>
            <w:hideMark/>
          </w:tcPr>
          <w:p w14:paraId="3466312A" w14:textId="77777777" w:rsidR="008D3C20" w:rsidRPr="002F5974" w:rsidRDefault="008D3C20" w:rsidP="002F5974">
            <w:pPr>
              <w:keepLines w:val="0"/>
              <w:overflowPunct/>
              <w:autoSpaceDE/>
              <w:autoSpaceDN/>
              <w:adjustRightInd/>
              <w:jc w:val="center"/>
              <w:textAlignment w:val="auto"/>
              <w:rPr>
                <w:b/>
                <w:bCs/>
                <w:szCs w:val="22"/>
                <w:lang w:val="en-US"/>
              </w:rPr>
            </w:pPr>
            <w:r w:rsidRPr="002F5974">
              <w:rPr>
                <w:b/>
                <w:bCs/>
                <w:szCs w:val="22"/>
                <w:lang w:val="en-US"/>
              </w:rPr>
              <w:t xml:space="preserve">Quy </w:t>
            </w:r>
            <w:proofErr w:type="spellStart"/>
            <w:r w:rsidRPr="002F5974">
              <w:rPr>
                <w:b/>
                <w:bCs/>
                <w:szCs w:val="22"/>
                <w:lang w:val="en-US"/>
              </w:rPr>
              <w:t>mô</w:t>
            </w:r>
            <w:proofErr w:type="spellEnd"/>
            <w:r w:rsidRPr="002F5974">
              <w:rPr>
                <w:b/>
                <w:bCs/>
                <w:szCs w:val="22"/>
                <w:lang w:val="en-US"/>
              </w:rPr>
              <w:t xml:space="preserve"> </w:t>
            </w:r>
            <w:proofErr w:type="spellStart"/>
            <w:r w:rsidRPr="002F5974">
              <w:rPr>
                <w:b/>
                <w:bCs/>
                <w:szCs w:val="22"/>
                <w:lang w:val="en-US"/>
              </w:rPr>
              <w:t>nắm</w:t>
            </w:r>
            <w:proofErr w:type="spellEnd"/>
            <w:r w:rsidRPr="002F5974">
              <w:rPr>
                <w:b/>
                <w:bCs/>
                <w:szCs w:val="22"/>
                <w:lang w:val="en-US"/>
              </w:rPr>
              <w:t xml:space="preserve"> </w:t>
            </w:r>
            <w:proofErr w:type="spellStart"/>
            <w:r w:rsidRPr="002F5974">
              <w:rPr>
                <w:b/>
                <w:bCs/>
                <w:szCs w:val="22"/>
                <w:lang w:val="en-US"/>
              </w:rPr>
              <w:t>giữ</w:t>
            </w:r>
            <w:proofErr w:type="spellEnd"/>
            <w:r w:rsidRPr="002F5974">
              <w:rPr>
                <w:b/>
                <w:bCs/>
                <w:szCs w:val="22"/>
                <w:lang w:val="en-US"/>
              </w:rPr>
              <w:t xml:space="preserve"> (</w:t>
            </w:r>
            <w:proofErr w:type="spellStart"/>
            <w:r w:rsidRPr="002F5974">
              <w:rPr>
                <w:b/>
                <w:bCs/>
                <w:szCs w:val="22"/>
                <w:lang w:val="en-US"/>
              </w:rPr>
              <w:t>Đơn</w:t>
            </w:r>
            <w:proofErr w:type="spellEnd"/>
            <w:r w:rsidRPr="002F5974">
              <w:rPr>
                <w:b/>
                <w:bCs/>
                <w:szCs w:val="22"/>
                <w:lang w:val="en-US"/>
              </w:rPr>
              <w:t xml:space="preserve"> </w:t>
            </w:r>
            <w:proofErr w:type="spellStart"/>
            <w:r w:rsidRPr="002F5974">
              <w:rPr>
                <w:b/>
                <w:bCs/>
                <w:szCs w:val="22"/>
                <w:lang w:val="en-US"/>
              </w:rPr>
              <w:t>vị</w:t>
            </w:r>
            <w:proofErr w:type="spellEnd"/>
            <w:r w:rsidRPr="002F5974">
              <w:rPr>
                <w:b/>
                <w:bCs/>
                <w:szCs w:val="22"/>
                <w:lang w:val="en-US"/>
              </w:rPr>
              <w:t>)</w:t>
            </w:r>
          </w:p>
        </w:tc>
        <w:tc>
          <w:tcPr>
            <w:tcW w:w="2500" w:type="dxa"/>
            <w:vMerge w:val="restart"/>
            <w:shd w:val="clear" w:color="auto" w:fill="auto"/>
            <w:vAlign w:val="center"/>
            <w:hideMark/>
          </w:tcPr>
          <w:p w14:paraId="4F78F1F2" w14:textId="77777777" w:rsidR="008D3C20" w:rsidRPr="002F5974" w:rsidRDefault="008D3C20" w:rsidP="002F5974">
            <w:pPr>
              <w:keepLines w:val="0"/>
              <w:overflowPunct/>
              <w:autoSpaceDE/>
              <w:autoSpaceDN/>
              <w:adjustRightInd/>
              <w:jc w:val="center"/>
              <w:textAlignment w:val="auto"/>
              <w:rPr>
                <w:b/>
                <w:bCs/>
                <w:szCs w:val="22"/>
                <w:lang w:val="en-US"/>
              </w:rPr>
            </w:pPr>
            <w:proofErr w:type="spellStart"/>
            <w:r w:rsidRPr="002F5974">
              <w:rPr>
                <w:b/>
                <w:bCs/>
                <w:szCs w:val="22"/>
                <w:lang w:val="en-US"/>
              </w:rPr>
              <w:t>Số</w:t>
            </w:r>
            <w:proofErr w:type="spellEnd"/>
            <w:r w:rsidRPr="002F5974">
              <w:rPr>
                <w:b/>
                <w:bCs/>
                <w:szCs w:val="22"/>
                <w:lang w:val="en-US"/>
              </w:rPr>
              <w:t xml:space="preserve"> </w:t>
            </w:r>
            <w:proofErr w:type="spellStart"/>
            <w:r w:rsidRPr="002F5974">
              <w:rPr>
                <w:b/>
                <w:bCs/>
                <w:szCs w:val="22"/>
                <w:lang w:val="en-US"/>
              </w:rPr>
              <w:t>lượng</w:t>
            </w:r>
            <w:proofErr w:type="spellEnd"/>
            <w:r w:rsidRPr="002F5974">
              <w:rPr>
                <w:b/>
                <w:bCs/>
                <w:szCs w:val="22"/>
                <w:lang w:val="en-US"/>
              </w:rPr>
              <w:t xml:space="preserve"> </w:t>
            </w:r>
            <w:proofErr w:type="spellStart"/>
            <w:r w:rsidRPr="002F5974">
              <w:rPr>
                <w:b/>
                <w:bCs/>
                <w:szCs w:val="22"/>
                <w:lang w:val="en-US"/>
              </w:rPr>
              <w:t>Nhà</w:t>
            </w:r>
            <w:proofErr w:type="spellEnd"/>
            <w:r w:rsidRPr="002F5974">
              <w:rPr>
                <w:b/>
                <w:bCs/>
                <w:szCs w:val="22"/>
                <w:lang w:val="en-US"/>
              </w:rPr>
              <w:t xml:space="preserve"> </w:t>
            </w:r>
            <w:proofErr w:type="spellStart"/>
            <w:r w:rsidRPr="002F5974">
              <w:rPr>
                <w:b/>
                <w:bCs/>
                <w:szCs w:val="22"/>
                <w:lang w:val="en-US"/>
              </w:rPr>
              <w:t>đầu</w:t>
            </w:r>
            <w:proofErr w:type="spellEnd"/>
            <w:r w:rsidRPr="002F5974">
              <w:rPr>
                <w:b/>
                <w:bCs/>
                <w:szCs w:val="22"/>
                <w:lang w:val="en-US"/>
              </w:rPr>
              <w:t xml:space="preserve"> </w:t>
            </w:r>
            <w:proofErr w:type="spellStart"/>
            <w:r w:rsidRPr="002F5974">
              <w:rPr>
                <w:b/>
                <w:bCs/>
                <w:szCs w:val="22"/>
                <w:lang w:val="en-US"/>
              </w:rPr>
              <w:t>tư</w:t>
            </w:r>
            <w:proofErr w:type="spellEnd"/>
            <w:r w:rsidRPr="002F5974">
              <w:rPr>
                <w:b/>
                <w:bCs/>
                <w:szCs w:val="22"/>
                <w:lang w:val="en-US"/>
              </w:rPr>
              <w:t xml:space="preserve"> </w:t>
            </w:r>
            <w:proofErr w:type="spellStart"/>
            <w:r w:rsidRPr="002F5974">
              <w:rPr>
                <w:b/>
                <w:bCs/>
                <w:szCs w:val="22"/>
                <w:lang w:val="en-US"/>
              </w:rPr>
              <w:t>nắm</w:t>
            </w:r>
            <w:proofErr w:type="spellEnd"/>
            <w:r w:rsidRPr="002F5974">
              <w:rPr>
                <w:b/>
                <w:bCs/>
                <w:szCs w:val="22"/>
                <w:lang w:val="en-US"/>
              </w:rPr>
              <w:t xml:space="preserve"> </w:t>
            </w:r>
            <w:proofErr w:type="spellStart"/>
            <w:r w:rsidRPr="002F5974">
              <w:rPr>
                <w:b/>
                <w:bCs/>
                <w:szCs w:val="22"/>
                <w:lang w:val="en-US"/>
              </w:rPr>
              <w:t>giữ</w:t>
            </w:r>
            <w:proofErr w:type="spellEnd"/>
          </w:p>
        </w:tc>
        <w:tc>
          <w:tcPr>
            <w:tcW w:w="2500" w:type="dxa"/>
            <w:vMerge w:val="restart"/>
            <w:shd w:val="clear" w:color="auto" w:fill="auto"/>
            <w:vAlign w:val="center"/>
            <w:hideMark/>
          </w:tcPr>
          <w:p w14:paraId="6DE6BB03" w14:textId="77777777" w:rsidR="008D3C20" w:rsidRPr="002F5974" w:rsidRDefault="008D3C20" w:rsidP="002F5974">
            <w:pPr>
              <w:keepLines w:val="0"/>
              <w:overflowPunct/>
              <w:autoSpaceDE/>
              <w:autoSpaceDN/>
              <w:adjustRightInd/>
              <w:jc w:val="center"/>
              <w:textAlignment w:val="auto"/>
              <w:rPr>
                <w:b/>
                <w:bCs/>
                <w:szCs w:val="22"/>
                <w:lang w:val="en-US"/>
              </w:rPr>
            </w:pPr>
            <w:proofErr w:type="spellStart"/>
            <w:r w:rsidRPr="002F5974">
              <w:rPr>
                <w:b/>
                <w:bCs/>
                <w:szCs w:val="22"/>
                <w:lang w:val="en-US"/>
              </w:rPr>
              <w:t>Số</w:t>
            </w:r>
            <w:proofErr w:type="spellEnd"/>
            <w:r w:rsidRPr="002F5974">
              <w:rPr>
                <w:b/>
                <w:bCs/>
                <w:szCs w:val="22"/>
                <w:lang w:val="en-US"/>
              </w:rPr>
              <w:t xml:space="preserve"> </w:t>
            </w:r>
            <w:proofErr w:type="spellStart"/>
            <w:r w:rsidRPr="002F5974">
              <w:rPr>
                <w:b/>
                <w:bCs/>
                <w:szCs w:val="22"/>
                <w:lang w:val="en-US"/>
              </w:rPr>
              <w:t>lượng</w:t>
            </w:r>
            <w:proofErr w:type="spellEnd"/>
            <w:r w:rsidRPr="002F5974">
              <w:rPr>
                <w:b/>
                <w:bCs/>
                <w:szCs w:val="22"/>
                <w:lang w:val="en-US"/>
              </w:rPr>
              <w:t xml:space="preserve"> </w:t>
            </w:r>
            <w:proofErr w:type="spellStart"/>
            <w:r w:rsidRPr="002F5974">
              <w:rPr>
                <w:b/>
                <w:bCs/>
                <w:szCs w:val="22"/>
                <w:lang w:val="en-US"/>
              </w:rPr>
              <w:t>đơn</w:t>
            </w:r>
            <w:proofErr w:type="spellEnd"/>
            <w:r w:rsidRPr="002F5974">
              <w:rPr>
                <w:b/>
                <w:bCs/>
                <w:szCs w:val="22"/>
                <w:lang w:val="en-US"/>
              </w:rPr>
              <w:t xml:space="preserve"> </w:t>
            </w:r>
            <w:proofErr w:type="spellStart"/>
            <w:r w:rsidRPr="002F5974">
              <w:rPr>
                <w:b/>
                <w:bCs/>
                <w:szCs w:val="22"/>
                <w:lang w:val="en-US"/>
              </w:rPr>
              <w:t>vị</w:t>
            </w:r>
            <w:proofErr w:type="spellEnd"/>
            <w:r w:rsidRPr="002F5974">
              <w:rPr>
                <w:b/>
                <w:bCs/>
                <w:szCs w:val="22"/>
                <w:lang w:val="en-US"/>
              </w:rPr>
              <w:t xml:space="preserve"> </w:t>
            </w:r>
            <w:proofErr w:type="spellStart"/>
            <w:r w:rsidRPr="002F5974">
              <w:rPr>
                <w:b/>
                <w:bCs/>
                <w:szCs w:val="22"/>
                <w:lang w:val="en-US"/>
              </w:rPr>
              <w:t>Chứng</w:t>
            </w:r>
            <w:proofErr w:type="spellEnd"/>
            <w:r w:rsidRPr="002F5974">
              <w:rPr>
                <w:b/>
                <w:bCs/>
                <w:szCs w:val="22"/>
                <w:lang w:val="en-US"/>
              </w:rPr>
              <w:t xml:space="preserve"> </w:t>
            </w:r>
            <w:proofErr w:type="spellStart"/>
            <w:r w:rsidRPr="002F5974">
              <w:rPr>
                <w:b/>
                <w:bCs/>
                <w:szCs w:val="22"/>
                <w:lang w:val="en-US"/>
              </w:rPr>
              <w:t>chỉ</w:t>
            </w:r>
            <w:proofErr w:type="spellEnd"/>
            <w:r w:rsidRPr="002F5974">
              <w:rPr>
                <w:b/>
                <w:bCs/>
                <w:szCs w:val="22"/>
                <w:lang w:val="en-US"/>
              </w:rPr>
              <w:t xml:space="preserve"> </w:t>
            </w:r>
            <w:proofErr w:type="spellStart"/>
            <w:r w:rsidRPr="002F5974">
              <w:rPr>
                <w:b/>
                <w:bCs/>
                <w:szCs w:val="22"/>
                <w:lang w:val="en-US"/>
              </w:rPr>
              <w:t>quỹ</w:t>
            </w:r>
            <w:proofErr w:type="spellEnd"/>
            <w:r w:rsidRPr="002F5974">
              <w:rPr>
                <w:b/>
                <w:bCs/>
                <w:szCs w:val="22"/>
                <w:lang w:val="en-US"/>
              </w:rPr>
              <w:t xml:space="preserve"> </w:t>
            </w:r>
            <w:proofErr w:type="spellStart"/>
            <w:r w:rsidRPr="002F5974">
              <w:rPr>
                <w:b/>
                <w:bCs/>
                <w:szCs w:val="22"/>
                <w:lang w:val="en-US"/>
              </w:rPr>
              <w:t>nắm</w:t>
            </w:r>
            <w:proofErr w:type="spellEnd"/>
            <w:r w:rsidRPr="002F5974">
              <w:rPr>
                <w:b/>
                <w:bCs/>
                <w:szCs w:val="22"/>
                <w:lang w:val="en-US"/>
              </w:rPr>
              <w:t xml:space="preserve"> </w:t>
            </w:r>
            <w:proofErr w:type="spellStart"/>
            <w:r w:rsidRPr="002F5974">
              <w:rPr>
                <w:b/>
                <w:bCs/>
                <w:szCs w:val="22"/>
                <w:lang w:val="en-US"/>
              </w:rPr>
              <w:t>giữ</w:t>
            </w:r>
            <w:proofErr w:type="spellEnd"/>
          </w:p>
        </w:tc>
        <w:tc>
          <w:tcPr>
            <w:tcW w:w="2500" w:type="dxa"/>
            <w:shd w:val="clear" w:color="auto" w:fill="auto"/>
            <w:vAlign w:val="center"/>
            <w:hideMark/>
          </w:tcPr>
          <w:p w14:paraId="47A143B9" w14:textId="77777777" w:rsidR="008D3C20" w:rsidRPr="002F5974" w:rsidRDefault="008D3C20" w:rsidP="002F5974">
            <w:pPr>
              <w:keepLines w:val="0"/>
              <w:overflowPunct/>
              <w:autoSpaceDE/>
              <w:autoSpaceDN/>
              <w:adjustRightInd/>
              <w:jc w:val="center"/>
              <w:textAlignment w:val="auto"/>
              <w:rPr>
                <w:b/>
                <w:bCs/>
                <w:szCs w:val="22"/>
                <w:lang w:val="en-US"/>
              </w:rPr>
            </w:pPr>
            <w:proofErr w:type="spellStart"/>
            <w:r w:rsidRPr="002F5974">
              <w:rPr>
                <w:b/>
                <w:bCs/>
                <w:szCs w:val="22"/>
                <w:lang w:val="en-US"/>
              </w:rPr>
              <w:t>Tỷ</w:t>
            </w:r>
            <w:proofErr w:type="spellEnd"/>
            <w:r w:rsidRPr="002F5974">
              <w:rPr>
                <w:b/>
                <w:bCs/>
                <w:szCs w:val="22"/>
                <w:lang w:val="en-US"/>
              </w:rPr>
              <w:t xml:space="preserve"> </w:t>
            </w:r>
            <w:proofErr w:type="spellStart"/>
            <w:r w:rsidRPr="002F5974">
              <w:rPr>
                <w:b/>
                <w:bCs/>
                <w:szCs w:val="22"/>
                <w:lang w:val="en-US"/>
              </w:rPr>
              <w:t>lệ</w:t>
            </w:r>
            <w:proofErr w:type="spellEnd"/>
            <w:r w:rsidRPr="002F5974">
              <w:rPr>
                <w:b/>
                <w:bCs/>
                <w:szCs w:val="22"/>
                <w:lang w:val="en-US"/>
              </w:rPr>
              <w:t xml:space="preserve"> </w:t>
            </w:r>
            <w:proofErr w:type="spellStart"/>
            <w:r w:rsidRPr="002F5974">
              <w:rPr>
                <w:b/>
                <w:bCs/>
                <w:szCs w:val="22"/>
                <w:lang w:val="en-US"/>
              </w:rPr>
              <w:t>nắm</w:t>
            </w:r>
            <w:proofErr w:type="spellEnd"/>
            <w:r w:rsidRPr="002F5974">
              <w:rPr>
                <w:b/>
                <w:bCs/>
                <w:szCs w:val="22"/>
                <w:lang w:val="en-US"/>
              </w:rPr>
              <w:t xml:space="preserve"> </w:t>
            </w:r>
            <w:proofErr w:type="spellStart"/>
            <w:r w:rsidRPr="002F5974">
              <w:rPr>
                <w:b/>
                <w:bCs/>
                <w:szCs w:val="22"/>
                <w:lang w:val="en-US"/>
              </w:rPr>
              <w:t>giữ</w:t>
            </w:r>
            <w:proofErr w:type="spellEnd"/>
          </w:p>
        </w:tc>
      </w:tr>
      <w:tr w:rsidR="002F5974" w:rsidRPr="002F5974" w14:paraId="3EBD9588" w14:textId="77777777" w:rsidTr="0073505C">
        <w:trPr>
          <w:trHeight w:val="300"/>
        </w:trPr>
        <w:tc>
          <w:tcPr>
            <w:tcW w:w="2500" w:type="dxa"/>
            <w:vMerge/>
            <w:vAlign w:val="center"/>
            <w:hideMark/>
          </w:tcPr>
          <w:p w14:paraId="45DB353E" w14:textId="77777777" w:rsidR="008D3C20" w:rsidRPr="002F5974" w:rsidRDefault="008D3C20" w:rsidP="002F5974">
            <w:pPr>
              <w:keepLines w:val="0"/>
              <w:overflowPunct/>
              <w:autoSpaceDE/>
              <w:autoSpaceDN/>
              <w:adjustRightInd/>
              <w:jc w:val="left"/>
              <w:textAlignment w:val="auto"/>
              <w:rPr>
                <w:b/>
                <w:bCs/>
                <w:szCs w:val="22"/>
                <w:lang w:val="en-US"/>
              </w:rPr>
            </w:pPr>
          </w:p>
        </w:tc>
        <w:tc>
          <w:tcPr>
            <w:tcW w:w="2500" w:type="dxa"/>
            <w:vMerge/>
            <w:vAlign w:val="center"/>
            <w:hideMark/>
          </w:tcPr>
          <w:p w14:paraId="0596563B" w14:textId="77777777" w:rsidR="008D3C20" w:rsidRPr="002F5974" w:rsidRDefault="008D3C20" w:rsidP="002F5974">
            <w:pPr>
              <w:keepLines w:val="0"/>
              <w:overflowPunct/>
              <w:autoSpaceDE/>
              <w:autoSpaceDN/>
              <w:adjustRightInd/>
              <w:jc w:val="left"/>
              <w:textAlignment w:val="auto"/>
              <w:rPr>
                <w:b/>
                <w:bCs/>
                <w:szCs w:val="22"/>
                <w:lang w:val="en-US"/>
              </w:rPr>
            </w:pPr>
          </w:p>
        </w:tc>
        <w:tc>
          <w:tcPr>
            <w:tcW w:w="2500" w:type="dxa"/>
            <w:vMerge/>
            <w:vAlign w:val="center"/>
            <w:hideMark/>
          </w:tcPr>
          <w:p w14:paraId="7376CC94" w14:textId="77777777" w:rsidR="008D3C20" w:rsidRPr="002F5974" w:rsidRDefault="008D3C20" w:rsidP="002F5974">
            <w:pPr>
              <w:keepLines w:val="0"/>
              <w:overflowPunct/>
              <w:autoSpaceDE/>
              <w:autoSpaceDN/>
              <w:adjustRightInd/>
              <w:jc w:val="left"/>
              <w:textAlignment w:val="auto"/>
              <w:rPr>
                <w:b/>
                <w:bCs/>
                <w:szCs w:val="22"/>
                <w:lang w:val="en-US"/>
              </w:rPr>
            </w:pPr>
          </w:p>
        </w:tc>
        <w:tc>
          <w:tcPr>
            <w:tcW w:w="2500" w:type="dxa"/>
            <w:shd w:val="clear" w:color="auto" w:fill="auto"/>
            <w:vAlign w:val="center"/>
            <w:hideMark/>
          </w:tcPr>
          <w:p w14:paraId="2F933DFB" w14:textId="77777777" w:rsidR="008D3C20" w:rsidRPr="002F5974" w:rsidRDefault="008D3C20" w:rsidP="002F5974">
            <w:pPr>
              <w:keepLines w:val="0"/>
              <w:overflowPunct/>
              <w:autoSpaceDE/>
              <w:autoSpaceDN/>
              <w:adjustRightInd/>
              <w:jc w:val="center"/>
              <w:textAlignment w:val="auto"/>
              <w:rPr>
                <w:b/>
                <w:bCs/>
                <w:szCs w:val="22"/>
                <w:lang w:val="en-US"/>
              </w:rPr>
            </w:pPr>
            <w:r w:rsidRPr="002F5974">
              <w:rPr>
                <w:b/>
                <w:bCs/>
                <w:szCs w:val="22"/>
                <w:lang w:val="en-US"/>
              </w:rPr>
              <w:t>(%)</w:t>
            </w:r>
          </w:p>
        </w:tc>
      </w:tr>
      <w:tr w:rsidR="002F5974" w:rsidRPr="002F5974" w14:paraId="74CDD261" w14:textId="77777777" w:rsidTr="008506D4">
        <w:trPr>
          <w:trHeight w:val="300"/>
        </w:trPr>
        <w:tc>
          <w:tcPr>
            <w:tcW w:w="2500" w:type="dxa"/>
            <w:shd w:val="clear" w:color="auto" w:fill="auto"/>
            <w:vAlign w:val="center"/>
            <w:hideMark/>
          </w:tcPr>
          <w:p w14:paraId="7A217334" w14:textId="77777777" w:rsidR="009F567C" w:rsidRPr="002F5974" w:rsidRDefault="009F567C" w:rsidP="002F5974">
            <w:pPr>
              <w:keepLines w:val="0"/>
              <w:overflowPunct/>
              <w:autoSpaceDE/>
              <w:autoSpaceDN/>
              <w:adjustRightInd/>
              <w:textAlignment w:val="auto"/>
              <w:rPr>
                <w:szCs w:val="22"/>
                <w:lang w:val="en-US"/>
              </w:rPr>
            </w:pPr>
            <w:proofErr w:type="spellStart"/>
            <w:r w:rsidRPr="002F5974">
              <w:rPr>
                <w:szCs w:val="22"/>
                <w:lang w:val="en-US"/>
              </w:rPr>
              <w:t>Dưới</w:t>
            </w:r>
            <w:proofErr w:type="spellEnd"/>
            <w:r w:rsidRPr="002F5974">
              <w:rPr>
                <w:szCs w:val="22"/>
                <w:lang w:val="en-US"/>
              </w:rPr>
              <w:t xml:space="preserve"> 5.000</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704D96A9" w14:textId="0BC1024A" w:rsidR="009F567C" w:rsidRPr="002F5974" w:rsidRDefault="009F567C" w:rsidP="002F5974">
            <w:pPr>
              <w:keepLines w:val="0"/>
              <w:overflowPunct/>
              <w:autoSpaceDE/>
              <w:autoSpaceDN/>
              <w:adjustRightInd/>
              <w:jc w:val="right"/>
              <w:textAlignment w:val="auto"/>
              <w:rPr>
                <w:szCs w:val="22"/>
                <w:lang w:val="en-US"/>
              </w:rPr>
            </w:pPr>
            <w:r w:rsidRPr="002F5974">
              <w:t>8,605</w:t>
            </w:r>
          </w:p>
        </w:tc>
        <w:tc>
          <w:tcPr>
            <w:tcW w:w="2500" w:type="dxa"/>
            <w:tcBorders>
              <w:top w:val="single" w:sz="4" w:space="0" w:color="auto"/>
              <w:left w:val="nil"/>
              <w:bottom w:val="single" w:sz="4" w:space="0" w:color="auto"/>
              <w:right w:val="single" w:sz="4" w:space="0" w:color="auto"/>
            </w:tcBorders>
            <w:shd w:val="clear" w:color="auto" w:fill="auto"/>
            <w:noWrap/>
          </w:tcPr>
          <w:p w14:paraId="6B99CC80" w14:textId="3312BFD6" w:rsidR="009F567C" w:rsidRPr="002F5974" w:rsidRDefault="009F567C" w:rsidP="002F5974">
            <w:pPr>
              <w:keepLines w:val="0"/>
              <w:overflowPunct/>
              <w:autoSpaceDE/>
              <w:autoSpaceDN/>
              <w:adjustRightInd/>
              <w:jc w:val="right"/>
              <w:textAlignment w:val="auto"/>
              <w:rPr>
                <w:szCs w:val="22"/>
                <w:lang w:val="en-US"/>
              </w:rPr>
            </w:pPr>
            <w:r w:rsidRPr="002F5974">
              <w:t>6,544,140.00</w:t>
            </w:r>
          </w:p>
        </w:tc>
        <w:tc>
          <w:tcPr>
            <w:tcW w:w="2500" w:type="dxa"/>
            <w:tcBorders>
              <w:top w:val="single" w:sz="4" w:space="0" w:color="auto"/>
              <w:left w:val="nil"/>
              <w:bottom w:val="single" w:sz="4" w:space="0" w:color="auto"/>
              <w:right w:val="single" w:sz="4" w:space="0" w:color="auto"/>
            </w:tcBorders>
            <w:shd w:val="clear" w:color="auto" w:fill="auto"/>
          </w:tcPr>
          <w:p w14:paraId="06473520" w14:textId="131DA954" w:rsidR="009F567C" w:rsidRPr="002F5974" w:rsidRDefault="009F567C" w:rsidP="002F5974">
            <w:pPr>
              <w:keepLines w:val="0"/>
              <w:overflowPunct/>
              <w:autoSpaceDE/>
              <w:autoSpaceDN/>
              <w:adjustRightInd/>
              <w:jc w:val="right"/>
              <w:textAlignment w:val="auto"/>
              <w:rPr>
                <w:szCs w:val="22"/>
                <w:lang w:val="en-US"/>
              </w:rPr>
            </w:pPr>
            <w:r w:rsidRPr="002F5974">
              <w:t>1.78%</w:t>
            </w:r>
          </w:p>
        </w:tc>
      </w:tr>
      <w:tr w:rsidR="002F5974" w:rsidRPr="002F5974" w14:paraId="4CA64AA7" w14:textId="77777777" w:rsidTr="008506D4">
        <w:trPr>
          <w:trHeight w:val="300"/>
        </w:trPr>
        <w:tc>
          <w:tcPr>
            <w:tcW w:w="2500" w:type="dxa"/>
            <w:shd w:val="clear" w:color="auto" w:fill="auto"/>
            <w:vAlign w:val="center"/>
            <w:hideMark/>
          </w:tcPr>
          <w:p w14:paraId="170CD791" w14:textId="77777777" w:rsidR="009F567C" w:rsidRPr="002F5974" w:rsidRDefault="009F567C" w:rsidP="002F5974">
            <w:pPr>
              <w:keepLines w:val="0"/>
              <w:overflowPunct/>
              <w:autoSpaceDE/>
              <w:autoSpaceDN/>
              <w:adjustRightInd/>
              <w:textAlignment w:val="auto"/>
              <w:rPr>
                <w:szCs w:val="22"/>
                <w:lang w:val="en-US"/>
              </w:rPr>
            </w:pPr>
            <w:proofErr w:type="spellStart"/>
            <w:r w:rsidRPr="002F5974">
              <w:rPr>
                <w:szCs w:val="22"/>
                <w:lang w:val="en-US"/>
              </w:rPr>
              <w:t>Từ</w:t>
            </w:r>
            <w:proofErr w:type="spellEnd"/>
            <w:r w:rsidRPr="002F5974">
              <w:rPr>
                <w:szCs w:val="22"/>
                <w:lang w:val="en-US"/>
              </w:rPr>
              <w:t xml:space="preserve"> 5.000 </w:t>
            </w:r>
            <w:proofErr w:type="spellStart"/>
            <w:r w:rsidRPr="002F5974">
              <w:rPr>
                <w:szCs w:val="22"/>
                <w:lang w:val="en-US"/>
              </w:rPr>
              <w:t>đến</w:t>
            </w:r>
            <w:proofErr w:type="spellEnd"/>
            <w:r w:rsidRPr="002F5974">
              <w:rPr>
                <w:szCs w:val="22"/>
                <w:lang w:val="en-US"/>
              </w:rPr>
              <w:t xml:space="preserve"> 10.000</w:t>
            </w:r>
          </w:p>
        </w:tc>
        <w:tc>
          <w:tcPr>
            <w:tcW w:w="2500" w:type="dxa"/>
            <w:tcBorders>
              <w:top w:val="nil"/>
              <w:left w:val="single" w:sz="4" w:space="0" w:color="auto"/>
              <w:bottom w:val="single" w:sz="4" w:space="0" w:color="auto"/>
              <w:right w:val="single" w:sz="4" w:space="0" w:color="auto"/>
            </w:tcBorders>
            <w:shd w:val="clear" w:color="auto" w:fill="auto"/>
          </w:tcPr>
          <w:p w14:paraId="62B680C2" w14:textId="3227A4E1" w:rsidR="009F567C" w:rsidRPr="002F5974" w:rsidRDefault="009F567C" w:rsidP="002F5974">
            <w:pPr>
              <w:keepLines w:val="0"/>
              <w:overflowPunct/>
              <w:autoSpaceDE/>
              <w:autoSpaceDN/>
              <w:adjustRightInd/>
              <w:jc w:val="right"/>
              <w:textAlignment w:val="auto"/>
              <w:rPr>
                <w:szCs w:val="22"/>
                <w:lang w:val="en-US"/>
              </w:rPr>
            </w:pPr>
            <w:r w:rsidRPr="002F5974">
              <w:t>313</w:t>
            </w:r>
          </w:p>
        </w:tc>
        <w:tc>
          <w:tcPr>
            <w:tcW w:w="2500" w:type="dxa"/>
            <w:tcBorders>
              <w:top w:val="nil"/>
              <w:left w:val="nil"/>
              <w:bottom w:val="single" w:sz="4" w:space="0" w:color="auto"/>
              <w:right w:val="single" w:sz="4" w:space="0" w:color="auto"/>
            </w:tcBorders>
            <w:shd w:val="clear" w:color="auto" w:fill="auto"/>
            <w:noWrap/>
          </w:tcPr>
          <w:p w14:paraId="0E767D54" w14:textId="64408206" w:rsidR="009F567C" w:rsidRPr="002F5974" w:rsidRDefault="009F567C" w:rsidP="002F5974">
            <w:pPr>
              <w:keepLines w:val="0"/>
              <w:overflowPunct/>
              <w:autoSpaceDE/>
              <w:autoSpaceDN/>
              <w:adjustRightInd/>
              <w:jc w:val="right"/>
              <w:textAlignment w:val="auto"/>
              <w:rPr>
                <w:szCs w:val="22"/>
                <w:lang w:val="en-US"/>
              </w:rPr>
            </w:pPr>
            <w:r w:rsidRPr="002F5974">
              <w:t>2,078,650.00</w:t>
            </w:r>
          </w:p>
        </w:tc>
        <w:tc>
          <w:tcPr>
            <w:tcW w:w="2500" w:type="dxa"/>
            <w:tcBorders>
              <w:top w:val="nil"/>
              <w:left w:val="nil"/>
              <w:bottom w:val="single" w:sz="4" w:space="0" w:color="auto"/>
              <w:right w:val="single" w:sz="4" w:space="0" w:color="auto"/>
            </w:tcBorders>
            <w:shd w:val="clear" w:color="auto" w:fill="auto"/>
          </w:tcPr>
          <w:p w14:paraId="72B2B3BD" w14:textId="519BFBEA" w:rsidR="009F567C" w:rsidRPr="002F5974" w:rsidRDefault="009F567C" w:rsidP="002F5974">
            <w:pPr>
              <w:keepLines w:val="0"/>
              <w:overflowPunct/>
              <w:autoSpaceDE/>
              <w:autoSpaceDN/>
              <w:adjustRightInd/>
              <w:jc w:val="right"/>
              <w:textAlignment w:val="auto"/>
              <w:rPr>
                <w:szCs w:val="22"/>
                <w:lang w:val="en-US"/>
              </w:rPr>
            </w:pPr>
            <w:r w:rsidRPr="002F5974">
              <w:t>0.57%</w:t>
            </w:r>
          </w:p>
        </w:tc>
      </w:tr>
      <w:tr w:rsidR="002F5974" w:rsidRPr="002F5974" w14:paraId="457A6498" w14:textId="77777777" w:rsidTr="008506D4">
        <w:trPr>
          <w:trHeight w:val="300"/>
        </w:trPr>
        <w:tc>
          <w:tcPr>
            <w:tcW w:w="2500" w:type="dxa"/>
            <w:shd w:val="clear" w:color="auto" w:fill="auto"/>
            <w:vAlign w:val="center"/>
            <w:hideMark/>
          </w:tcPr>
          <w:p w14:paraId="228ABF36" w14:textId="77777777" w:rsidR="009F567C" w:rsidRPr="002F5974" w:rsidRDefault="009F567C" w:rsidP="002F5974">
            <w:pPr>
              <w:keepLines w:val="0"/>
              <w:overflowPunct/>
              <w:autoSpaceDE/>
              <w:autoSpaceDN/>
              <w:adjustRightInd/>
              <w:textAlignment w:val="auto"/>
              <w:rPr>
                <w:szCs w:val="22"/>
                <w:lang w:val="en-US"/>
              </w:rPr>
            </w:pPr>
            <w:proofErr w:type="spellStart"/>
            <w:r w:rsidRPr="002F5974">
              <w:rPr>
                <w:szCs w:val="22"/>
                <w:lang w:val="en-US"/>
              </w:rPr>
              <w:t>Từ</w:t>
            </w:r>
            <w:proofErr w:type="spellEnd"/>
            <w:r w:rsidRPr="002F5974">
              <w:rPr>
                <w:szCs w:val="22"/>
                <w:lang w:val="en-US"/>
              </w:rPr>
              <w:t xml:space="preserve"> 10.000 </w:t>
            </w:r>
            <w:proofErr w:type="spellStart"/>
            <w:r w:rsidRPr="002F5974">
              <w:rPr>
                <w:szCs w:val="22"/>
                <w:lang w:val="en-US"/>
              </w:rPr>
              <w:t>đến</w:t>
            </w:r>
            <w:proofErr w:type="spellEnd"/>
            <w:r w:rsidRPr="002F5974">
              <w:rPr>
                <w:szCs w:val="22"/>
                <w:lang w:val="en-US"/>
              </w:rPr>
              <w:t xml:space="preserve"> 50.000</w:t>
            </w:r>
          </w:p>
        </w:tc>
        <w:tc>
          <w:tcPr>
            <w:tcW w:w="2500" w:type="dxa"/>
            <w:tcBorders>
              <w:top w:val="nil"/>
              <w:left w:val="single" w:sz="4" w:space="0" w:color="auto"/>
              <w:bottom w:val="single" w:sz="4" w:space="0" w:color="auto"/>
              <w:right w:val="single" w:sz="4" w:space="0" w:color="auto"/>
            </w:tcBorders>
            <w:shd w:val="clear" w:color="auto" w:fill="auto"/>
          </w:tcPr>
          <w:p w14:paraId="3FD64C97" w14:textId="19C4E3BF" w:rsidR="009F567C" w:rsidRPr="002F5974" w:rsidRDefault="009F567C" w:rsidP="002F5974">
            <w:pPr>
              <w:keepLines w:val="0"/>
              <w:overflowPunct/>
              <w:autoSpaceDE/>
              <w:autoSpaceDN/>
              <w:adjustRightInd/>
              <w:jc w:val="right"/>
              <w:textAlignment w:val="auto"/>
              <w:rPr>
                <w:szCs w:val="22"/>
                <w:lang w:val="en-US"/>
              </w:rPr>
            </w:pPr>
            <w:r w:rsidRPr="002F5974">
              <w:t>290</w:t>
            </w:r>
          </w:p>
        </w:tc>
        <w:tc>
          <w:tcPr>
            <w:tcW w:w="2500" w:type="dxa"/>
            <w:tcBorders>
              <w:top w:val="nil"/>
              <w:left w:val="nil"/>
              <w:bottom w:val="single" w:sz="4" w:space="0" w:color="auto"/>
              <w:right w:val="single" w:sz="4" w:space="0" w:color="auto"/>
            </w:tcBorders>
            <w:shd w:val="clear" w:color="auto" w:fill="auto"/>
            <w:noWrap/>
          </w:tcPr>
          <w:p w14:paraId="1B450BC2" w14:textId="12A91102" w:rsidR="009F567C" w:rsidRPr="002F5974" w:rsidRDefault="009F567C" w:rsidP="002F5974">
            <w:pPr>
              <w:keepLines w:val="0"/>
              <w:overflowPunct/>
              <w:autoSpaceDE/>
              <w:autoSpaceDN/>
              <w:adjustRightInd/>
              <w:jc w:val="right"/>
              <w:textAlignment w:val="auto"/>
              <w:rPr>
                <w:szCs w:val="22"/>
                <w:lang w:val="en-US"/>
              </w:rPr>
            </w:pPr>
            <w:r w:rsidRPr="002F5974">
              <w:t>5,470,500.00</w:t>
            </w:r>
          </w:p>
        </w:tc>
        <w:tc>
          <w:tcPr>
            <w:tcW w:w="2500" w:type="dxa"/>
            <w:tcBorders>
              <w:top w:val="nil"/>
              <w:left w:val="nil"/>
              <w:bottom w:val="single" w:sz="4" w:space="0" w:color="auto"/>
              <w:right w:val="single" w:sz="4" w:space="0" w:color="auto"/>
            </w:tcBorders>
            <w:shd w:val="clear" w:color="auto" w:fill="auto"/>
          </w:tcPr>
          <w:p w14:paraId="42E0CF38" w14:textId="04D0ED4A" w:rsidR="009F567C" w:rsidRPr="002F5974" w:rsidRDefault="009F567C" w:rsidP="002F5974">
            <w:pPr>
              <w:keepLines w:val="0"/>
              <w:overflowPunct/>
              <w:autoSpaceDE/>
              <w:autoSpaceDN/>
              <w:adjustRightInd/>
              <w:jc w:val="right"/>
              <w:textAlignment w:val="auto"/>
              <w:rPr>
                <w:szCs w:val="22"/>
                <w:lang w:val="en-US"/>
              </w:rPr>
            </w:pPr>
            <w:r w:rsidRPr="002F5974">
              <w:t>1.50%</w:t>
            </w:r>
          </w:p>
        </w:tc>
      </w:tr>
      <w:tr w:rsidR="002F5974" w:rsidRPr="002F5974" w14:paraId="74AB593B" w14:textId="77777777" w:rsidTr="008506D4">
        <w:trPr>
          <w:trHeight w:val="300"/>
        </w:trPr>
        <w:tc>
          <w:tcPr>
            <w:tcW w:w="2500" w:type="dxa"/>
            <w:shd w:val="clear" w:color="auto" w:fill="auto"/>
            <w:vAlign w:val="center"/>
            <w:hideMark/>
          </w:tcPr>
          <w:p w14:paraId="0371FF7A" w14:textId="77777777" w:rsidR="009F567C" w:rsidRPr="002F5974" w:rsidRDefault="009F567C" w:rsidP="002F5974">
            <w:pPr>
              <w:keepLines w:val="0"/>
              <w:overflowPunct/>
              <w:autoSpaceDE/>
              <w:autoSpaceDN/>
              <w:adjustRightInd/>
              <w:textAlignment w:val="auto"/>
              <w:rPr>
                <w:szCs w:val="22"/>
                <w:lang w:val="en-US"/>
              </w:rPr>
            </w:pPr>
            <w:proofErr w:type="spellStart"/>
            <w:r w:rsidRPr="002F5974">
              <w:rPr>
                <w:szCs w:val="22"/>
                <w:lang w:val="en-US"/>
              </w:rPr>
              <w:t>Từ</w:t>
            </w:r>
            <w:proofErr w:type="spellEnd"/>
            <w:r w:rsidRPr="002F5974">
              <w:rPr>
                <w:szCs w:val="22"/>
                <w:lang w:val="en-US"/>
              </w:rPr>
              <w:t xml:space="preserve"> 50.000 </w:t>
            </w:r>
            <w:proofErr w:type="spellStart"/>
            <w:r w:rsidRPr="002F5974">
              <w:rPr>
                <w:szCs w:val="22"/>
                <w:lang w:val="en-US"/>
              </w:rPr>
              <w:t>đến</w:t>
            </w:r>
            <w:proofErr w:type="spellEnd"/>
            <w:r w:rsidRPr="002F5974">
              <w:rPr>
                <w:szCs w:val="22"/>
                <w:lang w:val="en-US"/>
              </w:rPr>
              <w:t xml:space="preserve"> 500.000</w:t>
            </w:r>
          </w:p>
        </w:tc>
        <w:tc>
          <w:tcPr>
            <w:tcW w:w="2500" w:type="dxa"/>
            <w:tcBorders>
              <w:top w:val="nil"/>
              <w:left w:val="single" w:sz="4" w:space="0" w:color="auto"/>
              <w:bottom w:val="single" w:sz="4" w:space="0" w:color="auto"/>
              <w:right w:val="single" w:sz="4" w:space="0" w:color="auto"/>
            </w:tcBorders>
            <w:shd w:val="clear" w:color="auto" w:fill="auto"/>
          </w:tcPr>
          <w:p w14:paraId="4762A025" w14:textId="556A8A55" w:rsidR="009F567C" w:rsidRPr="002F5974" w:rsidRDefault="009F567C" w:rsidP="002F5974">
            <w:pPr>
              <w:keepLines w:val="0"/>
              <w:overflowPunct/>
              <w:autoSpaceDE/>
              <w:autoSpaceDN/>
              <w:adjustRightInd/>
              <w:jc w:val="right"/>
              <w:textAlignment w:val="auto"/>
              <w:rPr>
                <w:szCs w:val="22"/>
                <w:lang w:val="en-US"/>
              </w:rPr>
            </w:pPr>
            <w:r w:rsidRPr="002F5974">
              <w:t>65</w:t>
            </w:r>
          </w:p>
        </w:tc>
        <w:tc>
          <w:tcPr>
            <w:tcW w:w="2500" w:type="dxa"/>
            <w:tcBorders>
              <w:top w:val="nil"/>
              <w:left w:val="nil"/>
              <w:bottom w:val="single" w:sz="4" w:space="0" w:color="auto"/>
              <w:right w:val="single" w:sz="4" w:space="0" w:color="auto"/>
            </w:tcBorders>
            <w:shd w:val="clear" w:color="auto" w:fill="auto"/>
            <w:noWrap/>
          </w:tcPr>
          <w:p w14:paraId="2DA68774" w14:textId="715F588F" w:rsidR="009F567C" w:rsidRPr="002F5974" w:rsidRDefault="009F567C" w:rsidP="002F5974">
            <w:pPr>
              <w:keepLines w:val="0"/>
              <w:overflowPunct/>
              <w:autoSpaceDE/>
              <w:autoSpaceDN/>
              <w:adjustRightInd/>
              <w:jc w:val="right"/>
              <w:textAlignment w:val="auto"/>
              <w:rPr>
                <w:szCs w:val="22"/>
                <w:lang w:val="en-US"/>
              </w:rPr>
            </w:pPr>
            <w:r w:rsidRPr="002F5974">
              <w:t>10,327,120.00</w:t>
            </w:r>
          </w:p>
        </w:tc>
        <w:tc>
          <w:tcPr>
            <w:tcW w:w="2500" w:type="dxa"/>
            <w:tcBorders>
              <w:top w:val="nil"/>
              <w:left w:val="nil"/>
              <w:bottom w:val="single" w:sz="4" w:space="0" w:color="auto"/>
              <w:right w:val="single" w:sz="4" w:space="0" w:color="auto"/>
            </w:tcBorders>
            <w:shd w:val="clear" w:color="auto" w:fill="auto"/>
          </w:tcPr>
          <w:p w14:paraId="68A74913" w14:textId="2374AFA4" w:rsidR="009F567C" w:rsidRPr="002F5974" w:rsidRDefault="009F567C" w:rsidP="002F5974">
            <w:pPr>
              <w:keepLines w:val="0"/>
              <w:overflowPunct/>
              <w:autoSpaceDE/>
              <w:autoSpaceDN/>
              <w:adjustRightInd/>
              <w:jc w:val="right"/>
              <w:textAlignment w:val="auto"/>
              <w:rPr>
                <w:szCs w:val="22"/>
                <w:lang w:val="en-US"/>
              </w:rPr>
            </w:pPr>
            <w:r w:rsidRPr="002F5974">
              <w:t>2.83%</w:t>
            </w:r>
          </w:p>
        </w:tc>
      </w:tr>
      <w:tr w:rsidR="002F5974" w:rsidRPr="002F5974" w14:paraId="1A13A52E" w14:textId="77777777" w:rsidTr="008506D4">
        <w:trPr>
          <w:trHeight w:val="300"/>
        </w:trPr>
        <w:tc>
          <w:tcPr>
            <w:tcW w:w="2500" w:type="dxa"/>
            <w:shd w:val="clear" w:color="auto" w:fill="auto"/>
            <w:vAlign w:val="center"/>
            <w:hideMark/>
          </w:tcPr>
          <w:p w14:paraId="6C8B2BE2" w14:textId="77777777" w:rsidR="009F567C" w:rsidRPr="002F5974" w:rsidRDefault="009F567C" w:rsidP="002F5974">
            <w:pPr>
              <w:keepLines w:val="0"/>
              <w:overflowPunct/>
              <w:autoSpaceDE/>
              <w:autoSpaceDN/>
              <w:adjustRightInd/>
              <w:textAlignment w:val="auto"/>
              <w:rPr>
                <w:szCs w:val="22"/>
                <w:lang w:val="en-US"/>
              </w:rPr>
            </w:pPr>
            <w:proofErr w:type="spellStart"/>
            <w:r w:rsidRPr="002F5974">
              <w:rPr>
                <w:szCs w:val="22"/>
                <w:lang w:val="en-US"/>
              </w:rPr>
              <w:t>Trên</w:t>
            </w:r>
            <w:proofErr w:type="spellEnd"/>
            <w:r w:rsidRPr="002F5974">
              <w:rPr>
                <w:szCs w:val="22"/>
                <w:lang w:val="en-US"/>
              </w:rPr>
              <w:t xml:space="preserve"> 500.000</w:t>
            </w:r>
          </w:p>
        </w:tc>
        <w:tc>
          <w:tcPr>
            <w:tcW w:w="2500" w:type="dxa"/>
            <w:tcBorders>
              <w:top w:val="nil"/>
              <w:left w:val="single" w:sz="4" w:space="0" w:color="auto"/>
              <w:bottom w:val="single" w:sz="4" w:space="0" w:color="auto"/>
              <w:right w:val="single" w:sz="4" w:space="0" w:color="auto"/>
            </w:tcBorders>
            <w:shd w:val="clear" w:color="auto" w:fill="auto"/>
          </w:tcPr>
          <w:p w14:paraId="321F7C42" w14:textId="0EA9091B" w:rsidR="009F567C" w:rsidRPr="002F5974" w:rsidRDefault="009F567C" w:rsidP="002F5974">
            <w:pPr>
              <w:keepLines w:val="0"/>
              <w:overflowPunct/>
              <w:autoSpaceDE/>
              <w:autoSpaceDN/>
              <w:adjustRightInd/>
              <w:jc w:val="right"/>
              <w:textAlignment w:val="auto"/>
              <w:rPr>
                <w:szCs w:val="22"/>
                <w:lang w:val="en-US"/>
              </w:rPr>
            </w:pPr>
            <w:r w:rsidRPr="002F5974">
              <w:t>35</w:t>
            </w:r>
          </w:p>
        </w:tc>
        <w:tc>
          <w:tcPr>
            <w:tcW w:w="2500" w:type="dxa"/>
            <w:tcBorders>
              <w:top w:val="nil"/>
              <w:left w:val="nil"/>
              <w:bottom w:val="single" w:sz="4" w:space="0" w:color="auto"/>
              <w:right w:val="single" w:sz="4" w:space="0" w:color="auto"/>
            </w:tcBorders>
            <w:shd w:val="clear" w:color="auto" w:fill="auto"/>
            <w:noWrap/>
          </w:tcPr>
          <w:p w14:paraId="7CEEACE4" w14:textId="6FF00CB1" w:rsidR="009F567C" w:rsidRPr="002F5974" w:rsidRDefault="009F567C" w:rsidP="002F5974">
            <w:pPr>
              <w:keepLines w:val="0"/>
              <w:overflowPunct/>
              <w:autoSpaceDE/>
              <w:autoSpaceDN/>
              <w:adjustRightInd/>
              <w:jc w:val="right"/>
              <w:textAlignment w:val="auto"/>
              <w:rPr>
                <w:szCs w:val="22"/>
                <w:lang w:val="en-US"/>
              </w:rPr>
            </w:pPr>
            <w:r w:rsidRPr="002F5974">
              <w:t>341,079,590.00</w:t>
            </w:r>
          </w:p>
        </w:tc>
        <w:tc>
          <w:tcPr>
            <w:tcW w:w="2500" w:type="dxa"/>
            <w:tcBorders>
              <w:top w:val="nil"/>
              <w:left w:val="nil"/>
              <w:bottom w:val="single" w:sz="4" w:space="0" w:color="auto"/>
              <w:right w:val="single" w:sz="4" w:space="0" w:color="auto"/>
            </w:tcBorders>
            <w:shd w:val="clear" w:color="auto" w:fill="auto"/>
          </w:tcPr>
          <w:p w14:paraId="6B6B9A84" w14:textId="64DDD5D1" w:rsidR="009F567C" w:rsidRPr="002F5974" w:rsidRDefault="009F567C" w:rsidP="002F5974">
            <w:pPr>
              <w:keepLines w:val="0"/>
              <w:overflowPunct/>
              <w:autoSpaceDE/>
              <w:autoSpaceDN/>
              <w:adjustRightInd/>
              <w:jc w:val="right"/>
              <w:textAlignment w:val="auto"/>
              <w:rPr>
                <w:szCs w:val="22"/>
                <w:lang w:val="en-US"/>
              </w:rPr>
            </w:pPr>
            <w:r w:rsidRPr="002F5974">
              <w:t>93.32%</w:t>
            </w:r>
          </w:p>
        </w:tc>
      </w:tr>
      <w:tr w:rsidR="002F5974" w:rsidRPr="002F5974" w14:paraId="3D154101" w14:textId="77777777" w:rsidTr="008506D4">
        <w:trPr>
          <w:trHeight w:val="315"/>
        </w:trPr>
        <w:tc>
          <w:tcPr>
            <w:tcW w:w="2500" w:type="dxa"/>
            <w:shd w:val="clear" w:color="auto" w:fill="auto"/>
            <w:vAlign w:val="center"/>
            <w:hideMark/>
          </w:tcPr>
          <w:p w14:paraId="745BD81B" w14:textId="77777777" w:rsidR="009F567C" w:rsidRPr="002F5974" w:rsidRDefault="009F567C" w:rsidP="002F5974">
            <w:pPr>
              <w:keepLines w:val="0"/>
              <w:overflowPunct/>
              <w:autoSpaceDE/>
              <w:autoSpaceDN/>
              <w:adjustRightInd/>
              <w:jc w:val="left"/>
              <w:textAlignment w:val="auto"/>
              <w:rPr>
                <w:b/>
                <w:bCs/>
                <w:szCs w:val="22"/>
                <w:lang w:val="en-US"/>
              </w:rPr>
            </w:pPr>
            <w:proofErr w:type="spellStart"/>
            <w:r w:rsidRPr="002F5974">
              <w:rPr>
                <w:b/>
                <w:bCs/>
                <w:szCs w:val="22"/>
                <w:lang w:val="en-US"/>
              </w:rPr>
              <w:t>Tổng</w:t>
            </w:r>
            <w:proofErr w:type="spellEnd"/>
            <w:r w:rsidRPr="002F5974">
              <w:rPr>
                <w:b/>
                <w:bCs/>
                <w:szCs w:val="22"/>
                <w:lang w:val="en-US"/>
              </w:rPr>
              <w:t xml:space="preserve"> </w:t>
            </w:r>
            <w:proofErr w:type="spellStart"/>
            <w:r w:rsidRPr="002F5974">
              <w:rPr>
                <w:b/>
                <w:bCs/>
                <w:szCs w:val="22"/>
                <w:lang w:val="en-US"/>
              </w:rPr>
              <w:t>cộng</w:t>
            </w:r>
            <w:proofErr w:type="spellEnd"/>
          </w:p>
        </w:tc>
        <w:tc>
          <w:tcPr>
            <w:tcW w:w="2500" w:type="dxa"/>
            <w:tcBorders>
              <w:top w:val="nil"/>
              <w:left w:val="single" w:sz="4" w:space="0" w:color="auto"/>
              <w:bottom w:val="single" w:sz="4" w:space="0" w:color="auto"/>
              <w:right w:val="single" w:sz="4" w:space="0" w:color="auto"/>
            </w:tcBorders>
            <w:shd w:val="clear" w:color="auto" w:fill="auto"/>
          </w:tcPr>
          <w:p w14:paraId="027E6751" w14:textId="708B78C1" w:rsidR="009F567C" w:rsidRPr="002F5974" w:rsidRDefault="009F567C" w:rsidP="002F5974">
            <w:pPr>
              <w:keepLines w:val="0"/>
              <w:overflowPunct/>
              <w:autoSpaceDE/>
              <w:autoSpaceDN/>
              <w:adjustRightInd/>
              <w:jc w:val="right"/>
              <w:textAlignment w:val="auto"/>
              <w:rPr>
                <w:b/>
                <w:bCs/>
                <w:szCs w:val="22"/>
                <w:lang w:val="en-US"/>
              </w:rPr>
            </w:pPr>
            <w:r w:rsidRPr="002F5974">
              <w:t>9,308</w:t>
            </w:r>
          </w:p>
        </w:tc>
        <w:tc>
          <w:tcPr>
            <w:tcW w:w="2500" w:type="dxa"/>
            <w:tcBorders>
              <w:top w:val="nil"/>
              <w:left w:val="nil"/>
              <w:bottom w:val="single" w:sz="4" w:space="0" w:color="auto"/>
              <w:right w:val="single" w:sz="4" w:space="0" w:color="auto"/>
            </w:tcBorders>
            <w:shd w:val="clear" w:color="auto" w:fill="auto"/>
          </w:tcPr>
          <w:p w14:paraId="464E4A4B" w14:textId="0DB75D26" w:rsidR="009F567C" w:rsidRPr="002F5974" w:rsidRDefault="009F567C" w:rsidP="002F5974">
            <w:pPr>
              <w:keepLines w:val="0"/>
              <w:overflowPunct/>
              <w:autoSpaceDE/>
              <w:autoSpaceDN/>
              <w:adjustRightInd/>
              <w:jc w:val="right"/>
              <w:textAlignment w:val="auto"/>
              <w:rPr>
                <w:b/>
                <w:bCs/>
                <w:szCs w:val="22"/>
                <w:lang w:val="en-US"/>
              </w:rPr>
            </w:pPr>
            <w:r w:rsidRPr="002F5974">
              <w:t>365,500,000.00</w:t>
            </w:r>
          </w:p>
        </w:tc>
        <w:tc>
          <w:tcPr>
            <w:tcW w:w="2500" w:type="dxa"/>
            <w:tcBorders>
              <w:top w:val="nil"/>
              <w:left w:val="nil"/>
              <w:bottom w:val="single" w:sz="4" w:space="0" w:color="auto"/>
              <w:right w:val="single" w:sz="4" w:space="0" w:color="auto"/>
            </w:tcBorders>
            <w:shd w:val="clear" w:color="auto" w:fill="auto"/>
            <w:hideMark/>
          </w:tcPr>
          <w:p w14:paraId="4484FE1C" w14:textId="315189C1" w:rsidR="009F567C" w:rsidRPr="002F5974" w:rsidRDefault="009F567C" w:rsidP="002F5974">
            <w:pPr>
              <w:keepLines w:val="0"/>
              <w:overflowPunct/>
              <w:autoSpaceDE/>
              <w:autoSpaceDN/>
              <w:adjustRightInd/>
              <w:jc w:val="right"/>
              <w:textAlignment w:val="auto"/>
              <w:rPr>
                <w:b/>
                <w:bCs/>
                <w:szCs w:val="22"/>
                <w:lang w:val="en-US"/>
              </w:rPr>
            </w:pPr>
            <w:r w:rsidRPr="002F5974">
              <w:t>100.00%</w:t>
            </w:r>
          </w:p>
        </w:tc>
      </w:tr>
    </w:tbl>
    <w:p w14:paraId="52F8FE70" w14:textId="659968B4" w:rsidR="007922E7" w:rsidRPr="002F5974" w:rsidRDefault="007922E7" w:rsidP="002F5974">
      <w:pPr>
        <w:pStyle w:val="ListParagraph"/>
        <w:numPr>
          <w:ilvl w:val="0"/>
          <w:numId w:val="4"/>
        </w:numPr>
        <w:tabs>
          <w:tab w:val="left" w:pos="540"/>
        </w:tabs>
        <w:spacing w:before="260" w:after="140"/>
        <w:ind w:left="0" w:hanging="540"/>
        <w:rPr>
          <w:rFonts w:ascii="Times New Roman" w:hAnsi="Times New Roman"/>
          <w:b/>
          <w:sz w:val="24"/>
          <w:szCs w:val="24"/>
          <w:lang w:val="nl-NL"/>
        </w:rPr>
      </w:pPr>
      <w:r w:rsidRPr="002F5974">
        <w:rPr>
          <w:rFonts w:ascii="Times New Roman" w:hAnsi="Times New Roman"/>
          <w:b/>
          <w:sz w:val="24"/>
          <w:szCs w:val="24"/>
          <w:lang w:val="nl-NL"/>
        </w:rPr>
        <w:t>Chi phí ngầm và giảm giá</w:t>
      </w:r>
    </w:p>
    <w:p w14:paraId="3545EE12" w14:textId="77777777" w:rsidR="007922E7" w:rsidRPr="002F5974" w:rsidRDefault="007922E7" w:rsidP="002F5974">
      <w:pPr>
        <w:tabs>
          <w:tab w:val="left" w:pos="540"/>
        </w:tabs>
        <w:spacing w:before="120"/>
        <w:rPr>
          <w:szCs w:val="22"/>
          <w:lang w:val="nl-NL"/>
        </w:rPr>
      </w:pPr>
      <w:r w:rsidRPr="002F5974">
        <w:rPr>
          <w:szCs w:val="22"/>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56CB0B25" w14:textId="77777777" w:rsidR="007922E7" w:rsidRPr="002F5974" w:rsidRDefault="007922E7" w:rsidP="002F5974"/>
    <w:p w14:paraId="467765C7" w14:textId="77777777" w:rsidR="007922E7" w:rsidRPr="002F5974" w:rsidRDefault="007922E7" w:rsidP="002F5974">
      <w:pPr>
        <w:tabs>
          <w:tab w:val="left" w:pos="540"/>
        </w:tabs>
        <w:rPr>
          <w:szCs w:val="22"/>
          <w:lang w:val="nl-NL"/>
        </w:rPr>
      </w:pPr>
      <w:r w:rsidRPr="002F5974">
        <w:rPr>
          <w:szCs w:val="22"/>
          <w:lang w:val="nl-NL"/>
        </w:rPr>
        <w:t>Trong kỳ báo cáo, Quỹ không phát sinh các khoản giảm giá bằng tiền hoặc chi phí ngầm liên quan đến các giao dịch của Quỹ với các đối tác cung cấp dịch vụ cho Quỹ.</w:t>
      </w:r>
    </w:p>
    <w:p w14:paraId="2CD4F6AF" w14:textId="4EB11B96" w:rsidR="00992029" w:rsidRPr="002F5974" w:rsidRDefault="007922E7" w:rsidP="002F5974">
      <w:pPr>
        <w:pStyle w:val="ListParagraph"/>
        <w:numPr>
          <w:ilvl w:val="0"/>
          <w:numId w:val="1"/>
        </w:numPr>
        <w:tabs>
          <w:tab w:val="left" w:pos="540"/>
        </w:tabs>
        <w:spacing w:before="120"/>
        <w:ind w:left="0" w:hanging="540"/>
        <w:rPr>
          <w:rFonts w:ascii="Times New Roman" w:hAnsi="Times New Roman"/>
          <w:b/>
          <w:sz w:val="28"/>
          <w:szCs w:val="28"/>
          <w:lang w:val="nl-NL"/>
        </w:rPr>
      </w:pPr>
      <w:r w:rsidRPr="002F5974">
        <w:rPr>
          <w:rFonts w:ascii="Times New Roman" w:hAnsi="Times New Roman"/>
          <w:b/>
          <w:sz w:val="28"/>
          <w:szCs w:val="28"/>
          <w:lang w:val="nl-NL"/>
        </w:rPr>
        <w:t>Thông tin về triển vọng thị trường</w:t>
      </w:r>
    </w:p>
    <w:p w14:paraId="094404A9" w14:textId="18A79E62" w:rsidR="00C16DA9" w:rsidRPr="002F5974" w:rsidRDefault="00C16DA9" w:rsidP="002F5974">
      <w:pPr>
        <w:spacing w:before="120" w:line="360" w:lineRule="auto"/>
        <w:rPr>
          <w:szCs w:val="22"/>
          <w:lang w:val="nl-NL"/>
        </w:rPr>
      </w:pPr>
      <w:r w:rsidRPr="002F5974">
        <w:rPr>
          <w:szCs w:val="22"/>
          <w:lang w:val="nl-NL"/>
        </w:rPr>
        <w:t>Tiếp đà phục hồi nền kinh tế Việt Nam đã tăng trưởng 7.7% trong Quý 2, mức cao nhất kể từ năm 2011. Nền kinh tế chứng kiến sự quay trở lại trong hầu hết các lĩnh vực và hoạt động đáng chú ý FDI vẫn tiếp tục tăng mạnh, thương mại khởi sắc và lạm phát vẫn ở trong mức kiểm soát. Với tăng trưởng 6 tháng đầu năm đã đạt 6.4%, nền tăng trưởng thấp trong nửa sau của năm ngoái, tăng trưởng kinh tế cả năm nay có thể đạt 7.0% trong kịch bản cơ sở và 8.3% trong kịch bản tốt.</w:t>
      </w:r>
    </w:p>
    <w:p w14:paraId="5CDC8707" w14:textId="47D0B103" w:rsidR="007922E7" w:rsidRPr="002F5974" w:rsidRDefault="007922E7" w:rsidP="002F5974">
      <w:pPr>
        <w:spacing w:before="120" w:line="360" w:lineRule="auto"/>
      </w:pPr>
      <w:r w:rsidRPr="002F5974">
        <w:rPr>
          <w:b/>
          <w:sz w:val="28"/>
          <w:szCs w:val="28"/>
          <w:lang w:val="nl-NL"/>
        </w:rPr>
        <w:t>Thông tin khác</w:t>
      </w:r>
    </w:p>
    <w:p w14:paraId="1334F5A8" w14:textId="77777777" w:rsidR="007922E7" w:rsidRPr="002F5974" w:rsidRDefault="007922E7" w:rsidP="002F5974">
      <w:pPr>
        <w:keepLines w:val="0"/>
        <w:tabs>
          <w:tab w:val="left" w:pos="540"/>
        </w:tabs>
        <w:spacing w:before="120"/>
        <w:rPr>
          <w:szCs w:val="22"/>
          <w:lang w:val="nl-NL"/>
        </w:rPr>
      </w:pPr>
      <w:r w:rsidRPr="002F5974">
        <w:rPr>
          <w:szCs w:val="22"/>
          <w:lang w:val="nl-NL"/>
        </w:rPr>
        <w:t>Thông tin về từng nhân sự điều hành quỹ, Ban đại diện quỹ, và Ban điều hành Công ty quản lý Quỹ như sau:</w:t>
      </w:r>
    </w:p>
    <w:p w14:paraId="71C0E6E6" w14:textId="77777777" w:rsidR="007922E7" w:rsidRPr="002F5974" w:rsidRDefault="007922E7" w:rsidP="002F5974">
      <w:pPr>
        <w:keepLines w:val="0"/>
        <w:tabs>
          <w:tab w:val="left" w:pos="540"/>
        </w:tabs>
        <w:ind w:right="37"/>
        <w:rPr>
          <w:szCs w:val="22"/>
          <w:lang w:val="nl-NL"/>
        </w:rPr>
      </w:pPr>
    </w:p>
    <w:tbl>
      <w:tblPr>
        <w:tblStyle w:val="TableGrid"/>
        <w:tblW w:w="9090" w:type="dxa"/>
        <w:tblInd w:w="-95" w:type="dxa"/>
        <w:tblLook w:val="04A0" w:firstRow="1" w:lastRow="0" w:firstColumn="1" w:lastColumn="0" w:noHBand="0" w:noVBand="1"/>
      </w:tblPr>
      <w:tblGrid>
        <w:gridCol w:w="1710"/>
        <w:gridCol w:w="1530"/>
        <w:gridCol w:w="1710"/>
        <w:gridCol w:w="1260"/>
        <w:gridCol w:w="2880"/>
      </w:tblGrid>
      <w:tr w:rsidR="002F5974" w:rsidRPr="002F5974" w14:paraId="6A8467CC" w14:textId="77777777" w:rsidTr="009876D9">
        <w:trPr>
          <w:tblHeader/>
        </w:trPr>
        <w:tc>
          <w:tcPr>
            <w:tcW w:w="1710" w:type="dxa"/>
          </w:tcPr>
          <w:p w14:paraId="10670097" w14:textId="77777777" w:rsidR="007922E7" w:rsidRPr="002F5974" w:rsidRDefault="007922E7" w:rsidP="002F5974">
            <w:pPr>
              <w:tabs>
                <w:tab w:val="left" w:pos="540"/>
              </w:tabs>
              <w:rPr>
                <w:b/>
                <w:szCs w:val="22"/>
                <w:lang w:val="nl-NL"/>
              </w:rPr>
            </w:pPr>
          </w:p>
        </w:tc>
        <w:tc>
          <w:tcPr>
            <w:tcW w:w="1530" w:type="dxa"/>
          </w:tcPr>
          <w:p w14:paraId="5A8E5E38" w14:textId="77777777" w:rsidR="007922E7" w:rsidRPr="002F5974" w:rsidRDefault="007922E7" w:rsidP="002F5974">
            <w:pPr>
              <w:tabs>
                <w:tab w:val="left" w:pos="540"/>
              </w:tabs>
              <w:rPr>
                <w:b/>
                <w:szCs w:val="22"/>
                <w:lang w:val="nl-NL"/>
              </w:rPr>
            </w:pPr>
            <w:r w:rsidRPr="002F5974">
              <w:rPr>
                <w:b/>
                <w:szCs w:val="22"/>
                <w:lang w:val="nl-NL"/>
              </w:rPr>
              <w:t>Tên</w:t>
            </w:r>
          </w:p>
        </w:tc>
        <w:tc>
          <w:tcPr>
            <w:tcW w:w="1710" w:type="dxa"/>
          </w:tcPr>
          <w:p w14:paraId="22C1817B" w14:textId="77777777" w:rsidR="007922E7" w:rsidRPr="002F5974" w:rsidRDefault="007922E7" w:rsidP="002F5974">
            <w:pPr>
              <w:tabs>
                <w:tab w:val="left" w:pos="540"/>
              </w:tabs>
              <w:rPr>
                <w:b/>
                <w:szCs w:val="22"/>
                <w:lang w:val="nl-NL"/>
              </w:rPr>
            </w:pPr>
            <w:r w:rsidRPr="002F5974">
              <w:rPr>
                <w:b/>
                <w:szCs w:val="22"/>
                <w:lang w:val="nl-NL"/>
              </w:rPr>
              <w:t>Chức vụ</w:t>
            </w:r>
          </w:p>
        </w:tc>
        <w:tc>
          <w:tcPr>
            <w:tcW w:w="1260" w:type="dxa"/>
          </w:tcPr>
          <w:p w14:paraId="74911E2D" w14:textId="77777777" w:rsidR="007922E7" w:rsidRPr="002F5974" w:rsidRDefault="007922E7" w:rsidP="002F5974">
            <w:pPr>
              <w:tabs>
                <w:tab w:val="left" w:pos="540"/>
              </w:tabs>
              <w:rPr>
                <w:b/>
                <w:szCs w:val="22"/>
                <w:lang w:val="nl-NL"/>
              </w:rPr>
            </w:pPr>
            <w:r w:rsidRPr="002F5974">
              <w:rPr>
                <w:b/>
                <w:szCs w:val="22"/>
                <w:lang w:val="nl-NL"/>
              </w:rPr>
              <w:t>Bằng cấp</w:t>
            </w:r>
          </w:p>
        </w:tc>
        <w:tc>
          <w:tcPr>
            <w:tcW w:w="2880" w:type="dxa"/>
          </w:tcPr>
          <w:p w14:paraId="7E3FA406" w14:textId="77777777" w:rsidR="007922E7" w:rsidRPr="002F5974" w:rsidRDefault="007922E7" w:rsidP="002F5974">
            <w:pPr>
              <w:tabs>
                <w:tab w:val="left" w:pos="540"/>
              </w:tabs>
              <w:rPr>
                <w:b/>
                <w:szCs w:val="22"/>
                <w:lang w:val="nl-NL"/>
              </w:rPr>
            </w:pPr>
            <w:r w:rsidRPr="002F5974">
              <w:rPr>
                <w:b/>
                <w:szCs w:val="22"/>
                <w:lang w:val="nl-NL"/>
              </w:rPr>
              <w:t>Quá trình công tác</w:t>
            </w:r>
          </w:p>
        </w:tc>
      </w:tr>
      <w:tr w:rsidR="002F5974" w:rsidRPr="002F5974" w14:paraId="760158D2" w14:textId="77777777" w:rsidTr="009876D9">
        <w:tc>
          <w:tcPr>
            <w:tcW w:w="1710" w:type="dxa"/>
            <w:vMerge w:val="restart"/>
          </w:tcPr>
          <w:p w14:paraId="748EF36B" w14:textId="77777777" w:rsidR="007922E7" w:rsidRPr="002F5974" w:rsidRDefault="007922E7" w:rsidP="002F5974">
            <w:pPr>
              <w:tabs>
                <w:tab w:val="left" w:pos="540"/>
              </w:tabs>
              <w:rPr>
                <w:szCs w:val="22"/>
                <w:lang w:val="nl-NL"/>
              </w:rPr>
            </w:pPr>
            <w:r w:rsidRPr="002F5974">
              <w:rPr>
                <w:szCs w:val="22"/>
                <w:lang w:val="nl-NL"/>
              </w:rPr>
              <w:t xml:space="preserve">Nhân sự điều hành Quỹ </w:t>
            </w:r>
          </w:p>
        </w:tc>
        <w:tc>
          <w:tcPr>
            <w:tcW w:w="1530" w:type="dxa"/>
          </w:tcPr>
          <w:p w14:paraId="2B1D48CF" w14:textId="77777777" w:rsidR="007922E7" w:rsidRPr="002F5974" w:rsidRDefault="007922E7" w:rsidP="002F5974">
            <w:pPr>
              <w:tabs>
                <w:tab w:val="left" w:pos="540"/>
              </w:tabs>
              <w:rPr>
                <w:szCs w:val="22"/>
                <w:lang w:val="nl-NL"/>
              </w:rPr>
            </w:pPr>
            <w:r w:rsidRPr="002F5974">
              <w:rPr>
                <w:szCs w:val="22"/>
                <w:lang w:val="nl-NL"/>
              </w:rPr>
              <w:t>Lương Thị Mỹ Hạnh</w:t>
            </w:r>
          </w:p>
        </w:tc>
        <w:tc>
          <w:tcPr>
            <w:tcW w:w="1710" w:type="dxa"/>
          </w:tcPr>
          <w:p w14:paraId="1D7EE745" w14:textId="582AD09C" w:rsidR="007922E7" w:rsidRPr="002F5974" w:rsidRDefault="0066569B" w:rsidP="002F5974">
            <w:pPr>
              <w:tabs>
                <w:tab w:val="left" w:pos="540"/>
              </w:tabs>
              <w:rPr>
                <w:szCs w:val="22"/>
                <w:lang w:val="nl-NL"/>
              </w:rPr>
            </w:pPr>
            <w:r w:rsidRPr="002F5974">
              <w:rPr>
                <w:szCs w:val="22"/>
                <w:lang w:val="nl-NL"/>
              </w:rPr>
              <w:t>Giám đốc Quản lý tài sản, khối trong nước</w:t>
            </w:r>
          </w:p>
        </w:tc>
        <w:tc>
          <w:tcPr>
            <w:tcW w:w="1260" w:type="dxa"/>
          </w:tcPr>
          <w:p w14:paraId="287B1324" w14:textId="77777777" w:rsidR="007922E7" w:rsidRPr="002F5974" w:rsidRDefault="007922E7" w:rsidP="002F5974">
            <w:pPr>
              <w:tabs>
                <w:tab w:val="left" w:pos="540"/>
              </w:tabs>
              <w:rPr>
                <w:szCs w:val="22"/>
                <w:lang w:val="nl-NL"/>
              </w:rPr>
            </w:pPr>
            <w:r w:rsidRPr="002F5974">
              <w:rPr>
                <w:szCs w:val="22"/>
                <w:lang w:val="vi-VN"/>
              </w:rPr>
              <w:t>Thạc sỹ Kinh tế</w:t>
            </w:r>
          </w:p>
        </w:tc>
        <w:tc>
          <w:tcPr>
            <w:tcW w:w="2880" w:type="dxa"/>
          </w:tcPr>
          <w:p w14:paraId="3736FE86" w14:textId="77777777" w:rsidR="0066569B" w:rsidRPr="002F5974" w:rsidRDefault="0066569B" w:rsidP="002F5974">
            <w:pPr>
              <w:tabs>
                <w:tab w:val="left" w:pos="540"/>
              </w:tabs>
              <w:ind w:right="72"/>
              <w:rPr>
                <w:szCs w:val="22"/>
                <w:lang w:val="vi-VN"/>
              </w:rPr>
            </w:pPr>
            <w:r w:rsidRPr="002F5974">
              <w:rPr>
                <w:szCs w:val="22"/>
                <w:lang w:val="vi-VN"/>
              </w:rPr>
              <w:t>-Từ 2010 đến 12/03/2021: Phó tổng giám đốc – Khối đầu tư nghiên cứu Công ty CP quản lý quỹ đầu tư Việt Nam.</w:t>
            </w:r>
          </w:p>
          <w:p w14:paraId="149A1416" w14:textId="53CF31F8" w:rsidR="007922E7" w:rsidRPr="002F5974" w:rsidRDefault="0066569B" w:rsidP="002F5974">
            <w:pPr>
              <w:tabs>
                <w:tab w:val="left" w:pos="540"/>
              </w:tabs>
              <w:ind w:right="72"/>
              <w:rPr>
                <w:szCs w:val="22"/>
                <w:lang w:val="nl-NL"/>
              </w:rPr>
            </w:pPr>
            <w:r w:rsidRPr="002F5974">
              <w:rPr>
                <w:szCs w:val="22"/>
                <w:lang w:val="vi-VN"/>
              </w:rPr>
              <w:t>-Từ 12/03/2021 đến nay là Giám đốc Quản lý tài sản, khối trong nước Công ty Cổ Phần Quản lý Quỹ Đầu tư Dragon Capital Việt Nam</w:t>
            </w:r>
          </w:p>
        </w:tc>
      </w:tr>
      <w:tr w:rsidR="002F5974" w:rsidRPr="002F5974" w14:paraId="4CFEE760" w14:textId="77777777" w:rsidTr="009876D9">
        <w:tc>
          <w:tcPr>
            <w:tcW w:w="1710" w:type="dxa"/>
            <w:vMerge/>
          </w:tcPr>
          <w:p w14:paraId="2CB95F69" w14:textId="77777777" w:rsidR="007922E7" w:rsidRPr="002F5974" w:rsidRDefault="007922E7" w:rsidP="002F5974">
            <w:pPr>
              <w:tabs>
                <w:tab w:val="left" w:pos="540"/>
              </w:tabs>
              <w:rPr>
                <w:szCs w:val="22"/>
                <w:lang w:val="nl-NL"/>
              </w:rPr>
            </w:pPr>
          </w:p>
        </w:tc>
        <w:tc>
          <w:tcPr>
            <w:tcW w:w="1530" w:type="dxa"/>
          </w:tcPr>
          <w:p w14:paraId="5E8E0101" w14:textId="77777777" w:rsidR="007922E7" w:rsidRPr="002F5974" w:rsidRDefault="00DD5A7E" w:rsidP="002F5974">
            <w:pPr>
              <w:tabs>
                <w:tab w:val="left" w:pos="540"/>
              </w:tabs>
              <w:rPr>
                <w:szCs w:val="22"/>
                <w:lang w:val="nl-NL"/>
              </w:rPr>
            </w:pPr>
            <w:r w:rsidRPr="002F5974">
              <w:rPr>
                <w:szCs w:val="22"/>
                <w:lang w:val="nl-NL"/>
              </w:rPr>
              <w:t>Vũ Đức Sửu</w:t>
            </w:r>
          </w:p>
        </w:tc>
        <w:tc>
          <w:tcPr>
            <w:tcW w:w="1710" w:type="dxa"/>
          </w:tcPr>
          <w:p w14:paraId="08C9769B" w14:textId="77777777" w:rsidR="007922E7" w:rsidRPr="002F5974" w:rsidRDefault="00DD5A7E" w:rsidP="002F5974">
            <w:pPr>
              <w:tabs>
                <w:tab w:val="left" w:pos="540"/>
              </w:tabs>
              <w:rPr>
                <w:szCs w:val="22"/>
                <w:lang w:val="nl-NL"/>
              </w:rPr>
            </w:pPr>
            <w:r w:rsidRPr="002F5974">
              <w:rPr>
                <w:szCs w:val="22"/>
                <w:lang w:val="nl-NL"/>
              </w:rPr>
              <w:t>Trưởng phòng quản lý danh mục đầu tư</w:t>
            </w:r>
          </w:p>
        </w:tc>
        <w:tc>
          <w:tcPr>
            <w:tcW w:w="1260" w:type="dxa"/>
          </w:tcPr>
          <w:p w14:paraId="33D7D9B9" w14:textId="77777777" w:rsidR="007922E7" w:rsidRPr="002F5974" w:rsidRDefault="007922E7" w:rsidP="002F5974">
            <w:pPr>
              <w:tabs>
                <w:tab w:val="left" w:pos="540"/>
              </w:tabs>
              <w:rPr>
                <w:szCs w:val="22"/>
                <w:lang w:val="en-US"/>
              </w:rPr>
            </w:pPr>
            <w:r w:rsidRPr="002F5974">
              <w:rPr>
                <w:szCs w:val="22"/>
                <w:lang w:val="vi-VN"/>
              </w:rPr>
              <w:t xml:space="preserve">Thạc sỹ </w:t>
            </w:r>
            <w:proofErr w:type="spellStart"/>
            <w:r w:rsidR="00DD5A7E" w:rsidRPr="002F5974">
              <w:rPr>
                <w:szCs w:val="22"/>
                <w:lang w:val="en-US"/>
              </w:rPr>
              <w:t>Toán</w:t>
            </w:r>
            <w:proofErr w:type="spellEnd"/>
            <w:r w:rsidR="00DD5A7E" w:rsidRPr="002F5974">
              <w:rPr>
                <w:szCs w:val="22"/>
                <w:lang w:val="en-US"/>
              </w:rPr>
              <w:t xml:space="preserve"> </w:t>
            </w:r>
            <w:proofErr w:type="spellStart"/>
            <w:r w:rsidR="00DD5A7E" w:rsidRPr="002F5974">
              <w:rPr>
                <w:szCs w:val="22"/>
                <w:lang w:val="en-US"/>
              </w:rPr>
              <w:t>ứng</w:t>
            </w:r>
            <w:proofErr w:type="spellEnd"/>
            <w:r w:rsidR="00DD5A7E" w:rsidRPr="002F5974">
              <w:rPr>
                <w:szCs w:val="22"/>
                <w:lang w:val="en-US"/>
              </w:rPr>
              <w:t xml:space="preserve"> </w:t>
            </w:r>
            <w:proofErr w:type="spellStart"/>
            <w:r w:rsidR="00DD5A7E" w:rsidRPr="002F5974">
              <w:rPr>
                <w:szCs w:val="22"/>
                <w:lang w:val="en-US"/>
              </w:rPr>
              <w:t>dụng</w:t>
            </w:r>
            <w:proofErr w:type="spellEnd"/>
          </w:p>
        </w:tc>
        <w:tc>
          <w:tcPr>
            <w:tcW w:w="2880" w:type="dxa"/>
          </w:tcPr>
          <w:p w14:paraId="7AC857A2" w14:textId="32332567" w:rsidR="00DD5A7E" w:rsidRPr="002F5974" w:rsidRDefault="0066569B" w:rsidP="002F5974">
            <w:pPr>
              <w:ind w:right="72"/>
              <w:rPr>
                <w:lang w:val="vi-VN"/>
              </w:rPr>
            </w:pPr>
            <w:r w:rsidRPr="002F5974">
              <w:rPr>
                <w:lang w:val="en-US"/>
              </w:rPr>
              <w:t xml:space="preserve">- </w:t>
            </w:r>
            <w:proofErr w:type="spellStart"/>
            <w:r w:rsidRPr="002F5974">
              <w:rPr>
                <w:lang w:val="en-US"/>
              </w:rPr>
              <w:t>Từ</w:t>
            </w:r>
            <w:proofErr w:type="spellEnd"/>
            <w:r w:rsidRPr="002F5974">
              <w:rPr>
                <w:lang w:val="en-US"/>
              </w:rPr>
              <w:t xml:space="preserve"> </w:t>
            </w:r>
            <w:r w:rsidR="00DD5A7E" w:rsidRPr="002F5974">
              <w:rPr>
                <w:lang w:val="vi-VN"/>
              </w:rPr>
              <w:t>2010-2014: Chuyên viên đầu tư</w:t>
            </w:r>
          </w:p>
          <w:p w14:paraId="72D6E25A" w14:textId="77777777" w:rsidR="00DD5A7E" w:rsidRPr="002F5974" w:rsidRDefault="00DD5A7E" w:rsidP="002F5974">
            <w:pPr>
              <w:ind w:right="72"/>
              <w:rPr>
                <w:lang w:val="vi-VN"/>
              </w:rPr>
            </w:pPr>
            <w:r w:rsidRPr="002F5974">
              <w:rPr>
                <w:lang w:val="vi-VN"/>
              </w:rPr>
              <w:t xml:space="preserve">2014- </w:t>
            </w:r>
            <w:proofErr w:type="spellStart"/>
            <w:r w:rsidRPr="002F5974">
              <w:t>tháng</w:t>
            </w:r>
            <w:proofErr w:type="spellEnd"/>
            <w:r w:rsidRPr="002F5974">
              <w:t xml:space="preserve"> 1/</w:t>
            </w:r>
            <w:r w:rsidRPr="002F5974">
              <w:rPr>
                <w:lang w:val="vi-VN"/>
              </w:rPr>
              <w:t>2016: Chuyên viên đầu tư cao cấp</w:t>
            </w:r>
          </w:p>
          <w:p w14:paraId="38B68451" w14:textId="5FF833FA" w:rsidR="007922E7" w:rsidRPr="002F5974" w:rsidRDefault="0066569B" w:rsidP="002F5974">
            <w:pPr>
              <w:tabs>
                <w:tab w:val="left" w:pos="540"/>
              </w:tabs>
              <w:ind w:right="72"/>
              <w:rPr>
                <w:szCs w:val="22"/>
                <w:lang w:val="nl-NL"/>
              </w:rPr>
            </w:pPr>
            <w:r w:rsidRPr="002F5974">
              <w:rPr>
                <w:lang w:val="en-US"/>
              </w:rPr>
              <w:t xml:space="preserve">- </w:t>
            </w:r>
            <w:r w:rsidR="00DD5A7E" w:rsidRPr="002F5974">
              <w:rPr>
                <w:lang w:val="vi-VN"/>
              </w:rPr>
              <w:t xml:space="preserve">Từ </w:t>
            </w:r>
            <w:proofErr w:type="spellStart"/>
            <w:r w:rsidR="00DD5A7E" w:rsidRPr="002F5974">
              <w:t>tháng</w:t>
            </w:r>
            <w:proofErr w:type="spellEnd"/>
            <w:r w:rsidR="00DD5A7E" w:rsidRPr="002F5974">
              <w:t xml:space="preserve"> 1/</w:t>
            </w:r>
            <w:r w:rsidR="00DD5A7E" w:rsidRPr="002F5974">
              <w:rPr>
                <w:lang w:val="vi-VN"/>
              </w:rPr>
              <w:t>2016 đến nay: Trưởng phòng quản lý danh mục đầu tư</w:t>
            </w:r>
          </w:p>
        </w:tc>
      </w:tr>
      <w:tr w:rsidR="002F5974" w:rsidRPr="002F5974" w14:paraId="7B8C95B2" w14:textId="77777777" w:rsidTr="009876D9">
        <w:tc>
          <w:tcPr>
            <w:tcW w:w="9090" w:type="dxa"/>
            <w:gridSpan w:val="5"/>
          </w:tcPr>
          <w:p w14:paraId="69FF2072" w14:textId="77777777" w:rsidR="007922E7" w:rsidRPr="002F5974" w:rsidRDefault="007922E7" w:rsidP="002F5974">
            <w:pPr>
              <w:tabs>
                <w:tab w:val="left" w:pos="540"/>
              </w:tabs>
              <w:rPr>
                <w:szCs w:val="22"/>
                <w:lang w:val="nl-NL"/>
              </w:rPr>
            </w:pPr>
          </w:p>
        </w:tc>
      </w:tr>
      <w:tr w:rsidR="002F5974" w:rsidRPr="002F5974" w14:paraId="1D711421" w14:textId="77777777" w:rsidTr="009876D9">
        <w:tc>
          <w:tcPr>
            <w:tcW w:w="1710" w:type="dxa"/>
            <w:vMerge w:val="restart"/>
          </w:tcPr>
          <w:p w14:paraId="5B57B729" w14:textId="77777777" w:rsidR="007922E7" w:rsidRPr="002F5974" w:rsidRDefault="007922E7" w:rsidP="002F5974">
            <w:pPr>
              <w:tabs>
                <w:tab w:val="left" w:pos="540"/>
              </w:tabs>
              <w:rPr>
                <w:szCs w:val="22"/>
                <w:lang w:val="nl-NL"/>
              </w:rPr>
            </w:pPr>
            <w:r w:rsidRPr="002F5974">
              <w:rPr>
                <w:szCs w:val="22"/>
                <w:lang w:val="nl-NL"/>
              </w:rPr>
              <w:t>Ban đại diện Quỹ</w:t>
            </w:r>
          </w:p>
        </w:tc>
        <w:tc>
          <w:tcPr>
            <w:tcW w:w="1530" w:type="dxa"/>
          </w:tcPr>
          <w:p w14:paraId="4F1A9681" w14:textId="77777777" w:rsidR="007922E7" w:rsidRPr="002F5974" w:rsidRDefault="007922E7" w:rsidP="002F5974">
            <w:pPr>
              <w:tabs>
                <w:tab w:val="left" w:pos="540"/>
              </w:tabs>
              <w:rPr>
                <w:szCs w:val="22"/>
                <w:lang w:val="nl-NL"/>
              </w:rPr>
            </w:pPr>
            <w:r w:rsidRPr="002F5974">
              <w:rPr>
                <w:szCs w:val="22"/>
                <w:lang w:val="nl-NL"/>
              </w:rPr>
              <w:t>Nguyễn Bội Hồng Lê</w:t>
            </w:r>
          </w:p>
        </w:tc>
        <w:tc>
          <w:tcPr>
            <w:tcW w:w="1710" w:type="dxa"/>
          </w:tcPr>
          <w:p w14:paraId="4A0CC14F" w14:textId="77777777" w:rsidR="007922E7" w:rsidRPr="002F5974" w:rsidRDefault="007922E7" w:rsidP="002F5974">
            <w:pPr>
              <w:tabs>
                <w:tab w:val="left" w:pos="540"/>
              </w:tabs>
              <w:rPr>
                <w:szCs w:val="22"/>
                <w:lang w:val="nl-NL"/>
              </w:rPr>
            </w:pPr>
            <w:r w:rsidRPr="002F5974">
              <w:rPr>
                <w:szCs w:val="22"/>
                <w:lang w:val="nl-NL"/>
              </w:rPr>
              <w:t xml:space="preserve">Chủ tịch </w:t>
            </w:r>
          </w:p>
        </w:tc>
        <w:tc>
          <w:tcPr>
            <w:tcW w:w="1260" w:type="dxa"/>
          </w:tcPr>
          <w:p w14:paraId="6660C37F" w14:textId="77777777" w:rsidR="007922E7" w:rsidRPr="002F5974" w:rsidRDefault="007922E7" w:rsidP="002F5974">
            <w:pPr>
              <w:tabs>
                <w:tab w:val="left" w:pos="540"/>
              </w:tabs>
              <w:rPr>
                <w:szCs w:val="22"/>
                <w:lang w:val="vi-VN"/>
              </w:rPr>
            </w:pPr>
            <w:r w:rsidRPr="002F5974">
              <w:rPr>
                <w:szCs w:val="22"/>
                <w:lang w:val="vi-VN"/>
              </w:rPr>
              <w:t>Thạc sỹ Quản trị kinh doanh</w:t>
            </w:r>
          </w:p>
        </w:tc>
        <w:tc>
          <w:tcPr>
            <w:tcW w:w="2880" w:type="dxa"/>
          </w:tcPr>
          <w:p w14:paraId="2938CA23" w14:textId="2D53D073" w:rsidR="007922E7" w:rsidRPr="002F5974" w:rsidRDefault="0066569B" w:rsidP="002F5974">
            <w:pPr>
              <w:tabs>
                <w:tab w:val="left" w:pos="540"/>
              </w:tabs>
              <w:ind w:right="72"/>
              <w:rPr>
                <w:lang w:val="vi-VN"/>
              </w:rPr>
            </w:pPr>
            <w:r w:rsidRPr="002F5974">
              <w:rPr>
                <w:lang w:val="en-US"/>
              </w:rPr>
              <w:t xml:space="preserve">- </w:t>
            </w:r>
            <w:r w:rsidR="007922E7" w:rsidRPr="002F5974">
              <w:rPr>
                <w:lang w:val="vi-VN"/>
              </w:rPr>
              <w:t>Từ 2010 đến 2012: Trưởng phòng giao dịch chứng khoán công ty CP chứng khoán dầu khí</w:t>
            </w:r>
          </w:p>
          <w:p w14:paraId="02AF62E1" w14:textId="7C3C3896" w:rsidR="007922E7" w:rsidRPr="002F5974" w:rsidRDefault="0066569B" w:rsidP="002F5974">
            <w:pPr>
              <w:tabs>
                <w:tab w:val="left" w:pos="540"/>
              </w:tabs>
              <w:ind w:right="72"/>
              <w:rPr>
                <w:lang w:val="vi-VN"/>
              </w:rPr>
            </w:pPr>
            <w:r w:rsidRPr="002F5974">
              <w:rPr>
                <w:lang w:val="en-US"/>
              </w:rPr>
              <w:t xml:space="preserve">- </w:t>
            </w:r>
            <w:r w:rsidR="007922E7" w:rsidRPr="002F5974">
              <w:rPr>
                <w:lang w:val="vi-VN"/>
              </w:rPr>
              <w:t xml:space="preserve">Từ 2012 đến nay: Chuyên gia Kinh tế và Quản lý dầu </w:t>
            </w:r>
            <w:r w:rsidR="007922E7" w:rsidRPr="002F5974">
              <w:rPr>
                <w:szCs w:val="22"/>
                <w:lang w:val="vi-VN"/>
              </w:rPr>
              <w:t>khí</w:t>
            </w:r>
            <w:r w:rsidR="007922E7" w:rsidRPr="002F5974">
              <w:rPr>
                <w:lang w:val="vi-VN"/>
              </w:rPr>
              <w:t xml:space="preserve"> Viện Dầu khí Việt Nam</w:t>
            </w:r>
          </w:p>
        </w:tc>
      </w:tr>
      <w:tr w:rsidR="002F5974" w:rsidRPr="002F5974" w14:paraId="3B233BE5" w14:textId="77777777" w:rsidTr="009876D9">
        <w:tc>
          <w:tcPr>
            <w:tcW w:w="1710" w:type="dxa"/>
            <w:vMerge/>
          </w:tcPr>
          <w:p w14:paraId="161DE6EC" w14:textId="77777777" w:rsidR="007922E7" w:rsidRPr="002F5974" w:rsidRDefault="007922E7" w:rsidP="002F5974">
            <w:pPr>
              <w:tabs>
                <w:tab w:val="left" w:pos="540"/>
              </w:tabs>
              <w:rPr>
                <w:szCs w:val="22"/>
                <w:lang w:val="nl-NL"/>
              </w:rPr>
            </w:pPr>
          </w:p>
        </w:tc>
        <w:tc>
          <w:tcPr>
            <w:tcW w:w="1530" w:type="dxa"/>
          </w:tcPr>
          <w:p w14:paraId="1430A74E" w14:textId="77777777" w:rsidR="007922E7" w:rsidRPr="002F5974" w:rsidRDefault="007922E7" w:rsidP="002F5974">
            <w:pPr>
              <w:tabs>
                <w:tab w:val="left" w:pos="540"/>
              </w:tabs>
              <w:rPr>
                <w:szCs w:val="22"/>
                <w:lang w:val="nl-NL"/>
              </w:rPr>
            </w:pPr>
            <w:r w:rsidRPr="002F5974">
              <w:rPr>
                <w:szCs w:val="22"/>
                <w:lang w:val="nl-NL"/>
              </w:rPr>
              <w:t>Lê Thị Thu Hương</w:t>
            </w:r>
          </w:p>
        </w:tc>
        <w:tc>
          <w:tcPr>
            <w:tcW w:w="1710" w:type="dxa"/>
          </w:tcPr>
          <w:p w14:paraId="298F1E53" w14:textId="77777777" w:rsidR="007922E7" w:rsidRPr="002F5974" w:rsidRDefault="007922E7" w:rsidP="002F5974">
            <w:pPr>
              <w:tabs>
                <w:tab w:val="left" w:pos="540"/>
              </w:tabs>
              <w:rPr>
                <w:szCs w:val="22"/>
                <w:lang w:val="nl-NL"/>
              </w:rPr>
            </w:pPr>
            <w:r w:rsidRPr="002F5974">
              <w:rPr>
                <w:szCs w:val="22"/>
                <w:lang w:val="nl-NL"/>
              </w:rPr>
              <w:t>Thành viên</w:t>
            </w:r>
          </w:p>
        </w:tc>
        <w:tc>
          <w:tcPr>
            <w:tcW w:w="1260" w:type="dxa"/>
          </w:tcPr>
          <w:p w14:paraId="728B1876" w14:textId="77777777" w:rsidR="007922E7" w:rsidRPr="002F5974" w:rsidRDefault="007922E7" w:rsidP="002F5974">
            <w:pPr>
              <w:tabs>
                <w:tab w:val="left" w:pos="540"/>
              </w:tabs>
              <w:rPr>
                <w:szCs w:val="22"/>
                <w:lang w:val="nl-NL"/>
              </w:rPr>
            </w:pPr>
            <w:r w:rsidRPr="002F5974">
              <w:rPr>
                <w:szCs w:val="22"/>
                <w:lang w:val="nl-NL"/>
              </w:rPr>
              <w:t>Cử nhân Kế toán – Kiểm toán</w:t>
            </w:r>
          </w:p>
        </w:tc>
        <w:tc>
          <w:tcPr>
            <w:tcW w:w="2880" w:type="dxa"/>
          </w:tcPr>
          <w:p w14:paraId="1AE696B6" w14:textId="11969205" w:rsidR="0066569B" w:rsidRPr="002F5974" w:rsidRDefault="0066569B" w:rsidP="002F5974">
            <w:pPr>
              <w:tabs>
                <w:tab w:val="left" w:pos="540"/>
              </w:tabs>
              <w:ind w:right="72"/>
              <w:rPr>
                <w:lang w:val="nl-NL"/>
              </w:rPr>
            </w:pPr>
            <w:r w:rsidRPr="002F5974">
              <w:rPr>
                <w:lang w:val="nl-NL"/>
              </w:rPr>
              <w:t>- Từ 2011 đến 2012: Phó giám đốc công ty TNHH kiểm toán AS</w:t>
            </w:r>
          </w:p>
          <w:p w14:paraId="1B308755" w14:textId="54E79654" w:rsidR="0066569B" w:rsidRPr="002F5974" w:rsidRDefault="0066569B" w:rsidP="002F5974">
            <w:pPr>
              <w:tabs>
                <w:tab w:val="left" w:pos="540"/>
              </w:tabs>
              <w:ind w:right="72"/>
              <w:rPr>
                <w:lang w:val="nl-NL"/>
              </w:rPr>
            </w:pPr>
            <w:r w:rsidRPr="002F5974">
              <w:rPr>
                <w:lang w:val="nl-NL"/>
              </w:rPr>
              <w:t>- Từ 2012 đến 2020: Phó Tổng giám đốc công ty TNHH kiểm toán Đại Tín.</w:t>
            </w:r>
          </w:p>
          <w:p w14:paraId="09AFDFA4" w14:textId="22701C27" w:rsidR="007922E7" w:rsidRPr="002F5974" w:rsidRDefault="0066569B" w:rsidP="002F5974">
            <w:pPr>
              <w:tabs>
                <w:tab w:val="left" w:pos="540"/>
              </w:tabs>
              <w:ind w:right="72"/>
              <w:rPr>
                <w:szCs w:val="22"/>
                <w:lang w:val="nl-NL"/>
              </w:rPr>
            </w:pPr>
            <w:r w:rsidRPr="002F5974">
              <w:rPr>
                <w:lang w:val="nl-NL"/>
              </w:rPr>
              <w:t>- Từ 2020 đến nay:  Sáng lập viên &amp; Giám đốc Công ty TNHH kiểm toán Chuẩn Vàng.</w:t>
            </w:r>
          </w:p>
        </w:tc>
      </w:tr>
      <w:tr w:rsidR="002F5974" w:rsidRPr="002F5974" w14:paraId="4FAB304F" w14:textId="77777777" w:rsidTr="009876D9">
        <w:tc>
          <w:tcPr>
            <w:tcW w:w="1710" w:type="dxa"/>
            <w:vMerge/>
          </w:tcPr>
          <w:p w14:paraId="51BD8533" w14:textId="77777777" w:rsidR="007922E7" w:rsidRPr="002F5974" w:rsidRDefault="007922E7" w:rsidP="002F5974">
            <w:pPr>
              <w:tabs>
                <w:tab w:val="left" w:pos="540"/>
              </w:tabs>
              <w:rPr>
                <w:szCs w:val="22"/>
                <w:lang w:val="nl-NL"/>
              </w:rPr>
            </w:pPr>
          </w:p>
        </w:tc>
        <w:tc>
          <w:tcPr>
            <w:tcW w:w="1530" w:type="dxa"/>
          </w:tcPr>
          <w:p w14:paraId="6EABDA87" w14:textId="77777777" w:rsidR="007922E7" w:rsidRPr="002F5974" w:rsidRDefault="007922E7" w:rsidP="002F5974">
            <w:pPr>
              <w:tabs>
                <w:tab w:val="left" w:pos="540"/>
              </w:tabs>
              <w:rPr>
                <w:szCs w:val="22"/>
                <w:lang w:val="nl-NL"/>
              </w:rPr>
            </w:pPr>
            <w:r w:rsidRPr="002F5974">
              <w:rPr>
                <w:szCs w:val="22"/>
                <w:lang w:val="nl-NL"/>
              </w:rPr>
              <w:t>Phạm Thị Thanh Thúy</w:t>
            </w:r>
          </w:p>
        </w:tc>
        <w:tc>
          <w:tcPr>
            <w:tcW w:w="1710" w:type="dxa"/>
          </w:tcPr>
          <w:p w14:paraId="51EB678D" w14:textId="77777777" w:rsidR="007922E7" w:rsidRPr="002F5974" w:rsidRDefault="007922E7" w:rsidP="002F5974">
            <w:pPr>
              <w:tabs>
                <w:tab w:val="left" w:pos="540"/>
              </w:tabs>
              <w:rPr>
                <w:szCs w:val="22"/>
                <w:lang w:val="nl-NL"/>
              </w:rPr>
            </w:pPr>
            <w:r w:rsidRPr="002F5974">
              <w:rPr>
                <w:szCs w:val="22"/>
                <w:lang w:val="nl-NL"/>
              </w:rPr>
              <w:t>Thành viên</w:t>
            </w:r>
          </w:p>
        </w:tc>
        <w:tc>
          <w:tcPr>
            <w:tcW w:w="1260" w:type="dxa"/>
          </w:tcPr>
          <w:p w14:paraId="4EF06576" w14:textId="77777777" w:rsidR="007922E7" w:rsidRPr="002F5974" w:rsidRDefault="007922E7" w:rsidP="002F5974">
            <w:pPr>
              <w:tabs>
                <w:tab w:val="left" w:pos="540"/>
              </w:tabs>
              <w:rPr>
                <w:szCs w:val="22"/>
                <w:lang w:val="nl-NL"/>
              </w:rPr>
            </w:pPr>
            <w:r w:rsidRPr="002F5974">
              <w:rPr>
                <w:szCs w:val="22"/>
                <w:lang w:val="vi-VN"/>
              </w:rPr>
              <w:t xml:space="preserve">Luật Sư </w:t>
            </w:r>
          </w:p>
        </w:tc>
        <w:tc>
          <w:tcPr>
            <w:tcW w:w="2880" w:type="dxa"/>
          </w:tcPr>
          <w:p w14:paraId="2978029E" w14:textId="018B674C" w:rsidR="0066569B" w:rsidRPr="002F5974" w:rsidRDefault="0066569B" w:rsidP="002F5974">
            <w:pPr>
              <w:tabs>
                <w:tab w:val="left" w:pos="540"/>
              </w:tabs>
              <w:ind w:right="72"/>
              <w:rPr>
                <w:lang w:val="vi-VN"/>
              </w:rPr>
            </w:pPr>
            <w:r w:rsidRPr="002F5974">
              <w:rPr>
                <w:lang w:val="vi-VN"/>
              </w:rPr>
              <w:t>-</w:t>
            </w:r>
            <w:r w:rsidRPr="002F5974">
              <w:rPr>
                <w:lang w:val="en-US"/>
              </w:rPr>
              <w:t xml:space="preserve"> </w:t>
            </w:r>
            <w:r w:rsidRPr="002F5974">
              <w:rPr>
                <w:lang w:val="vi-VN"/>
              </w:rPr>
              <w:t>Từ 2010 đến 01/01/2021: Trưởng phòng Pháp chế tuân thủ</w:t>
            </w:r>
          </w:p>
          <w:p w14:paraId="77714684" w14:textId="0276E3A0" w:rsidR="007922E7" w:rsidRPr="002F5974" w:rsidRDefault="0066569B" w:rsidP="002F5974">
            <w:pPr>
              <w:tabs>
                <w:tab w:val="left" w:pos="540"/>
              </w:tabs>
              <w:ind w:right="72"/>
              <w:rPr>
                <w:lang w:val="nl-NL"/>
              </w:rPr>
            </w:pPr>
            <w:r w:rsidRPr="002F5974">
              <w:rPr>
                <w:lang w:val="vi-VN"/>
              </w:rPr>
              <w:t>-</w:t>
            </w:r>
            <w:r w:rsidRPr="002F5974">
              <w:rPr>
                <w:lang w:val="en-US"/>
              </w:rPr>
              <w:t xml:space="preserve"> </w:t>
            </w:r>
            <w:r w:rsidRPr="002F5974">
              <w:rPr>
                <w:lang w:val="vi-VN"/>
              </w:rPr>
              <w:t>Từ 01/01/2021: đến nay là luật sư tư vấn nội bộ Công ty Cổ Phần Quản lý Quỹ Đầu tư Dragon Capital Việt Nam.</w:t>
            </w:r>
          </w:p>
        </w:tc>
      </w:tr>
      <w:tr w:rsidR="002F5974" w:rsidRPr="002F5974" w14:paraId="60A436AD" w14:textId="77777777" w:rsidTr="009876D9">
        <w:tc>
          <w:tcPr>
            <w:tcW w:w="9090" w:type="dxa"/>
            <w:gridSpan w:val="5"/>
          </w:tcPr>
          <w:p w14:paraId="7569385D" w14:textId="77777777" w:rsidR="007922E7" w:rsidRPr="002F5974" w:rsidRDefault="007922E7" w:rsidP="002F5974">
            <w:pPr>
              <w:tabs>
                <w:tab w:val="left" w:pos="540"/>
              </w:tabs>
              <w:rPr>
                <w:szCs w:val="22"/>
                <w:lang w:val="nl-NL"/>
              </w:rPr>
            </w:pPr>
          </w:p>
        </w:tc>
      </w:tr>
      <w:tr w:rsidR="002F5974" w:rsidRPr="002F5974" w14:paraId="09133C47" w14:textId="77777777" w:rsidTr="009876D9">
        <w:tc>
          <w:tcPr>
            <w:tcW w:w="1710" w:type="dxa"/>
          </w:tcPr>
          <w:p w14:paraId="16D28476" w14:textId="77777777" w:rsidR="0066569B" w:rsidRPr="002F5974" w:rsidRDefault="0066569B" w:rsidP="002F5974">
            <w:pPr>
              <w:tabs>
                <w:tab w:val="left" w:pos="540"/>
              </w:tabs>
              <w:rPr>
                <w:szCs w:val="22"/>
                <w:lang w:val="nl-NL"/>
              </w:rPr>
            </w:pPr>
            <w:r w:rsidRPr="002F5974">
              <w:rPr>
                <w:szCs w:val="22"/>
                <w:lang w:val="nl-NL"/>
              </w:rPr>
              <w:lastRenderedPageBreak/>
              <w:t>Ban điều hành Công ty Quản lý quỹ</w:t>
            </w:r>
          </w:p>
        </w:tc>
        <w:tc>
          <w:tcPr>
            <w:tcW w:w="1530" w:type="dxa"/>
          </w:tcPr>
          <w:p w14:paraId="25304EC7" w14:textId="4F33BDA7" w:rsidR="0066569B" w:rsidRPr="002F5974" w:rsidRDefault="0066569B" w:rsidP="002F5974">
            <w:pPr>
              <w:tabs>
                <w:tab w:val="left" w:pos="540"/>
              </w:tabs>
              <w:rPr>
                <w:szCs w:val="22"/>
                <w:lang w:val="nl-NL"/>
              </w:rPr>
            </w:pPr>
            <w:proofErr w:type="spellStart"/>
            <w:r w:rsidRPr="002F5974">
              <w:t>Ông</w:t>
            </w:r>
            <w:proofErr w:type="spellEnd"/>
            <w:r w:rsidRPr="002F5974">
              <w:t xml:space="preserve"> Beat </w:t>
            </w:r>
            <w:proofErr w:type="spellStart"/>
            <w:r w:rsidRPr="002F5974">
              <w:t>Schurch</w:t>
            </w:r>
            <w:proofErr w:type="spellEnd"/>
          </w:p>
        </w:tc>
        <w:tc>
          <w:tcPr>
            <w:tcW w:w="1710" w:type="dxa"/>
          </w:tcPr>
          <w:p w14:paraId="494AECB4" w14:textId="7ECEF4ED" w:rsidR="0066569B" w:rsidRPr="002F5974" w:rsidRDefault="0066569B" w:rsidP="002F5974">
            <w:pPr>
              <w:tabs>
                <w:tab w:val="left" w:pos="540"/>
              </w:tabs>
              <w:rPr>
                <w:szCs w:val="22"/>
                <w:lang w:val="nl-NL"/>
              </w:rPr>
            </w:pPr>
            <w:proofErr w:type="spellStart"/>
            <w:r w:rsidRPr="002F5974">
              <w:t>Tổng</w:t>
            </w:r>
            <w:proofErr w:type="spellEnd"/>
            <w:r w:rsidRPr="002F5974">
              <w:t xml:space="preserve"> </w:t>
            </w:r>
            <w:proofErr w:type="spellStart"/>
            <w:r w:rsidRPr="002F5974">
              <w:t>Giám</w:t>
            </w:r>
            <w:proofErr w:type="spellEnd"/>
            <w:r w:rsidRPr="002F5974">
              <w:t xml:space="preserve"> </w:t>
            </w:r>
            <w:proofErr w:type="spellStart"/>
            <w:r w:rsidRPr="002F5974">
              <w:t>đốc</w:t>
            </w:r>
            <w:proofErr w:type="spellEnd"/>
          </w:p>
        </w:tc>
        <w:tc>
          <w:tcPr>
            <w:tcW w:w="1260" w:type="dxa"/>
          </w:tcPr>
          <w:p w14:paraId="5A678902" w14:textId="1584A8A3" w:rsidR="0066569B" w:rsidRPr="002F5974" w:rsidRDefault="0066569B" w:rsidP="002F5974">
            <w:pPr>
              <w:tabs>
                <w:tab w:val="left" w:pos="540"/>
              </w:tabs>
              <w:rPr>
                <w:szCs w:val="22"/>
                <w:lang w:val="nl-NL"/>
              </w:rPr>
            </w:pPr>
            <w:proofErr w:type="spellStart"/>
            <w:r w:rsidRPr="002F5974">
              <w:t>Thạc</w:t>
            </w:r>
            <w:proofErr w:type="spellEnd"/>
            <w:r w:rsidRPr="002F5974">
              <w:t xml:space="preserve"> </w:t>
            </w:r>
            <w:proofErr w:type="spellStart"/>
            <w:r w:rsidRPr="002F5974">
              <w:t>sỹ</w:t>
            </w:r>
            <w:proofErr w:type="spellEnd"/>
            <w:r w:rsidRPr="002F5974">
              <w:t xml:space="preserve"> </w:t>
            </w:r>
            <w:proofErr w:type="spellStart"/>
            <w:r w:rsidRPr="002F5974">
              <w:t>kinh</w:t>
            </w:r>
            <w:proofErr w:type="spellEnd"/>
            <w:r w:rsidRPr="002F5974">
              <w:t xml:space="preserve"> </w:t>
            </w:r>
            <w:proofErr w:type="spellStart"/>
            <w:r w:rsidRPr="002F5974">
              <w:t>tế</w:t>
            </w:r>
            <w:proofErr w:type="spellEnd"/>
          </w:p>
        </w:tc>
        <w:tc>
          <w:tcPr>
            <w:tcW w:w="2880" w:type="dxa"/>
          </w:tcPr>
          <w:p w14:paraId="510006D7" w14:textId="4A55E030" w:rsidR="0066569B" w:rsidRPr="002F5974" w:rsidRDefault="0066569B" w:rsidP="002F5974">
            <w:pPr>
              <w:tabs>
                <w:tab w:val="left" w:pos="540"/>
              </w:tabs>
              <w:ind w:right="72"/>
              <w:rPr>
                <w:lang w:val="nl-NL"/>
              </w:rPr>
            </w:pPr>
            <w:r w:rsidRPr="002F5974">
              <w:t xml:space="preserve">- </w:t>
            </w:r>
            <w:proofErr w:type="spellStart"/>
            <w:r w:rsidRPr="002F5974">
              <w:t>Từ</w:t>
            </w:r>
            <w:proofErr w:type="spellEnd"/>
            <w:r w:rsidRPr="002F5974">
              <w:t xml:space="preserve"> 30/12/2020 </w:t>
            </w:r>
            <w:proofErr w:type="spellStart"/>
            <w:r w:rsidRPr="002F5974">
              <w:t>đến</w:t>
            </w:r>
            <w:proofErr w:type="spellEnd"/>
            <w:r w:rsidRPr="002F5974">
              <w:t xml:space="preserve"> nay: </w:t>
            </w:r>
            <w:proofErr w:type="spellStart"/>
            <w:r w:rsidRPr="002F5974">
              <w:t>Tổng</w:t>
            </w:r>
            <w:proofErr w:type="spellEnd"/>
            <w:r w:rsidRPr="002F5974">
              <w:t xml:space="preserve"> </w:t>
            </w:r>
            <w:proofErr w:type="spellStart"/>
            <w:r w:rsidRPr="002F5974">
              <w:t>giám</w:t>
            </w:r>
            <w:proofErr w:type="spellEnd"/>
            <w:r w:rsidRPr="002F5974">
              <w:t xml:space="preserve"> </w:t>
            </w:r>
            <w:proofErr w:type="spellStart"/>
            <w:r w:rsidRPr="002F5974">
              <w:t>đốc</w:t>
            </w:r>
            <w:proofErr w:type="spellEnd"/>
            <w:r w:rsidRPr="002F5974">
              <w:t xml:space="preserve"> </w:t>
            </w:r>
            <w:proofErr w:type="spellStart"/>
            <w:r w:rsidRPr="002F5974">
              <w:t>Công</w:t>
            </w:r>
            <w:proofErr w:type="spellEnd"/>
            <w:r w:rsidRPr="002F5974">
              <w:t xml:space="preserve"> ty </w:t>
            </w:r>
            <w:proofErr w:type="spellStart"/>
            <w:r w:rsidRPr="002F5974">
              <w:t>Cổ</w:t>
            </w:r>
            <w:proofErr w:type="spellEnd"/>
            <w:r w:rsidRPr="002F5974">
              <w:t xml:space="preserve"> </w:t>
            </w:r>
            <w:proofErr w:type="spellStart"/>
            <w:r w:rsidRPr="002F5974">
              <w:t>Phần</w:t>
            </w:r>
            <w:proofErr w:type="spellEnd"/>
            <w:r w:rsidRPr="002F5974">
              <w:t xml:space="preserve"> </w:t>
            </w:r>
            <w:proofErr w:type="spellStart"/>
            <w:r w:rsidRPr="002F5974">
              <w:t>Quản</w:t>
            </w:r>
            <w:proofErr w:type="spellEnd"/>
            <w:r w:rsidRPr="002F5974">
              <w:t xml:space="preserve"> </w:t>
            </w:r>
            <w:proofErr w:type="spellStart"/>
            <w:r w:rsidRPr="002F5974">
              <w:t>lý</w:t>
            </w:r>
            <w:proofErr w:type="spellEnd"/>
            <w:r w:rsidRPr="002F5974">
              <w:t xml:space="preserve"> Quỹ </w:t>
            </w:r>
            <w:proofErr w:type="spellStart"/>
            <w:r w:rsidRPr="002F5974">
              <w:t>Đầu</w:t>
            </w:r>
            <w:proofErr w:type="spellEnd"/>
            <w:r w:rsidRPr="002F5974">
              <w:t xml:space="preserve"> </w:t>
            </w:r>
            <w:proofErr w:type="spellStart"/>
            <w:r w:rsidRPr="002F5974">
              <w:t>tư</w:t>
            </w:r>
            <w:proofErr w:type="spellEnd"/>
            <w:r w:rsidRPr="002F5974">
              <w:t xml:space="preserve"> Dragon Capital </w:t>
            </w:r>
            <w:proofErr w:type="spellStart"/>
            <w:r w:rsidRPr="002F5974">
              <w:t>Việt</w:t>
            </w:r>
            <w:proofErr w:type="spellEnd"/>
            <w:r w:rsidRPr="002F5974">
              <w:t xml:space="preserve"> Nam</w:t>
            </w:r>
          </w:p>
        </w:tc>
      </w:tr>
    </w:tbl>
    <w:p w14:paraId="3463D6CF" w14:textId="75348416" w:rsidR="00BF7CC4" w:rsidRPr="002F5974" w:rsidRDefault="00BF7CC4" w:rsidP="002F5974">
      <w:pPr>
        <w:keepNext/>
        <w:jc w:val="left"/>
        <w:rPr>
          <w:szCs w:val="22"/>
        </w:rPr>
      </w:pPr>
    </w:p>
    <w:p w14:paraId="7ABC255E" w14:textId="354BC027" w:rsidR="00BF7CC4" w:rsidRPr="002F5974" w:rsidRDefault="00BF7CC4" w:rsidP="002F5974">
      <w:pPr>
        <w:keepNext/>
        <w:jc w:val="left"/>
        <w:rPr>
          <w:szCs w:val="22"/>
        </w:rPr>
      </w:pPr>
      <w:r w:rsidRPr="002F5974">
        <w:rPr>
          <w:szCs w:val="22"/>
        </w:rPr>
        <w:t xml:space="preserve">TP.HCM, </w:t>
      </w:r>
      <w:proofErr w:type="spellStart"/>
      <w:r w:rsidRPr="002F5974">
        <w:rPr>
          <w:szCs w:val="22"/>
        </w:rPr>
        <w:t>ngày</w:t>
      </w:r>
      <w:proofErr w:type="spellEnd"/>
      <w:r w:rsidRPr="002F5974">
        <w:rPr>
          <w:szCs w:val="22"/>
        </w:rPr>
        <w:t xml:space="preserve"> 1</w:t>
      </w:r>
      <w:r w:rsidR="00F16F9F">
        <w:rPr>
          <w:szCs w:val="22"/>
        </w:rPr>
        <w:t>8</w:t>
      </w:r>
      <w:r w:rsidRPr="002F5974">
        <w:rPr>
          <w:szCs w:val="22"/>
        </w:rPr>
        <w:t xml:space="preserve"> </w:t>
      </w:r>
      <w:proofErr w:type="spellStart"/>
      <w:r w:rsidRPr="002F5974">
        <w:rPr>
          <w:szCs w:val="22"/>
        </w:rPr>
        <w:t>tháng</w:t>
      </w:r>
      <w:proofErr w:type="spellEnd"/>
      <w:r w:rsidRPr="002F5974">
        <w:rPr>
          <w:szCs w:val="22"/>
        </w:rPr>
        <w:t xml:space="preserve"> 0</w:t>
      </w:r>
      <w:r w:rsidR="009F567C" w:rsidRPr="002F5974">
        <w:rPr>
          <w:szCs w:val="22"/>
        </w:rPr>
        <w:t>7</w:t>
      </w:r>
      <w:r w:rsidRPr="002F5974">
        <w:rPr>
          <w:szCs w:val="22"/>
        </w:rPr>
        <w:t xml:space="preserve"> </w:t>
      </w:r>
      <w:proofErr w:type="spellStart"/>
      <w:r w:rsidRPr="002F5974">
        <w:rPr>
          <w:szCs w:val="22"/>
        </w:rPr>
        <w:t>năm</w:t>
      </w:r>
      <w:proofErr w:type="spellEnd"/>
      <w:r w:rsidRPr="002F5974">
        <w:rPr>
          <w:szCs w:val="22"/>
        </w:rPr>
        <w:t xml:space="preserve"> 202</w:t>
      </w:r>
      <w:r w:rsidR="00005C88" w:rsidRPr="002F5974">
        <w:rPr>
          <w:szCs w:val="22"/>
        </w:rPr>
        <w:t>2</w:t>
      </w:r>
    </w:p>
    <w:p w14:paraId="1E6CDD04" w14:textId="77777777" w:rsidR="00BF7CC4" w:rsidRPr="002F5974" w:rsidRDefault="00BF7CC4" w:rsidP="002F5974">
      <w:pPr>
        <w:keepNext/>
        <w:jc w:val="left"/>
        <w:rPr>
          <w:szCs w:val="22"/>
        </w:rPr>
      </w:pPr>
    </w:p>
    <w:p w14:paraId="3C4F00C0" w14:textId="44B41055" w:rsidR="007922E7" w:rsidRPr="002F5974" w:rsidRDefault="00BF7CC4" w:rsidP="002F5974">
      <w:pPr>
        <w:pStyle w:val="Default"/>
        <w:rPr>
          <w:b/>
          <w:bCs/>
          <w:color w:val="auto"/>
          <w:sz w:val="22"/>
          <w:szCs w:val="22"/>
        </w:rPr>
      </w:pPr>
      <w:proofErr w:type="spellStart"/>
      <w:r w:rsidRPr="002F5974">
        <w:rPr>
          <w:b/>
          <w:bCs/>
          <w:color w:val="auto"/>
          <w:sz w:val="22"/>
          <w:szCs w:val="22"/>
        </w:rPr>
        <w:t>Giám</w:t>
      </w:r>
      <w:proofErr w:type="spellEnd"/>
      <w:r w:rsidRPr="002F5974">
        <w:rPr>
          <w:b/>
          <w:bCs/>
          <w:color w:val="auto"/>
          <w:sz w:val="22"/>
          <w:szCs w:val="22"/>
        </w:rPr>
        <w:t xml:space="preserve"> </w:t>
      </w:r>
      <w:proofErr w:type="spellStart"/>
      <w:r w:rsidRPr="002F5974">
        <w:rPr>
          <w:b/>
          <w:bCs/>
          <w:color w:val="auto"/>
          <w:sz w:val="22"/>
          <w:szCs w:val="22"/>
        </w:rPr>
        <w:t>đốc</w:t>
      </w:r>
      <w:proofErr w:type="spellEnd"/>
      <w:r w:rsidRPr="002F5974">
        <w:rPr>
          <w:b/>
          <w:bCs/>
          <w:color w:val="auto"/>
          <w:sz w:val="22"/>
          <w:szCs w:val="22"/>
        </w:rPr>
        <w:t xml:space="preserve"> </w:t>
      </w:r>
      <w:proofErr w:type="spellStart"/>
      <w:r w:rsidRPr="002F5974">
        <w:rPr>
          <w:b/>
          <w:bCs/>
          <w:color w:val="auto"/>
          <w:sz w:val="22"/>
          <w:szCs w:val="22"/>
        </w:rPr>
        <w:t>điều</w:t>
      </w:r>
      <w:proofErr w:type="spellEnd"/>
      <w:r w:rsidRPr="002F5974">
        <w:rPr>
          <w:b/>
          <w:bCs/>
          <w:color w:val="auto"/>
          <w:sz w:val="22"/>
          <w:szCs w:val="22"/>
        </w:rPr>
        <w:t xml:space="preserve"> </w:t>
      </w:r>
      <w:proofErr w:type="spellStart"/>
      <w:r w:rsidRPr="002F5974">
        <w:rPr>
          <w:b/>
          <w:bCs/>
          <w:color w:val="auto"/>
          <w:sz w:val="22"/>
          <w:szCs w:val="22"/>
        </w:rPr>
        <w:t>hành</w:t>
      </w:r>
      <w:proofErr w:type="spellEnd"/>
      <w:r w:rsidRPr="002F5974">
        <w:rPr>
          <w:b/>
          <w:bCs/>
          <w:color w:val="auto"/>
          <w:sz w:val="22"/>
          <w:szCs w:val="22"/>
        </w:rPr>
        <w:t xml:space="preserve"> </w:t>
      </w:r>
      <w:proofErr w:type="spellStart"/>
      <w:r w:rsidRPr="002F5974">
        <w:rPr>
          <w:b/>
          <w:bCs/>
          <w:color w:val="auto"/>
          <w:sz w:val="22"/>
          <w:szCs w:val="22"/>
        </w:rPr>
        <w:t>Nghiệp</w:t>
      </w:r>
      <w:proofErr w:type="spellEnd"/>
      <w:r w:rsidRPr="002F5974">
        <w:rPr>
          <w:b/>
          <w:bCs/>
          <w:color w:val="auto"/>
          <w:sz w:val="22"/>
          <w:szCs w:val="22"/>
        </w:rPr>
        <w:t xml:space="preserve"> </w:t>
      </w:r>
      <w:proofErr w:type="spellStart"/>
      <w:r w:rsidRPr="002F5974">
        <w:rPr>
          <w:b/>
          <w:bCs/>
          <w:color w:val="auto"/>
          <w:sz w:val="22"/>
          <w:szCs w:val="22"/>
        </w:rPr>
        <w:t>vụ</w:t>
      </w:r>
      <w:proofErr w:type="spellEnd"/>
      <w:r w:rsidRPr="002F5974">
        <w:rPr>
          <w:b/>
          <w:bCs/>
          <w:color w:val="auto"/>
          <w:sz w:val="22"/>
          <w:szCs w:val="22"/>
        </w:rPr>
        <w:t xml:space="preserve"> </w:t>
      </w:r>
      <w:proofErr w:type="spellStart"/>
      <w:r w:rsidRPr="002F5974">
        <w:rPr>
          <w:b/>
          <w:bCs/>
          <w:color w:val="auto"/>
          <w:sz w:val="22"/>
          <w:szCs w:val="22"/>
        </w:rPr>
        <w:t>hỗ</w:t>
      </w:r>
      <w:proofErr w:type="spellEnd"/>
      <w:r w:rsidRPr="002F5974">
        <w:rPr>
          <w:b/>
          <w:bCs/>
          <w:color w:val="auto"/>
          <w:sz w:val="22"/>
          <w:szCs w:val="22"/>
        </w:rPr>
        <w:t xml:space="preserve"> </w:t>
      </w:r>
      <w:proofErr w:type="spellStart"/>
      <w:r w:rsidRPr="002F5974">
        <w:rPr>
          <w:b/>
          <w:bCs/>
          <w:color w:val="auto"/>
          <w:sz w:val="22"/>
          <w:szCs w:val="22"/>
        </w:rPr>
        <w:t>trợ</w:t>
      </w:r>
      <w:proofErr w:type="spellEnd"/>
      <w:r w:rsidRPr="002F5974">
        <w:rPr>
          <w:b/>
          <w:bCs/>
          <w:color w:val="auto"/>
          <w:sz w:val="22"/>
          <w:szCs w:val="22"/>
        </w:rPr>
        <w:t xml:space="preserve"> </w:t>
      </w:r>
      <w:proofErr w:type="spellStart"/>
      <w:r w:rsidRPr="002F5974">
        <w:rPr>
          <w:b/>
          <w:bCs/>
          <w:color w:val="auto"/>
          <w:sz w:val="22"/>
          <w:szCs w:val="22"/>
        </w:rPr>
        <w:t>đầu</w:t>
      </w:r>
      <w:proofErr w:type="spellEnd"/>
      <w:r w:rsidRPr="002F5974">
        <w:rPr>
          <w:b/>
          <w:bCs/>
          <w:color w:val="auto"/>
          <w:sz w:val="22"/>
          <w:szCs w:val="22"/>
        </w:rPr>
        <w:t xml:space="preserve"> </w:t>
      </w:r>
      <w:proofErr w:type="spellStart"/>
      <w:r w:rsidRPr="002F5974">
        <w:rPr>
          <w:b/>
          <w:bCs/>
          <w:color w:val="auto"/>
          <w:sz w:val="22"/>
          <w:szCs w:val="22"/>
        </w:rPr>
        <w:t>tư</w:t>
      </w:r>
      <w:proofErr w:type="spellEnd"/>
    </w:p>
    <w:p w14:paraId="3DDC8D02" w14:textId="77777777" w:rsidR="0047074A" w:rsidRPr="002F5974" w:rsidRDefault="0047074A" w:rsidP="002F5974">
      <w:pPr>
        <w:pStyle w:val="Default"/>
        <w:rPr>
          <w:color w:val="auto"/>
          <w:sz w:val="22"/>
          <w:szCs w:val="22"/>
        </w:rPr>
      </w:pPr>
    </w:p>
    <w:p w14:paraId="511A5599" w14:textId="77777777" w:rsidR="005737A9" w:rsidRPr="002F5974" w:rsidRDefault="005737A9" w:rsidP="002F5974">
      <w:pPr>
        <w:pStyle w:val="Default"/>
        <w:rPr>
          <w:color w:val="auto"/>
          <w:sz w:val="22"/>
          <w:szCs w:val="22"/>
        </w:rPr>
      </w:pPr>
    </w:p>
    <w:p w14:paraId="7A52C08B" w14:textId="77777777" w:rsidR="0047074A" w:rsidRPr="002F5974" w:rsidRDefault="0047074A" w:rsidP="002F5974">
      <w:pPr>
        <w:pStyle w:val="Default"/>
        <w:rPr>
          <w:color w:val="auto"/>
          <w:sz w:val="22"/>
          <w:szCs w:val="22"/>
        </w:rPr>
      </w:pPr>
    </w:p>
    <w:p w14:paraId="53B19F43" w14:textId="5D9A5838" w:rsidR="0047074A" w:rsidRPr="002F5974" w:rsidRDefault="0047074A" w:rsidP="002F5974">
      <w:pPr>
        <w:pStyle w:val="Default"/>
        <w:rPr>
          <w:color w:val="auto"/>
          <w:sz w:val="22"/>
          <w:szCs w:val="22"/>
        </w:rPr>
      </w:pPr>
    </w:p>
    <w:p w14:paraId="05375039" w14:textId="77777777" w:rsidR="004B120E" w:rsidRPr="002F5974" w:rsidRDefault="004B120E" w:rsidP="002F5974">
      <w:pPr>
        <w:pStyle w:val="Default"/>
        <w:rPr>
          <w:color w:val="auto"/>
          <w:sz w:val="22"/>
          <w:szCs w:val="22"/>
        </w:rPr>
      </w:pPr>
    </w:p>
    <w:p w14:paraId="6037B676" w14:textId="77777777" w:rsidR="007922E7" w:rsidRPr="002F5974" w:rsidRDefault="007922E7" w:rsidP="002F5974">
      <w:pPr>
        <w:pStyle w:val="Default"/>
        <w:rPr>
          <w:color w:val="auto"/>
          <w:sz w:val="22"/>
          <w:szCs w:val="22"/>
        </w:rPr>
      </w:pPr>
    </w:p>
    <w:p w14:paraId="545FC700" w14:textId="2AFFB220" w:rsidR="007922E7" w:rsidRPr="002F5974" w:rsidRDefault="00686A70" w:rsidP="002F5974">
      <w:pPr>
        <w:pStyle w:val="Default"/>
        <w:outlineLvl w:val="0"/>
        <w:rPr>
          <w:color w:val="auto"/>
          <w:sz w:val="22"/>
          <w:szCs w:val="22"/>
        </w:rPr>
      </w:pPr>
      <w:r w:rsidRPr="002F5974">
        <w:rPr>
          <w:color w:val="auto"/>
          <w:sz w:val="22"/>
          <w:szCs w:val="22"/>
        </w:rPr>
        <w:t xml:space="preserve">      </w:t>
      </w:r>
      <w:r w:rsidR="00BF7CC4" w:rsidRPr="002F5974">
        <w:rPr>
          <w:b/>
          <w:bCs/>
          <w:color w:val="auto"/>
          <w:sz w:val="22"/>
          <w:szCs w:val="22"/>
        </w:rPr>
        <w:t>NGUYỄN MINH ĐĂNG KHÁNH</w:t>
      </w:r>
      <w:r w:rsidR="007922E7" w:rsidRPr="002F5974" w:rsidDel="004233FB">
        <w:rPr>
          <w:color w:val="auto"/>
          <w:sz w:val="22"/>
          <w:szCs w:val="22"/>
        </w:rPr>
        <w:t xml:space="preserve"> </w:t>
      </w:r>
    </w:p>
    <w:sectPr w:rsidR="007922E7" w:rsidRPr="002F5974" w:rsidSect="00984380">
      <w:pgSz w:w="12240" w:h="15840"/>
      <w:pgMar w:top="900" w:right="8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5C67" w14:textId="77777777" w:rsidR="004236A7" w:rsidRDefault="004236A7" w:rsidP="009E08DA">
      <w:r>
        <w:separator/>
      </w:r>
    </w:p>
  </w:endnote>
  <w:endnote w:type="continuationSeparator" w:id="0">
    <w:p w14:paraId="082B680E" w14:textId="77777777" w:rsidR="004236A7" w:rsidRDefault="004236A7"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5D62" w14:textId="77777777" w:rsidR="004236A7" w:rsidRDefault="004236A7" w:rsidP="009E08DA">
      <w:r>
        <w:separator/>
      </w:r>
    </w:p>
  </w:footnote>
  <w:footnote w:type="continuationSeparator" w:id="0">
    <w:p w14:paraId="14231AF8" w14:textId="77777777" w:rsidR="004236A7" w:rsidRDefault="004236A7"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3EF"/>
    <w:multiLevelType w:val="hybridMultilevel"/>
    <w:tmpl w:val="EFE0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93415">
    <w:abstractNumId w:val="0"/>
  </w:num>
  <w:num w:numId="2" w16cid:durableId="1677490642">
    <w:abstractNumId w:val="1"/>
  </w:num>
  <w:num w:numId="3" w16cid:durableId="2137213839">
    <w:abstractNumId w:val="3"/>
  </w:num>
  <w:num w:numId="4" w16cid:durableId="1763530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05C88"/>
    <w:rsid w:val="00013805"/>
    <w:rsid w:val="00016410"/>
    <w:rsid w:val="000179F6"/>
    <w:rsid w:val="0002246B"/>
    <w:rsid w:val="0002505A"/>
    <w:rsid w:val="00030801"/>
    <w:rsid w:val="000331DB"/>
    <w:rsid w:val="00044988"/>
    <w:rsid w:val="00054C1B"/>
    <w:rsid w:val="00054D1A"/>
    <w:rsid w:val="00080F3E"/>
    <w:rsid w:val="00082524"/>
    <w:rsid w:val="000826C8"/>
    <w:rsid w:val="000846BD"/>
    <w:rsid w:val="00092961"/>
    <w:rsid w:val="0009340B"/>
    <w:rsid w:val="00095C23"/>
    <w:rsid w:val="000B1E3F"/>
    <w:rsid w:val="000C7991"/>
    <w:rsid w:val="000D6BB4"/>
    <w:rsid w:val="000E34B6"/>
    <w:rsid w:val="000E53BB"/>
    <w:rsid w:val="00106E97"/>
    <w:rsid w:val="00123AF4"/>
    <w:rsid w:val="001401A0"/>
    <w:rsid w:val="00165305"/>
    <w:rsid w:val="0017452D"/>
    <w:rsid w:val="00175C9A"/>
    <w:rsid w:val="0017753E"/>
    <w:rsid w:val="001C2728"/>
    <w:rsid w:val="001C5B84"/>
    <w:rsid w:val="001D304B"/>
    <w:rsid w:val="001E6E92"/>
    <w:rsid w:val="001E7521"/>
    <w:rsid w:val="001E776D"/>
    <w:rsid w:val="002101E4"/>
    <w:rsid w:val="00211FE2"/>
    <w:rsid w:val="00225E6A"/>
    <w:rsid w:val="0022666B"/>
    <w:rsid w:val="00232A77"/>
    <w:rsid w:val="00234470"/>
    <w:rsid w:val="002410C9"/>
    <w:rsid w:val="00246777"/>
    <w:rsid w:val="002749E0"/>
    <w:rsid w:val="00284775"/>
    <w:rsid w:val="00285A3E"/>
    <w:rsid w:val="00290722"/>
    <w:rsid w:val="002C0E91"/>
    <w:rsid w:val="002C3D78"/>
    <w:rsid w:val="002C4E2E"/>
    <w:rsid w:val="002C5D0D"/>
    <w:rsid w:val="002F5974"/>
    <w:rsid w:val="003114E2"/>
    <w:rsid w:val="00313A22"/>
    <w:rsid w:val="0032337C"/>
    <w:rsid w:val="00350584"/>
    <w:rsid w:val="00355147"/>
    <w:rsid w:val="00366417"/>
    <w:rsid w:val="00372BE6"/>
    <w:rsid w:val="003824C0"/>
    <w:rsid w:val="00385368"/>
    <w:rsid w:val="003917B9"/>
    <w:rsid w:val="00394081"/>
    <w:rsid w:val="003B4575"/>
    <w:rsid w:val="003D3446"/>
    <w:rsid w:val="003D3A48"/>
    <w:rsid w:val="003E2FDC"/>
    <w:rsid w:val="003F72E3"/>
    <w:rsid w:val="00400B5F"/>
    <w:rsid w:val="00403309"/>
    <w:rsid w:val="00416965"/>
    <w:rsid w:val="00421AC3"/>
    <w:rsid w:val="004236A7"/>
    <w:rsid w:val="00447ACC"/>
    <w:rsid w:val="0045686A"/>
    <w:rsid w:val="004576C1"/>
    <w:rsid w:val="00457727"/>
    <w:rsid w:val="00463110"/>
    <w:rsid w:val="0047074A"/>
    <w:rsid w:val="004768C4"/>
    <w:rsid w:val="004804D6"/>
    <w:rsid w:val="004832B2"/>
    <w:rsid w:val="0048672C"/>
    <w:rsid w:val="00487EFF"/>
    <w:rsid w:val="00497421"/>
    <w:rsid w:val="004A1F44"/>
    <w:rsid w:val="004A2DF4"/>
    <w:rsid w:val="004A6DC8"/>
    <w:rsid w:val="004B120E"/>
    <w:rsid w:val="004C57E9"/>
    <w:rsid w:val="004C7E2D"/>
    <w:rsid w:val="004E27B1"/>
    <w:rsid w:val="004E4306"/>
    <w:rsid w:val="004E485F"/>
    <w:rsid w:val="004E5119"/>
    <w:rsid w:val="00503855"/>
    <w:rsid w:val="00504B45"/>
    <w:rsid w:val="005125AA"/>
    <w:rsid w:val="00512A70"/>
    <w:rsid w:val="00513072"/>
    <w:rsid w:val="00513296"/>
    <w:rsid w:val="0052097E"/>
    <w:rsid w:val="00522644"/>
    <w:rsid w:val="00530A1A"/>
    <w:rsid w:val="00542777"/>
    <w:rsid w:val="0055083F"/>
    <w:rsid w:val="00551626"/>
    <w:rsid w:val="00565C56"/>
    <w:rsid w:val="00566C62"/>
    <w:rsid w:val="005705B6"/>
    <w:rsid w:val="00570AE7"/>
    <w:rsid w:val="005737A9"/>
    <w:rsid w:val="00575ED4"/>
    <w:rsid w:val="00577F44"/>
    <w:rsid w:val="005844F6"/>
    <w:rsid w:val="005934DA"/>
    <w:rsid w:val="00595D7E"/>
    <w:rsid w:val="005A4F97"/>
    <w:rsid w:val="005A78F8"/>
    <w:rsid w:val="005B0080"/>
    <w:rsid w:val="005B648C"/>
    <w:rsid w:val="005C7BBA"/>
    <w:rsid w:val="005E3940"/>
    <w:rsid w:val="00601A76"/>
    <w:rsid w:val="0060509C"/>
    <w:rsid w:val="00606739"/>
    <w:rsid w:val="00610DF0"/>
    <w:rsid w:val="00615659"/>
    <w:rsid w:val="006278E7"/>
    <w:rsid w:val="006301E3"/>
    <w:rsid w:val="00633C58"/>
    <w:rsid w:val="00635182"/>
    <w:rsid w:val="00640481"/>
    <w:rsid w:val="00641ADE"/>
    <w:rsid w:val="00641C75"/>
    <w:rsid w:val="0064405E"/>
    <w:rsid w:val="00645C59"/>
    <w:rsid w:val="0066569B"/>
    <w:rsid w:val="006721C1"/>
    <w:rsid w:val="00677BFB"/>
    <w:rsid w:val="00677F1F"/>
    <w:rsid w:val="00680C93"/>
    <w:rsid w:val="0068684C"/>
    <w:rsid w:val="00686A70"/>
    <w:rsid w:val="00692EE2"/>
    <w:rsid w:val="00694208"/>
    <w:rsid w:val="006B3E49"/>
    <w:rsid w:val="006B4420"/>
    <w:rsid w:val="006B6AFD"/>
    <w:rsid w:val="006B7B82"/>
    <w:rsid w:val="006D031B"/>
    <w:rsid w:val="006D2D89"/>
    <w:rsid w:val="006D4216"/>
    <w:rsid w:val="006D6DA6"/>
    <w:rsid w:val="006D7E02"/>
    <w:rsid w:val="006E6A60"/>
    <w:rsid w:val="006F1D84"/>
    <w:rsid w:val="006F307E"/>
    <w:rsid w:val="00705B16"/>
    <w:rsid w:val="00707AD1"/>
    <w:rsid w:val="00710D1E"/>
    <w:rsid w:val="007145EC"/>
    <w:rsid w:val="007159DC"/>
    <w:rsid w:val="0073505C"/>
    <w:rsid w:val="00745CEF"/>
    <w:rsid w:val="0075113D"/>
    <w:rsid w:val="00755572"/>
    <w:rsid w:val="007568F7"/>
    <w:rsid w:val="00763158"/>
    <w:rsid w:val="00770898"/>
    <w:rsid w:val="0077137C"/>
    <w:rsid w:val="00771D89"/>
    <w:rsid w:val="007813CC"/>
    <w:rsid w:val="00790118"/>
    <w:rsid w:val="007922E7"/>
    <w:rsid w:val="007B1FAE"/>
    <w:rsid w:val="007C037D"/>
    <w:rsid w:val="007C2B6B"/>
    <w:rsid w:val="007C33B4"/>
    <w:rsid w:val="007E2087"/>
    <w:rsid w:val="007F3301"/>
    <w:rsid w:val="0080320B"/>
    <w:rsid w:val="00811189"/>
    <w:rsid w:val="00813FB6"/>
    <w:rsid w:val="00816F3B"/>
    <w:rsid w:val="00833532"/>
    <w:rsid w:val="008400C4"/>
    <w:rsid w:val="00850F1A"/>
    <w:rsid w:val="00863DB0"/>
    <w:rsid w:val="00876B8C"/>
    <w:rsid w:val="00880384"/>
    <w:rsid w:val="0088508B"/>
    <w:rsid w:val="008A0CBE"/>
    <w:rsid w:val="008B0CE8"/>
    <w:rsid w:val="008B45C4"/>
    <w:rsid w:val="008B605C"/>
    <w:rsid w:val="008C1451"/>
    <w:rsid w:val="008C1F8E"/>
    <w:rsid w:val="008D3C20"/>
    <w:rsid w:val="008E01F5"/>
    <w:rsid w:val="008E167F"/>
    <w:rsid w:val="008E530F"/>
    <w:rsid w:val="008F4EB5"/>
    <w:rsid w:val="008F6ABE"/>
    <w:rsid w:val="0092743E"/>
    <w:rsid w:val="00933D1A"/>
    <w:rsid w:val="00941EC9"/>
    <w:rsid w:val="00952125"/>
    <w:rsid w:val="00952CF9"/>
    <w:rsid w:val="00955C41"/>
    <w:rsid w:val="00960BB3"/>
    <w:rsid w:val="00965189"/>
    <w:rsid w:val="00970B91"/>
    <w:rsid w:val="00970C91"/>
    <w:rsid w:val="00976497"/>
    <w:rsid w:val="00984380"/>
    <w:rsid w:val="00992029"/>
    <w:rsid w:val="00997CEE"/>
    <w:rsid w:val="009A1922"/>
    <w:rsid w:val="009B6DC5"/>
    <w:rsid w:val="009C0B17"/>
    <w:rsid w:val="009C59AA"/>
    <w:rsid w:val="009D0A95"/>
    <w:rsid w:val="009D2B2F"/>
    <w:rsid w:val="009D2C51"/>
    <w:rsid w:val="009D6654"/>
    <w:rsid w:val="009E05F8"/>
    <w:rsid w:val="009E08DA"/>
    <w:rsid w:val="009E0959"/>
    <w:rsid w:val="009E3038"/>
    <w:rsid w:val="009F39D7"/>
    <w:rsid w:val="009F567C"/>
    <w:rsid w:val="009F6F1D"/>
    <w:rsid w:val="00A04C9F"/>
    <w:rsid w:val="00A079A4"/>
    <w:rsid w:val="00A16FC5"/>
    <w:rsid w:val="00A259C5"/>
    <w:rsid w:val="00A32F2E"/>
    <w:rsid w:val="00A52A29"/>
    <w:rsid w:val="00A54A49"/>
    <w:rsid w:val="00A70582"/>
    <w:rsid w:val="00A77411"/>
    <w:rsid w:val="00A77CB9"/>
    <w:rsid w:val="00AB1933"/>
    <w:rsid w:val="00AB1B20"/>
    <w:rsid w:val="00AB2D8E"/>
    <w:rsid w:val="00AC3704"/>
    <w:rsid w:val="00AC4732"/>
    <w:rsid w:val="00AD2F2A"/>
    <w:rsid w:val="00B30862"/>
    <w:rsid w:val="00B325D5"/>
    <w:rsid w:val="00B342C4"/>
    <w:rsid w:val="00B5357C"/>
    <w:rsid w:val="00B575FE"/>
    <w:rsid w:val="00B8132E"/>
    <w:rsid w:val="00B91012"/>
    <w:rsid w:val="00BA72BE"/>
    <w:rsid w:val="00BB0830"/>
    <w:rsid w:val="00BB7F48"/>
    <w:rsid w:val="00BC34A9"/>
    <w:rsid w:val="00BD2B1F"/>
    <w:rsid w:val="00BE0E4F"/>
    <w:rsid w:val="00BF5C66"/>
    <w:rsid w:val="00BF66E8"/>
    <w:rsid w:val="00BF7CC4"/>
    <w:rsid w:val="00C04697"/>
    <w:rsid w:val="00C158B1"/>
    <w:rsid w:val="00C16DA9"/>
    <w:rsid w:val="00C16F01"/>
    <w:rsid w:val="00C249C0"/>
    <w:rsid w:val="00C3063B"/>
    <w:rsid w:val="00C319EE"/>
    <w:rsid w:val="00C40991"/>
    <w:rsid w:val="00C52832"/>
    <w:rsid w:val="00C6530D"/>
    <w:rsid w:val="00C8597A"/>
    <w:rsid w:val="00C91B38"/>
    <w:rsid w:val="00C9483C"/>
    <w:rsid w:val="00CA22F1"/>
    <w:rsid w:val="00CA26BB"/>
    <w:rsid w:val="00CA2A0D"/>
    <w:rsid w:val="00CA5492"/>
    <w:rsid w:val="00CB1372"/>
    <w:rsid w:val="00CD5705"/>
    <w:rsid w:val="00CF23FF"/>
    <w:rsid w:val="00CF4361"/>
    <w:rsid w:val="00D02684"/>
    <w:rsid w:val="00D063DE"/>
    <w:rsid w:val="00D13B09"/>
    <w:rsid w:val="00D1455E"/>
    <w:rsid w:val="00D20CDF"/>
    <w:rsid w:val="00D30ADD"/>
    <w:rsid w:val="00D34C67"/>
    <w:rsid w:val="00D55D26"/>
    <w:rsid w:val="00D6644C"/>
    <w:rsid w:val="00D6756C"/>
    <w:rsid w:val="00D811DD"/>
    <w:rsid w:val="00D8731D"/>
    <w:rsid w:val="00D9446C"/>
    <w:rsid w:val="00DC4E5D"/>
    <w:rsid w:val="00DD2C3A"/>
    <w:rsid w:val="00DD5A7E"/>
    <w:rsid w:val="00DD6258"/>
    <w:rsid w:val="00DE4A4E"/>
    <w:rsid w:val="00DF69D3"/>
    <w:rsid w:val="00DF769D"/>
    <w:rsid w:val="00E16367"/>
    <w:rsid w:val="00E50B2C"/>
    <w:rsid w:val="00E541B1"/>
    <w:rsid w:val="00E6135E"/>
    <w:rsid w:val="00E65CA4"/>
    <w:rsid w:val="00E77E76"/>
    <w:rsid w:val="00E85DFE"/>
    <w:rsid w:val="00E92F45"/>
    <w:rsid w:val="00E971AB"/>
    <w:rsid w:val="00EA29A0"/>
    <w:rsid w:val="00EC3F05"/>
    <w:rsid w:val="00EC58DB"/>
    <w:rsid w:val="00ED536C"/>
    <w:rsid w:val="00EE5D88"/>
    <w:rsid w:val="00EF4210"/>
    <w:rsid w:val="00EF61B0"/>
    <w:rsid w:val="00F067EE"/>
    <w:rsid w:val="00F13047"/>
    <w:rsid w:val="00F16F9F"/>
    <w:rsid w:val="00F22DE1"/>
    <w:rsid w:val="00F36407"/>
    <w:rsid w:val="00F53017"/>
    <w:rsid w:val="00F73FE7"/>
    <w:rsid w:val="00F87415"/>
    <w:rsid w:val="00F95ABD"/>
    <w:rsid w:val="00FA4847"/>
    <w:rsid w:val="00FB0B17"/>
    <w:rsid w:val="00FC3E40"/>
    <w:rsid w:val="00FD023D"/>
    <w:rsid w:val="00FD28D2"/>
    <w:rsid w:val="00FE1C91"/>
    <w:rsid w:val="00FE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E1A09"/>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7"/>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customStyle="1" w:styleId="main">
    <w:name w:val="main"/>
    <w:basedOn w:val="Normal"/>
    <w:rsid w:val="007922E7"/>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paragraph" w:styleId="BalloonText">
    <w:name w:val="Balloon Text"/>
    <w:basedOn w:val="Normal"/>
    <w:link w:val="BalloonTextChar"/>
    <w:uiPriority w:val="99"/>
    <w:semiHidden/>
    <w:unhideWhenUsed/>
    <w:rsid w:val="00EF4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rPr>
      <w:sz w:val="20"/>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keepLines w:val="0"/>
      <w:overflowPunct/>
      <w:autoSpaceDE/>
      <w:autoSpaceDN/>
      <w:adjustRightInd/>
      <w:spacing w:before="100" w:beforeAutospacing="1" w:after="100" w:afterAutospacing="1"/>
      <w:jc w:val="left"/>
      <w:textAlignment w:val="auto"/>
    </w:pPr>
    <w:rPr>
      <w:rFonts w:eastAsiaTheme="minorEastAsia"/>
      <w:sz w:val="24"/>
      <w:szCs w:val="24"/>
      <w:lang w:val="en-US"/>
    </w:rPr>
  </w:style>
  <w:style w:type="paragraph" w:styleId="Header">
    <w:name w:val="header"/>
    <w:basedOn w:val="Normal"/>
    <w:link w:val="HeaderChar"/>
    <w:uiPriority w:val="99"/>
    <w:unhideWhenUsed/>
    <w:rsid w:val="009E08DA"/>
    <w:pPr>
      <w:tabs>
        <w:tab w:val="center" w:pos="4680"/>
        <w:tab w:val="right" w:pos="9360"/>
      </w:tabs>
    </w:p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tabs>
        <w:tab w:val="center" w:pos="4680"/>
        <w:tab w:val="right" w:pos="9360"/>
      </w:tabs>
    </w:p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47407454">
      <w:bodyDiv w:val="1"/>
      <w:marLeft w:val="0"/>
      <w:marRight w:val="0"/>
      <w:marTop w:val="0"/>
      <w:marBottom w:val="0"/>
      <w:divBdr>
        <w:top w:val="none" w:sz="0" w:space="0" w:color="auto"/>
        <w:left w:val="none" w:sz="0" w:space="0" w:color="auto"/>
        <w:bottom w:val="none" w:sz="0" w:space="0" w:color="auto"/>
        <w:right w:val="none" w:sz="0" w:space="0" w:color="auto"/>
      </w:divBdr>
    </w:div>
    <w:div w:id="189877386">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64270727">
      <w:bodyDiv w:val="1"/>
      <w:marLeft w:val="0"/>
      <w:marRight w:val="0"/>
      <w:marTop w:val="0"/>
      <w:marBottom w:val="0"/>
      <w:divBdr>
        <w:top w:val="none" w:sz="0" w:space="0" w:color="auto"/>
        <w:left w:val="none" w:sz="0" w:space="0" w:color="auto"/>
        <w:bottom w:val="none" w:sz="0" w:space="0" w:color="auto"/>
        <w:right w:val="none" w:sz="0" w:space="0" w:color="auto"/>
      </w:divBdr>
    </w:div>
    <w:div w:id="315692557">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43361421">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13014063">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42040850">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575752162">
      <w:bodyDiv w:val="1"/>
      <w:marLeft w:val="0"/>
      <w:marRight w:val="0"/>
      <w:marTop w:val="0"/>
      <w:marBottom w:val="0"/>
      <w:divBdr>
        <w:top w:val="none" w:sz="0" w:space="0" w:color="auto"/>
        <w:left w:val="none" w:sz="0" w:space="0" w:color="auto"/>
        <w:bottom w:val="none" w:sz="0" w:space="0" w:color="auto"/>
        <w:right w:val="none" w:sz="0" w:space="0" w:color="auto"/>
      </w:divBdr>
    </w:div>
    <w:div w:id="609237316">
      <w:bodyDiv w:val="1"/>
      <w:marLeft w:val="0"/>
      <w:marRight w:val="0"/>
      <w:marTop w:val="0"/>
      <w:marBottom w:val="0"/>
      <w:divBdr>
        <w:top w:val="none" w:sz="0" w:space="0" w:color="auto"/>
        <w:left w:val="none" w:sz="0" w:space="0" w:color="auto"/>
        <w:bottom w:val="none" w:sz="0" w:space="0" w:color="auto"/>
        <w:right w:val="none" w:sz="0" w:space="0" w:color="auto"/>
      </w:divBdr>
    </w:div>
    <w:div w:id="62353556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1093355">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32344147">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1143197">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274629939">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29989557">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1944277">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70785877">
      <w:bodyDiv w:val="1"/>
      <w:marLeft w:val="0"/>
      <w:marRight w:val="0"/>
      <w:marTop w:val="0"/>
      <w:marBottom w:val="0"/>
      <w:divBdr>
        <w:top w:val="none" w:sz="0" w:space="0" w:color="auto"/>
        <w:left w:val="none" w:sz="0" w:space="0" w:color="auto"/>
        <w:bottom w:val="none" w:sz="0" w:space="0" w:color="auto"/>
        <w:right w:val="none" w:sz="0" w:space="0" w:color="auto"/>
      </w:divBdr>
    </w:div>
    <w:div w:id="1588881468">
      <w:bodyDiv w:val="1"/>
      <w:marLeft w:val="0"/>
      <w:marRight w:val="0"/>
      <w:marTop w:val="0"/>
      <w:marBottom w:val="0"/>
      <w:divBdr>
        <w:top w:val="none" w:sz="0" w:space="0" w:color="auto"/>
        <w:left w:val="none" w:sz="0" w:space="0" w:color="auto"/>
        <w:bottom w:val="none" w:sz="0" w:space="0" w:color="auto"/>
        <w:right w:val="none" w:sz="0" w:space="0" w:color="auto"/>
      </w:divBdr>
    </w:div>
    <w:div w:id="1690371901">
      <w:bodyDiv w:val="1"/>
      <w:marLeft w:val="0"/>
      <w:marRight w:val="0"/>
      <w:marTop w:val="0"/>
      <w:marBottom w:val="0"/>
      <w:divBdr>
        <w:top w:val="none" w:sz="0" w:space="0" w:color="auto"/>
        <w:left w:val="none" w:sz="0" w:space="0" w:color="auto"/>
        <w:bottom w:val="none" w:sz="0" w:space="0" w:color="auto"/>
        <w:right w:val="none" w:sz="0" w:space="0" w:color="auto"/>
      </w:divBdr>
    </w:div>
    <w:div w:id="1762338634">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79533032">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0997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'VN30'!$J$1</c:f>
              <c:strCache>
                <c:ptCount val="1"/>
                <c:pt idx="0">
                  <c:v>Monthly return</c:v>
                </c:pt>
              </c:strCache>
            </c:strRef>
          </c:tx>
          <c:spPr>
            <a:solidFill>
              <a:srgbClr val="FF0000"/>
            </a:solidFill>
            <a:ln>
              <a:noFill/>
            </a:ln>
            <a:effectLst/>
          </c:spPr>
          <c:invertIfNegative val="0"/>
          <c:dLbls>
            <c:dLbl>
              <c:idx val="30"/>
              <c:layout>
                <c:manualLayout>
                  <c:x val="-1.5669334656024605E-16"/>
                  <c:y val="-1.896183929841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4B-41D0-941A-2EA2DFF15E08}"/>
                </c:ext>
              </c:extLst>
            </c:dLbl>
            <c:dLbl>
              <c:idx val="31"/>
              <c:layout>
                <c:manualLayout>
                  <c:x val="0"/>
                  <c:y val="-8.5328276842853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4B-41D0-941A-2EA2DFF15E08}"/>
                </c:ext>
              </c:extLst>
            </c:dLbl>
            <c:dLbl>
              <c:idx val="33"/>
              <c:layout>
                <c:manualLayout>
                  <c:x val="2.136752136752137E-3"/>
                  <c:y val="-2.844275894761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4B-41D0-941A-2EA2DFF15E08}"/>
                </c:ext>
              </c:extLst>
            </c:dLbl>
            <c:dLbl>
              <c:idx val="35"/>
              <c:layout>
                <c:manualLayout>
                  <c:x val="6.4102564102562539E-3"/>
                  <c:y val="-2.84427589476178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4B-41D0-941A-2EA2DFF15E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'VN30'!$H$3:$H$38</c:f>
              <c:numCache>
                <c:formatCode>m/d/yyyy</c:formatCode>
                <c:ptCount val="36"/>
                <c:pt idx="0">
                  <c:v>43677</c:v>
                </c:pt>
                <c:pt idx="1">
                  <c:v>43708</c:v>
                </c:pt>
                <c:pt idx="2">
                  <c:v>43738</c:v>
                </c:pt>
                <c:pt idx="3">
                  <c:v>43769</c:v>
                </c:pt>
                <c:pt idx="4">
                  <c:v>43799</c:v>
                </c:pt>
                <c:pt idx="5">
                  <c:v>43830</c:v>
                </c:pt>
                <c:pt idx="6">
                  <c:v>43861</c:v>
                </c:pt>
                <c:pt idx="7">
                  <c:v>43890</c:v>
                </c:pt>
                <c:pt idx="8">
                  <c:v>43921</c:v>
                </c:pt>
                <c:pt idx="9">
                  <c:v>43951</c:v>
                </c:pt>
                <c:pt idx="10">
                  <c:v>43982</c:v>
                </c:pt>
                <c:pt idx="11">
                  <c:v>44012</c:v>
                </c:pt>
                <c:pt idx="12">
                  <c:v>44043</c:v>
                </c:pt>
                <c:pt idx="13">
                  <c:v>44074</c:v>
                </c:pt>
                <c:pt idx="14">
                  <c:v>44104</c:v>
                </c:pt>
                <c:pt idx="15">
                  <c:v>44135</c:v>
                </c:pt>
                <c:pt idx="16">
                  <c:v>44165</c:v>
                </c:pt>
                <c:pt idx="17">
                  <c:v>44196</c:v>
                </c:pt>
                <c:pt idx="18">
                  <c:v>44227</c:v>
                </c:pt>
                <c:pt idx="19">
                  <c:v>44255</c:v>
                </c:pt>
                <c:pt idx="20">
                  <c:v>44286</c:v>
                </c:pt>
                <c:pt idx="21">
                  <c:v>44316</c:v>
                </c:pt>
                <c:pt idx="22">
                  <c:v>44347</c:v>
                </c:pt>
                <c:pt idx="23">
                  <c:v>44377</c:v>
                </c:pt>
                <c:pt idx="24">
                  <c:v>44408</c:v>
                </c:pt>
                <c:pt idx="25">
                  <c:v>44439</c:v>
                </c:pt>
                <c:pt idx="26">
                  <c:v>44469</c:v>
                </c:pt>
                <c:pt idx="27">
                  <c:v>44500</c:v>
                </c:pt>
                <c:pt idx="28">
                  <c:v>44530</c:v>
                </c:pt>
                <c:pt idx="29">
                  <c:v>44561</c:v>
                </c:pt>
                <c:pt idx="30">
                  <c:v>44592</c:v>
                </c:pt>
                <c:pt idx="31">
                  <c:v>44620</c:v>
                </c:pt>
                <c:pt idx="32">
                  <c:v>44651</c:v>
                </c:pt>
                <c:pt idx="33">
                  <c:v>44681</c:v>
                </c:pt>
                <c:pt idx="34">
                  <c:v>44712</c:v>
                </c:pt>
                <c:pt idx="35">
                  <c:v>44742</c:v>
                </c:pt>
              </c:numCache>
              <c:extLst/>
            </c:numRef>
          </c:cat>
          <c:val>
            <c:numRef>
              <c:f>'VN30'!$J$3:$J$38</c:f>
              <c:numCache>
                <c:formatCode>0.0%</c:formatCode>
                <c:ptCount val="36"/>
                <c:pt idx="0">
                  <c:v>2.1947904411687702E-2</c:v>
                </c:pt>
                <c:pt idx="1">
                  <c:v>1.154213863259046E-2</c:v>
                </c:pt>
                <c:pt idx="2">
                  <c:v>3.5315951203749085E-2</c:v>
                </c:pt>
                <c:pt idx="3">
                  <c:v>-4.2228956941781082E-4</c:v>
                </c:pt>
                <c:pt idx="4">
                  <c:v>-3.775017287649074E-2</c:v>
                </c:pt>
                <c:pt idx="5">
                  <c:v>-9.2908182141302476E-3</c:v>
                </c:pt>
                <c:pt idx="6">
                  <c:v>-3.5302420556199143E-2</c:v>
                </c:pt>
                <c:pt idx="7">
                  <c:v>-1.9751946955739785E-2</c:v>
                </c:pt>
                <c:pt idx="8">
                  <c:v>-0.26528817359515966</c:v>
                </c:pt>
                <c:pt idx="9">
                  <c:v>0.17261351492887012</c:v>
                </c:pt>
                <c:pt idx="10">
                  <c:v>0.12785229195312731</c:v>
                </c:pt>
                <c:pt idx="11">
                  <c:v>-4.3850746667717821E-2</c:v>
                </c:pt>
                <c:pt idx="12">
                  <c:v>-3.7594582807895849E-2</c:v>
                </c:pt>
                <c:pt idx="13">
                  <c:v>0.11557263495086612</c:v>
                </c:pt>
                <c:pt idx="14">
                  <c:v>4.3542125287185929E-2</c:v>
                </c:pt>
                <c:pt idx="15">
                  <c:v>4.0091514536125139E-2</c:v>
                </c:pt>
                <c:pt idx="16">
                  <c:v>8.183629654812119E-2</c:v>
                </c:pt>
                <c:pt idx="17">
                  <c:v>0.10874889224284701</c:v>
                </c:pt>
                <c:pt idx="18">
                  <c:v>-1.6975831732113922E-2</c:v>
                </c:pt>
                <c:pt idx="19">
                  <c:v>0.11699526157174955</c:v>
                </c:pt>
                <c:pt idx="20">
                  <c:v>1.8794398692796976E-2</c:v>
                </c:pt>
                <c:pt idx="21">
                  <c:v>9.5608916770392627E-2</c:v>
                </c:pt>
                <c:pt idx="22">
                  <c:v>0.12531169996420077</c:v>
                </c:pt>
                <c:pt idx="23">
                  <c:v>3.8056283670000912E-2</c:v>
                </c:pt>
                <c:pt idx="24">
                  <c:v>-5.418902160853778E-2</c:v>
                </c:pt>
                <c:pt idx="25">
                  <c:v>-1.3331154142114388E-2</c:v>
                </c:pt>
                <c:pt idx="26">
                  <c:v>1.8838171442107754E-2</c:v>
                </c:pt>
                <c:pt idx="27">
                  <c:v>5.3640403596513009E-2</c:v>
                </c:pt>
                <c:pt idx="28">
                  <c:v>2.8065646415422751E-3</c:v>
                </c:pt>
                <c:pt idx="29">
                  <c:v>-1.0169077602351084E-3</c:v>
                </c:pt>
                <c:pt idx="30">
                  <c:v>-2.0028312595546938E-3</c:v>
                </c:pt>
                <c:pt idx="31">
                  <c:v>-1.0414751798031086E-2</c:v>
                </c:pt>
                <c:pt idx="32">
                  <c:v>-6.0571174546810713E-3</c:v>
                </c:pt>
                <c:pt idx="33">
                  <c:v>-5.9529472440279618E-2</c:v>
                </c:pt>
                <c:pt idx="34">
                  <c:v>-5.9000344379648295E-2</c:v>
                </c:pt>
                <c:pt idx="35">
                  <c:v>-5.9744169743187747E-2</c:v>
                </c:pt>
              </c:numCache>
              <c:extLst/>
            </c:numRef>
          </c:val>
          <c:extLst>
            <c:ext xmlns:c16="http://schemas.microsoft.com/office/drawing/2014/chart" uri="{C3380CC4-5D6E-409C-BE32-E72D297353CC}">
              <c16:uniqueId val="{00000004-C34B-41D0-941A-2EA2DFF15E08}"/>
            </c:ext>
          </c:extLst>
        </c:ser>
        <c:dLbls>
          <c:showLegendKey val="0"/>
          <c:showVal val="0"/>
          <c:showCatName val="0"/>
          <c:showSerName val="0"/>
          <c:showPercent val="0"/>
          <c:showBubbleSize val="0"/>
        </c:dLbls>
        <c:gapWidth val="219"/>
        <c:overlap val="-27"/>
        <c:axId val="1013551664"/>
        <c:axId val="1013549040"/>
      </c:barChart>
      <c:cat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Algn val="ctr"/>
        <c:lblOffset val="100"/>
        <c:noMultiLvlLbl val="0"/>
      </c:cat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6ECC-48A4-49E8-857F-76C0F786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Sam Mai Thuy</cp:lastModifiedBy>
  <cp:revision>4</cp:revision>
  <cp:lastPrinted>2022-07-18T08:33:00Z</cp:lastPrinted>
  <dcterms:created xsi:type="dcterms:W3CDTF">2022-07-14T04:07:00Z</dcterms:created>
  <dcterms:modified xsi:type="dcterms:W3CDTF">2022-07-18T09:27:00Z</dcterms:modified>
</cp:coreProperties>
</file>