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7F23" w14:textId="77777777" w:rsidR="00E1535E" w:rsidRPr="007A4753" w:rsidRDefault="00E1535E" w:rsidP="00E1535E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4753">
        <w:rPr>
          <w:rFonts w:ascii="Times New Roman" w:hAnsi="Times New Roman" w:cs="Times New Roman"/>
          <w:b/>
          <w:sz w:val="20"/>
          <w:szCs w:val="20"/>
        </w:rPr>
        <w:t xml:space="preserve">CTCP QUẢN LÝ QUỸ ĐẦU TƯ DRAGON CAPITAL VIỆT NAM </w:t>
      </w:r>
    </w:p>
    <w:p w14:paraId="238542D3" w14:textId="77777777" w:rsidR="00E1535E" w:rsidRPr="007A4753" w:rsidRDefault="00E1535E" w:rsidP="00E1535E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4753">
        <w:rPr>
          <w:rFonts w:ascii="Times New Roman" w:hAnsi="Times New Roman" w:cs="Times New Roman"/>
          <w:b/>
          <w:sz w:val="20"/>
          <w:szCs w:val="20"/>
        </w:rPr>
        <w:t>QUỸ ETF DCVFMVN DIAMOND</w:t>
      </w:r>
    </w:p>
    <w:p w14:paraId="4A615BB6" w14:textId="77777777" w:rsidR="00E1535E" w:rsidRPr="007A4753" w:rsidRDefault="00E1535E" w:rsidP="00E1535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0844C3" w14:textId="77777777" w:rsidR="00E1535E" w:rsidRPr="007A4753" w:rsidRDefault="00E1535E" w:rsidP="00E1535E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Mẫu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B06 - ETF</w:t>
      </w:r>
    </w:p>
    <w:p w14:paraId="1C42B90B" w14:textId="77777777" w:rsidR="00E1535E" w:rsidRPr="007A4753" w:rsidRDefault="00E1535E" w:rsidP="00E1535E">
      <w:pPr>
        <w:spacing w:after="0" w:line="288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4753">
        <w:rPr>
          <w:rFonts w:ascii="Times New Roman" w:hAnsi="Times New Roman" w:cs="Times New Roman"/>
          <w:i/>
          <w:sz w:val="20"/>
          <w:szCs w:val="20"/>
        </w:rPr>
        <w:t xml:space="preserve">(Ban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kèm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181/2015/TT-BTC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13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2015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)</w:t>
      </w:r>
    </w:p>
    <w:p w14:paraId="46C1AA6C" w14:textId="77777777" w:rsidR="00E1535E" w:rsidRPr="007A4753" w:rsidRDefault="00E1535E" w:rsidP="00E1535E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B3B965" w14:textId="77777777" w:rsidR="00E1535E" w:rsidRPr="007A4753" w:rsidRDefault="00E1535E" w:rsidP="00E1535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A4753">
        <w:rPr>
          <w:rFonts w:ascii="Times New Roman" w:hAnsi="Times New Roman" w:cs="Times New Roman"/>
          <w:b/>
          <w:sz w:val="24"/>
          <w:szCs w:val="20"/>
        </w:rPr>
        <w:t>BẢN THUYẾT MINH BÁO CÁO TÀI CHÍNH CHỌN LỌC</w:t>
      </w:r>
    </w:p>
    <w:p w14:paraId="1FDC0819" w14:textId="54E6E6D9" w:rsidR="00E1535E" w:rsidRPr="007A4753" w:rsidRDefault="00374D7E" w:rsidP="00E1535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4"/>
          <w:szCs w:val="20"/>
        </w:rPr>
        <w:t>Quý</w:t>
      </w:r>
      <w:proofErr w:type="spellEnd"/>
      <w:r w:rsidRPr="007A4753">
        <w:rPr>
          <w:rFonts w:ascii="Times New Roman" w:hAnsi="Times New Roman" w:cs="Times New Roman"/>
          <w:b/>
          <w:sz w:val="24"/>
          <w:szCs w:val="20"/>
        </w:rPr>
        <w:t xml:space="preserve"> I</w:t>
      </w:r>
      <w:r w:rsidR="00E1535E" w:rsidRPr="007A4753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b/>
          <w:sz w:val="24"/>
          <w:szCs w:val="20"/>
        </w:rPr>
        <w:t>năm</w:t>
      </w:r>
      <w:proofErr w:type="spellEnd"/>
      <w:r w:rsidR="00E1535E" w:rsidRPr="007A4753">
        <w:rPr>
          <w:rFonts w:ascii="Times New Roman" w:hAnsi="Times New Roman" w:cs="Times New Roman"/>
          <w:b/>
          <w:sz w:val="24"/>
          <w:szCs w:val="20"/>
        </w:rPr>
        <w:t xml:space="preserve"> 20</w:t>
      </w:r>
      <w:r w:rsidR="000E1C4F" w:rsidRPr="007A4753">
        <w:rPr>
          <w:rFonts w:ascii="Times New Roman" w:hAnsi="Times New Roman" w:cs="Times New Roman"/>
          <w:b/>
          <w:sz w:val="24"/>
          <w:szCs w:val="20"/>
        </w:rPr>
        <w:t>2</w:t>
      </w:r>
      <w:r w:rsidR="00E5334B">
        <w:rPr>
          <w:rFonts w:ascii="Times New Roman" w:hAnsi="Times New Roman" w:cs="Times New Roman"/>
          <w:b/>
          <w:sz w:val="24"/>
          <w:szCs w:val="20"/>
        </w:rPr>
        <w:t>2</w:t>
      </w:r>
    </w:p>
    <w:p w14:paraId="572F6798" w14:textId="77777777" w:rsidR="00E1535E" w:rsidRPr="007A4753" w:rsidRDefault="00E1535E" w:rsidP="00E1535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0A61B1E" w14:textId="77777777" w:rsidR="00E1535E" w:rsidRPr="007A4753" w:rsidRDefault="00E1535E" w:rsidP="00E1535E">
      <w:pPr>
        <w:pStyle w:val="ListParagraph"/>
        <w:numPr>
          <w:ilvl w:val="0"/>
          <w:numId w:val="1"/>
        </w:numPr>
        <w:spacing w:before="60" w:after="0" w:line="288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Đặc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điểm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ETF DCVFMVN DIAMOND</w:t>
      </w:r>
      <w:r w:rsidRPr="007A4753">
        <w:rPr>
          <w:rFonts w:ascii="Times New Roman" w:hAnsi="Times New Roman" w:cs="Times New Roman"/>
          <w:b/>
          <w:sz w:val="20"/>
          <w:szCs w:val="20"/>
        </w:rPr>
        <w:tab/>
      </w:r>
    </w:p>
    <w:p w14:paraId="0F6B3321" w14:textId="77777777" w:rsidR="00E1535E" w:rsidRPr="007A4753" w:rsidRDefault="00E1535E" w:rsidP="00E1535E">
      <w:pPr>
        <w:pStyle w:val="ListParagraph"/>
        <w:numPr>
          <w:ilvl w:val="1"/>
          <w:numId w:val="2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Giấy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chào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</w:p>
    <w:p w14:paraId="1E953BAD" w14:textId="77777777" w:rsidR="00E1535E" w:rsidRPr="007A4753" w:rsidRDefault="00E1535E" w:rsidP="00E1535E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38/GCN-UBCK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Ủy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27/02/2020.</w:t>
      </w:r>
    </w:p>
    <w:p w14:paraId="5E1F28A6" w14:textId="77777777" w:rsidR="00E1535E" w:rsidRPr="007A4753" w:rsidRDefault="00E1535E" w:rsidP="00E1535E">
      <w:pPr>
        <w:pStyle w:val="ListParagraph"/>
        <w:numPr>
          <w:ilvl w:val="1"/>
          <w:numId w:val="2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Giấy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đăng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</w:p>
    <w:p w14:paraId="6C67491C" w14:textId="77777777" w:rsidR="00E1535E" w:rsidRPr="007A4753" w:rsidRDefault="00E1535E" w:rsidP="00E1535E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43/GCN-UBCK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Ủy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22/04/2020,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13/GCN-UBCK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Ủy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24/05/2021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16CAB16" w14:textId="77777777" w:rsidR="00E1535E" w:rsidRPr="007A4753" w:rsidRDefault="00E1535E" w:rsidP="00E1535E">
      <w:pPr>
        <w:pStyle w:val="ListParagraph"/>
        <w:numPr>
          <w:ilvl w:val="1"/>
          <w:numId w:val="2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Địa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</w:p>
    <w:p w14:paraId="50EC44D5" w14:textId="77777777" w:rsidR="00E1535E" w:rsidRPr="007A4753" w:rsidRDefault="00E1535E" w:rsidP="00E1535E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Tầng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Tòa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Linh Point,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1, TP.HCM.</w:t>
      </w:r>
    </w:p>
    <w:p w14:paraId="1319710E" w14:textId="77777777" w:rsidR="00E1535E" w:rsidRPr="007A4753" w:rsidRDefault="00E1535E" w:rsidP="00E1535E">
      <w:pPr>
        <w:pStyle w:val="ListParagraph"/>
        <w:numPr>
          <w:ilvl w:val="1"/>
          <w:numId w:val="2"/>
        </w:numPr>
        <w:spacing w:before="60" w:after="6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ETF ban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27/04/2021</w:t>
      </w:r>
    </w:p>
    <w:p w14:paraId="5212D91D" w14:textId="77777777" w:rsidR="00E1535E" w:rsidRPr="007A4753" w:rsidRDefault="00E1535E" w:rsidP="00E1535E">
      <w:pPr>
        <w:pStyle w:val="ListParagraph"/>
        <w:numPr>
          <w:ilvl w:val="1"/>
          <w:numId w:val="2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Những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đặc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điểm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</w:p>
    <w:p w14:paraId="381FFBC3" w14:textId="77777777" w:rsidR="00E1535E" w:rsidRPr="007A4753" w:rsidRDefault="00E1535E" w:rsidP="00E1535E">
      <w:pPr>
        <w:spacing w:after="6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mô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lẻ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(102)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tỷ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102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lẻ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Mệnh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nghìn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(10,000)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E0A3398" w14:textId="77777777" w:rsidR="00E1535E" w:rsidRPr="007A4753" w:rsidRDefault="00E1535E" w:rsidP="00E1535E">
      <w:pPr>
        <w:spacing w:after="6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chất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chúng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tiếp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Giao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Tp. HCM.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suốt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nghĩa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ETF DCVFMVN DIAMOND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86A1A33" w14:textId="2B989820" w:rsidR="00E1535E" w:rsidRPr="007A4753" w:rsidRDefault="00E1535E" w:rsidP="00E1535E">
      <w:pPr>
        <w:spacing w:after="6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tiêu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tiêu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mô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phỏng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(performance)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VN DIAMOND. 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VN DIAMOND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Giao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phố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Hồ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Chí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Minh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xây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dựng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="009434B6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34B6"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97BD10D" w14:textId="77777777" w:rsidR="00E1535E" w:rsidRPr="007A4753" w:rsidRDefault="00E1535E" w:rsidP="00E1535E">
      <w:pPr>
        <w:spacing w:after="6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(NAV):</w:t>
      </w:r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cuối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lễ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thì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tiếp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tiếp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lễ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0F8DE0" w14:textId="77777777" w:rsidR="00E1535E" w:rsidRPr="007A4753" w:rsidRDefault="00E1535E" w:rsidP="00E1535E">
      <w:pPr>
        <w:spacing w:after="6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Tần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suất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 xml:space="preserve"> Giao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5C2C661" w14:textId="77777777" w:rsidR="00E1535E" w:rsidRPr="007A4753" w:rsidRDefault="00E1535E" w:rsidP="00E1535E">
      <w:pPr>
        <w:spacing w:after="6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ETF DCVFMVN DIAMOND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rõ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7C4168C0" w14:textId="77777777" w:rsidR="00E1535E" w:rsidRPr="007A4753" w:rsidRDefault="00E1535E" w:rsidP="00E1535E">
      <w:pPr>
        <w:spacing w:after="0" w:line="288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ETF DCVFMVN DIAMOND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đảm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bảo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:</w:t>
      </w:r>
    </w:p>
    <w:p w14:paraId="745C9511" w14:textId="77777777" w:rsidR="00E1535E" w:rsidRPr="007A4753" w:rsidRDefault="00E1535E" w:rsidP="00E1535E">
      <w:pPr>
        <w:pStyle w:val="ListParagraph"/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(10%)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1ECFAF2E" w14:textId="77777777" w:rsidR="00E1535E" w:rsidRPr="007A4753" w:rsidRDefault="00E1535E" w:rsidP="00E1535E">
      <w:pPr>
        <w:pStyle w:val="ListParagraph"/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mươi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(20%)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208030E2" w14:textId="77777777" w:rsidR="00E1535E" w:rsidRPr="007A4753" w:rsidRDefault="00E1535E" w:rsidP="00E1535E">
      <w:pPr>
        <w:pStyle w:val="ListParagraph"/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mươi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(30%)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nhóm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đây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con;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35%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nhóm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con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nằm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70E01847" w14:textId="77777777" w:rsidR="00E1535E" w:rsidRPr="007A4753" w:rsidRDefault="00E1535E" w:rsidP="00E1535E">
      <w:pPr>
        <w:pStyle w:val="ListParagraph"/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lastRenderedPageBreak/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chúng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nhiệm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riêng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lẻ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60105540" w14:textId="77777777" w:rsidR="00E1535E" w:rsidRPr="007A4753" w:rsidRDefault="00E1535E" w:rsidP="00E1535E">
      <w:pPr>
        <w:pStyle w:val="ListParagraph"/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bởi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nằm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6DA36305" w14:textId="77777777" w:rsidR="00E1535E" w:rsidRPr="007A4753" w:rsidRDefault="00E1535E" w:rsidP="00E1535E">
      <w:pPr>
        <w:pStyle w:val="ListParagraph"/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mọi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cam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vượt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01AB0CD" w14:textId="6703AF6A" w:rsidR="00E1535E" w:rsidRPr="007A4753" w:rsidRDefault="009F457C" w:rsidP="00E1535E">
      <w:pPr>
        <w:spacing w:before="60" w:after="0" w:line="288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753">
        <w:rPr>
          <w:rFonts w:ascii="Times New Roman" w:hAnsi="Times New Roman" w:cs="Times New Roman"/>
          <w:i/>
          <w:sz w:val="20"/>
          <w:szCs w:val="20"/>
        </w:rPr>
        <w:t xml:space="preserve">Theo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98/2020/TT-BTC (“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98”)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16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2020 do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vượt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mức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so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điểm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(a), (b), (c)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(d)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</w:t>
      </w:r>
      <w:r w:rsidRPr="007A4753">
        <w:rPr>
          <w:rFonts w:ascii="Times New Roman" w:hAnsi="Times New Roman" w:cs="Times New Roman" w:hint="eastAsia"/>
          <w:i/>
          <w:sz w:val="20"/>
          <w:szCs w:val="20"/>
        </w:rPr>
        <w:t>ê</w:t>
      </w:r>
      <w:r w:rsidRPr="007A4753">
        <w:rPr>
          <w:rFonts w:ascii="Times New Roman" w:hAnsi="Times New Roman" w:cs="Times New Roman"/>
          <w:i/>
          <w:sz w:val="20"/>
          <w:szCs w:val="20"/>
        </w:rPr>
        <w:t>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nguyên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sau</w:t>
      </w:r>
      <w:proofErr w:type="spellEnd"/>
      <w:r w:rsidR="00E1535E" w:rsidRPr="007A4753">
        <w:rPr>
          <w:rFonts w:ascii="Times New Roman" w:hAnsi="Times New Roman" w:cs="Times New Roman"/>
          <w:i/>
          <w:sz w:val="20"/>
          <w:szCs w:val="20"/>
        </w:rPr>
        <w:t>:</w:t>
      </w:r>
    </w:p>
    <w:p w14:paraId="0AFD773A" w14:textId="77777777" w:rsidR="00E1535E" w:rsidRPr="007A4753" w:rsidRDefault="00E1535E" w:rsidP="00E1535E">
      <w:pPr>
        <w:pStyle w:val="ListParagraph"/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38D39BE0" w14:textId="77777777" w:rsidR="00E1535E" w:rsidRPr="007A4753" w:rsidRDefault="00E1535E" w:rsidP="00E1535E">
      <w:pPr>
        <w:pStyle w:val="ListParagraph"/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chia,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290FB5DF" w14:textId="77777777" w:rsidR="00E1535E" w:rsidRPr="007A4753" w:rsidRDefault="00E1535E" w:rsidP="00E1535E">
      <w:pPr>
        <w:pStyle w:val="ListParagraph"/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5AC0E927" w14:textId="77777777" w:rsidR="00E1535E" w:rsidRPr="007A4753" w:rsidRDefault="00E1535E" w:rsidP="00E1535E">
      <w:pPr>
        <w:pStyle w:val="ListParagraph"/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phép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03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35BD5F66" w14:textId="77777777" w:rsidR="00E1535E" w:rsidRPr="007A4753" w:rsidRDefault="00E1535E" w:rsidP="00E1535E">
      <w:pPr>
        <w:pStyle w:val="ListParagraph"/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3D01AAEA" w14:textId="77777777" w:rsidR="00E1535E" w:rsidRPr="007A4753" w:rsidRDefault="00E1535E" w:rsidP="00E1535E">
      <w:pPr>
        <w:pStyle w:val="ListParagraph"/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406AB34" w14:textId="77777777" w:rsidR="00E1535E" w:rsidRPr="007A4753" w:rsidRDefault="00E1535E" w:rsidP="00E1535E">
      <w:pPr>
        <w:pStyle w:val="ListParagraph"/>
        <w:numPr>
          <w:ilvl w:val="0"/>
          <w:numId w:val="1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tệ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sử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0EE2955A" w14:textId="77777777" w:rsidR="00E1535E" w:rsidRPr="007A4753" w:rsidRDefault="00E1535E" w:rsidP="00E1535E">
      <w:pPr>
        <w:pStyle w:val="ListParagraph"/>
        <w:numPr>
          <w:ilvl w:val="1"/>
          <w:numId w:val="7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>:</w:t>
      </w:r>
    </w:p>
    <w:p w14:paraId="25885EA9" w14:textId="77777777" w:rsidR="00E1535E" w:rsidRPr="007A4753" w:rsidRDefault="00E1535E" w:rsidP="00E1535E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31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12.</w:t>
      </w:r>
    </w:p>
    <w:p w14:paraId="7BA43F60" w14:textId="77777777" w:rsidR="00E1535E" w:rsidRPr="007A4753" w:rsidRDefault="00E1535E" w:rsidP="00E1535E">
      <w:pPr>
        <w:pStyle w:val="ListParagraph"/>
        <w:numPr>
          <w:ilvl w:val="1"/>
          <w:numId w:val="7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vị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tệ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sử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672038BD" w14:textId="77777777" w:rsidR="00E1535E" w:rsidRPr="007A4753" w:rsidRDefault="00E1535E" w:rsidP="00E1535E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 (“VND”),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A2D9608" w14:textId="77777777" w:rsidR="00E1535E" w:rsidRPr="007A4753" w:rsidRDefault="00E1535E" w:rsidP="00E1535E">
      <w:pPr>
        <w:pStyle w:val="ListParagraph"/>
        <w:numPr>
          <w:ilvl w:val="0"/>
          <w:numId w:val="1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Chuẩn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mực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21E195E9" w14:textId="77777777" w:rsidR="00E1535E" w:rsidRPr="007A4753" w:rsidRDefault="00E1535E" w:rsidP="00916D39">
      <w:pPr>
        <w:pStyle w:val="ListParagraph"/>
        <w:numPr>
          <w:ilvl w:val="1"/>
          <w:numId w:val="9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dụng</w:t>
      </w:r>
      <w:proofErr w:type="spellEnd"/>
    </w:p>
    <w:p w14:paraId="6640DFC9" w14:textId="77777777" w:rsidR="00E1535E" w:rsidRPr="007A4753" w:rsidRDefault="00E1535E" w:rsidP="00916D39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ETF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181/2015/TT-BTC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13/11/2015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198/2012/TT-BTC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198”)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2012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98/2020/TT-BTC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16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2020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1D6218C" w14:textId="77777777" w:rsidR="00E1535E" w:rsidRPr="007A4753" w:rsidRDefault="00E1535E" w:rsidP="00916D39">
      <w:pPr>
        <w:pStyle w:val="ListParagraph"/>
        <w:numPr>
          <w:ilvl w:val="1"/>
          <w:numId w:val="9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Tuyên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bố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tuân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thủ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Chuẩn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mực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ED1D78A" w14:textId="77777777" w:rsidR="00E1535E" w:rsidRPr="007A4753" w:rsidRDefault="00E1535E" w:rsidP="00916D39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Chuẩn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181/2015/TT-BTC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181”)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13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2015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198/2012/TT-BTC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198”)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2012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346C79E" w14:textId="77777777" w:rsidR="00E1535E" w:rsidRPr="007A4753" w:rsidRDefault="00E1535E" w:rsidP="00916D39">
      <w:pPr>
        <w:pStyle w:val="ListParagraph"/>
        <w:numPr>
          <w:ilvl w:val="1"/>
          <w:numId w:val="9"/>
        </w:numPr>
        <w:spacing w:before="60"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thức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dụng</w:t>
      </w:r>
      <w:proofErr w:type="spellEnd"/>
    </w:p>
    <w:p w14:paraId="4D649CE3" w14:textId="77777777" w:rsidR="00E1535E" w:rsidRPr="007A4753" w:rsidRDefault="00E1535E" w:rsidP="00916D39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7E39BEB" w14:textId="77777777" w:rsidR="00E1535E" w:rsidRPr="007A4753" w:rsidRDefault="00E1535E" w:rsidP="00E1535E">
      <w:pPr>
        <w:pStyle w:val="ListParagraph"/>
        <w:numPr>
          <w:ilvl w:val="0"/>
          <w:numId w:val="1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sách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61E13C9E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ngân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đương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</w:p>
    <w:p w14:paraId="18DF66B9" w14:textId="7F66F804" w:rsidR="00E1535E" w:rsidRPr="007A4753" w:rsidRDefault="00F41B4C" w:rsidP="001D294F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gốc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(03)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ngắn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dễ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lượng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rủi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cam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ngắn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hay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747B35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tư</w:t>
      </w:r>
      <w:proofErr w:type="spellEnd"/>
    </w:p>
    <w:p w14:paraId="08A77C58" w14:textId="5F3265B4" w:rsidR="00E1535E" w:rsidRPr="007A4753" w:rsidRDefault="00F41B4C" w:rsidP="001D294F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lastRenderedPageBreak/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môi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v.v. Sau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nêu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(iii).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lỗ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1C59F883" w14:textId="77777777" w:rsidR="00E1535E" w:rsidRPr="007A4753" w:rsidRDefault="00E1535E" w:rsidP="001D294F">
      <w:pPr>
        <w:pStyle w:val="ListParagraph"/>
        <w:numPr>
          <w:ilvl w:val="0"/>
          <w:numId w:val="11"/>
        </w:numPr>
        <w:tabs>
          <w:tab w:val="left" w:pos="993"/>
        </w:tabs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Phân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loại</w:t>
      </w:r>
      <w:proofErr w:type="spellEnd"/>
    </w:p>
    <w:p w14:paraId="429F8A70" w14:textId="77777777" w:rsidR="00E1535E" w:rsidRPr="007A4753" w:rsidRDefault="00E1535E" w:rsidP="001D294F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loại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7D8EC426" w14:textId="77777777" w:rsidR="00E1535E" w:rsidRPr="007A4753" w:rsidRDefault="00E1535E" w:rsidP="001D294F">
      <w:pPr>
        <w:pStyle w:val="ListParagraph"/>
        <w:numPr>
          <w:ilvl w:val="0"/>
          <w:numId w:val="11"/>
        </w:numPr>
        <w:tabs>
          <w:tab w:val="left" w:pos="993"/>
        </w:tabs>
        <w:spacing w:after="0" w:line="288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37474FA6" w14:textId="77777777" w:rsidR="00651A0A" w:rsidRPr="007A4753" w:rsidRDefault="00651A0A" w:rsidP="00651A0A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C7746F5" w14:textId="10176615" w:rsidR="00E1535E" w:rsidRPr="007A4753" w:rsidRDefault="00651A0A" w:rsidP="00651A0A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6EA0BA7" w14:textId="77777777" w:rsidR="00E1535E" w:rsidRPr="007A4753" w:rsidRDefault="00E1535E" w:rsidP="001D294F">
      <w:pPr>
        <w:pStyle w:val="ListParagraph"/>
        <w:numPr>
          <w:ilvl w:val="0"/>
          <w:numId w:val="11"/>
        </w:numPr>
        <w:tabs>
          <w:tab w:val="left" w:pos="993"/>
        </w:tabs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trị</w:t>
      </w:r>
      <w:proofErr w:type="spellEnd"/>
    </w:p>
    <w:p w14:paraId="3BCE0007" w14:textId="77777777" w:rsidR="00E1535E" w:rsidRPr="007A4753" w:rsidRDefault="00E1535E" w:rsidP="001D294F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4753">
        <w:rPr>
          <w:rFonts w:ascii="Times New Roman" w:hAnsi="Times New Roman" w:cs="Times New Roman"/>
          <w:sz w:val="20"/>
          <w:szCs w:val="20"/>
        </w:rPr>
        <w:t xml:space="preserve">Theo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98/2020/TT-BTC,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tắc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</w:t>
      </w:r>
    </w:p>
    <w:p w14:paraId="68E3D7C5" w14:textId="77777777" w:rsidR="00E1535E" w:rsidRPr="007A4753" w:rsidRDefault="00E1535E" w:rsidP="00C35406">
      <w:pPr>
        <w:spacing w:before="60" w:after="0" w:line="288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phiếu</w:t>
      </w:r>
      <w:proofErr w:type="spellEnd"/>
    </w:p>
    <w:p w14:paraId="07D9887F" w14:textId="77777777" w:rsidR="00E1535E" w:rsidRPr="007A4753" w:rsidRDefault="00E1535E" w:rsidP="001D294F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yết</w:t>
      </w:r>
      <w:proofErr w:type="spellEnd"/>
    </w:p>
    <w:p w14:paraId="52A88BA7" w14:textId="77777777" w:rsidR="00651A0A" w:rsidRPr="007A4753" w:rsidRDefault="00651A0A" w:rsidP="00651A0A">
      <w:pPr>
        <w:spacing w:after="0"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(outright)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gọi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tùy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lũy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lũy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lũy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</w:t>
      </w:r>
    </w:p>
    <w:p w14:paraId="27026CFF" w14:textId="59EBAD7D" w:rsidR="00651A0A" w:rsidRPr="007A4753" w:rsidRDefault="00651A0A" w:rsidP="00651A0A">
      <w:pPr>
        <w:pStyle w:val="ListParagraph"/>
        <w:numPr>
          <w:ilvl w:val="0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D0C5C1" w14:textId="08E5B3EF" w:rsidR="00E1535E" w:rsidRPr="007A4753" w:rsidRDefault="00651A0A" w:rsidP="00651A0A">
      <w:pPr>
        <w:pStyle w:val="ListParagraph"/>
        <w:numPr>
          <w:ilvl w:val="0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1,0% so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(ii)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0,5% so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83F3EFA" w14:textId="77777777" w:rsidR="00E1535E" w:rsidRPr="007A4753" w:rsidRDefault="00E1535E" w:rsidP="001D294F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yết</w:t>
      </w:r>
      <w:proofErr w:type="spellEnd"/>
    </w:p>
    <w:p w14:paraId="27CB46D9" w14:textId="77777777" w:rsidR="00651A0A" w:rsidRPr="007A4753" w:rsidRDefault="00651A0A" w:rsidP="00651A0A">
      <w:pPr>
        <w:spacing w:after="0"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(03)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duyệt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lũy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C69CC5F" w14:textId="77777777" w:rsidR="00651A0A" w:rsidRPr="007A4753" w:rsidRDefault="00651A0A" w:rsidP="00DA5845">
      <w:pPr>
        <w:spacing w:after="0"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(03)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</w:t>
      </w:r>
    </w:p>
    <w:p w14:paraId="41D234AC" w14:textId="1E4012BC" w:rsidR="00651A0A" w:rsidRPr="007A4753" w:rsidRDefault="00651A0A" w:rsidP="00DA5845">
      <w:pPr>
        <w:pStyle w:val="ListParagraph"/>
        <w:numPr>
          <w:ilvl w:val="0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lũy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17104D7C" w14:textId="08BC4FC0" w:rsidR="00E1535E" w:rsidRPr="007A4753" w:rsidRDefault="00651A0A" w:rsidP="00DA5845">
      <w:pPr>
        <w:pStyle w:val="ListParagraph"/>
        <w:numPr>
          <w:ilvl w:val="0"/>
          <w:numId w:val="14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lũy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77941D2" w14:textId="77777777" w:rsidR="00E1535E" w:rsidRPr="007A4753" w:rsidRDefault="00E1535E" w:rsidP="001D294F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gắn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liền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chuyển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đổi</w:t>
      </w:r>
      <w:proofErr w:type="spellEnd"/>
    </w:p>
    <w:p w14:paraId="31DF02D6" w14:textId="77777777" w:rsidR="00E1535E" w:rsidRPr="007A4753" w:rsidRDefault="00E1535E" w:rsidP="001D294F">
      <w:pPr>
        <w:spacing w:after="0"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37C94A6" w14:textId="77777777" w:rsidR="00E1535E" w:rsidRPr="007A4753" w:rsidRDefault="00E1535E" w:rsidP="001D294F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trạng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giải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sản</w:t>
      </w:r>
      <w:proofErr w:type="spellEnd"/>
    </w:p>
    <w:p w14:paraId="6D5F7407" w14:textId="77777777" w:rsidR="00E1535E" w:rsidRPr="007A4753" w:rsidRDefault="00E1535E" w:rsidP="001D294F">
      <w:pPr>
        <w:spacing w:after="0" w:line="288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1F31494" w14:textId="77777777" w:rsidR="00E1535E" w:rsidRPr="007A4753" w:rsidRDefault="00E1535E" w:rsidP="00C35406">
      <w:pPr>
        <w:spacing w:before="60"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656911C2" w14:textId="78347E5D" w:rsidR="00E1535E" w:rsidRPr="007A4753" w:rsidRDefault="00E82173" w:rsidP="001D294F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Giao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Hồ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Chí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Minh (HOSE)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Giao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Hà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(HNX)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chúng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đăng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thống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UPCoM</w:t>
      </w:r>
      <w:proofErr w:type="spellEnd"/>
      <w:r w:rsidR="00E1535E" w:rsidRPr="007A4753">
        <w:rPr>
          <w:rFonts w:ascii="Times New Roman" w:hAnsi="Times New Roman" w:cs="Times New Roman"/>
          <w:i/>
          <w:sz w:val="20"/>
          <w:szCs w:val="20"/>
        </w:rPr>
        <w:t>:</w:t>
      </w:r>
    </w:p>
    <w:p w14:paraId="4009A17C" w14:textId="77777777" w:rsidR="00E82173" w:rsidRPr="007A4753" w:rsidRDefault="00E82173" w:rsidP="00372D61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lastRenderedPageBreak/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cửa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gọi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tùy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15A01BFD" w14:textId="2B2407A2" w:rsidR="00E1535E" w:rsidRPr="007A4753" w:rsidRDefault="00E82173" w:rsidP="00372D61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(15)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>:</w:t>
      </w:r>
    </w:p>
    <w:p w14:paraId="32865325" w14:textId="77777777" w:rsidR="00372D61" w:rsidRPr="007A4753" w:rsidRDefault="00372D61" w:rsidP="00372D61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cửa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gọi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tùy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12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307E7E" w14:textId="68F9DCAD" w:rsidR="00372D61" w:rsidRPr="007A4753" w:rsidRDefault="00372D61" w:rsidP="00372D61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718F9F" w14:textId="42D3093F" w:rsidR="00372D61" w:rsidRPr="007A4753" w:rsidRDefault="00372D61" w:rsidP="00372D61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45F296D" w14:textId="3C0DB5D5" w:rsidR="00E1535E" w:rsidRPr="007A4753" w:rsidRDefault="00372D61" w:rsidP="00372D61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41C4F9C3" w14:textId="77777777" w:rsidR="00E1535E" w:rsidRPr="007A4753" w:rsidRDefault="00E1535E" w:rsidP="00372D61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thì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cửa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cuối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CAE8C66" w14:textId="77777777" w:rsidR="001D294F" w:rsidRPr="007A4753" w:rsidRDefault="00E1535E" w:rsidP="00372D61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thì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chúng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13DC431" w14:textId="77777777" w:rsidR="005363B3" w:rsidRPr="007A4753" w:rsidRDefault="005363B3" w:rsidP="005363B3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trạng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giải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14:paraId="199C790D" w14:textId="77777777" w:rsidR="005363B3" w:rsidRPr="007A4753" w:rsidRDefault="005363B3" w:rsidP="005363B3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 w:hint="eastAsia"/>
          <w:sz w:val="20"/>
          <w:szCs w:val="20"/>
        </w:rPr>
        <w:t>Ư</w:t>
      </w:r>
      <w:r w:rsidRPr="007A4753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</w:t>
      </w:r>
    </w:p>
    <w:p w14:paraId="22DC94C2" w14:textId="77777777" w:rsidR="005363B3" w:rsidRPr="007A4753" w:rsidRDefault="005363B3" w:rsidP="005363B3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7A4753">
        <w:rPr>
          <w:rFonts w:ascii="Times New Roman" w:hAnsi="Times New Roman" w:cs="Times New Roman"/>
          <w:sz w:val="20"/>
          <w:szCs w:val="20"/>
        </w:rPr>
        <w:t xml:space="preserve">80%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3439053" w14:textId="77777777" w:rsidR="005363B3" w:rsidRPr="007A4753" w:rsidRDefault="005363B3" w:rsidP="005363B3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</w:t>
      </w:r>
      <w:r w:rsidRPr="007A4753">
        <w:rPr>
          <w:rFonts w:ascii="Times New Roman" w:hAnsi="Times New Roman" w:cs="Times New Roman"/>
          <w:i/>
          <w:sz w:val="20"/>
          <w:szCs w:val="20"/>
        </w:rPr>
        <w:t>ác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.</w:t>
      </w:r>
    </w:p>
    <w:p w14:paraId="52047C52" w14:textId="77777777" w:rsidR="005363B3" w:rsidRPr="007A4753" w:rsidRDefault="005363B3" w:rsidP="005363B3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222A2A" w14:textId="77777777" w:rsidR="005363B3" w:rsidRPr="007A4753" w:rsidRDefault="005363B3" w:rsidP="005363B3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(bao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cả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chào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lần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ra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chúng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thủ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tục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66B8459A" w14:textId="77777777" w:rsidR="005363B3" w:rsidRPr="007A4753" w:rsidRDefault="005363B3" w:rsidP="005363B3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(03)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duyệt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46531590" w14:textId="77777777" w:rsidR="005363B3" w:rsidRPr="007A4753" w:rsidRDefault="005363B3" w:rsidP="005363B3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03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duyệt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</w:t>
      </w:r>
    </w:p>
    <w:p w14:paraId="7C6F0F5F" w14:textId="7736E566" w:rsidR="005363B3" w:rsidRPr="007A4753" w:rsidRDefault="005363B3" w:rsidP="005363B3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duyệt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DBC74" w14:textId="66028881" w:rsidR="005363B3" w:rsidRPr="007A4753" w:rsidRDefault="005363B3" w:rsidP="005363B3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(03)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63237B3D" w14:textId="2E2AA55F" w:rsidR="005363B3" w:rsidRPr="007A4753" w:rsidRDefault="005363B3" w:rsidP="005363B3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633BCFD7" w14:textId="4BB64514" w:rsidR="005363B3" w:rsidRPr="007A4753" w:rsidRDefault="005363B3" w:rsidP="005363B3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08A14E8A" w14:textId="49CACBD3" w:rsidR="005363B3" w:rsidRPr="007A4753" w:rsidRDefault="005363B3" w:rsidP="005363B3">
      <w:pPr>
        <w:pStyle w:val="ListParagraph"/>
        <w:numPr>
          <w:ilvl w:val="0"/>
          <w:numId w:val="14"/>
        </w:numPr>
        <w:spacing w:after="0" w:line="288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439123F9" w14:textId="1A8451AB" w:rsidR="00E1535E" w:rsidRPr="007A4753" w:rsidRDefault="00E1535E" w:rsidP="005363B3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1DEA4A" w14:textId="77777777" w:rsidR="00E1535E" w:rsidRPr="007A4753" w:rsidRDefault="00E1535E" w:rsidP="00C35406">
      <w:pPr>
        <w:spacing w:before="60"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phái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508F64AA" w14:textId="77777777" w:rsidR="00CE5D04" w:rsidRPr="007A4753" w:rsidRDefault="00CE5D04" w:rsidP="00CE5D04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yết</w:t>
      </w:r>
      <w:proofErr w:type="spellEnd"/>
    </w:p>
    <w:p w14:paraId="28159B4F" w14:textId="77777777" w:rsidR="00CE5D04" w:rsidRPr="007A4753" w:rsidRDefault="00CE5D04" w:rsidP="00CE5D04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cuối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gọi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Giao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;</w:t>
      </w:r>
    </w:p>
    <w:p w14:paraId="762F9A6A" w14:textId="5FF3FF76" w:rsidR="00E1535E" w:rsidRPr="007A4753" w:rsidRDefault="00CE5D04" w:rsidP="00CE5D04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cuối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Giao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6187116" w14:textId="77777777" w:rsidR="00CE5D04" w:rsidRPr="007A4753" w:rsidRDefault="00CE5D04" w:rsidP="00CE5D04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vòng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mười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lăm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(15)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trở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lên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diện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chấp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i/>
          <w:sz w:val="20"/>
          <w:szCs w:val="20"/>
        </w:rPr>
        <w:t>thuận</w:t>
      </w:r>
      <w:proofErr w:type="spellEnd"/>
      <w:r w:rsidRPr="007A4753">
        <w:rPr>
          <w:rFonts w:ascii="Times New Roman" w:hAnsi="Times New Roman" w:cs="Times New Roman"/>
          <w:i/>
          <w:sz w:val="20"/>
          <w:szCs w:val="20"/>
        </w:rPr>
        <w:t>.</w:t>
      </w:r>
    </w:p>
    <w:p w14:paraId="6EB427D8" w14:textId="35BFC431" w:rsidR="00E1535E" w:rsidRPr="007A4753" w:rsidRDefault="00E1535E" w:rsidP="00C35406">
      <w:pPr>
        <w:spacing w:before="60" w:after="0" w:line="288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thưởng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phiếu</w:t>
      </w:r>
      <w:proofErr w:type="spellEnd"/>
    </w:p>
    <w:p w14:paraId="10697B37" w14:textId="24187EDC" w:rsidR="00E1535E" w:rsidRPr="007A4753" w:rsidRDefault="00CE5D04" w:rsidP="00C3540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9A89644" w14:textId="77777777" w:rsidR="00E1535E" w:rsidRPr="007A4753" w:rsidRDefault="00E1535E" w:rsidP="00C35406">
      <w:pPr>
        <w:spacing w:before="60" w:after="0" w:line="288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phiếu</w:t>
      </w:r>
      <w:proofErr w:type="spellEnd"/>
    </w:p>
    <w:p w14:paraId="13998BC4" w14:textId="1F3D1200" w:rsidR="00E1535E" w:rsidRPr="007A4753" w:rsidRDefault="00CE5D04" w:rsidP="00C3540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lastRenderedPageBreak/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chênh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tỷ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493A89C" w14:textId="77777777" w:rsidR="00C35406" w:rsidRPr="007A4753" w:rsidRDefault="00E1535E" w:rsidP="00C35406">
      <w:pPr>
        <w:spacing w:before="60" w:after="0" w:line="288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phép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khác</w:t>
      </w:r>
      <w:proofErr w:type="spellEnd"/>
    </w:p>
    <w:p w14:paraId="2FB82A4F" w14:textId="77777777" w:rsidR="00E1535E" w:rsidRPr="007A4753" w:rsidRDefault="00C35406" w:rsidP="00C3540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</w:t>
      </w:r>
      <w:r w:rsidR="00E1535E" w:rsidRPr="007A4753">
        <w:rPr>
          <w:rFonts w:ascii="Times New Roman" w:hAnsi="Times New Roman" w:cs="Times New Roman"/>
          <w:sz w:val="20"/>
          <w:szCs w:val="20"/>
        </w:rPr>
        <w:t>ùy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từng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cách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phù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đây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>:</w:t>
      </w:r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gần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cung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chấp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535E" w:rsidRPr="007A4753">
        <w:rPr>
          <w:rFonts w:ascii="Times New Roman" w:hAnsi="Times New Roman" w:cs="Times New Roman"/>
          <w:sz w:val="20"/>
          <w:szCs w:val="20"/>
        </w:rPr>
        <w:t>thuận</w:t>
      </w:r>
      <w:proofErr w:type="spellEnd"/>
      <w:r w:rsidR="00E1535E" w:rsidRPr="007A4753">
        <w:rPr>
          <w:rFonts w:ascii="Times New Roman" w:hAnsi="Times New Roman" w:cs="Times New Roman"/>
          <w:sz w:val="20"/>
          <w:szCs w:val="20"/>
        </w:rPr>
        <w:t>.</w:t>
      </w:r>
    </w:p>
    <w:p w14:paraId="473BF709" w14:textId="77777777" w:rsidR="00E1535E" w:rsidRPr="007A4753" w:rsidRDefault="00E1535E" w:rsidP="00DA4646">
      <w:pPr>
        <w:pStyle w:val="ListParagraph"/>
        <w:numPr>
          <w:ilvl w:val="0"/>
          <w:numId w:val="11"/>
        </w:numPr>
        <w:tabs>
          <w:tab w:val="left" w:pos="993"/>
        </w:tabs>
        <w:spacing w:after="0" w:line="288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Chấm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dứt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0F32BB96" w14:textId="1AB8A32B" w:rsidR="00CE5D04" w:rsidRPr="007A4753" w:rsidRDefault="00CE5D04" w:rsidP="00CE5D04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dừng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dứt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lớn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rủi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gắn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280E20B" w14:textId="2853322D" w:rsidR="00E1535E" w:rsidRPr="007A4753" w:rsidRDefault="00CE5D04" w:rsidP="00CE5D04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56CAEAB" w14:textId="77777777" w:rsidR="00E1535E" w:rsidRPr="007A4753" w:rsidRDefault="00E1535E" w:rsidP="00DA4646">
      <w:pPr>
        <w:pStyle w:val="ListParagraph"/>
        <w:numPr>
          <w:ilvl w:val="0"/>
          <w:numId w:val="11"/>
        </w:numPr>
        <w:tabs>
          <w:tab w:val="left" w:pos="993"/>
        </w:tabs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vốn</w:t>
      </w:r>
      <w:proofErr w:type="spellEnd"/>
    </w:p>
    <w:p w14:paraId="35759476" w14:textId="77777777" w:rsidR="00E1535E" w:rsidRPr="007A4753" w:rsidRDefault="00E1535E" w:rsidP="00DA464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7ACD5180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thu</w:t>
      </w:r>
      <w:proofErr w:type="spellEnd"/>
    </w:p>
    <w:p w14:paraId="2B4D3481" w14:textId="073E3A1C" w:rsidR="00D208A3" w:rsidRPr="007A4753" w:rsidRDefault="00D208A3" w:rsidP="00D208A3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nằm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</w:t>
      </w:r>
      <w:r w:rsidRPr="007A4753">
        <w:rPr>
          <w:rFonts w:ascii="Times New Roman" w:hAnsi="Times New Roman" w:cs="Times New Roman" w:hint="eastAsia"/>
          <w:sz w:val="20"/>
          <w:szCs w:val="20"/>
        </w:rPr>
        <w:t>á</w:t>
      </w:r>
      <w:r w:rsidRPr="007A4753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gốc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đòi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84CE124" w14:textId="4BE40FC8" w:rsidR="00E1535E" w:rsidRPr="007A4753" w:rsidRDefault="00D208A3" w:rsidP="00D208A3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đòi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gốc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cam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xảy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ra.</w:t>
      </w:r>
      <w:proofErr w:type="spellEnd"/>
    </w:p>
    <w:p w14:paraId="2865EFDB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trả</w:t>
      </w:r>
      <w:proofErr w:type="spellEnd"/>
    </w:p>
    <w:p w14:paraId="69AF6CDD" w14:textId="0AAFE136" w:rsidR="00E1535E" w:rsidRPr="007A4753" w:rsidRDefault="00D208A3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nằm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</w:t>
      </w:r>
      <w:r w:rsidRPr="007A4753">
        <w:rPr>
          <w:rFonts w:ascii="Times New Roman" w:hAnsi="Times New Roman" w:cs="Times New Roman" w:hint="eastAsia"/>
          <w:sz w:val="20"/>
          <w:szCs w:val="20"/>
        </w:rPr>
        <w:t>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thủ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</w:t>
      </w:r>
      <w:r w:rsidRPr="007A4753">
        <w:rPr>
          <w:rFonts w:ascii="Times New Roman" w:hAnsi="Times New Roman" w:cs="Times New Roman" w:hint="eastAsia"/>
          <w:sz w:val="20"/>
          <w:szCs w:val="20"/>
        </w:rPr>
        <w:t>á</w:t>
      </w:r>
      <w:r w:rsidRPr="007A4753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gốc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  <w:r w:rsidR="00E1535E" w:rsidRPr="007A47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03EFE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phòng</w:t>
      </w:r>
      <w:proofErr w:type="spellEnd"/>
    </w:p>
    <w:p w14:paraId="60AD4E8B" w14:textId="13745A0E" w:rsidR="00E1535E" w:rsidRPr="007A4753" w:rsidRDefault="00D208A3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nghĩa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tin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cậy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chắc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chắn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giảm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sút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nghĩa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chiết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tỷ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chiết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rủi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73AB1424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Thuế</w:t>
      </w:r>
      <w:proofErr w:type="spellEnd"/>
    </w:p>
    <w:p w14:paraId="340BF611" w14:textId="77777777" w:rsidR="004F5420" w:rsidRPr="007A4753" w:rsidRDefault="004F5420" w:rsidP="004F5420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nghĩa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2331/TCT-CS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2015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2331”),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111/2013/TT-BTC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2013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111”)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sửa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bởi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92/2015/TT-BTC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2015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92”)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25/2018/TT-BTC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16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2018 (“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25”)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73C32B05" w14:textId="77777777" w:rsidR="004F5420" w:rsidRPr="007A4753" w:rsidRDefault="004F5420" w:rsidP="004F5420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chịu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nhiệm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TNDN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chịu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nhiệm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lastRenderedPageBreak/>
        <w:t>hướng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2331,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TNDN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kê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49FDC25" w14:textId="08CA5D1A" w:rsidR="00E1535E" w:rsidRPr="007A4753" w:rsidRDefault="004F5420" w:rsidP="004F5420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Thu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Thu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Gia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riêng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2331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Hồ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Minh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hướng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dẫn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lai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Nam.</w:t>
      </w:r>
    </w:p>
    <w:p w14:paraId="73CD4D02" w14:textId="77777777" w:rsidR="00E1535E" w:rsidRPr="007A4753" w:rsidRDefault="00E1535E" w:rsidP="00916D39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thặng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vốn</w:t>
      </w:r>
      <w:proofErr w:type="spellEnd"/>
    </w:p>
    <w:p w14:paraId="26103034" w14:textId="77777777" w:rsidR="00E1535E" w:rsidRPr="007A4753" w:rsidRDefault="00E1535E" w:rsidP="00DA4646">
      <w:pPr>
        <w:pStyle w:val="ListParagraph"/>
        <w:numPr>
          <w:ilvl w:val="0"/>
          <w:numId w:val="19"/>
        </w:numPr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0E08326A" w14:textId="6E8D42DA" w:rsidR="004F5420" w:rsidRPr="007A4753" w:rsidRDefault="004F5420" w:rsidP="004F5420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:</w:t>
      </w:r>
    </w:p>
    <w:p w14:paraId="6B82C2E7" w14:textId="77777777" w:rsidR="004F5420" w:rsidRPr="007A4753" w:rsidRDefault="004F5420" w:rsidP="004F5420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chênh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T-1);</w:t>
      </w:r>
    </w:p>
    <w:p w14:paraId="127C132E" w14:textId="77777777" w:rsidR="004F5420" w:rsidRPr="007A4753" w:rsidRDefault="004F5420" w:rsidP="004F5420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những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nằm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;   </w:t>
      </w:r>
    </w:p>
    <w:p w14:paraId="230EF34D" w14:textId="3C4AA540" w:rsidR="004F5420" w:rsidRPr="007A4753" w:rsidRDefault="004F5420" w:rsidP="004F5420">
      <w:pPr>
        <w:pStyle w:val="ListParagraph"/>
        <w:numPr>
          <w:ilvl w:val="0"/>
          <w:numId w:val="25"/>
        </w:numPr>
        <w:spacing w:after="0" w:line="288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).</w:t>
      </w:r>
    </w:p>
    <w:p w14:paraId="065486D8" w14:textId="0F98A8B8" w:rsidR="00E1535E" w:rsidRPr="007A4753" w:rsidRDefault="004F5420" w:rsidP="004F5420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mệnh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73C5D299" w14:textId="77777777" w:rsidR="00E1535E" w:rsidRPr="007A4753" w:rsidRDefault="00E1535E" w:rsidP="00DA4646">
      <w:pPr>
        <w:pStyle w:val="ListParagraph"/>
        <w:numPr>
          <w:ilvl w:val="0"/>
          <w:numId w:val="19"/>
        </w:numPr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mua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lại</w:t>
      </w:r>
      <w:proofErr w:type="spellEnd"/>
    </w:p>
    <w:p w14:paraId="072D3863" w14:textId="5583FD59" w:rsidR="00E1535E" w:rsidRPr="007A4753" w:rsidRDefault="004F5420" w:rsidP="00DA464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mệnh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hữu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cấu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CD8EABB" w14:textId="77777777" w:rsidR="00E1535E" w:rsidRPr="007A4753" w:rsidRDefault="00E1535E" w:rsidP="00DA4646">
      <w:pPr>
        <w:pStyle w:val="ListParagraph"/>
        <w:numPr>
          <w:ilvl w:val="0"/>
          <w:numId w:val="19"/>
        </w:numPr>
        <w:spacing w:after="0" w:line="288" w:lineRule="auto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Thặng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  <w:r w:rsidRPr="007A4753">
        <w:rPr>
          <w:rFonts w:ascii="Times New Roman" w:hAnsi="Times New Roman" w:cs="Times New Roman"/>
          <w:sz w:val="20"/>
          <w:szCs w:val="20"/>
        </w:rPr>
        <w:tab/>
      </w:r>
    </w:p>
    <w:p w14:paraId="58B1EDAF" w14:textId="19467754" w:rsidR="00E1535E" w:rsidRPr="007A4753" w:rsidRDefault="0065709B" w:rsidP="00DA464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Thặng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chênh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mệnh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góp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CF84630" w14:textId="77777777" w:rsidR="00E1535E" w:rsidRPr="007A4753" w:rsidRDefault="00E1535E" w:rsidP="00DA4646">
      <w:pPr>
        <w:pStyle w:val="ListParagraph"/>
        <w:numPr>
          <w:ilvl w:val="0"/>
          <w:numId w:val="19"/>
        </w:numPr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Phân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phối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A4753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1BA983B2" w14:textId="6FF68097" w:rsidR="00DA4646" w:rsidRPr="007A4753" w:rsidRDefault="0065709B" w:rsidP="00DA464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nhuận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lỗ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nghiệp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12DF87D" w14:textId="77777777" w:rsidR="00DA4646" w:rsidRPr="007A4753" w:rsidRDefault="00DA4646" w:rsidP="00DA4646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thu</w:t>
      </w:r>
      <w:proofErr w:type="spellEnd"/>
    </w:p>
    <w:p w14:paraId="6BA2AF6B" w14:textId="48790376" w:rsidR="00DA4646" w:rsidRPr="007A4753" w:rsidRDefault="0065709B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chắc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chắn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tin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cậy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đây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B309E2C" w14:textId="77777777" w:rsidR="00DA4646" w:rsidRPr="007A4753" w:rsidRDefault="00DA4646" w:rsidP="00DA4646">
      <w:pPr>
        <w:pStyle w:val="ListParagraph"/>
        <w:numPr>
          <w:ilvl w:val="0"/>
          <w:numId w:val="21"/>
        </w:numPr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Thu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tức</w:t>
      </w:r>
      <w:proofErr w:type="spellEnd"/>
    </w:p>
    <w:p w14:paraId="30E12FBC" w14:textId="410E60F5" w:rsidR="0065709B" w:rsidRPr="007A4753" w:rsidRDefault="0065709B" w:rsidP="0065709B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4753">
        <w:rPr>
          <w:rFonts w:ascii="Times New Roman" w:hAnsi="Times New Roman" w:cs="Times New Roman"/>
          <w:sz w:val="20"/>
          <w:szCs w:val="20"/>
        </w:rPr>
        <w:t xml:space="preserve">Thu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tỷ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gốc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suất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Thu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dồn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hồi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chắc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chắn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31C939A" w14:textId="49F1170E" w:rsidR="00DA4646" w:rsidRPr="007A4753" w:rsidRDefault="0065709B" w:rsidP="0065709B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4753">
        <w:rPr>
          <w:rFonts w:ascii="Times New Roman" w:hAnsi="Times New Roman" w:cs="Times New Roman"/>
          <w:sz w:val="20"/>
          <w:szCs w:val="20"/>
        </w:rPr>
        <w:t xml:space="preserve">Thu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cổ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6A574FB0" w14:textId="77777777" w:rsidR="00DA4646" w:rsidRPr="007A4753" w:rsidRDefault="00DA4646" w:rsidP="00DA4646">
      <w:pPr>
        <w:pStyle w:val="ListParagraph"/>
        <w:numPr>
          <w:ilvl w:val="0"/>
          <w:numId w:val="21"/>
        </w:numPr>
        <w:spacing w:after="0" w:line="288" w:lineRule="auto"/>
        <w:ind w:left="851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Thu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i/>
          <w:sz w:val="20"/>
          <w:szCs w:val="20"/>
        </w:rPr>
        <w:t>khoán</w:t>
      </w:r>
      <w:proofErr w:type="spellEnd"/>
    </w:p>
    <w:p w14:paraId="3298FD7D" w14:textId="7CD5E5D2" w:rsidR="00DA4646" w:rsidRPr="007A4753" w:rsidRDefault="0065709B" w:rsidP="00DA4646">
      <w:pPr>
        <w:spacing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4753">
        <w:rPr>
          <w:rFonts w:ascii="Times New Roman" w:hAnsi="Times New Roman" w:cs="Times New Roman"/>
          <w:sz w:val="20"/>
          <w:szCs w:val="20"/>
        </w:rPr>
        <w:t xml:space="preserve">Thu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Tâm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bởi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</w:t>
      </w:r>
      <w:r w:rsidRPr="007A4753">
        <w:rPr>
          <w:rFonts w:ascii="Times New Roman" w:hAnsi="Times New Roman" w:cs="Times New Roman" w:hint="eastAsia"/>
          <w:sz w:val="20"/>
          <w:szCs w:val="20"/>
        </w:rPr>
        <w:t>á</w:t>
      </w:r>
      <w:r w:rsidRPr="007A4753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hoàn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nhượng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chưa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)</w:t>
      </w:r>
      <w:r w:rsidR="00DA4646" w:rsidRPr="007A4753">
        <w:rPr>
          <w:rFonts w:ascii="Times New Roman" w:hAnsi="Times New Roman" w:cs="Times New Roman"/>
          <w:sz w:val="20"/>
          <w:szCs w:val="20"/>
        </w:rPr>
        <w:t>.</w:t>
      </w:r>
    </w:p>
    <w:p w14:paraId="32416320" w14:textId="77777777" w:rsidR="00DA4646" w:rsidRPr="007A4753" w:rsidRDefault="00DA4646" w:rsidP="00DA4646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4753">
        <w:rPr>
          <w:rFonts w:ascii="Times New Roman" w:hAnsi="Times New Roman" w:cs="Times New Roman"/>
          <w:b/>
          <w:sz w:val="20"/>
          <w:szCs w:val="20"/>
        </w:rPr>
        <w:t xml:space="preserve">Chi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phí</w:t>
      </w:r>
      <w:proofErr w:type="spellEnd"/>
    </w:p>
    <w:p w14:paraId="11849DBE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7A430B5" w14:textId="77777777" w:rsidR="00DA4646" w:rsidRPr="007A4753" w:rsidRDefault="00DA4646" w:rsidP="00DA4646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lastRenderedPageBreak/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</w:p>
    <w:p w14:paraId="60ED4972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quyền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hội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279560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mệnh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10,000 VND,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100,000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lượng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nghìn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(100,000)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B9A3A20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lô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tròn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</w:t>
      </w:r>
      <w:r w:rsidRPr="007A4753">
        <w:rPr>
          <w:rFonts w:ascii="Times New Roman" w:hAnsi="Times New Roman" w:cs="Times New Roman" w:hint="eastAsia"/>
          <w:sz w:val="20"/>
          <w:szCs w:val="20"/>
        </w:rPr>
        <w:t>ò</w:t>
      </w:r>
      <w:r w:rsidRPr="007A4753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chia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lưu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thúc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tròn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xuống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lấy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trừ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56B4A495" w14:textId="77777777" w:rsidR="00DA4646" w:rsidRPr="007A4753" w:rsidRDefault="00DA4646" w:rsidP="00DA4646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phận</w:t>
      </w:r>
      <w:proofErr w:type="spellEnd"/>
    </w:p>
    <w:p w14:paraId="6B1AC27D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doanh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Nam.</w:t>
      </w:r>
    </w:p>
    <w:p w14:paraId="7CA437DB" w14:textId="77777777" w:rsidR="00DA4646" w:rsidRPr="007A4753" w:rsidRDefault="00DA4646" w:rsidP="00DA4646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quan</w:t>
      </w:r>
      <w:proofErr w:type="spellEnd"/>
    </w:p>
    <w:p w14:paraId="42FFD5E7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coi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nếu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một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tiếp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tiếp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soát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kia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gây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ảnh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kia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quyết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kia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cùng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chịu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soát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ảnh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hưởng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chung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, bao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cận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coi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BDD6CE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xem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Luật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Khi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xem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xét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chú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ý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chất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hệ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thuần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thức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</w:p>
    <w:p w14:paraId="6CE69F82" w14:textId="77777777" w:rsidR="00DA4646" w:rsidRPr="007A4753" w:rsidRDefault="00DA4646" w:rsidP="00DA4646">
      <w:pPr>
        <w:pStyle w:val="ListParagraph"/>
        <w:numPr>
          <w:ilvl w:val="0"/>
          <w:numId w:val="10"/>
        </w:numPr>
        <w:spacing w:after="0" w:line="288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không</w:t>
      </w:r>
      <w:proofErr w:type="spellEnd"/>
    </w:p>
    <w:p w14:paraId="66823609" w14:textId="77777777" w:rsidR="00DA4646" w:rsidRPr="007A4753" w:rsidRDefault="00DA4646" w:rsidP="00DA4646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hay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181/2015/TT-BTC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13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11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2015 do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áp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hoán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đổi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danh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mục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giữa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niên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thì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hiểu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C5FE232" w14:textId="77777777" w:rsidR="00DA4646" w:rsidRPr="007A4753" w:rsidRDefault="00DA4646" w:rsidP="00DA4646">
      <w:pPr>
        <w:pStyle w:val="ListParagraph"/>
        <w:numPr>
          <w:ilvl w:val="0"/>
          <w:numId w:val="1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giao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trọng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yếu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kế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toán</w:t>
      </w:r>
      <w:proofErr w:type="spellEnd"/>
    </w:p>
    <w:p w14:paraId="7575535B" w14:textId="77777777" w:rsidR="00DA4646" w:rsidRPr="007A4753" w:rsidRDefault="00DA4646" w:rsidP="001151B2">
      <w:pPr>
        <w:pStyle w:val="ListParagraph"/>
        <w:numPr>
          <w:ilvl w:val="0"/>
          <w:numId w:val="23"/>
        </w:numPr>
        <w:spacing w:after="0" w:line="288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Tiền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gửi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ngân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tương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đương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tiề</w:t>
      </w:r>
      <w:r w:rsidR="001151B2" w:rsidRPr="007A4753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</w:p>
    <w:tbl>
      <w:tblPr>
        <w:tblW w:w="10270" w:type="dxa"/>
        <w:tblInd w:w="108" w:type="dxa"/>
        <w:tblLook w:val="04A0" w:firstRow="1" w:lastRow="0" w:firstColumn="1" w:lastColumn="0" w:noHBand="0" w:noVBand="1"/>
      </w:tblPr>
      <w:tblGrid>
        <w:gridCol w:w="6379"/>
        <w:gridCol w:w="1843"/>
        <w:gridCol w:w="2048"/>
      </w:tblGrid>
      <w:tr w:rsidR="004A19F1" w:rsidRPr="007A4753" w14:paraId="79EAD2B0" w14:textId="77777777" w:rsidTr="001932F9">
        <w:trPr>
          <w:trHeight w:val="498"/>
        </w:trPr>
        <w:tc>
          <w:tcPr>
            <w:tcW w:w="6379" w:type="dxa"/>
            <w:shd w:val="clear" w:color="000000" w:fill="FFFFFF"/>
            <w:vAlign w:val="center"/>
            <w:hideMark/>
          </w:tcPr>
          <w:p w14:paraId="310BB6EE" w14:textId="77777777" w:rsidR="004A19F1" w:rsidRPr="007A4753" w:rsidRDefault="004A19F1" w:rsidP="0053734A">
            <w:pPr>
              <w:spacing w:after="0"/>
              <w:ind w:left="4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759F74" w14:textId="27DB7DBC" w:rsidR="004A19F1" w:rsidRPr="007A4753" w:rsidRDefault="004A19F1" w:rsidP="00120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374D7E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262A85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262A85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072FA90" w14:textId="77777777" w:rsidR="004A19F1" w:rsidRPr="007A4753" w:rsidRDefault="004A19F1" w:rsidP="00120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(VND)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FA40FB" w14:textId="77777777" w:rsidR="00262A85" w:rsidRPr="007A4753" w:rsidRDefault="00262A85" w:rsidP="00262A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31/12/2021</w:t>
            </w:r>
          </w:p>
          <w:p w14:paraId="7068A765" w14:textId="77777777" w:rsidR="004A19F1" w:rsidRPr="007A4753" w:rsidRDefault="004A19F1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(VND)</w:t>
            </w:r>
          </w:p>
        </w:tc>
      </w:tr>
      <w:tr w:rsidR="004A19F1" w:rsidRPr="007A4753" w14:paraId="62C61B5D" w14:textId="77777777" w:rsidTr="001932F9">
        <w:trPr>
          <w:trHeight w:val="432"/>
        </w:trPr>
        <w:tc>
          <w:tcPr>
            <w:tcW w:w="6379" w:type="dxa"/>
            <w:shd w:val="clear" w:color="000000" w:fill="FFFFFF"/>
            <w:hideMark/>
          </w:tcPr>
          <w:p w14:paraId="40A193A9" w14:textId="77777777" w:rsidR="004A19F1" w:rsidRPr="007A4753" w:rsidRDefault="004A19F1" w:rsidP="0053734A">
            <w:p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gửi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ETF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tại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hàng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TMCP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thương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</w:tcPr>
          <w:p w14:paraId="11AA9FA0" w14:textId="46BCD52F" w:rsidR="004A19F1" w:rsidRPr="007A4753" w:rsidRDefault="00E5225D" w:rsidP="00120A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167,673,368,976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000000" w:fill="FFFFFF"/>
            <w:noWrap/>
          </w:tcPr>
          <w:p w14:paraId="59BA7FCF" w14:textId="551509B8" w:rsidR="004A19F1" w:rsidRPr="007A4753" w:rsidRDefault="00262A85" w:rsidP="005373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43,242,266,392</w:t>
            </w:r>
          </w:p>
        </w:tc>
      </w:tr>
      <w:tr w:rsidR="00882CEB" w:rsidRPr="007A4753" w14:paraId="656A5995" w14:textId="77777777" w:rsidTr="004A19F1">
        <w:trPr>
          <w:trHeight w:val="367"/>
        </w:trPr>
        <w:tc>
          <w:tcPr>
            <w:tcW w:w="6379" w:type="dxa"/>
            <w:shd w:val="clear" w:color="000000" w:fill="FFFFFF"/>
            <w:hideMark/>
          </w:tcPr>
          <w:p w14:paraId="65149F97" w14:textId="77777777" w:rsidR="00882CEB" w:rsidRPr="007A4753" w:rsidRDefault="00882CEB" w:rsidP="00882CEB">
            <w:p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gửi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Nhà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tư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14:paraId="633B57C5" w14:textId="5BF8A05F" w:rsidR="00882CEB" w:rsidRPr="007A4753" w:rsidRDefault="00E5225D" w:rsidP="00882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328,857,200</w:t>
            </w:r>
            <w:r w:rsidR="00882CEB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shd w:val="clear" w:color="000000" w:fill="FFFFFF"/>
            <w:noWrap/>
          </w:tcPr>
          <w:p w14:paraId="76A2FA54" w14:textId="77777777" w:rsidR="00882CEB" w:rsidRPr="007A4753" w:rsidRDefault="00882CEB" w:rsidP="00882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82CEB" w:rsidRPr="007A4753" w14:paraId="37B83495" w14:textId="77777777" w:rsidTr="004A19F1">
        <w:trPr>
          <w:trHeight w:val="367"/>
        </w:trPr>
        <w:tc>
          <w:tcPr>
            <w:tcW w:w="6379" w:type="dxa"/>
            <w:shd w:val="clear" w:color="000000" w:fill="FFFFFF"/>
            <w:hideMark/>
          </w:tcPr>
          <w:p w14:paraId="3BFB86B7" w14:textId="77777777" w:rsidR="00882CEB" w:rsidRPr="007A4753" w:rsidRDefault="00882CEB" w:rsidP="00882CEB">
            <w:p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gửi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ký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tư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khoán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14:paraId="3B6BEF4D" w14:textId="77777777" w:rsidR="00882CEB" w:rsidRPr="007A4753" w:rsidRDefault="00882CEB" w:rsidP="00882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048" w:type="dxa"/>
            <w:shd w:val="clear" w:color="000000" w:fill="FFFFFF"/>
            <w:noWrap/>
          </w:tcPr>
          <w:p w14:paraId="36C82820" w14:textId="77777777" w:rsidR="00882CEB" w:rsidRPr="007A4753" w:rsidRDefault="00882CEB" w:rsidP="00882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882CEB" w:rsidRPr="007A4753" w14:paraId="400C39E8" w14:textId="77777777" w:rsidTr="004A19F1">
        <w:trPr>
          <w:trHeight w:val="367"/>
        </w:trPr>
        <w:tc>
          <w:tcPr>
            <w:tcW w:w="6379" w:type="dxa"/>
            <w:shd w:val="clear" w:color="000000" w:fill="FFFFFF"/>
            <w:hideMark/>
          </w:tcPr>
          <w:p w14:paraId="30C6139E" w14:textId="77777777" w:rsidR="00882CEB" w:rsidRPr="007A4753" w:rsidRDefault="00882CEB" w:rsidP="00882CEB">
            <w:pPr>
              <w:spacing w:after="0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Tương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đương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14:paraId="39EB65EC" w14:textId="77777777" w:rsidR="00882CEB" w:rsidRPr="007A4753" w:rsidRDefault="00882CEB" w:rsidP="00882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  <w:tc>
          <w:tcPr>
            <w:tcW w:w="2048" w:type="dxa"/>
            <w:shd w:val="clear" w:color="000000" w:fill="FFFFFF"/>
            <w:noWrap/>
          </w:tcPr>
          <w:p w14:paraId="16B1DA31" w14:textId="77777777" w:rsidR="00882CEB" w:rsidRPr="007A4753" w:rsidRDefault="00882CEB" w:rsidP="00882C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-   </w:t>
            </w:r>
          </w:p>
        </w:tc>
      </w:tr>
      <w:tr w:rsidR="001932F9" w:rsidRPr="007A4753" w14:paraId="21140B0F" w14:textId="77777777" w:rsidTr="001932F9">
        <w:trPr>
          <w:trHeight w:val="367"/>
        </w:trPr>
        <w:tc>
          <w:tcPr>
            <w:tcW w:w="6379" w:type="dxa"/>
            <w:shd w:val="clear" w:color="000000" w:fill="FFFFFF"/>
            <w:hideMark/>
          </w:tcPr>
          <w:p w14:paraId="30164449" w14:textId="77777777" w:rsidR="001932F9" w:rsidRPr="007A4753" w:rsidRDefault="001932F9" w:rsidP="0053734A">
            <w:pPr>
              <w:spacing w:after="0"/>
              <w:ind w:left="4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Tổng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</w:tcPr>
          <w:p w14:paraId="6146778A" w14:textId="4E85F548" w:rsidR="001932F9" w:rsidRPr="007A4753" w:rsidRDefault="00E5225D" w:rsidP="00120A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168,002,226,176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000000" w:fill="FFFFFF"/>
            <w:noWrap/>
          </w:tcPr>
          <w:p w14:paraId="6764CCDC" w14:textId="2BEF0941" w:rsidR="001932F9" w:rsidRPr="007A4753" w:rsidRDefault="001932F9" w:rsidP="005373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4D7E"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62A85"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43,242,266,392</w:t>
            </w:r>
          </w:p>
        </w:tc>
      </w:tr>
    </w:tbl>
    <w:p w14:paraId="18F910F3" w14:textId="77777777" w:rsidR="001151B2" w:rsidRPr="007A4753" w:rsidRDefault="001151B2" w:rsidP="001151B2">
      <w:pPr>
        <w:pStyle w:val="ListParagraph"/>
        <w:numPr>
          <w:ilvl w:val="0"/>
          <w:numId w:val="23"/>
        </w:numPr>
        <w:spacing w:after="0" w:line="288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tư</w:t>
      </w:r>
      <w:proofErr w:type="spellEnd"/>
    </w:p>
    <w:p w14:paraId="260BED3B" w14:textId="77777777" w:rsidR="001151B2" w:rsidRPr="007A4753" w:rsidRDefault="001151B2" w:rsidP="001151B2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Bảng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trường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ETF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816"/>
        <w:gridCol w:w="1816"/>
        <w:gridCol w:w="1746"/>
        <w:gridCol w:w="1748"/>
        <w:gridCol w:w="1763"/>
      </w:tblGrid>
      <w:tr w:rsidR="001151B2" w:rsidRPr="007A4753" w14:paraId="4EB726AE" w14:textId="77777777" w:rsidTr="0053734A">
        <w:trPr>
          <w:trHeight w:val="323"/>
        </w:trPr>
        <w:tc>
          <w:tcPr>
            <w:tcW w:w="1269" w:type="dxa"/>
            <w:vMerge w:val="restart"/>
            <w:shd w:val="clear" w:color="000000" w:fill="FFFFFF"/>
            <w:vAlign w:val="center"/>
            <w:hideMark/>
          </w:tcPr>
          <w:p w14:paraId="3298B7B1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Khoản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đầu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tư</w:t>
            </w:r>
            <w:proofErr w:type="spellEnd"/>
          </w:p>
        </w:tc>
        <w:tc>
          <w:tcPr>
            <w:tcW w:w="1734" w:type="dxa"/>
            <w:vMerge w:val="restart"/>
            <w:shd w:val="clear" w:color="000000" w:fill="FFFFFF"/>
            <w:vAlign w:val="center"/>
            <w:hideMark/>
          </w:tcPr>
          <w:p w14:paraId="27CBD12D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mua</w:t>
            </w:r>
            <w:proofErr w:type="spellEnd"/>
          </w:p>
          <w:p w14:paraId="512476F3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  <w:tc>
          <w:tcPr>
            <w:tcW w:w="1816" w:type="dxa"/>
            <w:vMerge w:val="restart"/>
            <w:shd w:val="clear" w:color="000000" w:fill="FFFFFF"/>
            <w:vAlign w:val="center"/>
            <w:hideMark/>
          </w:tcPr>
          <w:p w14:paraId="7EF42CAE" w14:textId="77777777" w:rsidR="001151B2" w:rsidRPr="007A4753" w:rsidRDefault="001151B2" w:rsidP="0053734A">
            <w:pPr>
              <w:tabs>
                <w:tab w:val="left" w:pos="148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trường</w:t>
            </w:r>
            <w:proofErr w:type="spellEnd"/>
          </w:p>
          <w:p w14:paraId="7862F855" w14:textId="77777777" w:rsidR="001151B2" w:rsidRPr="007A4753" w:rsidRDefault="001151B2" w:rsidP="0053734A">
            <w:pPr>
              <w:tabs>
                <w:tab w:val="left" w:pos="148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  <w:tc>
          <w:tcPr>
            <w:tcW w:w="3494" w:type="dxa"/>
            <w:gridSpan w:val="2"/>
            <w:shd w:val="clear" w:color="000000" w:fill="FFFFFF"/>
            <w:vAlign w:val="center"/>
            <w:hideMark/>
          </w:tcPr>
          <w:p w14:paraId="07DDCF17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Chênh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lệch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đánh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này</w:t>
            </w:r>
            <w:proofErr w:type="spellEnd"/>
          </w:p>
        </w:tc>
        <w:tc>
          <w:tcPr>
            <w:tcW w:w="1763" w:type="dxa"/>
            <w:vMerge w:val="restart"/>
            <w:shd w:val="clear" w:color="000000" w:fill="FFFFFF"/>
            <w:vAlign w:val="center"/>
            <w:hideMark/>
          </w:tcPr>
          <w:p w14:paraId="635E62B8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đánh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lại</w:t>
            </w:r>
            <w:proofErr w:type="spellEnd"/>
          </w:p>
          <w:p w14:paraId="36FE23FB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</w:tr>
      <w:tr w:rsidR="001151B2" w:rsidRPr="007A4753" w14:paraId="0221EE64" w14:textId="77777777" w:rsidTr="0053734A">
        <w:trPr>
          <w:trHeight w:val="343"/>
        </w:trPr>
        <w:tc>
          <w:tcPr>
            <w:tcW w:w="1269" w:type="dxa"/>
            <w:vMerge/>
            <w:vAlign w:val="center"/>
            <w:hideMark/>
          </w:tcPr>
          <w:p w14:paraId="6353BA86" w14:textId="77777777" w:rsidR="001151B2" w:rsidRPr="007A4753" w:rsidRDefault="001151B2" w:rsidP="005373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1E27944D" w14:textId="77777777" w:rsidR="001151B2" w:rsidRPr="007A4753" w:rsidRDefault="001151B2" w:rsidP="005373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14:paraId="6F711DD8" w14:textId="77777777" w:rsidR="001151B2" w:rsidRPr="007A4753" w:rsidRDefault="001151B2" w:rsidP="005373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shd w:val="clear" w:color="000000" w:fill="FFFFFF"/>
            <w:vAlign w:val="center"/>
            <w:hideMark/>
          </w:tcPr>
          <w:p w14:paraId="6192D96F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Chênh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lệch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tăng</w:t>
            </w:r>
            <w:proofErr w:type="spellEnd"/>
          </w:p>
          <w:p w14:paraId="59AC5BCD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14:paraId="444AB791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Chênh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lệch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giảm</w:t>
            </w:r>
            <w:proofErr w:type="spellEnd"/>
          </w:p>
          <w:p w14:paraId="01710554" w14:textId="77777777" w:rsidR="001151B2" w:rsidRPr="007A4753" w:rsidRDefault="001151B2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  <w:tc>
          <w:tcPr>
            <w:tcW w:w="1763" w:type="dxa"/>
            <w:vMerge/>
            <w:vAlign w:val="center"/>
            <w:hideMark/>
          </w:tcPr>
          <w:p w14:paraId="67E61E36" w14:textId="77777777" w:rsidR="001151B2" w:rsidRPr="007A4753" w:rsidRDefault="001151B2" w:rsidP="005373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32F9" w:rsidRPr="007A4753" w14:paraId="2AB9C563" w14:textId="77777777" w:rsidTr="001932F9">
        <w:trPr>
          <w:trHeight w:val="365"/>
        </w:trPr>
        <w:tc>
          <w:tcPr>
            <w:tcW w:w="1269" w:type="dxa"/>
            <w:shd w:val="clear" w:color="000000" w:fill="FFFFFF"/>
            <w:vAlign w:val="center"/>
            <w:hideMark/>
          </w:tcPr>
          <w:p w14:paraId="6AC31910" w14:textId="77777777" w:rsidR="001932F9" w:rsidRPr="007A4753" w:rsidRDefault="001932F9" w:rsidP="001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Cổ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phiếu</w:t>
            </w:r>
            <w:proofErr w:type="spellEnd"/>
          </w:p>
        </w:tc>
        <w:tc>
          <w:tcPr>
            <w:tcW w:w="1734" w:type="dxa"/>
            <w:shd w:val="clear" w:color="000000" w:fill="FFFFFF"/>
            <w:noWrap/>
            <w:vAlign w:val="center"/>
          </w:tcPr>
          <w:p w14:paraId="59A5777F" w14:textId="0AAA50CA" w:rsidR="001932F9" w:rsidRPr="007A4753" w:rsidRDefault="00C638DC" w:rsidP="001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10,893,172,353,4</w:t>
            </w:r>
            <w:r w:rsidR="00BD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6" w:type="dxa"/>
            <w:shd w:val="clear" w:color="000000" w:fill="FFFFFF"/>
            <w:noWrap/>
            <w:vAlign w:val="center"/>
          </w:tcPr>
          <w:p w14:paraId="3BE61735" w14:textId="139364E5" w:rsidR="001932F9" w:rsidRPr="007A4753" w:rsidRDefault="00C638DC" w:rsidP="001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15,364,409,406,600</w:t>
            </w:r>
          </w:p>
        </w:tc>
        <w:tc>
          <w:tcPr>
            <w:tcW w:w="1746" w:type="dxa"/>
            <w:shd w:val="clear" w:color="000000" w:fill="FFFFFF"/>
            <w:noWrap/>
            <w:vAlign w:val="center"/>
          </w:tcPr>
          <w:p w14:paraId="05151E74" w14:textId="388C2AF7" w:rsidR="001932F9" w:rsidRPr="007A4753" w:rsidRDefault="00C638DC" w:rsidP="001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4,471,237,053,122</w:t>
            </w: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14:paraId="163E0596" w14:textId="77777777" w:rsidR="001932F9" w:rsidRPr="007A4753" w:rsidRDefault="00572D36" w:rsidP="001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shd w:val="clear" w:color="000000" w:fill="FFFFFF"/>
            <w:noWrap/>
            <w:vAlign w:val="center"/>
          </w:tcPr>
          <w:p w14:paraId="6468FCDE" w14:textId="07063FE8" w:rsidR="001932F9" w:rsidRPr="007A4753" w:rsidRDefault="00C638DC" w:rsidP="0019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4,471,237,053,122</w:t>
            </w:r>
          </w:p>
        </w:tc>
      </w:tr>
      <w:tr w:rsidR="00572D36" w:rsidRPr="007A4753" w14:paraId="2D433C0E" w14:textId="77777777" w:rsidTr="001932F9">
        <w:trPr>
          <w:trHeight w:val="365"/>
        </w:trPr>
        <w:tc>
          <w:tcPr>
            <w:tcW w:w="1269" w:type="dxa"/>
            <w:shd w:val="clear" w:color="auto" w:fill="auto"/>
            <w:vAlign w:val="center"/>
            <w:hideMark/>
          </w:tcPr>
          <w:p w14:paraId="33D640A8" w14:textId="77777777" w:rsidR="00572D36" w:rsidRPr="007A4753" w:rsidRDefault="00572D36" w:rsidP="00572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3D7B30C4" w14:textId="025E15BA" w:rsidR="00572D36" w:rsidRPr="007A4753" w:rsidRDefault="00C638DC" w:rsidP="00572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10,893,172,353,4</w:t>
            </w:r>
            <w:r w:rsidR="00BD5FB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A0AB0D6" w14:textId="39DCC3F2" w:rsidR="00572D36" w:rsidRPr="007A4753" w:rsidRDefault="00C638DC" w:rsidP="00572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15,364,409,406,600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14:paraId="472ECF38" w14:textId="1EE8C18A" w:rsidR="00572D36" w:rsidRPr="007A4753" w:rsidRDefault="00C638DC" w:rsidP="00572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4,471,237,053,122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69D06A23" w14:textId="77777777" w:rsidR="00572D36" w:rsidRPr="007A4753" w:rsidRDefault="00572D36" w:rsidP="00572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14:paraId="7B84B5E6" w14:textId="05E033F2" w:rsidR="00572D36" w:rsidRPr="007A4753" w:rsidRDefault="00C638DC" w:rsidP="00572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4,471,237,053,122</w:t>
            </w:r>
          </w:p>
        </w:tc>
      </w:tr>
    </w:tbl>
    <w:p w14:paraId="0763B689" w14:textId="77777777" w:rsidR="001151B2" w:rsidRPr="007A4753" w:rsidRDefault="001151B2" w:rsidP="001151B2">
      <w:pPr>
        <w:pStyle w:val="ListParagraph"/>
        <w:numPr>
          <w:ilvl w:val="0"/>
          <w:numId w:val="23"/>
        </w:numPr>
        <w:spacing w:before="120" w:after="0" w:line="288" w:lineRule="auto"/>
        <w:ind w:left="5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Phải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ETF</w:t>
      </w:r>
    </w:p>
    <w:p w14:paraId="175E6A42" w14:textId="77777777" w:rsidR="001151B2" w:rsidRPr="007A4753" w:rsidRDefault="001151B2" w:rsidP="001151B2">
      <w:pPr>
        <w:pStyle w:val="ListParagraph"/>
        <w:numPr>
          <w:ilvl w:val="0"/>
          <w:numId w:val="24"/>
        </w:numPr>
        <w:tabs>
          <w:tab w:val="left" w:pos="851"/>
        </w:tabs>
        <w:spacing w:before="120" w:after="0" w:line="288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</w:p>
    <w:p w14:paraId="1C1F1A34" w14:textId="77777777" w:rsidR="001151B2" w:rsidRPr="007A4753" w:rsidRDefault="001151B2" w:rsidP="001151B2">
      <w:pPr>
        <w:pStyle w:val="ListParagraph"/>
        <w:spacing w:before="120"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lastRenderedPageBreak/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ty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đầu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tư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Dragon Capital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Nam</w:t>
      </w:r>
      <w:r w:rsidR="00D72522" w:rsidRPr="007A4753">
        <w:rPr>
          <w:rFonts w:ascii="Times New Roman" w:hAnsi="Times New Roman" w:cs="Times New Roman"/>
          <w:sz w:val="20"/>
          <w:szCs w:val="20"/>
        </w:rPr>
        <w:t xml:space="preserve"> </w:t>
      </w:r>
      <w:r w:rsidRPr="007A4753">
        <w:rPr>
          <w:rFonts w:ascii="Times New Roman" w:hAnsi="Times New Roman" w:cs="Times New Roman"/>
          <w:sz w:val="20"/>
          <w:szCs w:val="20"/>
        </w:rPr>
        <w:t xml:space="preserve">(DCVFM)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để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ETF DCVFMVN DIAMOND.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0.8% NAV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703D0784" w14:textId="77777777" w:rsidR="001151B2" w:rsidRPr="007A4753" w:rsidRDefault="001151B2" w:rsidP="001151B2">
      <w:pPr>
        <w:pStyle w:val="ListParagraph"/>
        <w:numPr>
          <w:ilvl w:val="0"/>
          <w:numId w:val="24"/>
        </w:numPr>
        <w:tabs>
          <w:tab w:val="left" w:pos="851"/>
        </w:tabs>
        <w:spacing w:before="120" w:after="0" w:line="288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lưu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ký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giám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sát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quỹ</w:t>
      </w:r>
      <w:proofErr w:type="spellEnd"/>
    </w:p>
    <w:tbl>
      <w:tblPr>
        <w:tblStyle w:val="TableGrid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1151B2" w:rsidRPr="007A4753" w14:paraId="23C10C0A" w14:textId="77777777" w:rsidTr="001151B2">
        <w:tc>
          <w:tcPr>
            <w:tcW w:w="1985" w:type="dxa"/>
          </w:tcPr>
          <w:p w14:paraId="70564FDB" w14:textId="77777777" w:rsidR="001151B2" w:rsidRPr="007A4753" w:rsidRDefault="001151B2" w:rsidP="0053734A">
            <w:pPr>
              <w:spacing w:after="120"/>
              <w:ind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Dịch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7229" w:type="dxa"/>
          </w:tcPr>
          <w:p w14:paraId="3A427CF8" w14:textId="77777777" w:rsidR="001151B2" w:rsidRPr="007A4753" w:rsidRDefault="001151B2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Biều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phí</w:t>
            </w:r>
            <w:proofErr w:type="spellEnd"/>
          </w:p>
        </w:tc>
      </w:tr>
      <w:tr w:rsidR="001151B2" w:rsidRPr="007A4753" w14:paraId="5C023403" w14:textId="77777777" w:rsidTr="001151B2">
        <w:tc>
          <w:tcPr>
            <w:tcW w:w="1985" w:type="dxa"/>
          </w:tcPr>
          <w:p w14:paraId="3FF79C39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Giám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sát</w:t>
            </w:r>
            <w:proofErr w:type="spellEnd"/>
          </w:p>
        </w:tc>
        <w:tc>
          <w:tcPr>
            <w:tcW w:w="7229" w:type="dxa"/>
          </w:tcPr>
          <w:p w14:paraId="19310037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0.06%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NAV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dưới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tỷ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E1F8BA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0.05%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NAV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600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tỷ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dưới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tỷ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0FBAA3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0.04%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NAV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tỷ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trở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lên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77A223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chưa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GTGT (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</w:t>
            </w:r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93BE8E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1151B2" w:rsidRPr="007A4753" w14:paraId="51A0AFAD" w14:textId="77777777" w:rsidTr="001151B2">
        <w:tc>
          <w:tcPr>
            <w:tcW w:w="1985" w:type="dxa"/>
          </w:tcPr>
          <w:p w14:paraId="5B923C8B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ký</w:t>
            </w:r>
            <w:proofErr w:type="spellEnd"/>
          </w:p>
        </w:tc>
        <w:tc>
          <w:tcPr>
            <w:tcW w:w="7229" w:type="dxa"/>
          </w:tcPr>
          <w:p w14:paraId="14297817" w14:textId="77777777" w:rsidR="001151B2" w:rsidRPr="007A4753" w:rsidRDefault="00572D36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0.02 %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>chưa</w:t>
            </w:r>
            <w:proofErr w:type="spellEnd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GTGT (</w:t>
            </w:r>
            <w:proofErr w:type="spellStart"/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>nế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51B2" w:rsidRPr="007A4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F0CACC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1151B2" w:rsidRPr="007A4753" w14:paraId="73417CD7" w14:textId="77777777" w:rsidTr="001151B2">
        <w:tc>
          <w:tcPr>
            <w:tcW w:w="1985" w:type="dxa"/>
          </w:tcPr>
          <w:p w14:paraId="1C806933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Quản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7229" w:type="dxa"/>
          </w:tcPr>
          <w:p w14:paraId="05508BD8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0.03%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NAV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dưới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tỷ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11876D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0.02%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NAV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1000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tỷ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trở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lên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855604" w14:textId="77777777" w:rsidR="001151B2" w:rsidRPr="007A4753" w:rsidRDefault="001151B2" w:rsidP="0053734A">
            <w:pPr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chưa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GTGT (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nế</w:t>
            </w:r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="00572D36" w:rsidRPr="007A4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5F3673" w14:textId="77777777" w:rsidR="001151B2" w:rsidRPr="007A4753" w:rsidRDefault="001151B2" w:rsidP="001151B2">
      <w:pPr>
        <w:pStyle w:val="ListParagraph"/>
        <w:spacing w:before="120" w:after="0" w:line="288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</w:t>
      </w:r>
      <w:r w:rsidRPr="007A4753">
        <w:rPr>
          <w:rFonts w:ascii="Times New Roman" w:hAnsi="Times New Roman" w:cs="Times New Roman" w:hint="cs"/>
          <w:sz w:val="20"/>
          <w:szCs w:val="20"/>
        </w:rPr>
        <w:t>ư</w:t>
      </w:r>
      <w:r w:rsidRPr="007A4753">
        <w:rPr>
          <w:rFonts w:ascii="Times New Roman" w:hAnsi="Times New Roman" w:cs="Times New Roman"/>
          <w:sz w:val="20"/>
          <w:szCs w:val="20"/>
        </w:rPr>
        <w:t>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mỗi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dựa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NAV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</w:t>
      </w:r>
      <w:r w:rsidRPr="007A4753">
        <w:rPr>
          <w:rFonts w:ascii="Times New Roman" w:hAnsi="Times New Roman" w:cs="Times New Roman" w:hint="cs"/>
          <w:sz w:val="20"/>
          <w:szCs w:val="20"/>
        </w:rPr>
        <w:t>ư</w:t>
      </w:r>
      <w:r w:rsidRPr="007A4753">
        <w:rPr>
          <w:rFonts w:ascii="Times New Roman" w:hAnsi="Times New Roman" w:cs="Times New Roman"/>
          <w:sz w:val="20"/>
          <w:szCs w:val="20"/>
        </w:rPr>
        <w:t>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phí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</w:t>
      </w:r>
      <w:r w:rsidRPr="007A4753">
        <w:rPr>
          <w:rFonts w:ascii="Times New Roman" w:hAnsi="Times New Roman" w:cs="Times New Roman" w:hint="cs"/>
          <w:sz w:val="20"/>
          <w:szCs w:val="20"/>
        </w:rPr>
        <w:t>ư</w:t>
      </w:r>
      <w:r w:rsidRPr="007A4753">
        <w:rPr>
          <w:rFonts w:ascii="Times New Roman" w:hAnsi="Times New Roman" w:cs="Times New Roman"/>
          <w:sz w:val="20"/>
          <w:szCs w:val="20"/>
        </w:rPr>
        <w:t>ớc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</w:t>
      </w:r>
      <w:r w:rsidRPr="007A4753">
        <w:rPr>
          <w:rFonts w:ascii="Times New Roman" w:hAnsi="Times New Roman" w:cs="Times New Roman" w:hint="cs"/>
          <w:sz w:val="20"/>
          <w:szCs w:val="20"/>
        </w:rPr>
        <w:t>ư</w:t>
      </w:r>
      <w:r w:rsidRPr="007A4753">
        <w:rPr>
          <w:rFonts w:ascii="Times New Roman" w:hAnsi="Times New Roman" w:cs="Times New Roman"/>
          <w:sz w:val="20"/>
          <w:szCs w:val="20"/>
        </w:rPr>
        <w:t>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trả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tổng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</w:t>
      </w:r>
      <w:r w:rsidRPr="007A4753">
        <w:rPr>
          <w:rFonts w:ascii="Times New Roman" w:hAnsi="Times New Roman" w:cs="Times New Roman" w:hint="cs"/>
          <w:sz w:val="20"/>
          <w:szCs w:val="20"/>
        </w:rPr>
        <w:t>ư</w:t>
      </w:r>
      <w:r w:rsidRPr="007A4753">
        <w:rPr>
          <w:rFonts w:ascii="Times New Roman" w:hAnsi="Times New Roman" w:cs="Times New Roman"/>
          <w:sz w:val="20"/>
          <w:szCs w:val="20"/>
        </w:rPr>
        <w:t>ợc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09B89FD7" w14:textId="77777777" w:rsidR="001151B2" w:rsidRPr="007A4753" w:rsidRDefault="001151B2" w:rsidP="001151B2">
      <w:pPr>
        <w:pStyle w:val="ListParagraph"/>
        <w:numPr>
          <w:ilvl w:val="0"/>
          <w:numId w:val="24"/>
        </w:numPr>
        <w:tabs>
          <w:tab w:val="left" w:pos="851"/>
        </w:tabs>
        <w:spacing w:before="120" w:after="0" w:line="288" w:lineRule="auto"/>
        <w:ind w:left="851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cung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cấp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tính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trị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ròng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tham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chiếu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iNAV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),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giá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dịch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vụ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quản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lý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vận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hành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chỉ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số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tham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chiếu</w:t>
      </w:r>
      <w:proofErr w:type="spellEnd"/>
    </w:p>
    <w:tbl>
      <w:tblPr>
        <w:tblStyle w:val="TableGrid"/>
        <w:tblW w:w="94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151B2" w:rsidRPr="007A4753" w14:paraId="5FA37827" w14:textId="77777777" w:rsidTr="00D72522">
        <w:trPr>
          <w:trHeight w:val="255"/>
        </w:trPr>
        <w:tc>
          <w:tcPr>
            <w:tcW w:w="3402" w:type="dxa"/>
          </w:tcPr>
          <w:p w14:paraId="0AD8A837" w14:textId="77777777" w:rsidR="001151B2" w:rsidRPr="007A4753" w:rsidRDefault="001151B2" w:rsidP="0053734A">
            <w:pPr>
              <w:spacing w:after="120"/>
              <w:ind w:firstLine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Dịch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6095" w:type="dxa"/>
          </w:tcPr>
          <w:p w14:paraId="34BA06CB" w14:textId="77777777" w:rsidR="001151B2" w:rsidRPr="007A4753" w:rsidRDefault="001151B2" w:rsidP="0053734A">
            <w:pPr>
              <w:spacing w:after="120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Biểu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phí</w:t>
            </w:r>
            <w:proofErr w:type="spellEnd"/>
          </w:p>
        </w:tc>
      </w:tr>
      <w:tr w:rsidR="001151B2" w:rsidRPr="007A4753" w14:paraId="7C7CC9E5" w14:textId="77777777" w:rsidTr="00D72522">
        <w:trPr>
          <w:trHeight w:val="359"/>
        </w:trPr>
        <w:tc>
          <w:tcPr>
            <w:tcW w:w="3402" w:type="dxa"/>
          </w:tcPr>
          <w:p w14:paraId="1D456B47" w14:textId="77777777" w:rsidR="001151B2" w:rsidRPr="007A4753" w:rsidRDefault="001151B2" w:rsidP="0053734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Cung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dịch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tạo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thị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7A4753">
              <w:rPr>
                <w:rFonts w:ascii="Times New Roman" w:hAnsi="Times New Roman" w:cs="Times New Roman" w:hint="cs"/>
                <w:sz w:val="20"/>
                <w:szCs w:val="20"/>
              </w:rPr>
              <w:t>ư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ờng</w:t>
            </w:r>
            <w:proofErr w:type="spellEnd"/>
          </w:p>
        </w:tc>
        <w:tc>
          <w:tcPr>
            <w:tcW w:w="6095" w:type="dxa"/>
          </w:tcPr>
          <w:p w14:paraId="0B3146FB" w14:textId="4E17A985" w:rsidR="001151B2" w:rsidRPr="007A4753" w:rsidRDefault="001151B2" w:rsidP="00D72522">
            <w:pPr>
              <w:spacing w:after="60"/>
              <w:ind w:left="-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702C0" w:rsidRPr="007A47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% NAV/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chưa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bao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GTGT)</w:t>
            </w:r>
          </w:p>
        </w:tc>
      </w:tr>
    </w:tbl>
    <w:p w14:paraId="5A5A57AB" w14:textId="77777777" w:rsidR="005B5FE4" w:rsidRPr="007A4753" w:rsidRDefault="005B5FE4" w:rsidP="005B5FE4">
      <w:pPr>
        <w:pStyle w:val="ListParagraph"/>
        <w:numPr>
          <w:ilvl w:val="0"/>
          <w:numId w:val="23"/>
        </w:numPr>
        <w:spacing w:before="120" w:after="0" w:line="288" w:lineRule="auto"/>
        <w:ind w:left="5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Tình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hình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biến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động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vốn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chủ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sở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hữu</w:t>
      </w:r>
      <w:proofErr w:type="spellEnd"/>
    </w:p>
    <w:tbl>
      <w:tblPr>
        <w:tblW w:w="10049" w:type="dxa"/>
        <w:tblInd w:w="392" w:type="dxa"/>
        <w:tblLook w:val="04A0" w:firstRow="1" w:lastRow="0" w:firstColumn="1" w:lastColumn="0" w:noHBand="0" w:noVBand="1"/>
      </w:tblPr>
      <w:tblGrid>
        <w:gridCol w:w="3266"/>
        <w:gridCol w:w="1117"/>
        <w:gridCol w:w="1966"/>
        <w:gridCol w:w="1850"/>
        <w:gridCol w:w="1850"/>
      </w:tblGrid>
      <w:tr w:rsidR="005B5FE4" w:rsidRPr="007A4753" w14:paraId="6FB14ABB" w14:textId="77777777" w:rsidTr="00D72522">
        <w:trPr>
          <w:trHeight w:val="349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56E2102A" w14:textId="77777777" w:rsidR="005B5FE4" w:rsidRPr="007A4753" w:rsidRDefault="005B5FE4" w:rsidP="005373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92FB51" w14:textId="77777777" w:rsidR="005B5FE4" w:rsidRPr="007A4753" w:rsidRDefault="005B5FE4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6C02705" w14:textId="1AC20A37" w:rsidR="005B5FE4" w:rsidRPr="007A4753" w:rsidRDefault="004A19F1" w:rsidP="004D6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22F4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B5FE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22F4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5B5FE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A5C76E" w14:textId="77777777" w:rsidR="005B5FE4" w:rsidRPr="007A4753" w:rsidRDefault="005B5FE4" w:rsidP="004D6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6E08DEC" w14:textId="13A8977E" w:rsidR="005B5FE4" w:rsidRPr="007A4753" w:rsidRDefault="004A19F1" w:rsidP="004D64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D64F0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22F4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="005B5FE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722F4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B5FE4" w:rsidRPr="007A4753" w14:paraId="1DFB902D" w14:textId="77777777" w:rsidTr="00D72522">
        <w:trPr>
          <w:trHeight w:val="255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7F8CEA61" w14:textId="77777777" w:rsidR="005B5FE4" w:rsidRPr="007A4753" w:rsidRDefault="005B5FE4" w:rsidP="005373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Vốn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góp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C089495" w14:textId="77777777" w:rsidR="005B5FE4" w:rsidRPr="007A4753" w:rsidRDefault="005B5FE4" w:rsidP="005373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5038F005" w14:textId="77777777" w:rsidR="005B5FE4" w:rsidRPr="007A4753" w:rsidRDefault="005B5FE4" w:rsidP="005373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CC21" w14:textId="77777777" w:rsidR="005B5FE4" w:rsidRPr="007A4753" w:rsidRDefault="005B5FE4" w:rsidP="005373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DF70" w14:textId="77777777" w:rsidR="005B5FE4" w:rsidRPr="007A4753" w:rsidRDefault="005B5FE4" w:rsidP="005373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FE" w:rsidRPr="007A4753" w14:paraId="1CECF669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56D6C292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lượng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CCQ (1)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7F34C09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CCQ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1BB8A573" w14:textId="3243E211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641,900,000 </w:t>
            </w:r>
          </w:p>
        </w:tc>
        <w:tc>
          <w:tcPr>
            <w:tcW w:w="1850" w:type="dxa"/>
            <w:shd w:val="clear" w:color="000000" w:fill="FFFFFF"/>
            <w:noWrap/>
          </w:tcPr>
          <w:p w14:paraId="15AFFEC0" w14:textId="6874FEDF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D93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63,700,000 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1BCCDAA7" w14:textId="276C2B94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6C3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705,600,000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0827FD06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49B5E765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mệnh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27AF1F2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21A0AC1B" w14:textId="6A775C10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6,419,000,000,000 </w:t>
            </w:r>
          </w:p>
        </w:tc>
        <w:tc>
          <w:tcPr>
            <w:tcW w:w="1850" w:type="dxa"/>
            <w:shd w:val="clear" w:color="000000" w:fill="FFFFFF"/>
            <w:noWrap/>
          </w:tcPr>
          <w:p w14:paraId="2BF73D75" w14:textId="60E67602" w:rsidR="00CF1EFE" w:rsidRPr="007A4753" w:rsidRDefault="000C16C3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637,000,000,000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46FD8D71" w14:textId="7FC2F692" w:rsidR="00CF1EFE" w:rsidRPr="007A4753" w:rsidRDefault="000C16C3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7,056,000,000,000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03AC2BBB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012281E9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Thặng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góp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23DE7A00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28FB07E0" w14:textId="13C8B0FD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4,731,493,633,978 </w:t>
            </w:r>
          </w:p>
        </w:tc>
        <w:tc>
          <w:tcPr>
            <w:tcW w:w="1850" w:type="dxa"/>
            <w:shd w:val="clear" w:color="000000" w:fill="FFFFFF"/>
            <w:noWrap/>
          </w:tcPr>
          <w:p w14:paraId="4169F25B" w14:textId="6D0A7520" w:rsidR="00CF1EFE" w:rsidRPr="007A4753" w:rsidRDefault="000C16C3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1,184,821,458,630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18836451" w14:textId="123AD7BB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6C3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5,916,315,092,608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12662A82" w14:textId="77777777" w:rsidTr="00D72522">
        <w:trPr>
          <w:trHeight w:hRule="exact" w:val="550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7F16502A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Tổng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CCQ (</w:t>
            </w:r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4)=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(2)+(3)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60E540C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3EBAFC58" w14:textId="057989D4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11,150,493,633,978 </w:t>
            </w:r>
          </w:p>
        </w:tc>
        <w:tc>
          <w:tcPr>
            <w:tcW w:w="1850" w:type="dxa"/>
            <w:shd w:val="clear" w:color="000000" w:fill="FFFFFF"/>
            <w:noWrap/>
          </w:tcPr>
          <w:p w14:paraId="266F8759" w14:textId="18A1132F" w:rsidR="00CF1EFE" w:rsidRPr="007A4753" w:rsidRDefault="000C16C3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1,821,821,458,630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1FA830D5" w14:textId="51799CD4" w:rsidR="00CF1EFE" w:rsidRPr="007A4753" w:rsidRDefault="000C16C3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12,972,315,092,608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7D6B6EEB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74796982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Vốn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góp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hoán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đổi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1117" w:type="dxa"/>
            <w:shd w:val="clear" w:color="000000" w:fill="FFFFFF"/>
            <w:noWrap/>
            <w:hideMark/>
          </w:tcPr>
          <w:p w14:paraId="70D1877A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314738D9" w14:textId="77777777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noWrap/>
          </w:tcPr>
          <w:p w14:paraId="145CBB78" w14:textId="77777777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noWrap/>
          </w:tcPr>
          <w:p w14:paraId="4490ADE1" w14:textId="77777777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FE" w:rsidRPr="007A4753" w14:paraId="653805DE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1D8B39F0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lượng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CCQ  (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13A7CBD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CCQ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3BD01C40" w14:textId="3F824B2E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2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152,100,000</w:t>
            </w:r>
            <w:r w:rsidR="00617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39D8A8EE" w14:textId="3A04FD15" w:rsidR="00CF1EFE" w:rsidRPr="007A4753" w:rsidRDefault="0061727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B5218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35,800,000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B5218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47D5840F" w14:textId="4DE3E7A1" w:rsidR="00CF1EFE" w:rsidRPr="007A4753" w:rsidRDefault="0061727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B5218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187,900,000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5F842541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31460E5C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mệnh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7A1AACC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402249F9" w14:textId="60569C9D" w:rsidR="00CF1EFE" w:rsidRPr="007A4753" w:rsidRDefault="00617274" w:rsidP="00CF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>(1,521,000,000,000)</w:t>
            </w:r>
          </w:p>
        </w:tc>
        <w:tc>
          <w:tcPr>
            <w:tcW w:w="1850" w:type="dxa"/>
            <w:shd w:val="clear" w:color="000000" w:fill="FFFFFF"/>
            <w:noWrap/>
          </w:tcPr>
          <w:p w14:paraId="7E7CA494" w14:textId="6F479D97" w:rsidR="00CF1EFE" w:rsidRPr="007A4753" w:rsidRDefault="00FB5218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(358,000,000,000)</w:t>
            </w:r>
          </w:p>
        </w:tc>
        <w:tc>
          <w:tcPr>
            <w:tcW w:w="1850" w:type="dxa"/>
            <w:shd w:val="clear" w:color="000000" w:fill="FFFFFF"/>
            <w:noWrap/>
          </w:tcPr>
          <w:p w14:paraId="0EC2BAC7" w14:textId="22F1F2BA" w:rsidR="00CF1EFE" w:rsidRPr="007A4753" w:rsidRDefault="00FB5218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(1,879,000,000,000)</w:t>
            </w:r>
          </w:p>
        </w:tc>
      </w:tr>
      <w:tr w:rsidR="00CF1EFE" w:rsidRPr="007A4753" w14:paraId="248C4062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6B961AF5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Thặng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góp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hoán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đổi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lại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8951BDE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0B5AFF06" w14:textId="57C6140E" w:rsidR="00CF1EFE" w:rsidRPr="007A4753" w:rsidRDefault="00617274" w:rsidP="00CF1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>(2,187,690,701,838)</w:t>
            </w:r>
          </w:p>
        </w:tc>
        <w:tc>
          <w:tcPr>
            <w:tcW w:w="1850" w:type="dxa"/>
            <w:shd w:val="clear" w:color="000000" w:fill="FFFFFF"/>
            <w:noWrap/>
          </w:tcPr>
          <w:p w14:paraId="3CF647E5" w14:textId="72882977" w:rsidR="00CF1EFE" w:rsidRPr="007A4753" w:rsidRDefault="00FB5218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(651,722,841,759)</w:t>
            </w:r>
          </w:p>
        </w:tc>
        <w:tc>
          <w:tcPr>
            <w:tcW w:w="1850" w:type="dxa"/>
            <w:shd w:val="clear" w:color="000000" w:fill="FFFFFF"/>
            <w:noWrap/>
          </w:tcPr>
          <w:p w14:paraId="4F30F74E" w14:textId="21CC990F" w:rsidR="00CF1EFE" w:rsidRPr="007A4753" w:rsidRDefault="00FB5218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(2,839,413,543,597)</w:t>
            </w:r>
          </w:p>
        </w:tc>
      </w:tr>
      <w:tr w:rsidR="00CF1EFE" w:rsidRPr="007A4753" w14:paraId="405DC80D" w14:textId="77777777" w:rsidTr="00D72522">
        <w:trPr>
          <w:trHeight w:hRule="exact" w:val="515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338EA94C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Tổng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hoán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đổi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lại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CCQ (</w:t>
            </w:r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8)=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(6)+(7)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3019D35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6FF8B080" w14:textId="2FE705F9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(3,708,690,701,838)</w:t>
            </w:r>
          </w:p>
        </w:tc>
        <w:tc>
          <w:tcPr>
            <w:tcW w:w="1850" w:type="dxa"/>
            <w:shd w:val="clear" w:color="000000" w:fill="FFFFFF"/>
            <w:noWrap/>
          </w:tcPr>
          <w:p w14:paraId="32980BD3" w14:textId="3CEE0D3C" w:rsidR="00CF1EFE" w:rsidRPr="007A4753" w:rsidRDefault="00722F4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(1,009,722,841,759)</w:t>
            </w:r>
          </w:p>
        </w:tc>
        <w:tc>
          <w:tcPr>
            <w:tcW w:w="1850" w:type="dxa"/>
            <w:shd w:val="clear" w:color="000000" w:fill="FFFFFF"/>
            <w:noWrap/>
          </w:tcPr>
          <w:p w14:paraId="0E0A68A9" w14:textId="7064072B" w:rsidR="00CF1EFE" w:rsidRPr="007A4753" w:rsidRDefault="00722F4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(4,718,413,543,597)</w:t>
            </w:r>
          </w:p>
        </w:tc>
      </w:tr>
      <w:tr w:rsidR="00CF1EFE" w:rsidRPr="007A4753" w14:paraId="1A8C1DF8" w14:textId="77777777" w:rsidTr="00D72522">
        <w:trPr>
          <w:trHeight w:hRule="exact" w:val="550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68D07E73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lượng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9)=(1)+(5)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218FF8EA" w14:textId="77777777" w:rsidR="00CF1EFE" w:rsidRPr="007A4753" w:rsidRDefault="00CF1EFE" w:rsidP="00BB0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CCQ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2B4CFB81" w14:textId="555F1BBF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489,800,000 </w:t>
            </w:r>
          </w:p>
        </w:tc>
        <w:tc>
          <w:tcPr>
            <w:tcW w:w="1850" w:type="dxa"/>
            <w:shd w:val="clear" w:color="000000" w:fill="FFFFFF"/>
            <w:noWrap/>
          </w:tcPr>
          <w:p w14:paraId="43595D2E" w14:textId="2B60DF75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F44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27,900,000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565874F7" w14:textId="2BD2D344" w:rsidR="00CF1EFE" w:rsidRPr="007A4753" w:rsidRDefault="00722F4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517,700,000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65584A0A" w14:textId="77777777" w:rsidTr="00D72522">
        <w:trPr>
          <w:trHeight w:hRule="exact" w:val="498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0C667EB3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trị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góp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10)=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(4)+(8)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3175711" w14:textId="77777777" w:rsidR="00CF1EFE" w:rsidRPr="007A4753" w:rsidRDefault="00CF1EFE" w:rsidP="00462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4174104D" w14:textId="04223179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7,441,802,932,140 </w:t>
            </w:r>
          </w:p>
        </w:tc>
        <w:tc>
          <w:tcPr>
            <w:tcW w:w="1850" w:type="dxa"/>
            <w:shd w:val="clear" w:color="000000" w:fill="FFFFFF"/>
            <w:noWrap/>
          </w:tcPr>
          <w:p w14:paraId="1CA22DBF" w14:textId="49D0E650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F44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812,098,616,871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14C1AEB6" w14:textId="1012224A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F44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8,253,901,549,011</w:t>
            </w:r>
          </w:p>
        </w:tc>
      </w:tr>
      <w:tr w:rsidR="00CF1EFE" w:rsidRPr="007A4753" w14:paraId="49B024B0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071D5E3E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Lãi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lỗ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lũy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kế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(11)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CB526A0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1C978126" w14:textId="1281AA31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6,349,942,175,073 </w:t>
            </w:r>
          </w:p>
        </w:tc>
        <w:tc>
          <w:tcPr>
            <w:tcW w:w="1850" w:type="dxa"/>
            <w:shd w:val="clear" w:color="000000" w:fill="FFFFFF"/>
            <w:noWrap/>
          </w:tcPr>
          <w:p w14:paraId="7B424B0B" w14:textId="79FF89C7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F44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882,166,016,784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shd w:val="clear" w:color="000000" w:fill="FFFFFF"/>
            <w:noWrap/>
          </w:tcPr>
          <w:p w14:paraId="3945E6B3" w14:textId="15E4F230" w:rsidR="00CF1EFE" w:rsidRPr="007A4753" w:rsidRDefault="00722F4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7,232,108,191,857 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7A6F9260" w14:textId="77777777" w:rsidTr="00D72522">
        <w:trPr>
          <w:trHeight w:hRule="exact" w:val="284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057C4E9B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NAV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(12) = (10) + (11)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CE03B8C" w14:textId="77777777" w:rsidR="00CF1EFE" w:rsidRPr="007A4753" w:rsidRDefault="00CF1EFE" w:rsidP="00CF1E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115915EC" w14:textId="05A7D392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13,791,745,107,213 </w:t>
            </w:r>
          </w:p>
        </w:tc>
        <w:tc>
          <w:tcPr>
            <w:tcW w:w="1850" w:type="dxa"/>
            <w:shd w:val="clear" w:color="000000" w:fill="FFFFFF"/>
            <w:noWrap/>
          </w:tcPr>
          <w:p w14:paraId="21AAAAB8" w14:textId="4A7204A5" w:rsidR="00CF1EFE" w:rsidRPr="007A4753" w:rsidRDefault="00722F4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dụng</w:t>
            </w:r>
            <w:proofErr w:type="spellEnd"/>
          </w:p>
          <w:p w14:paraId="2B642039" w14:textId="77777777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000000" w:fill="FFFFFF"/>
            <w:noWrap/>
          </w:tcPr>
          <w:p w14:paraId="3B34FA35" w14:textId="261C331C" w:rsidR="00CF1EFE" w:rsidRPr="007A4753" w:rsidRDefault="00722F44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15,486,009,740,868</w:t>
            </w:r>
            <w:r w:rsidR="00CF1EFE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EFE" w:rsidRPr="007A4753" w14:paraId="1BCFC3AF" w14:textId="77777777" w:rsidTr="00D72522">
        <w:trPr>
          <w:trHeight w:hRule="exact" w:val="567"/>
        </w:trPr>
        <w:tc>
          <w:tcPr>
            <w:tcW w:w="3266" w:type="dxa"/>
            <w:shd w:val="clear" w:color="000000" w:fill="FFFFFF"/>
            <w:noWrap/>
            <w:vAlign w:val="center"/>
            <w:hideMark/>
          </w:tcPr>
          <w:p w14:paraId="254F65E3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NAV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04766D" w14:textId="77777777" w:rsidR="00CF1EFE" w:rsidRPr="007A4753" w:rsidRDefault="00CF1EFE" w:rsidP="00CF1E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 = (12)</w:t>
            </w:r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/(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30401FF2" w14:textId="77777777" w:rsidR="00CF1EFE" w:rsidRPr="007A4753" w:rsidRDefault="00CF1EFE" w:rsidP="00462D2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VND/CCQ</w:t>
            </w:r>
          </w:p>
        </w:tc>
        <w:tc>
          <w:tcPr>
            <w:tcW w:w="1966" w:type="dxa"/>
            <w:shd w:val="clear" w:color="000000" w:fill="FFFFFF"/>
            <w:noWrap/>
            <w:hideMark/>
          </w:tcPr>
          <w:p w14:paraId="27165391" w14:textId="5B28E029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28,157.91 </w:t>
            </w:r>
          </w:p>
        </w:tc>
        <w:tc>
          <w:tcPr>
            <w:tcW w:w="1850" w:type="dxa"/>
            <w:shd w:val="clear" w:color="000000" w:fill="FFFFFF"/>
            <w:noWrap/>
          </w:tcPr>
          <w:p w14:paraId="1E90B48D" w14:textId="7702A441" w:rsidR="00CF1EFE" w:rsidRPr="007A4753" w:rsidRDefault="00722F44" w:rsidP="00462D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850" w:type="dxa"/>
            <w:shd w:val="clear" w:color="000000" w:fill="FFFFFF"/>
            <w:noWrap/>
          </w:tcPr>
          <w:p w14:paraId="306B34A7" w14:textId="50C0B22B" w:rsidR="00CF1EFE" w:rsidRPr="007A4753" w:rsidRDefault="00CF1EFE" w:rsidP="00CF1E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F44"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29,913.09 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2522" w:rsidRPr="007A4753" w14:paraId="1C3F4C1F" w14:textId="77777777" w:rsidTr="00D72522">
        <w:trPr>
          <w:trHeight w:hRule="exact" w:val="567"/>
        </w:trPr>
        <w:tc>
          <w:tcPr>
            <w:tcW w:w="3266" w:type="dxa"/>
            <w:shd w:val="clear" w:color="000000" w:fill="FFFFFF"/>
            <w:vAlign w:val="center"/>
            <w:hideMark/>
          </w:tcPr>
          <w:p w14:paraId="0C92E253" w14:textId="77777777" w:rsidR="00D72522" w:rsidRPr="007A4753" w:rsidRDefault="00D72522" w:rsidP="00D725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NAV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hiện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lô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</w:t>
            </w:r>
            <w:proofErr w:type="spellEnd"/>
          </w:p>
          <w:p w14:paraId="7A014425" w14:textId="77777777" w:rsidR="00D72522" w:rsidRPr="007A4753" w:rsidRDefault="00D72522" w:rsidP="00D725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(14) = (12)</w:t>
            </w:r>
            <w:proofErr w:type="gram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/[</w:t>
            </w:r>
            <w:proofErr w:type="gram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(9)/100.000 CCQ]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DA02FE9" w14:textId="77777777" w:rsidR="00D72522" w:rsidRPr="007A4753" w:rsidRDefault="00D72522" w:rsidP="00D725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VND/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lô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CCQ</w:t>
            </w:r>
          </w:p>
        </w:tc>
        <w:tc>
          <w:tcPr>
            <w:tcW w:w="1966" w:type="dxa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14:paraId="255AC9D9" w14:textId="02152565" w:rsidR="00D72522" w:rsidRPr="007A4753" w:rsidRDefault="00D72522" w:rsidP="00D72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5BD" w:rsidRPr="001865BD">
              <w:rPr>
                <w:rFonts w:ascii="Times New Roman" w:hAnsi="Times New Roman" w:cs="Times New Roman"/>
                <w:sz w:val="20"/>
                <w:szCs w:val="20"/>
              </w:rPr>
              <w:t xml:space="preserve"> 2,815,791,161 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000000" w:fill="FFFFFF"/>
            <w:noWrap/>
          </w:tcPr>
          <w:p w14:paraId="797C8961" w14:textId="77777777" w:rsidR="00722F44" w:rsidRPr="007A4753" w:rsidRDefault="00722F44" w:rsidP="00722F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dụng</w:t>
            </w:r>
            <w:proofErr w:type="spellEnd"/>
          </w:p>
          <w:p w14:paraId="26FE5942" w14:textId="77777777" w:rsidR="00D72522" w:rsidRPr="007A4753" w:rsidRDefault="00D72522" w:rsidP="00CC16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000000" w:fill="FFFFFF"/>
            <w:noWrap/>
          </w:tcPr>
          <w:p w14:paraId="06B30123" w14:textId="00F69ED0" w:rsidR="00D72522" w:rsidRPr="007A4753" w:rsidRDefault="00722F44" w:rsidP="00D725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2,991,309,588</w:t>
            </w:r>
            <w:r w:rsidR="00D72522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35801C6" w14:textId="77777777" w:rsidR="005B5FE4" w:rsidRPr="007A4753" w:rsidRDefault="005B5FE4" w:rsidP="005B5FE4">
      <w:pPr>
        <w:pStyle w:val="ListParagraph"/>
        <w:spacing w:before="120" w:after="0" w:line="288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48F1D5" w14:textId="77777777" w:rsidR="001151B2" w:rsidRPr="007A4753" w:rsidRDefault="005B5FE4" w:rsidP="005B5FE4">
      <w:pPr>
        <w:pStyle w:val="ListParagraph"/>
        <w:numPr>
          <w:ilvl w:val="0"/>
          <w:numId w:val="23"/>
        </w:numPr>
        <w:spacing w:before="120" w:after="0" w:line="288" w:lineRule="auto"/>
        <w:ind w:left="5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Lợi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nhuận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</w:t>
      </w:r>
      <w:r w:rsidRPr="007A4753">
        <w:rPr>
          <w:rFonts w:ascii="Times New Roman" w:hAnsi="Times New Roman" w:cs="Times New Roman" w:hint="cs"/>
          <w:b/>
          <w:sz w:val="20"/>
          <w:szCs w:val="20"/>
        </w:rPr>
        <w:t>ư</w:t>
      </w:r>
      <w:r w:rsidRPr="007A4753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phân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phối</w:t>
      </w:r>
      <w:proofErr w:type="spellEnd"/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3615"/>
        <w:gridCol w:w="2160"/>
        <w:gridCol w:w="2070"/>
        <w:gridCol w:w="2070"/>
      </w:tblGrid>
      <w:tr w:rsidR="005B5FE4" w:rsidRPr="007A4753" w14:paraId="06B4581D" w14:textId="77777777" w:rsidTr="0053734A">
        <w:trPr>
          <w:trHeight w:val="600"/>
        </w:trPr>
        <w:tc>
          <w:tcPr>
            <w:tcW w:w="3615" w:type="dxa"/>
            <w:shd w:val="clear" w:color="000000" w:fill="FFFFFF"/>
            <w:vAlign w:val="center"/>
            <w:hideMark/>
          </w:tcPr>
          <w:p w14:paraId="6372373E" w14:textId="77777777" w:rsidR="005B5FE4" w:rsidRPr="007A4753" w:rsidRDefault="005B5FE4" w:rsidP="0053734A">
            <w:pPr>
              <w:spacing w:after="0"/>
              <w:ind w:firstLine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BE2E93" w14:textId="74273112" w:rsidR="005B5FE4" w:rsidRPr="007A4753" w:rsidRDefault="004A19F1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3E5A57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B5FE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E5A57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5B5FE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/2021</w:t>
            </w:r>
          </w:p>
          <w:p w14:paraId="2E0D8A35" w14:textId="77777777" w:rsidR="005B5FE4" w:rsidRPr="007A4753" w:rsidRDefault="005B5FE4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(VND)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7BCDB2" w14:textId="77777777" w:rsidR="005B5FE4" w:rsidRPr="007A4753" w:rsidRDefault="005B5FE4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Phát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sinh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kỳ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8F1995" w14:textId="3F1C99D3" w:rsidR="005B5FE4" w:rsidRPr="007A4753" w:rsidRDefault="004D64F0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Tại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31</w:t>
            </w:r>
            <w:r w:rsidR="004A19F1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18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="005B5FE4" w:rsidRPr="007A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186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CD51C88" w14:textId="77777777" w:rsidR="005B5FE4" w:rsidRPr="007A4753" w:rsidRDefault="005B5FE4" w:rsidP="005373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47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(VND)</w:t>
            </w:r>
          </w:p>
        </w:tc>
      </w:tr>
      <w:tr w:rsidR="005C0ED3" w:rsidRPr="007A4753" w14:paraId="1953033B" w14:textId="77777777" w:rsidTr="002D10B2">
        <w:trPr>
          <w:trHeight w:val="449"/>
        </w:trPr>
        <w:tc>
          <w:tcPr>
            <w:tcW w:w="3615" w:type="dxa"/>
            <w:shd w:val="clear" w:color="000000" w:fill="FFFFFF"/>
            <w:noWrap/>
            <w:vAlign w:val="center"/>
            <w:hideMark/>
          </w:tcPr>
          <w:p w14:paraId="4FA507AF" w14:textId="77777777" w:rsidR="005C0ED3" w:rsidRPr="007A4753" w:rsidRDefault="005C0ED3" w:rsidP="0053734A">
            <w:pPr>
              <w:spacing w:after="120"/>
              <w:ind w:firstLine="4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Lợi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nhuận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chưa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phân</w:t>
            </w:r>
            <w:proofErr w:type="spellEnd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phối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924926E" w14:textId="1FB71909" w:rsidR="005C0ED3" w:rsidRPr="007A4753" w:rsidRDefault="003E5A57" w:rsidP="005373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>6,349,942,175,073</w:t>
            </w:r>
          </w:p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</w:tcPr>
          <w:p w14:paraId="5B122EDF" w14:textId="1749FA5A" w:rsidR="005C0ED3" w:rsidRPr="007A4753" w:rsidRDefault="005C0ED3" w:rsidP="005C0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4F0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330" w:rsidRPr="0076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882,166,016,784</w:t>
            </w:r>
            <w:r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</w:tcPr>
          <w:p w14:paraId="639D0198" w14:textId="6EAEED89" w:rsidR="005C0ED3" w:rsidRPr="007A4753" w:rsidRDefault="00625330" w:rsidP="005C0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7,232,108,191,857 </w:t>
            </w:r>
            <w:r w:rsidR="005C0ED3" w:rsidRPr="007A4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0AFAE33" w14:textId="77777777" w:rsidR="005B5FE4" w:rsidRPr="007A4753" w:rsidRDefault="005B5FE4" w:rsidP="005B5FE4">
      <w:pPr>
        <w:pStyle w:val="ListParagraph"/>
        <w:numPr>
          <w:ilvl w:val="0"/>
          <w:numId w:val="1"/>
        </w:numPr>
        <w:spacing w:before="120" w:after="0" w:line="288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b/>
          <w:sz w:val="20"/>
          <w:szCs w:val="20"/>
        </w:rPr>
        <w:t>chính</w:t>
      </w:r>
      <w:proofErr w:type="spellEnd"/>
    </w:p>
    <w:p w14:paraId="0EBAA41C" w14:textId="77777777" w:rsidR="005B5FE4" w:rsidRPr="007A4753" w:rsidRDefault="005B5FE4" w:rsidP="005B5FE4">
      <w:pPr>
        <w:spacing w:after="0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sự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kiện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phát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cần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bày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cáo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tài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753">
        <w:rPr>
          <w:rFonts w:ascii="Times New Roman" w:hAnsi="Times New Roman" w:cs="Times New Roman"/>
          <w:sz w:val="20"/>
          <w:szCs w:val="20"/>
        </w:rPr>
        <w:t>chính</w:t>
      </w:r>
      <w:proofErr w:type="spellEnd"/>
      <w:r w:rsidRPr="007A4753">
        <w:rPr>
          <w:rFonts w:ascii="Times New Roman" w:hAnsi="Times New Roman" w:cs="Times New Roman"/>
          <w:sz w:val="20"/>
          <w:szCs w:val="20"/>
        </w:rPr>
        <w:t>.</w:t>
      </w:r>
    </w:p>
    <w:p w14:paraId="293687E3" w14:textId="77777777" w:rsidR="005B5FE4" w:rsidRPr="007A4753" w:rsidRDefault="005B5FE4" w:rsidP="005B5FE4">
      <w:pPr>
        <w:spacing w:after="0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07CE68" w14:textId="77777777" w:rsidR="005B5FE4" w:rsidRPr="007A4753" w:rsidRDefault="005B5FE4" w:rsidP="005B5FE4">
      <w:pPr>
        <w:spacing w:after="0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5B5FE4" w:rsidRPr="00F619EC" w14:paraId="6E9AB807" w14:textId="77777777" w:rsidTr="0053734A">
        <w:trPr>
          <w:jc w:val="center"/>
        </w:trPr>
        <w:tc>
          <w:tcPr>
            <w:tcW w:w="3301" w:type="dxa"/>
            <w:vAlign w:val="center"/>
          </w:tcPr>
          <w:p w14:paraId="42863570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Người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lập</w:t>
            </w:r>
            <w:proofErr w:type="spellEnd"/>
          </w:p>
          <w:p w14:paraId="31BCD25F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F4155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A23E9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066CE" w14:textId="77777777" w:rsidR="00875EF9" w:rsidRPr="007A4753" w:rsidRDefault="00875EF9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94B96A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9E369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B60D0F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Vương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Thị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Trâm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Anh</w:t>
            </w:r>
          </w:p>
        </w:tc>
        <w:tc>
          <w:tcPr>
            <w:tcW w:w="3301" w:type="dxa"/>
            <w:vAlign w:val="center"/>
          </w:tcPr>
          <w:p w14:paraId="761FD116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Kế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toán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trưởng</w:t>
            </w:r>
            <w:proofErr w:type="spellEnd"/>
          </w:p>
          <w:p w14:paraId="3DA534A0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0ACE1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54E38C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A20FE" w14:textId="77777777" w:rsidR="00875EF9" w:rsidRPr="007A4753" w:rsidRDefault="00875EF9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06D6A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25DBE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42FA85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Phạm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Thanh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Dũng</w:t>
            </w:r>
            <w:proofErr w:type="spellEnd"/>
          </w:p>
        </w:tc>
        <w:tc>
          <w:tcPr>
            <w:tcW w:w="3302" w:type="dxa"/>
            <w:vAlign w:val="center"/>
          </w:tcPr>
          <w:p w14:paraId="13919883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Giám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đốc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điều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hành</w:t>
            </w:r>
            <w:proofErr w:type="spellEnd"/>
          </w:p>
          <w:p w14:paraId="5394850C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Nghiệp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vụ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hỗ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đầu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7A4753">
              <w:rPr>
                <w:rFonts w:ascii="Times New Roman" w:hAnsi="Times New Roman" w:cs="Times New Roman" w:hint="cs"/>
                <w:b/>
                <w:sz w:val="20"/>
                <w:szCs w:val="20"/>
              </w:rPr>
              <w:t>ư</w:t>
            </w:r>
            <w:proofErr w:type="spellEnd"/>
          </w:p>
          <w:p w14:paraId="03C104B1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D99EC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6BF3D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C34C19" w14:textId="77777777" w:rsidR="00875EF9" w:rsidRPr="007A4753" w:rsidRDefault="00875EF9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4B12C1" w14:textId="77777777" w:rsidR="005B5FE4" w:rsidRPr="007A4753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B4E60" w14:textId="77777777" w:rsidR="005B5FE4" w:rsidRPr="00F619EC" w:rsidRDefault="005B5FE4" w:rsidP="0053734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Nguyễn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Minh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Đăng</w:t>
            </w:r>
            <w:proofErr w:type="spellEnd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4753">
              <w:rPr>
                <w:rFonts w:ascii="Times New Roman" w:hAnsi="Times New Roman" w:cs="Times New Roman"/>
                <w:b/>
                <w:sz w:val="20"/>
                <w:szCs w:val="20"/>
              </w:rPr>
              <w:t>Khánh</w:t>
            </w:r>
            <w:proofErr w:type="spellEnd"/>
          </w:p>
        </w:tc>
      </w:tr>
    </w:tbl>
    <w:p w14:paraId="4092C7D3" w14:textId="77777777" w:rsidR="005B5FE4" w:rsidRPr="005B5FE4" w:rsidRDefault="005B5FE4" w:rsidP="005B5FE4">
      <w:pPr>
        <w:spacing w:after="0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5B5FE4" w:rsidRPr="005B5FE4" w:rsidSect="00DA4646">
      <w:pgSz w:w="12240" w:h="15840"/>
      <w:pgMar w:top="141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DB"/>
    <w:multiLevelType w:val="hybridMultilevel"/>
    <w:tmpl w:val="A9F21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8288872">
      <w:start w:val="1"/>
      <w:numFmt w:val="lowerRoman"/>
      <w:lvlText w:val="%2."/>
      <w:lvlJc w:val="right"/>
      <w:pPr>
        <w:ind w:left="14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BA"/>
    <w:multiLevelType w:val="hybridMultilevel"/>
    <w:tmpl w:val="19E23B5A"/>
    <w:lvl w:ilvl="0" w:tplc="57C20CC2">
      <w:start w:val="1"/>
      <w:numFmt w:val="low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751"/>
    <w:multiLevelType w:val="hybridMultilevel"/>
    <w:tmpl w:val="01DE1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82"/>
    <w:multiLevelType w:val="hybridMultilevel"/>
    <w:tmpl w:val="390E3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385C"/>
    <w:multiLevelType w:val="hybridMultilevel"/>
    <w:tmpl w:val="A164027E"/>
    <w:lvl w:ilvl="0" w:tplc="01E6574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0BD8"/>
    <w:multiLevelType w:val="hybridMultilevel"/>
    <w:tmpl w:val="327AE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2E01"/>
    <w:multiLevelType w:val="hybridMultilevel"/>
    <w:tmpl w:val="2B68C1F4"/>
    <w:lvl w:ilvl="0" w:tplc="D5F84104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2EBE7512">
      <w:start w:val="1"/>
      <w:numFmt w:val="lowerRoman"/>
      <w:lvlText w:val="%2.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20AA3E9C"/>
    <w:multiLevelType w:val="hybridMultilevel"/>
    <w:tmpl w:val="AC4A31D2"/>
    <w:lvl w:ilvl="0" w:tplc="B6509F6A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B6509F6A">
      <w:start w:val="1"/>
      <w:numFmt w:val="decimal"/>
      <w:lvlText w:val="5.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B68"/>
    <w:multiLevelType w:val="hybridMultilevel"/>
    <w:tmpl w:val="50FAD596"/>
    <w:lvl w:ilvl="0" w:tplc="51B628EC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2C46"/>
    <w:multiLevelType w:val="hybridMultilevel"/>
    <w:tmpl w:val="5FB07F9A"/>
    <w:lvl w:ilvl="0" w:tplc="F36A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AED"/>
    <w:multiLevelType w:val="hybridMultilevel"/>
    <w:tmpl w:val="CF2445A6"/>
    <w:lvl w:ilvl="0" w:tplc="C91CF1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4948F3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514"/>
    <w:multiLevelType w:val="hybridMultilevel"/>
    <w:tmpl w:val="149AB080"/>
    <w:lvl w:ilvl="0" w:tplc="9B9657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9657D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489B"/>
    <w:multiLevelType w:val="hybridMultilevel"/>
    <w:tmpl w:val="4A2E4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4F83"/>
    <w:multiLevelType w:val="hybridMultilevel"/>
    <w:tmpl w:val="42B0D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0CA8"/>
    <w:multiLevelType w:val="hybridMultilevel"/>
    <w:tmpl w:val="B966FF56"/>
    <w:lvl w:ilvl="0" w:tplc="A01A6D32">
      <w:start w:val="3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7917"/>
    <w:multiLevelType w:val="hybridMultilevel"/>
    <w:tmpl w:val="6BFC1698"/>
    <w:lvl w:ilvl="0" w:tplc="357ADA9E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764E67"/>
    <w:multiLevelType w:val="hybridMultilevel"/>
    <w:tmpl w:val="1FAA0576"/>
    <w:lvl w:ilvl="0" w:tplc="06E84056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B56D8"/>
    <w:multiLevelType w:val="hybridMultilevel"/>
    <w:tmpl w:val="EC3A0A82"/>
    <w:lvl w:ilvl="0" w:tplc="F36A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C6B3D"/>
    <w:multiLevelType w:val="hybridMultilevel"/>
    <w:tmpl w:val="5DEEF594"/>
    <w:lvl w:ilvl="0" w:tplc="9D14A7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11E73"/>
    <w:multiLevelType w:val="hybridMultilevel"/>
    <w:tmpl w:val="B930F322"/>
    <w:lvl w:ilvl="0" w:tplc="9D14A720">
      <w:start w:val="1"/>
      <w:numFmt w:val="bullet"/>
      <w:lvlText w:val="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56B7F0F"/>
    <w:multiLevelType w:val="hybridMultilevel"/>
    <w:tmpl w:val="69D0C4B0"/>
    <w:lvl w:ilvl="0" w:tplc="9D14A7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13A"/>
    <w:multiLevelType w:val="hybridMultilevel"/>
    <w:tmpl w:val="5B0A1278"/>
    <w:lvl w:ilvl="0" w:tplc="6896AE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A05"/>
    <w:multiLevelType w:val="hybridMultilevel"/>
    <w:tmpl w:val="FC4EFA34"/>
    <w:lvl w:ilvl="0" w:tplc="3D903618">
      <w:start w:val="1"/>
      <w:numFmt w:val="decimal"/>
      <w:pStyle w:val="Heading2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66E7"/>
    <w:multiLevelType w:val="hybridMultilevel"/>
    <w:tmpl w:val="DCD0B3DE"/>
    <w:lvl w:ilvl="0" w:tplc="0EC609A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44817"/>
    <w:multiLevelType w:val="hybridMultilevel"/>
    <w:tmpl w:val="BA7A4AA6"/>
    <w:lvl w:ilvl="0" w:tplc="9B9657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C3E"/>
    <w:multiLevelType w:val="hybridMultilevel"/>
    <w:tmpl w:val="AC549910"/>
    <w:lvl w:ilvl="0" w:tplc="D29659D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48ECA7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7CD9"/>
    <w:multiLevelType w:val="multilevel"/>
    <w:tmpl w:val="F73699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901902"/>
    <w:multiLevelType w:val="hybridMultilevel"/>
    <w:tmpl w:val="9F087E66"/>
    <w:lvl w:ilvl="0" w:tplc="8A2A13A8">
      <w:start w:val="1"/>
      <w:numFmt w:val="low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19454">
    <w:abstractNumId w:val="26"/>
  </w:num>
  <w:num w:numId="2" w16cid:durableId="52126069">
    <w:abstractNumId w:val="10"/>
  </w:num>
  <w:num w:numId="3" w16cid:durableId="886184877">
    <w:abstractNumId w:val="5"/>
  </w:num>
  <w:num w:numId="4" w16cid:durableId="1642034037">
    <w:abstractNumId w:val="4"/>
  </w:num>
  <w:num w:numId="5" w16cid:durableId="460654841">
    <w:abstractNumId w:val="3"/>
  </w:num>
  <w:num w:numId="6" w16cid:durableId="324552155">
    <w:abstractNumId w:val="23"/>
  </w:num>
  <w:num w:numId="7" w16cid:durableId="244345779">
    <w:abstractNumId w:val="25"/>
  </w:num>
  <w:num w:numId="8" w16cid:durableId="767039775">
    <w:abstractNumId w:val="24"/>
  </w:num>
  <w:num w:numId="9" w16cid:durableId="1113019737">
    <w:abstractNumId w:val="11"/>
  </w:num>
  <w:num w:numId="10" w16cid:durableId="605230924">
    <w:abstractNumId w:val="6"/>
  </w:num>
  <w:num w:numId="11" w16cid:durableId="1596982508">
    <w:abstractNumId w:val="1"/>
  </w:num>
  <w:num w:numId="12" w16cid:durableId="1305237591">
    <w:abstractNumId w:val="21"/>
  </w:num>
  <w:num w:numId="13" w16cid:durableId="282269456">
    <w:abstractNumId w:val="13"/>
  </w:num>
  <w:num w:numId="14" w16cid:durableId="898367804">
    <w:abstractNumId w:val="18"/>
  </w:num>
  <w:num w:numId="15" w16cid:durableId="118694765">
    <w:abstractNumId w:val="8"/>
  </w:num>
  <w:num w:numId="16" w16cid:durableId="1806701219">
    <w:abstractNumId w:val="20"/>
  </w:num>
  <w:num w:numId="17" w16cid:durableId="1548450164">
    <w:abstractNumId w:val="19"/>
  </w:num>
  <w:num w:numId="18" w16cid:durableId="1037857906">
    <w:abstractNumId w:val="0"/>
  </w:num>
  <w:num w:numId="19" w16cid:durableId="1164082626">
    <w:abstractNumId w:val="27"/>
  </w:num>
  <w:num w:numId="20" w16cid:durableId="1493327959">
    <w:abstractNumId w:val="17"/>
  </w:num>
  <w:num w:numId="21" w16cid:durableId="1152479475">
    <w:abstractNumId w:val="12"/>
  </w:num>
  <w:num w:numId="22" w16cid:durableId="177696170">
    <w:abstractNumId w:val="7"/>
  </w:num>
  <w:num w:numId="23" w16cid:durableId="401560604">
    <w:abstractNumId w:val="15"/>
  </w:num>
  <w:num w:numId="24" w16cid:durableId="1199397815">
    <w:abstractNumId w:val="16"/>
  </w:num>
  <w:num w:numId="25" w16cid:durableId="730731942">
    <w:abstractNumId w:val="9"/>
  </w:num>
  <w:num w:numId="26" w16cid:durableId="1257787745">
    <w:abstractNumId w:val="14"/>
  </w:num>
  <w:num w:numId="27" w16cid:durableId="1046298809">
    <w:abstractNumId w:val="2"/>
  </w:num>
  <w:num w:numId="28" w16cid:durableId="12719340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5E"/>
    <w:rsid w:val="00060569"/>
    <w:rsid w:val="0006458D"/>
    <w:rsid w:val="000C16C3"/>
    <w:rsid w:val="000E1C4F"/>
    <w:rsid w:val="001151B2"/>
    <w:rsid w:val="001865BD"/>
    <w:rsid w:val="001932F9"/>
    <w:rsid w:val="00197CCC"/>
    <w:rsid w:val="001D294F"/>
    <w:rsid w:val="00262A85"/>
    <w:rsid w:val="00372D61"/>
    <w:rsid w:val="00374D7E"/>
    <w:rsid w:val="003E5A57"/>
    <w:rsid w:val="004015E5"/>
    <w:rsid w:val="00462D29"/>
    <w:rsid w:val="00497E79"/>
    <w:rsid w:val="004A19F1"/>
    <w:rsid w:val="004D64F0"/>
    <w:rsid w:val="004F5420"/>
    <w:rsid w:val="005363B3"/>
    <w:rsid w:val="00572D36"/>
    <w:rsid w:val="00582625"/>
    <w:rsid w:val="005B5FE4"/>
    <w:rsid w:val="005C0ED3"/>
    <w:rsid w:val="00617274"/>
    <w:rsid w:val="00625330"/>
    <w:rsid w:val="00651A0A"/>
    <w:rsid w:val="0065709B"/>
    <w:rsid w:val="006D4049"/>
    <w:rsid w:val="00722F44"/>
    <w:rsid w:val="007A4753"/>
    <w:rsid w:val="007E7D93"/>
    <w:rsid w:val="00810D2A"/>
    <w:rsid w:val="00875EF9"/>
    <w:rsid w:val="00882CEB"/>
    <w:rsid w:val="00916D39"/>
    <w:rsid w:val="009434B6"/>
    <w:rsid w:val="009702C0"/>
    <w:rsid w:val="009F457C"/>
    <w:rsid w:val="00BB00D2"/>
    <w:rsid w:val="00BD5FB0"/>
    <w:rsid w:val="00C35406"/>
    <w:rsid w:val="00C638DC"/>
    <w:rsid w:val="00CA7DFC"/>
    <w:rsid w:val="00CC160D"/>
    <w:rsid w:val="00CE5D04"/>
    <w:rsid w:val="00CF1EFE"/>
    <w:rsid w:val="00D208A3"/>
    <w:rsid w:val="00D72522"/>
    <w:rsid w:val="00D806AC"/>
    <w:rsid w:val="00D83D2F"/>
    <w:rsid w:val="00DA4646"/>
    <w:rsid w:val="00DA5845"/>
    <w:rsid w:val="00E1535E"/>
    <w:rsid w:val="00E5225D"/>
    <w:rsid w:val="00E5334B"/>
    <w:rsid w:val="00E82173"/>
    <w:rsid w:val="00EC1161"/>
    <w:rsid w:val="00F2087E"/>
    <w:rsid w:val="00F40060"/>
    <w:rsid w:val="00F41B4C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5FEA"/>
  <w15:docId w15:val="{75A7C7C4-F769-4C4A-B248-B61D515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link w:val="Heading2Char"/>
    <w:autoRedefine/>
    <w:qFormat/>
    <w:rsid w:val="00CE5D04"/>
    <w:pPr>
      <w:keepNext/>
      <w:widowControl w:val="0"/>
      <w:numPr>
        <w:numId w:val="28"/>
      </w:numPr>
      <w:spacing w:before="260" w:after="140"/>
      <w:ind w:left="0" w:hanging="634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5E"/>
    <w:pPr>
      <w:ind w:left="720"/>
      <w:contextualSpacing/>
    </w:pPr>
  </w:style>
  <w:style w:type="table" w:styleId="TableGrid">
    <w:name w:val="Table Grid"/>
    <w:basedOn w:val="TableNormal"/>
    <w:uiPriority w:val="59"/>
    <w:rsid w:val="001151B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5D04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CE5D04"/>
    <w:pPr>
      <w:keepLines/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E5D04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5sUSYtIEzHgRZ1WuoPgecqzAlgY=</DigestValue>
    </Reference>
    <Reference Type="http://www.w3.org/2000/09/xmldsig#Object" URI="#idOfficeObject">
      <DigestMethod Algorithm="http://www.w3.org/2000/09/xmldsig#sha1"/>
      <DigestValue>aF5FDmJIpki9nzJ2YSqwwUUyKHM=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bNotzKUmPis6PGf+U+WQ9WB91/g=</DigestValue>
    </Reference>
  </SignedInfo>
  <SignatureValue>SHJtWfQ+fAIUhcQxGFCAl1cH5oOfDjbCQ2835azpu6ZRZK7cYKHFEDbx02ye3TbfkKiK+9mdn7Yj
MSLoftdYMQ00I8Mc3vBJQPXosWCqt8fh7ypUvsD2Of3u5to3y461Ro1wKrOo1iOCeZ0GbgFdjOO7
YcSNRu05n8yLBjDNtt0=</SignatureValue>
  <KeyInfo>
    <X509Data>
      <X509Certificate>MIIGDjCCA/agAwIBAgIQVAEBARDBUYPLWrTsaMFgUDANBgkqhkiG9w0BAQUFADBpMQswCQYDVQQGEwJWTjETMBEGA1UEChMKVk5QVCBHcm91cDEeMBwGA1UECxMVVk5QVC1DQSBUcnVzdCBOZXR3b3JrMSUwIwYDVQQDExxWTlBUIENlcnRpZmljYXRpb24gQXV0aG9yaXR5MB4XDTIwMDYwODA4NTgwMFoXDTIzMDcxMDEzNTgwMFowgcoxCzAJBgNVBAYTAlZOMRcwFQYDVQQIDA5I4buSIENIw40gTUlOSDERMA8GA1UEBwwIUXXhuq1uIDExazBpBgNVBAMMYk5Hw4JOIEjDgE5HIFRIxq/GoE5HIE3huqBJIEPhu5QgUEjhuqZOIE5HT+G6oEkgVEjGr8agTkcgVknhu4ZUIE5BTSAtIENISSBOSMOBTkggVFAuIEjhu5IgQ0jDjSBNSU5IMSIwIAYKCZImiZPyLGQBAQwSTVNUOjAxMDAxMTI0MzctMDAyMIGfMA0GCSqGSIb3DQEBAQUAA4GNADCBiQKBgQCqbXZhRrwhnKsDGacxqJXZUHvG2/hOH/sATXcL07KiTD/iOu4zRhL+We/p9rvUbzKXA7LIlOSfkYDrsqIoK6rC4NKeduqU+NXgq0kYkbrUSHTUtCYMzJ1XflZxYZKGgcJe1BjRsDFXAScxzKguGkNi+MnAq9Ao0e96wFyFr0Sg6wIDAQABo4IB0jCCAc4wcAYIKwYBBQUHAQEEZDBiMDIGCCsGAQUFBzAChiZodHRwOi8vcHViLnZucHQtY2Eudm4vY2VydHMvdm5wdGNhLmNlcjAsBggrBgEFBQcwAYYgaHR0cDovL29jc3Audm5wdC1jYS52bi9yZXNwb25kZXIwHQYDVR0OBBYEFOPzc1P///YhPcSvb14PAF2un4n4MAwGA1UdEwEB/wQCMAAwHwYDVR0jBBgwFoAUBmnA1dUCihWNRn3pfOJoClWsaq8waAYDVR0gBGEwXzBdBg4rBgEEAYHtAwEBAwEBAjBLMCIGCCsGAQUFBwICMBYeFABPAEkARAAtAFAAcgAtADEALgAwMCUGCCsGAQUFBwIBFhlodHRwOi8vcHViLnZucHQtY2Eudm4vcnBhMDEGA1UdHwQqMCgwJqAkoCKGIGh0dHA6Ly9jcmwudm5wdC1jYS52bi92bnB0Y2EuY3JsMA4GA1UdDwEB/wQEAwIE8DA0BgNVHSUELTArBggrBgEFBQcDAgYIKwYBBQUHAwQGCisGAQQBgjcKAwwGCSqGSIb3LwEBBTApBgNVHREEIjAggR5waGF0ZG50LmhjbUB2aWV0Y29tYmFuay5jb20udm4wDQYJKoZIhvcNAQEFBQADggIBADXAFAl1ivjkkQLM9/7ebXIXmjbND1pFzjvqm5suN2acl9Gvg+nEyt/4diQ5g1MQ19iT6PGt0X2mtRLY1WeZi/KgYEj8imqxS9wEruIXSaB/oqC8CyQXBre/r3oM43XUlr8ZkLhNaxNKh9iydmWXRDmjdjn9IaesTGaWpxynAmr6v/Hsq98RSlNLybI3hy+nODBv9Rq1diIDCRweYcDUIT2sa1tv/KvuzEnQw+2iipEZ/DeSC5Hq7dpEcbru7XE1Ki59mQm9AXM0TWxsp/nCjarpoNYzw7NAUZK+rTe8fqtrVNco3FKOg3oTJj+G/mSwwpy8FcUflmWQp7CS39lCTt5rSIDgwXbEGwW1/wMtsTOAzBiu78zyjGbHg/iOBBSxn1P5MwMHJ+i8JYi7zwipizZ+eTBIoq3APISLgDJBjOgh4MK/ScqI0cSLpGQs7cGvbeVYz3kXbEEYkpCx+KfW2Z+nssVbXITSPfZeHXLnFrCDB3OAQdpPWuxY8bwXroPPw/bv+toXLZ+Id+wwszFpq3YOEE9SMKmABBtZouqrxY9teizQBC5PSuyLzB9379clKsy4ZQHzX9n7UKYiEarAWyGYpUdm36ozW1RKjs3UsIivWqpR58sBLVYKNzjE9MsL69BeBN1vnC9qlcnm7TgbwS2h8Q8UhVsOyMbKFHuGyDY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DtnuNMdZomBCaYmi7ZuxYXbSOYM=</DigestValue>
      </Reference>
      <Reference URI="/word/fontTable.xml?ContentType=application/vnd.openxmlformats-officedocument.wordprocessingml.fontTable+xml">
        <DigestMethod Algorithm="http://www.w3.org/2000/09/xmldsig#sha1"/>
        <DigestValue>oaGauXnGBg4zOFKnngBK3E/4p/Y=</DigestValue>
      </Reference>
      <Reference URI="/word/numbering.xml?ContentType=application/vnd.openxmlformats-officedocument.wordprocessingml.numbering+xml">
        <DigestMethod Algorithm="http://www.w3.org/2000/09/xmldsig#sha1"/>
        <DigestValue>2v9nn+OoK7WvKenpC7vqsAwVUZs=</DigestValue>
      </Reference>
      <Reference URI="/word/settings.xml?ContentType=application/vnd.openxmlformats-officedocument.wordprocessingml.settings+xml">
        <DigestMethod Algorithm="http://www.w3.org/2000/09/xmldsig#sha1"/>
        <DigestValue>gZVu3V7osmLEv+9G+6E9zY9c5Xk=</DigestValue>
      </Reference>
      <Reference URI="/word/styles.xml?ContentType=application/vnd.openxmlformats-officedocument.wordprocessingml.styles+xml">
        <DigestMethod Algorithm="http://www.w3.org/2000/09/xmldsig#sha1"/>
        <DigestValue>BTGl4gpKRAyvTZz0yrjqbj+rUIE=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/u0yTmZWhKpCJHfwxzWCcZiBXsg=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2022-04-19T02:05:52Z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2022-04-19T02:05:52Z</xd:SigningTime>
          <xd:SigningCertificate>
            <xd:Cert>
              <xd:CertDigest>
                <DigestMethod Algorithm="http://www.w3.org/2000/09/xmldsig#sha1"/>
                <DigestValue>yIXzxgAMAVRpvBorEqzOf05h+Ig=</DigestValue>
              </xd:CertDigest>
              <xd:IssuerSerial>
                <X509IssuerName>CN=VNPT Certification Authority, OU=VNPT-CA Trust Network, O=VNPT Group, C=VN</X509IssuerName>
                <X509SerialNumber>111660364309614702100672038993267875920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TRAN TRA GIANG (DVKH TC2 - VCB HO CHI MINH)</dc:creator>
  <cp:lastModifiedBy>Trà Giang</cp:lastModifiedBy>
  <cp:revision>16</cp:revision>
  <cp:lastPrinted>2022-01-17T08:40:00Z</cp:lastPrinted>
  <dcterms:created xsi:type="dcterms:W3CDTF">2022-04-08T04:20:00Z</dcterms:created>
  <dcterms:modified xsi:type="dcterms:W3CDTF">2022-04-18T08:02:00Z</dcterms:modified>
</cp:coreProperties>
</file>