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A77EC" w14:textId="77777777" w:rsidR="0051065D" w:rsidRPr="00556831" w:rsidRDefault="0051065D" w:rsidP="00556831">
      <w:pPr>
        <w:spacing w:before="120" w:after="100" w:afterAutospacing="1"/>
        <w:ind w:firstLine="720"/>
        <w:jc w:val="center"/>
        <w:rPr>
          <w:rFonts w:ascii="Arial" w:hAnsi="Arial" w:cs="Arial"/>
          <w:b/>
          <w:sz w:val="20"/>
          <w:szCs w:val="20"/>
          <w:lang w:val="nl-NL"/>
        </w:rPr>
      </w:pPr>
      <w:r w:rsidRPr="00556831">
        <w:rPr>
          <w:rFonts w:ascii="Arial" w:hAnsi="Arial" w:cs="Arial"/>
          <w:b/>
          <w:sz w:val="20"/>
          <w:szCs w:val="20"/>
          <w:lang w:val="nl-NL"/>
        </w:rPr>
        <w:t>Phụ lục số 28</w:t>
      </w:r>
    </w:p>
    <w:p w14:paraId="55276C47" w14:textId="77777777" w:rsidR="0051065D" w:rsidRPr="00556831" w:rsidRDefault="0051065D" w:rsidP="0051065D">
      <w:pPr>
        <w:spacing w:before="120" w:after="100" w:afterAutospacing="1"/>
        <w:jc w:val="center"/>
        <w:rPr>
          <w:rFonts w:ascii="Arial" w:hAnsi="Arial" w:cs="Arial"/>
          <w:b/>
          <w:sz w:val="20"/>
          <w:szCs w:val="20"/>
          <w:lang w:val="nl-NL"/>
        </w:rPr>
      </w:pPr>
      <w:r w:rsidRPr="00556831">
        <w:rPr>
          <w:rFonts w:ascii="Arial" w:hAnsi="Arial" w:cs="Arial"/>
          <w:b/>
          <w:sz w:val="20"/>
          <w:szCs w:val="20"/>
          <w:lang w:val="nl-NL"/>
        </w:rPr>
        <w:t>Nội dung Báo cáo tổng kết hoạt động quản lý quỹ</w:t>
      </w:r>
    </w:p>
    <w:p w14:paraId="6471CDF0" w14:textId="77777777" w:rsidR="0051065D" w:rsidRPr="00556831" w:rsidRDefault="0051065D" w:rsidP="0051065D">
      <w:pPr>
        <w:spacing w:before="120" w:after="100" w:afterAutospacing="1"/>
        <w:jc w:val="center"/>
        <w:rPr>
          <w:rFonts w:ascii="Arial" w:hAnsi="Arial" w:cs="Arial"/>
          <w:i/>
          <w:sz w:val="20"/>
          <w:szCs w:val="20"/>
          <w:lang w:val="nl-NL"/>
        </w:rPr>
      </w:pPr>
      <w:r w:rsidRPr="00556831">
        <w:rPr>
          <w:rFonts w:ascii="Arial" w:hAnsi="Arial" w:cs="Arial"/>
          <w:i/>
          <w:sz w:val="20"/>
          <w:szCs w:val="20"/>
          <w:lang w:val="nl-NL"/>
        </w:rPr>
        <w:t>(ban hành kèm theo Thông tư hướng dẫn về việc thành lập và quản lý quỹ mở)</w:t>
      </w:r>
    </w:p>
    <w:p w14:paraId="7CF64A79" w14:textId="77777777" w:rsidR="003B4835" w:rsidRPr="00556831" w:rsidRDefault="0051065D" w:rsidP="0051065D">
      <w:pPr>
        <w:spacing w:after="0"/>
        <w:jc w:val="center"/>
        <w:rPr>
          <w:rFonts w:ascii="Arial" w:eastAsia="Times New Roman" w:hAnsi="Arial" w:cs="Arial"/>
          <w:b/>
          <w:bCs/>
          <w:sz w:val="20"/>
          <w:szCs w:val="20"/>
        </w:rPr>
      </w:pPr>
      <w:r w:rsidRPr="00556831">
        <w:rPr>
          <w:rFonts w:ascii="Arial" w:hAnsi="Arial" w:cs="Arial"/>
          <w:b/>
          <w:sz w:val="20"/>
          <w:szCs w:val="20"/>
          <w:lang w:val="nl-NL"/>
        </w:rPr>
        <w:t>BÁO CÁO TỔNG KẾT HOẠT ĐỘNG QUẢN LÝ QUỸ</w:t>
      </w:r>
    </w:p>
    <w:p w14:paraId="3BBB52B7" w14:textId="5886FD4B" w:rsidR="003B4835" w:rsidRPr="00556831" w:rsidRDefault="00C83A66" w:rsidP="00D12A61">
      <w:pPr>
        <w:spacing w:after="0"/>
        <w:jc w:val="center"/>
        <w:rPr>
          <w:rFonts w:ascii="Arial" w:eastAsia="Times New Roman" w:hAnsi="Arial" w:cs="Arial"/>
          <w:b/>
          <w:bCs/>
          <w:sz w:val="20"/>
          <w:szCs w:val="20"/>
        </w:rPr>
      </w:pPr>
      <w:r>
        <w:rPr>
          <w:rFonts w:ascii="Arial" w:eastAsia="Times New Roman" w:hAnsi="Arial" w:cs="Arial"/>
          <w:b/>
          <w:bCs/>
          <w:sz w:val="20"/>
          <w:szCs w:val="20"/>
        </w:rPr>
        <w:t>năm</w:t>
      </w:r>
      <w:r w:rsidR="005E4AE3" w:rsidRPr="00556831">
        <w:rPr>
          <w:rFonts w:ascii="Arial" w:eastAsia="Times New Roman" w:hAnsi="Arial" w:cs="Arial"/>
          <w:b/>
          <w:bCs/>
          <w:sz w:val="20"/>
          <w:szCs w:val="20"/>
        </w:rPr>
        <w:t xml:space="preserve"> 2017</w:t>
      </w:r>
    </w:p>
    <w:p w14:paraId="1C6106F5" w14:textId="77777777"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r w:rsidRPr="00556831">
        <w:rPr>
          <w:rFonts w:ascii="Arial" w:hAnsi="Arial" w:cs="Arial"/>
          <w:b/>
          <w:sz w:val="20"/>
          <w:szCs w:val="20"/>
        </w:rPr>
        <w:t>Thông tin về quỹ</w:t>
      </w:r>
    </w:p>
    <w:p w14:paraId="51549BA0" w14:textId="77777777" w:rsidR="002D7555" w:rsidRPr="00D12A6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sz w:val="20"/>
          <w:szCs w:val="20"/>
        </w:rPr>
      </w:pPr>
      <w:r w:rsidRPr="00556831">
        <w:rPr>
          <w:rFonts w:ascii="Arial" w:hAnsi="Arial" w:cs="Arial"/>
          <w:sz w:val="20"/>
          <w:szCs w:val="20"/>
        </w:rPr>
        <w:t xml:space="preserve">Tên của quỹ, loại hình quỹ: </w:t>
      </w:r>
      <w:r w:rsidRPr="00D12A61">
        <w:rPr>
          <w:rFonts w:ascii="Arial" w:hAnsi="Arial" w:cs="Arial"/>
          <w:b/>
          <w:sz w:val="20"/>
          <w:szCs w:val="20"/>
        </w:rPr>
        <w:t>QUỸ ĐẦU TƯ TRÁI PHIẾU VIỆT NAM</w:t>
      </w:r>
    </w:p>
    <w:p w14:paraId="35E332ED"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r w:rsidRPr="00556831">
        <w:rPr>
          <w:rFonts w:ascii="Arial" w:hAnsi="Arial" w:cs="Arial"/>
          <w:sz w:val="20"/>
          <w:szCs w:val="20"/>
        </w:rPr>
        <w:t>Mục tiêu đầu tư của quỹ:</w:t>
      </w:r>
    </w:p>
    <w:p w14:paraId="682573DB" w14:textId="77777777" w:rsidR="002D7555" w:rsidRPr="00556831" w:rsidRDefault="002D7555" w:rsidP="00556831">
      <w:pPr>
        <w:pStyle w:val="ListParagraph"/>
        <w:tabs>
          <w:tab w:val="left" w:pos="270"/>
        </w:tabs>
        <w:spacing w:before="120" w:after="120" w:line="240" w:lineRule="auto"/>
        <w:ind w:left="0" w:firstLine="360"/>
        <w:contextualSpacing w:val="0"/>
        <w:jc w:val="both"/>
        <w:rPr>
          <w:rFonts w:ascii="Arial" w:hAnsi="Arial" w:cs="Arial"/>
          <w:sz w:val="20"/>
          <w:szCs w:val="20"/>
        </w:rPr>
      </w:pPr>
      <w:r w:rsidRPr="00556831">
        <w:rPr>
          <w:rFonts w:ascii="Arial" w:eastAsia="Times New Roman" w:hAnsi="Arial" w:cs="Arial"/>
          <w:sz w:val="20"/>
          <w:szCs w:val="20"/>
        </w:rPr>
        <w:t xml:space="preserve">Mục tiêu chính của Quỹ VFMVFB là tìm kiếm lợi nhuận từ việc đầu tư vào các loại chứng khoán nợ (bao gồm, nhưng không giới hạn, trái phiếu chính phủ, trái phiếu được chính phủ bảo lãnh, trái phiếu chính quyền địa phương, trái phiếu của các tổ chức phát hành hoạt động theo pháp luật Việt Nam,), giấy tờ có giá và các công cụ thị trường tiền tệ. </w:t>
      </w:r>
      <w:r w:rsidR="001628FE" w:rsidRPr="00556831">
        <w:rPr>
          <w:rFonts w:ascii="Arial" w:eastAsia="Times New Roman" w:hAnsi="Arial" w:cs="Arial"/>
          <w:sz w:val="20"/>
          <w:szCs w:val="20"/>
        </w:rPr>
        <w:t xml:space="preserve">Công </w:t>
      </w:r>
      <w:r w:rsidRPr="00556831">
        <w:rPr>
          <w:rFonts w:ascii="Arial" w:eastAsia="Times New Roman" w:hAnsi="Arial" w:cs="Arial"/>
          <w:sz w:val="20"/>
          <w:szCs w:val="20"/>
        </w:rPr>
        <w:t>ty quản lý Quỹ VFM thực hiện việc đầu tư của Quỹ bằng các hình thức đầu tư mà pháp luật</w:t>
      </w:r>
      <w:r w:rsidR="001628FE" w:rsidRPr="00556831">
        <w:rPr>
          <w:rFonts w:ascii="Arial" w:eastAsia="Times New Roman" w:hAnsi="Arial" w:cs="Arial"/>
          <w:sz w:val="20"/>
          <w:szCs w:val="20"/>
        </w:rPr>
        <w:t xml:space="preserve"> hiện hành cho phép. Ngoài ra, m</w:t>
      </w:r>
      <w:r w:rsidRPr="00556831">
        <w:rPr>
          <w:rFonts w:ascii="Arial" w:eastAsia="Times New Roman" w:hAnsi="Arial" w:cs="Arial"/>
          <w:sz w:val="20"/>
          <w:szCs w:val="20"/>
        </w:rPr>
        <w:t xml:space="preserve">ục tiêu đầu tư của Quỹ có thể được thay đổi hoàn toàn theo quyết định của Đại hội nhà đầu tư, </w:t>
      </w:r>
      <w:r w:rsidRPr="00556831">
        <w:rPr>
          <w:rFonts w:ascii="Arial" w:hAnsi="Arial" w:cs="Arial"/>
          <w:sz w:val="20"/>
          <w:szCs w:val="20"/>
        </w:rPr>
        <w:t>phù hợp với quy định pháp luật hiện hành và báo cáo với Ủy ban chứng khoán nhà nước.</w:t>
      </w:r>
    </w:p>
    <w:p w14:paraId="7FDA7684"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Thời hạn hoạt động của quỹ: được tính từ ngày được UBCKNN </w:t>
      </w:r>
      <w:r w:rsidR="009C048C" w:rsidRPr="00556831">
        <w:rPr>
          <w:rFonts w:ascii="Arial" w:hAnsi="Arial" w:cs="Arial"/>
          <w:sz w:val="20"/>
          <w:szCs w:val="20"/>
        </w:rPr>
        <w:t>cấp</w:t>
      </w:r>
      <w:r w:rsidRPr="00556831">
        <w:rPr>
          <w:rFonts w:ascii="Arial" w:hAnsi="Arial" w:cs="Arial"/>
          <w:sz w:val="20"/>
          <w:szCs w:val="20"/>
        </w:rPr>
        <w:t xml:space="preserve"> giấy chứng nhận đăng ký lập quỹ, và không giới hạn về thời hạn hoạt động</w:t>
      </w:r>
    </w:p>
    <w:p w14:paraId="7B019D9C"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Danh mục tham chiế</w:t>
      </w:r>
      <w:r w:rsidR="004B3FBF" w:rsidRPr="00556831">
        <w:rPr>
          <w:rFonts w:ascii="Arial" w:hAnsi="Arial" w:cs="Arial"/>
          <w:sz w:val="20"/>
          <w:szCs w:val="20"/>
        </w:rPr>
        <w:t>u (benchmark portfolio): không</w:t>
      </w:r>
      <w:r w:rsidRPr="00556831">
        <w:rPr>
          <w:rFonts w:ascii="Arial" w:hAnsi="Arial" w:cs="Arial"/>
          <w:sz w:val="20"/>
          <w:szCs w:val="20"/>
        </w:rPr>
        <w:t xml:space="preserve"> có  </w:t>
      </w:r>
    </w:p>
    <w:p w14:paraId="08086D06"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Chính sách phân chia lợi nhuậ</w:t>
      </w:r>
      <w:r w:rsidR="00291EEF" w:rsidRPr="00556831">
        <w:rPr>
          <w:rFonts w:ascii="Arial" w:hAnsi="Arial" w:cs="Arial"/>
          <w:sz w:val="20"/>
          <w:szCs w:val="20"/>
        </w:rPr>
        <w:t>n</w:t>
      </w:r>
      <w:r w:rsidRPr="00556831">
        <w:rPr>
          <w:rFonts w:ascii="Arial" w:hAnsi="Arial" w:cs="Arial"/>
          <w:sz w:val="20"/>
          <w:szCs w:val="20"/>
        </w:rPr>
        <w:t>:</w:t>
      </w:r>
      <w:r w:rsidR="00291EEF" w:rsidRPr="00556831">
        <w:rPr>
          <w:rFonts w:ascii="Arial" w:hAnsi="Arial" w:cs="Arial"/>
          <w:sz w:val="20"/>
          <w:szCs w:val="20"/>
        </w:rPr>
        <w:t xml:space="preserve"> 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w:t>
      </w:r>
      <w:r w:rsidR="00AF79B4" w:rsidRPr="00556831">
        <w:rPr>
          <w:rFonts w:ascii="Arial" w:hAnsi="Arial" w:cs="Arial"/>
          <w:sz w:val="20"/>
          <w:szCs w:val="20"/>
        </w:rPr>
        <w:t xml:space="preserve"> Nguồn để phân phối cổ tức Quỹ phải thỏa các điều kiện qui định trong Điều lệ Quỹ.</w:t>
      </w:r>
    </w:p>
    <w:p w14:paraId="464B42B1" w14:textId="77777777" w:rsidR="008A0D39"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Số lượng đơn vị quỹ đang lưu hành</w:t>
      </w:r>
      <w:r w:rsidR="00C83A66">
        <w:rPr>
          <w:rFonts w:ascii="Arial" w:hAnsi="Arial" w:cs="Arial"/>
          <w:sz w:val="20"/>
          <w:szCs w:val="20"/>
        </w:rPr>
        <w:t xml:space="preserve"> </w:t>
      </w:r>
      <w:r w:rsidR="00C83A66" w:rsidRPr="00C83A66">
        <w:rPr>
          <w:rFonts w:ascii="Arial" w:hAnsi="Arial" w:cs="Arial"/>
          <w:b/>
          <w:sz w:val="20"/>
          <w:szCs w:val="20"/>
        </w:rPr>
        <w:t>22,428,956.71</w:t>
      </w:r>
      <w:r w:rsidR="003A3D08" w:rsidRPr="00556831">
        <w:rPr>
          <w:rFonts w:ascii="Arial" w:eastAsia="Times New Roman" w:hAnsi="Arial" w:cs="Arial"/>
          <w:sz w:val="20"/>
          <w:szCs w:val="20"/>
        </w:rPr>
        <w:t xml:space="preserve"> </w:t>
      </w:r>
      <w:r w:rsidRPr="00556831">
        <w:rPr>
          <w:rFonts w:ascii="Arial" w:hAnsi="Arial" w:cs="Arial"/>
          <w:sz w:val="20"/>
          <w:szCs w:val="20"/>
        </w:rPr>
        <w:t>chứng chỉ Quỹ</w:t>
      </w:r>
    </w:p>
    <w:p w14:paraId="504A4D07" w14:textId="77777777" w:rsidR="00E559DB"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Nội dung thay đổi tại Điều lệ Quỹ trong kỳ</w:t>
      </w:r>
      <w:r w:rsidR="00C50E36" w:rsidRPr="00556831">
        <w:rPr>
          <w:rFonts w:ascii="Arial" w:hAnsi="Arial" w:cs="Arial"/>
          <w:sz w:val="20"/>
          <w:szCs w:val="20"/>
        </w:rPr>
        <w:t xml:space="preserve"> báo cáo</w:t>
      </w:r>
      <w:r w:rsidRPr="00556831">
        <w:rPr>
          <w:rFonts w:ascii="Arial" w:hAnsi="Arial" w:cs="Arial"/>
          <w:sz w:val="20"/>
          <w:szCs w:val="20"/>
        </w:rPr>
        <w:t>:</w:t>
      </w:r>
      <w:r w:rsidR="00E559DB" w:rsidRPr="00556831">
        <w:rPr>
          <w:rFonts w:ascii="Arial" w:hAnsi="Arial" w:cs="Arial"/>
          <w:sz w:val="20"/>
          <w:szCs w:val="20"/>
        </w:rPr>
        <w:t xml:space="preserve"> được đề cập trong Nghị quyết Đại hội Nhà đầu tư thường niên năm tài chính 2016 của Quỹ Đầu tư Trái Phiếu Việt Nam thông qua bằng hình thức lấy ý kiến bằng văn bản ngày 31/03/2017 (chi tiết theo file đính kèm).</w:t>
      </w:r>
    </w:p>
    <w:p w14:paraId="4D79DF62" w14:textId="77777777" w:rsidR="00E559DB"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Nội dung Nghị quyết Đại hội nhà đầu tư trong kỳ</w:t>
      </w:r>
      <w:r w:rsidR="00C50E36" w:rsidRPr="00556831">
        <w:rPr>
          <w:rFonts w:ascii="Arial" w:hAnsi="Arial" w:cs="Arial"/>
          <w:sz w:val="20"/>
          <w:szCs w:val="20"/>
        </w:rPr>
        <w:t xml:space="preserve"> báo cáo</w:t>
      </w:r>
      <w:r w:rsidR="004F2321" w:rsidRPr="00556831">
        <w:rPr>
          <w:rFonts w:ascii="Arial" w:hAnsi="Arial" w:cs="Arial"/>
          <w:sz w:val="20"/>
          <w:szCs w:val="20"/>
        </w:rPr>
        <w:t xml:space="preserve">: </w:t>
      </w:r>
      <w:r w:rsidR="00E559DB" w:rsidRPr="00556831">
        <w:rPr>
          <w:rFonts w:ascii="Arial" w:hAnsi="Arial" w:cs="Arial"/>
          <w:sz w:val="20"/>
          <w:szCs w:val="20"/>
        </w:rPr>
        <w:t>Nghị quyết Đại hội Nhà đầu tư thường niên năm tài chính 2016 của Quỹ Đầu tư Trái Phiếu Việt Nam thông qua bằng hình thức lấy ý kiến bằng văn bản ngày 31/03/2017 đã thông qua nội dung kết quả hoạt động của Quỹ năm 2016, ngân sách, kế hoạch hoạt động, những thay đổi về điều lệ quỹ phù hợp với pháp luật</w:t>
      </w:r>
      <w:r w:rsidR="00DB6A61">
        <w:rPr>
          <w:rFonts w:ascii="Arial" w:hAnsi="Arial" w:cs="Arial"/>
          <w:sz w:val="20"/>
          <w:szCs w:val="20"/>
        </w:rPr>
        <w:t xml:space="preserve"> </w:t>
      </w:r>
      <w:r w:rsidR="00E559DB" w:rsidRPr="00556831">
        <w:rPr>
          <w:rFonts w:ascii="Arial" w:hAnsi="Arial" w:cs="Arial"/>
          <w:sz w:val="20"/>
          <w:szCs w:val="20"/>
        </w:rPr>
        <w:t>(chi tiết theo file đính kèm)</w:t>
      </w:r>
      <w:r w:rsidR="00E559DB" w:rsidRPr="00556831">
        <w:rPr>
          <w:rFonts w:ascii="Arial" w:hAnsi="Arial" w:cs="Arial"/>
          <w:color w:val="000000"/>
          <w:sz w:val="20"/>
          <w:szCs w:val="20"/>
        </w:rPr>
        <w:t>.</w:t>
      </w:r>
    </w:p>
    <w:p w14:paraId="577B8446" w14:textId="77777777" w:rsidR="005D0C60" w:rsidRPr="00556831" w:rsidRDefault="00E559DB" w:rsidP="00556831">
      <w:pPr>
        <w:pStyle w:val="ListParagraph"/>
        <w:tabs>
          <w:tab w:val="left" w:pos="270"/>
          <w:tab w:val="left" w:pos="1134"/>
        </w:tabs>
        <w:spacing w:before="120" w:after="120" w:line="240" w:lineRule="auto"/>
        <w:ind w:left="0"/>
        <w:contextualSpacing w:val="0"/>
        <w:jc w:val="both"/>
        <w:rPr>
          <w:rFonts w:ascii="Arial" w:hAnsi="Arial" w:cs="Arial"/>
          <w:sz w:val="20"/>
          <w:szCs w:val="20"/>
        </w:rPr>
      </w:pPr>
      <w:r w:rsidRPr="00556831">
        <w:rPr>
          <w:rFonts w:ascii="Arial" w:hAnsi="Arial" w:cs="Arial"/>
          <w:sz w:val="20"/>
          <w:szCs w:val="20"/>
        </w:rPr>
        <w:object w:dxaOrig="1524" w:dyaOrig="985" w14:anchorId="5F0B2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AcroExch.Document.DC" ShapeID="_x0000_i1025" DrawAspect="Icon" ObjectID="_1583067526" r:id="rId9"/>
        </w:object>
      </w:r>
    </w:p>
    <w:p w14:paraId="48103745" w14:textId="6DCEC114" w:rsidR="003B7BE8" w:rsidRPr="003B7BE8" w:rsidRDefault="00E81C04" w:rsidP="003B7BE8">
      <w:pPr>
        <w:tabs>
          <w:tab w:val="left" w:pos="270"/>
          <w:tab w:val="left" w:pos="1134"/>
        </w:tabs>
        <w:spacing w:beforeLines="120" w:before="288" w:afterLines="120" w:after="288"/>
        <w:rPr>
          <w:rFonts w:ascii="Arial" w:hAnsi="Arial" w:cs="Arial"/>
          <w:b/>
          <w:sz w:val="20"/>
          <w:szCs w:val="20"/>
        </w:rPr>
      </w:pPr>
      <w:r w:rsidRPr="003B7BE8">
        <w:rPr>
          <w:rFonts w:ascii="Arial" w:hAnsi="Arial" w:cs="Arial"/>
          <w:b/>
          <w:sz w:val="20"/>
          <w:szCs w:val="20"/>
        </w:rPr>
        <w:t>i)</w:t>
      </w:r>
      <w:r w:rsidR="00C033C8" w:rsidRPr="003B7BE8">
        <w:rPr>
          <w:rFonts w:ascii="Arial" w:hAnsi="Arial" w:cs="Arial"/>
          <w:b/>
          <w:sz w:val="20"/>
          <w:szCs w:val="20"/>
        </w:rPr>
        <w:t>Ý kiến nhận xét của NHGS về các nội dung quy định tại Điều 45, TT183:</w:t>
      </w:r>
      <w:r w:rsidR="003B7BE8">
        <w:rPr>
          <w:rFonts w:ascii="Arial" w:hAnsi="Arial" w:cs="Arial"/>
          <w:b/>
          <w:sz w:val="20"/>
          <w:szCs w:val="20"/>
        </w:rPr>
        <w:t xml:space="preserve"> </w:t>
      </w:r>
      <w:r w:rsidR="003B7BE8" w:rsidRPr="003B7BE8">
        <w:rPr>
          <w:lang w:val="nl-NL"/>
        </w:rPr>
        <w:t>Ngân hàng giám sát đưa ra ý kiến về sự tuân thủ quy định pháp luật, quy định tại điều lệ quỹ, bản cáo bạch của công ty quản lý quỹ trong quá trình vận hành và quản lý quỹ đối với các nội dung sau:</w:t>
      </w:r>
      <w:r w:rsidR="003B7BE8">
        <w:rPr>
          <w:rFonts w:ascii="Arial" w:hAnsi="Arial" w:cs="Arial"/>
          <w:b/>
          <w:sz w:val="20"/>
          <w:szCs w:val="20"/>
        </w:rPr>
        <w:t xml:space="preserve"> </w:t>
      </w:r>
      <w:r w:rsidR="003B7BE8" w:rsidRPr="003B7BE8">
        <w:rPr>
          <w:rFonts w:ascii="Times New Roman" w:hAnsi="Times New Roman"/>
          <w:lang w:val="vi-VN"/>
        </w:rPr>
        <w:t>Căn cứ vào thư xác nhận của Công ty quản lý quỹ từ ngày 01 tháng 01 năm 2017 đến ngày 31 tháng 12 năm 2017, Công ty quản lý quỹ đã  áp ứng đúng các quy định tại điều 45 Thông tư 183/2011/TT-BTC về hướng dẫn thành lập và quản lý quỹ mở về Chế độ báo cáo, lưu trữ hồ sơ, quản lý thông tin.</w:t>
      </w:r>
    </w:p>
    <w:p w14:paraId="45D92884" w14:textId="01F096D9" w:rsidR="00091432" w:rsidRPr="003B7BE8" w:rsidRDefault="00091432" w:rsidP="003B7BE8">
      <w:pPr>
        <w:pStyle w:val="ListParagraph"/>
        <w:numPr>
          <w:ilvl w:val="0"/>
          <w:numId w:val="25"/>
        </w:numPr>
        <w:tabs>
          <w:tab w:val="left" w:pos="270"/>
          <w:tab w:val="left" w:pos="1134"/>
        </w:tabs>
        <w:spacing w:beforeLines="120" w:before="288" w:afterLines="120" w:after="288"/>
        <w:rPr>
          <w:rFonts w:ascii="Arial" w:hAnsi="Arial" w:cs="Arial"/>
          <w:b/>
          <w:sz w:val="20"/>
          <w:szCs w:val="20"/>
        </w:rPr>
      </w:pPr>
      <w:r w:rsidRPr="003B7BE8">
        <w:rPr>
          <w:rFonts w:ascii="Arial" w:hAnsi="Arial" w:cs="Arial"/>
          <w:b/>
          <w:sz w:val="20"/>
          <w:szCs w:val="20"/>
        </w:rPr>
        <w:t>Báo cáo về kết quả hoạt động của quỹ</w:t>
      </w:r>
    </w:p>
    <w:p w14:paraId="36F41BB5" w14:textId="77777777"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T</w:t>
      </w:r>
      <w:r w:rsidR="00091432" w:rsidRPr="00556831">
        <w:rPr>
          <w:rFonts w:ascii="Arial" w:hAnsi="Arial" w:cs="Arial"/>
          <w:sz w:val="20"/>
          <w:szCs w:val="20"/>
        </w:rPr>
        <w:t>hông tin về danh mục đầu tư và giá trị tài sản ròng của quỹ tại thời điểm 3</w:t>
      </w:r>
      <w:r w:rsidR="00C83A66">
        <w:rPr>
          <w:rFonts w:ascii="Arial" w:hAnsi="Arial" w:cs="Arial"/>
          <w:sz w:val="20"/>
          <w:szCs w:val="20"/>
        </w:rPr>
        <w:t>1</w:t>
      </w:r>
      <w:r w:rsidR="00091432" w:rsidRPr="00556831">
        <w:rPr>
          <w:rFonts w:ascii="Arial" w:hAnsi="Arial" w:cs="Arial"/>
          <w:sz w:val="20"/>
          <w:szCs w:val="20"/>
        </w:rPr>
        <w:t>/</w:t>
      </w:r>
      <w:r w:rsidR="00C83A66">
        <w:rPr>
          <w:rFonts w:ascii="Arial" w:hAnsi="Arial" w:cs="Arial"/>
          <w:sz w:val="20"/>
          <w:szCs w:val="20"/>
        </w:rPr>
        <w:t>12</w:t>
      </w:r>
      <w:r w:rsidR="00091432" w:rsidRPr="00556831">
        <w:rPr>
          <w:rFonts w:ascii="Arial" w:hAnsi="Arial" w:cs="Arial"/>
          <w:sz w:val="20"/>
          <w:szCs w:val="20"/>
        </w:rPr>
        <w:t xml:space="preserve"> của 3 năm gần nhấ</w:t>
      </w:r>
      <w:r w:rsidR="008111AC" w:rsidRPr="00556831">
        <w:rPr>
          <w:rFonts w:ascii="Arial" w:hAnsi="Arial" w:cs="Arial"/>
          <w:sz w:val="20"/>
          <w:szCs w:val="20"/>
        </w:rPr>
        <w:t>t</w:t>
      </w:r>
      <w:r w:rsidR="00091432" w:rsidRPr="00556831">
        <w:rPr>
          <w:rFonts w:ascii="Arial" w:hAnsi="Arial" w:cs="Arial"/>
          <w:sz w:val="20"/>
          <w:szCs w:val="20"/>
        </w:rPr>
        <w:t xml:space="preserve">: </w:t>
      </w:r>
    </w:p>
    <w:p w14:paraId="4DD7BABB" w14:textId="77777777" w:rsidR="00C03D83" w:rsidRPr="00556831"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r w:rsidRPr="00556831">
        <w:rPr>
          <w:rFonts w:ascii="Arial" w:hAnsi="Arial" w:cs="Arial"/>
          <w:sz w:val="20"/>
          <w:szCs w:val="20"/>
        </w:rPr>
        <w:t>Danh mục đầu tư của quỹ phân bố theo ngành, lĩnh vực và loại sản phẩm (cổ phiếu, trái phiếu…)</w:t>
      </w:r>
      <w:r w:rsidR="007A2A55" w:rsidRPr="00556831">
        <w:rPr>
          <w:rFonts w:ascii="Arial" w:hAnsi="Arial" w:cs="Arial"/>
          <w:sz w:val="20"/>
          <w:szCs w:val="20"/>
        </w:rPr>
        <w:t xml:space="preserve"> tại ngày </w:t>
      </w:r>
      <w:r w:rsidR="00C83A66">
        <w:rPr>
          <w:rFonts w:ascii="Arial" w:hAnsi="Arial" w:cs="Arial"/>
          <w:sz w:val="20"/>
          <w:szCs w:val="20"/>
        </w:rPr>
        <w:t>31/12</w:t>
      </w:r>
      <w:r w:rsidR="005E4AE3" w:rsidRPr="00556831">
        <w:rPr>
          <w:rFonts w:ascii="Arial" w:hAnsi="Arial" w:cs="Arial"/>
          <w:sz w:val="20"/>
          <w:szCs w:val="20"/>
        </w:rPr>
        <w:t>/2017</w:t>
      </w:r>
      <w:r w:rsidR="007A2A55" w:rsidRPr="00556831">
        <w:rPr>
          <w:rFonts w:ascii="Arial" w:hAnsi="Arial" w:cs="Arial"/>
          <w:sz w:val="20"/>
          <w:szCs w:val="20"/>
        </w:rPr>
        <w:t xml:space="preserve"> gồm</w:t>
      </w:r>
      <w:r w:rsidR="002F03A9" w:rsidRPr="00556831">
        <w:rPr>
          <w:rFonts w:ascii="Arial" w:hAnsi="Arial" w:cs="Arial"/>
          <w:sz w:val="20"/>
          <w:szCs w:val="20"/>
        </w:rPr>
        <w:t xml:space="preserve">: </w:t>
      </w:r>
    </w:p>
    <w:p w14:paraId="682378D0" w14:textId="77777777" w:rsidR="0054640D" w:rsidRDefault="0054640D" w:rsidP="00556831">
      <w:pPr>
        <w:tabs>
          <w:tab w:val="left" w:pos="270"/>
          <w:tab w:val="left" w:pos="1134"/>
        </w:tabs>
        <w:spacing w:before="120" w:after="120" w:line="240" w:lineRule="auto"/>
        <w:jc w:val="both"/>
        <w:rPr>
          <w:rFonts w:ascii="Arial" w:hAnsi="Arial" w:cs="Arial"/>
          <w:b/>
          <w:sz w:val="20"/>
          <w:szCs w:val="20"/>
        </w:rPr>
      </w:pPr>
    </w:p>
    <w:p w14:paraId="02D9F00A" w14:textId="77777777"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8240" w:type="dxa"/>
        <w:tblInd w:w="-5" w:type="dxa"/>
        <w:tblLook w:val="04A0" w:firstRow="1" w:lastRow="0" w:firstColumn="1" w:lastColumn="0" w:noHBand="0" w:noVBand="1"/>
      </w:tblPr>
      <w:tblGrid>
        <w:gridCol w:w="594"/>
        <w:gridCol w:w="2440"/>
        <w:gridCol w:w="1718"/>
        <w:gridCol w:w="1868"/>
        <w:gridCol w:w="1746"/>
      </w:tblGrid>
      <w:tr w:rsidR="007546B5" w:rsidRPr="0054640D" w14:paraId="7F09505A" w14:textId="77777777" w:rsidTr="007546B5">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DDA5984" w14:textId="77777777"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lastRenderedPageBreak/>
              <w:t>STT</w:t>
            </w:r>
          </w:p>
        </w:tc>
        <w:tc>
          <w:tcPr>
            <w:tcW w:w="2440" w:type="dxa"/>
            <w:tcBorders>
              <w:top w:val="single" w:sz="4" w:space="0" w:color="auto"/>
              <w:left w:val="nil"/>
              <w:bottom w:val="single" w:sz="4" w:space="0" w:color="auto"/>
              <w:right w:val="single" w:sz="4" w:space="0" w:color="auto"/>
            </w:tcBorders>
            <w:shd w:val="clear" w:color="000000" w:fill="FFC000"/>
            <w:noWrap/>
            <w:vAlign w:val="center"/>
            <w:hideMark/>
          </w:tcPr>
          <w:p w14:paraId="3CA90B66" w14:textId="77777777"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1820" w:type="dxa"/>
            <w:tcBorders>
              <w:top w:val="single" w:sz="4" w:space="0" w:color="auto"/>
              <w:left w:val="nil"/>
              <w:bottom w:val="single" w:sz="4" w:space="0" w:color="auto"/>
              <w:right w:val="single" w:sz="4" w:space="0" w:color="auto"/>
            </w:tcBorders>
            <w:shd w:val="clear" w:color="000000" w:fill="FFC000"/>
            <w:vAlign w:val="center"/>
            <w:hideMark/>
          </w:tcPr>
          <w:p w14:paraId="3C272EEF" w14:textId="77777777" w:rsidR="007546B5" w:rsidRPr="00556831" w:rsidRDefault="00C83A66" w:rsidP="00556831">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31/12/2017</w:t>
            </w:r>
          </w:p>
        </w:tc>
        <w:tc>
          <w:tcPr>
            <w:tcW w:w="1780" w:type="dxa"/>
            <w:tcBorders>
              <w:top w:val="single" w:sz="4" w:space="0" w:color="auto"/>
              <w:left w:val="nil"/>
              <w:bottom w:val="single" w:sz="4" w:space="0" w:color="auto"/>
              <w:right w:val="single" w:sz="4" w:space="0" w:color="auto"/>
            </w:tcBorders>
            <w:shd w:val="clear" w:color="000000" w:fill="FFC000"/>
            <w:noWrap/>
            <w:vAlign w:val="center"/>
            <w:hideMark/>
          </w:tcPr>
          <w:p w14:paraId="4640495C" w14:textId="77777777" w:rsidR="007546B5" w:rsidRPr="00556831" w:rsidRDefault="00C83A66" w:rsidP="00556831">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31/12/2016</w:t>
            </w:r>
          </w:p>
        </w:tc>
        <w:tc>
          <w:tcPr>
            <w:tcW w:w="1640" w:type="dxa"/>
            <w:tcBorders>
              <w:top w:val="single" w:sz="4" w:space="0" w:color="auto"/>
              <w:left w:val="nil"/>
              <w:bottom w:val="single" w:sz="4" w:space="0" w:color="auto"/>
              <w:right w:val="single" w:sz="4" w:space="0" w:color="auto"/>
            </w:tcBorders>
            <w:shd w:val="clear" w:color="000000" w:fill="FFC000"/>
            <w:noWrap/>
            <w:vAlign w:val="center"/>
            <w:hideMark/>
          </w:tcPr>
          <w:p w14:paraId="2B4B33A7" w14:textId="77777777" w:rsidR="007546B5" w:rsidRPr="00556831" w:rsidRDefault="00C83A66" w:rsidP="00556831">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31/12/2015</w:t>
            </w:r>
          </w:p>
        </w:tc>
      </w:tr>
      <w:tr w:rsidR="007546B5" w:rsidRPr="0054640D" w14:paraId="6E27127A" w14:textId="77777777" w:rsidTr="00DF316D">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5C7FDD" w14:textId="77777777" w:rsidR="007546B5" w:rsidRPr="00556831" w:rsidRDefault="00E81C04"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A1FBCE"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1820" w:type="dxa"/>
            <w:vMerge w:val="restart"/>
            <w:tcBorders>
              <w:top w:val="nil"/>
              <w:left w:val="single" w:sz="4" w:space="0" w:color="auto"/>
              <w:bottom w:val="single" w:sz="4" w:space="0" w:color="auto"/>
              <w:right w:val="single" w:sz="4" w:space="0" w:color="auto"/>
            </w:tcBorders>
            <w:shd w:val="clear" w:color="auto" w:fill="auto"/>
            <w:vAlign w:val="bottom"/>
            <w:hideMark/>
          </w:tcPr>
          <w:p w14:paraId="1745E25C" w14:textId="77777777" w:rsidR="00892618" w:rsidRPr="00556831" w:rsidRDefault="00892618" w:rsidP="00556831">
            <w:pPr>
              <w:spacing w:after="0" w:line="240" w:lineRule="auto"/>
              <w:jc w:val="both"/>
              <w:rPr>
                <w:rFonts w:ascii="Arial" w:hAnsi="Arial" w:cs="Arial"/>
                <w:sz w:val="20"/>
                <w:szCs w:val="20"/>
              </w:rPr>
            </w:pPr>
          </w:p>
          <w:p w14:paraId="6F0992B3"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hAnsi="Arial" w:cs="Arial"/>
                <w:sz w:val="20"/>
                <w:szCs w:val="20"/>
              </w:rPr>
              <w:t>222,077,500,000</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bottom"/>
          </w:tcPr>
          <w:p w14:paraId="5D4DCE78" w14:textId="77777777" w:rsidR="007546B5" w:rsidRPr="00556831" w:rsidRDefault="00DF316D" w:rsidP="00D12A61">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CF6ABBC" w14:textId="77777777" w:rsidR="007546B5" w:rsidRPr="00556831" w:rsidRDefault="00DF316D" w:rsidP="00556831">
            <w:pPr>
              <w:spacing w:after="0" w:line="240" w:lineRule="auto"/>
              <w:jc w:val="both"/>
              <w:rPr>
                <w:rFonts w:ascii="Arial" w:eastAsia="Times New Roman" w:hAnsi="Arial" w:cs="Arial"/>
                <w:color w:val="000000"/>
                <w:sz w:val="20"/>
                <w:szCs w:val="20"/>
              </w:rPr>
            </w:pPr>
            <w:r w:rsidRPr="00240993">
              <w:rPr>
                <w:rFonts w:ascii="Arial" w:eastAsia="Times New Roman" w:hAnsi="Arial" w:cs="Arial"/>
                <w:color w:val="000000"/>
                <w:lang w:eastAsia="vi-VN"/>
              </w:rPr>
              <w:t>51,140,000,000</w:t>
            </w:r>
          </w:p>
        </w:tc>
      </w:tr>
      <w:tr w:rsidR="007546B5" w:rsidRPr="0054640D" w14:paraId="3DBF59C7" w14:textId="77777777" w:rsidTr="00556831">
        <w:trPr>
          <w:trHeight w:val="269"/>
        </w:trPr>
        <w:tc>
          <w:tcPr>
            <w:tcW w:w="560" w:type="dxa"/>
            <w:vMerge/>
            <w:tcBorders>
              <w:top w:val="nil"/>
              <w:left w:val="single" w:sz="4" w:space="0" w:color="auto"/>
              <w:bottom w:val="single" w:sz="4" w:space="0" w:color="auto"/>
              <w:right w:val="single" w:sz="4" w:space="0" w:color="auto"/>
            </w:tcBorders>
            <w:vAlign w:val="center"/>
            <w:hideMark/>
          </w:tcPr>
          <w:p w14:paraId="6BFCC196" w14:textId="77777777" w:rsidR="007546B5" w:rsidRPr="00556831" w:rsidRDefault="007546B5" w:rsidP="00556831">
            <w:pPr>
              <w:spacing w:after="0" w:line="240" w:lineRule="auto"/>
              <w:jc w:val="center"/>
              <w:rPr>
                <w:rFonts w:ascii="Arial" w:eastAsia="Times New Roman" w:hAnsi="Arial" w:cs="Arial"/>
                <w:color w:val="000000"/>
                <w:sz w:val="20"/>
                <w:szCs w:val="20"/>
              </w:rPr>
            </w:pPr>
          </w:p>
        </w:tc>
        <w:tc>
          <w:tcPr>
            <w:tcW w:w="2440" w:type="dxa"/>
            <w:vMerge/>
            <w:tcBorders>
              <w:top w:val="nil"/>
              <w:left w:val="single" w:sz="4" w:space="0" w:color="auto"/>
              <w:bottom w:val="single" w:sz="4" w:space="0" w:color="auto"/>
              <w:right w:val="single" w:sz="4" w:space="0" w:color="auto"/>
            </w:tcBorders>
            <w:vAlign w:val="center"/>
            <w:hideMark/>
          </w:tcPr>
          <w:p w14:paraId="5A9B8DA7" w14:textId="77777777" w:rsidR="007546B5" w:rsidRPr="00556831" w:rsidRDefault="007546B5" w:rsidP="00556831">
            <w:pPr>
              <w:spacing w:after="0" w:line="240" w:lineRule="auto"/>
              <w:jc w:val="both"/>
              <w:rPr>
                <w:rFonts w:ascii="Arial" w:eastAsia="Times New Roman" w:hAnsi="Arial" w:cs="Arial"/>
                <w:color w:val="000000"/>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14:paraId="1C962ABE" w14:textId="77777777" w:rsidR="007546B5" w:rsidRPr="00556831" w:rsidRDefault="007546B5" w:rsidP="00556831">
            <w:pPr>
              <w:spacing w:after="0" w:line="240" w:lineRule="auto"/>
              <w:jc w:val="both"/>
              <w:rPr>
                <w:rFonts w:ascii="Arial" w:eastAsia="Times New Roman" w:hAnsi="Arial" w:cs="Arial"/>
                <w:color w:val="000000"/>
                <w:sz w:val="20"/>
                <w:szCs w:val="20"/>
              </w:rPr>
            </w:pPr>
          </w:p>
        </w:tc>
        <w:tc>
          <w:tcPr>
            <w:tcW w:w="1780" w:type="dxa"/>
            <w:vMerge/>
            <w:tcBorders>
              <w:top w:val="nil"/>
              <w:left w:val="single" w:sz="4" w:space="0" w:color="auto"/>
              <w:bottom w:val="single" w:sz="4" w:space="0" w:color="000000"/>
              <w:right w:val="single" w:sz="4" w:space="0" w:color="auto"/>
            </w:tcBorders>
            <w:vAlign w:val="center"/>
            <w:hideMark/>
          </w:tcPr>
          <w:p w14:paraId="47F28427" w14:textId="77777777" w:rsidR="007546B5" w:rsidRPr="00556831" w:rsidRDefault="007546B5" w:rsidP="00556831">
            <w:pPr>
              <w:spacing w:after="0" w:line="240" w:lineRule="auto"/>
              <w:jc w:val="both"/>
              <w:rPr>
                <w:rFonts w:ascii="Arial" w:eastAsia="Times New Roman" w:hAnsi="Arial" w:cs="Arial"/>
                <w:color w:val="000000"/>
                <w:sz w:val="20"/>
                <w:szCs w:val="20"/>
              </w:rPr>
            </w:pPr>
          </w:p>
        </w:tc>
        <w:tc>
          <w:tcPr>
            <w:tcW w:w="1640" w:type="dxa"/>
            <w:vMerge/>
            <w:tcBorders>
              <w:top w:val="nil"/>
              <w:left w:val="single" w:sz="4" w:space="0" w:color="auto"/>
              <w:bottom w:val="single" w:sz="4" w:space="0" w:color="000000"/>
              <w:right w:val="single" w:sz="4" w:space="0" w:color="auto"/>
            </w:tcBorders>
            <w:vAlign w:val="center"/>
            <w:hideMark/>
          </w:tcPr>
          <w:p w14:paraId="3DC4B0CC" w14:textId="77777777" w:rsidR="007546B5" w:rsidRPr="00556831" w:rsidRDefault="007546B5" w:rsidP="00556831">
            <w:pPr>
              <w:spacing w:after="0" w:line="240" w:lineRule="auto"/>
              <w:jc w:val="both"/>
              <w:rPr>
                <w:rFonts w:ascii="Arial" w:eastAsia="Times New Roman" w:hAnsi="Arial" w:cs="Arial"/>
                <w:color w:val="000000"/>
                <w:sz w:val="20"/>
                <w:szCs w:val="20"/>
              </w:rPr>
            </w:pPr>
          </w:p>
        </w:tc>
      </w:tr>
      <w:tr w:rsidR="007546B5" w:rsidRPr="0054640D" w14:paraId="14641864"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0E3EEB2" w14:textId="77777777"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2440" w:type="dxa"/>
            <w:tcBorders>
              <w:top w:val="nil"/>
              <w:left w:val="nil"/>
              <w:bottom w:val="single" w:sz="4" w:space="0" w:color="auto"/>
              <w:right w:val="single" w:sz="4" w:space="0" w:color="auto"/>
            </w:tcBorders>
            <w:shd w:val="clear" w:color="auto" w:fill="auto"/>
            <w:noWrap/>
            <w:vAlign w:val="center"/>
            <w:hideMark/>
          </w:tcPr>
          <w:p w14:paraId="734926D6"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Chứng chỉ tiền gửi</w:t>
            </w:r>
          </w:p>
        </w:tc>
        <w:tc>
          <w:tcPr>
            <w:tcW w:w="1820" w:type="dxa"/>
            <w:tcBorders>
              <w:top w:val="nil"/>
              <w:left w:val="nil"/>
              <w:bottom w:val="single" w:sz="4" w:space="0" w:color="auto"/>
              <w:right w:val="single" w:sz="4" w:space="0" w:color="auto"/>
            </w:tcBorders>
            <w:shd w:val="clear" w:color="auto" w:fill="auto"/>
            <w:vAlign w:val="center"/>
            <w:hideMark/>
          </w:tcPr>
          <w:p w14:paraId="5863C977"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hAnsi="Arial" w:cs="Arial"/>
                <w:sz w:val="20"/>
                <w:szCs w:val="20"/>
              </w:rPr>
              <w:t>119,463,571,258</w:t>
            </w:r>
            <w:r w:rsidR="004B03CC" w:rsidRPr="00556831">
              <w:rPr>
                <w:rFonts w:ascii="Arial" w:hAnsi="Arial" w:cs="Arial"/>
                <w:sz w:val="20"/>
                <w:szCs w:val="20"/>
              </w:rPr>
              <w:t xml:space="preserve"> </w:t>
            </w:r>
          </w:p>
        </w:tc>
        <w:tc>
          <w:tcPr>
            <w:tcW w:w="1780" w:type="dxa"/>
            <w:tcBorders>
              <w:top w:val="nil"/>
              <w:left w:val="nil"/>
              <w:bottom w:val="single" w:sz="4" w:space="0" w:color="auto"/>
              <w:right w:val="single" w:sz="4" w:space="0" w:color="auto"/>
            </w:tcBorders>
            <w:shd w:val="clear" w:color="auto" w:fill="auto"/>
            <w:noWrap/>
            <w:vAlign w:val="center"/>
            <w:hideMark/>
          </w:tcPr>
          <w:p w14:paraId="0734BF76"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26</w:t>
            </w:r>
            <w:r w:rsidR="005E4AE3" w:rsidRPr="00556831">
              <w:rPr>
                <w:rFonts w:ascii="Arial" w:eastAsia="Times New Roman" w:hAnsi="Arial" w:cs="Arial"/>
                <w:color w:val="000000"/>
                <w:sz w:val="20"/>
                <w:szCs w:val="20"/>
              </w:rPr>
              <w:t>,000,000,000</w:t>
            </w:r>
          </w:p>
        </w:tc>
        <w:tc>
          <w:tcPr>
            <w:tcW w:w="1640" w:type="dxa"/>
            <w:tcBorders>
              <w:top w:val="nil"/>
              <w:left w:val="nil"/>
              <w:bottom w:val="single" w:sz="4" w:space="0" w:color="auto"/>
              <w:right w:val="single" w:sz="4" w:space="0" w:color="auto"/>
            </w:tcBorders>
            <w:shd w:val="clear" w:color="auto" w:fill="auto"/>
            <w:noWrap/>
            <w:vAlign w:val="bottom"/>
            <w:hideMark/>
          </w:tcPr>
          <w:p w14:paraId="0DA1D48F" w14:textId="77777777" w:rsidR="007546B5" w:rsidRPr="00556831" w:rsidRDefault="00DF316D" w:rsidP="00556831">
            <w:pPr>
              <w:spacing w:after="0" w:line="240" w:lineRule="auto"/>
              <w:jc w:val="both"/>
              <w:rPr>
                <w:rFonts w:ascii="Arial" w:eastAsia="Times New Roman" w:hAnsi="Arial" w:cs="Arial"/>
                <w:color w:val="000000"/>
                <w:sz w:val="20"/>
                <w:szCs w:val="20"/>
              </w:rPr>
            </w:pPr>
            <w:r w:rsidRPr="00240993">
              <w:rPr>
                <w:rFonts w:ascii="Arial" w:eastAsia="Times New Roman" w:hAnsi="Arial" w:cs="Arial"/>
                <w:color w:val="000000"/>
                <w:lang w:eastAsia="vi-VN"/>
              </w:rPr>
              <w:t>32,000,000,000</w:t>
            </w:r>
          </w:p>
        </w:tc>
      </w:tr>
      <w:tr w:rsidR="007546B5" w:rsidRPr="0054640D" w14:paraId="2D89A504"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F086EC5" w14:textId="77777777"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2440" w:type="dxa"/>
            <w:tcBorders>
              <w:top w:val="nil"/>
              <w:left w:val="nil"/>
              <w:bottom w:val="single" w:sz="4" w:space="0" w:color="auto"/>
              <w:right w:val="single" w:sz="4" w:space="0" w:color="auto"/>
            </w:tcBorders>
            <w:shd w:val="clear" w:color="auto" w:fill="auto"/>
            <w:noWrap/>
            <w:vAlign w:val="center"/>
            <w:hideMark/>
          </w:tcPr>
          <w:p w14:paraId="618E6F7B"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Tiền gửi ngân hàng</w:t>
            </w:r>
          </w:p>
        </w:tc>
        <w:tc>
          <w:tcPr>
            <w:tcW w:w="1820" w:type="dxa"/>
            <w:tcBorders>
              <w:top w:val="nil"/>
              <w:left w:val="nil"/>
              <w:bottom w:val="single" w:sz="4" w:space="0" w:color="auto"/>
              <w:right w:val="single" w:sz="4" w:space="0" w:color="auto"/>
            </w:tcBorders>
            <w:shd w:val="clear" w:color="auto" w:fill="auto"/>
            <w:vAlign w:val="center"/>
            <w:hideMark/>
          </w:tcPr>
          <w:p w14:paraId="30579B73"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hAnsi="Arial" w:cs="Arial"/>
                <w:sz w:val="20"/>
                <w:szCs w:val="20"/>
              </w:rPr>
              <w:t>19,219,316,500</w:t>
            </w:r>
          </w:p>
        </w:tc>
        <w:tc>
          <w:tcPr>
            <w:tcW w:w="1780" w:type="dxa"/>
            <w:tcBorders>
              <w:top w:val="nil"/>
              <w:left w:val="nil"/>
              <w:bottom w:val="single" w:sz="4" w:space="0" w:color="auto"/>
              <w:right w:val="single" w:sz="4" w:space="0" w:color="auto"/>
            </w:tcBorders>
            <w:shd w:val="clear" w:color="auto" w:fill="auto"/>
            <w:noWrap/>
            <w:vAlign w:val="center"/>
            <w:hideMark/>
          </w:tcPr>
          <w:p w14:paraId="2BF3557B"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eastAsia="Times New Roman" w:hAnsi="Arial" w:cs="Arial"/>
                <w:color w:val="000000"/>
              </w:rPr>
              <w:t>75,523,833,444</w:t>
            </w:r>
          </w:p>
        </w:tc>
        <w:tc>
          <w:tcPr>
            <w:tcW w:w="1640" w:type="dxa"/>
            <w:tcBorders>
              <w:top w:val="nil"/>
              <w:left w:val="nil"/>
              <w:bottom w:val="single" w:sz="4" w:space="0" w:color="auto"/>
              <w:right w:val="single" w:sz="4" w:space="0" w:color="auto"/>
            </w:tcBorders>
            <w:shd w:val="clear" w:color="auto" w:fill="auto"/>
            <w:noWrap/>
            <w:vAlign w:val="bottom"/>
            <w:hideMark/>
          </w:tcPr>
          <w:p w14:paraId="31232D32" w14:textId="77777777" w:rsidR="007546B5" w:rsidRPr="00556831" w:rsidRDefault="00DF316D" w:rsidP="00556831">
            <w:pPr>
              <w:spacing w:after="0" w:line="240" w:lineRule="auto"/>
              <w:jc w:val="both"/>
              <w:rPr>
                <w:rFonts w:ascii="Arial" w:eastAsia="Times New Roman" w:hAnsi="Arial" w:cs="Arial"/>
                <w:color w:val="000000"/>
                <w:sz w:val="20"/>
                <w:szCs w:val="20"/>
              </w:rPr>
            </w:pPr>
            <w:r w:rsidRPr="00240993">
              <w:rPr>
                <w:rFonts w:ascii="Arial" w:eastAsia="Times New Roman" w:hAnsi="Arial" w:cs="Arial"/>
                <w:color w:val="000000"/>
                <w:lang w:val="vi-VN" w:eastAsia="vi-VN"/>
              </w:rPr>
              <w:t>8,749,866,110</w:t>
            </w:r>
          </w:p>
        </w:tc>
      </w:tr>
      <w:tr w:rsidR="007546B5" w:rsidRPr="0054640D" w14:paraId="52A308A1"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48C59BB" w14:textId="77777777"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2440" w:type="dxa"/>
            <w:tcBorders>
              <w:top w:val="nil"/>
              <w:left w:val="nil"/>
              <w:bottom w:val="single" w:sz="4" w:space="0" w:color="auto"/>
              <w:right w:val="single" w:sz="4" w:space="0" w:color="auto"/>
            </w:tcBorders>
            <w:shd w:val="clear" w:color="auto" w:fill="auto"/>
            <w:noWrap/>
            <w:vAlign w:val="center"/>
            <w:hideMark/>
          </w:tcPr>
          <w:p w14:paraId="675B1527"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Tài sản khác</w:t>
            </w:r>
          </w:p>
        </w:tc>
        <w:tc>
          <w:tcPr>
            <w:tcW w:w="1820" w:type="dxa"/>
            <w:tcBorders>
              <w:top w:val="nil"/>
              <w:left w:val="nil"/>
              <w:bottom w:val="single" w:sz="4" w:space="0" w:color="auto"/>
              <w:right w:val="single" w:sz="4" w:space="0" w:color="auto"/>
            </w:tcBorders>
            <w:shd w:val="clear" w:color="auto" w:fill="auto"/>
            <w:vAlign w:val="center"/>
            <w:hideMark/>
          </w:tcPr>
          <w:p w14:paraId="2C47582E"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hAnsi="Arial" w:cs="Arial"/>
                <w:sz w:val="20"/>
                <w:szCs w:val="20"/>
              </w:rPr>
              <w:t>15,277,693,492</w:t>
            </w:r>
          </w:p>
        </w:tc>
        <w:tc>
          <w:tcPr>
            <w:tcW w:w="1780" w:type="dxa"/>
            <w:tcBorders>
              <w:top w:val="nil"/>
              <w:left w:val="nil"/>
              <w:bottom w:val="single" w:sz="4" w:space="0" w:color="auto"/>
              <w:right w:val="single" w:sz="4" w:space="0" w:color="auto"/>
            </w:tcBorders>
            <w:shd w:val="clear" w:color="auto" w:fill="auto"/>
            <w:noWrap/>
            <w:vAlign w:val="center"/>
            <w:hideMark/>
          </w:tcPr>
          <w:p w14:paraId="480E9C7A" w14:textId="77777777" w:rsidR="007546B5" w:rsidRPr="00556831" w:rsidRDefault="00DF316D" w:rsidP="00556831">
            <w:pPr>
              <w:spacing w:after="0" w:line="240" w:lineRule="auto"/>
              <w:jc w:val="both"/>
              <w:rPr>
                <w:rFonts w:ascii="Arial" w:eastAsia="Times New Roman" w:hAnsi="Arial" w:cs="Arial"/>
                <w:color w:val="000000"/>
                <w:sz w:val="20"/>
                <w:szCs w:val="20"/>
              </w:rPr>
            </w:pPr>
            <w:r>
              <w:rPr>
                <w:rFonts w:ascii="Arial" w:eastAsia="Times New Roman" w:hAnsi="Arial" w:cs="Arial"/>
                <w:color w:val="000000"/>
              </w:rPr>
              <w:t>971,947,221</w:t>
            </w:r>
          </w:p>
        </w:tc>
        <w:tc>
          <w:tcPr>
            <w:tcW w:w="1640" w:type="dxa"/>
            <w:tcBorders>
              <w:top w:val="nil"/>
              <w:left w:val="nil"/>
              <w:bottom w:val="single" w:sz="4" w:space="0" w:color="auto"/>
              <w:right w:val="single" w:sz="4" w:space="0" w:color="auto"/>
            </w:tcBorders>
            <w:shd w:val="clear" w:color="auto" w:fill="auto"/>
            <w:noWrap/>
            <w:vAlign w:val="bottom"/>
            <w:hideMark/>
          </w:tcPr>
          <w:p w14:paraId="7395BDE6" w14:textId="77777777" w:rsidR="007546B5" w:rsidRPr="00556831" w:rsidRDefault="00DF316D" w:rsidP="00556831">
            <w:pPr>
              <w:spacing w:after="0" w:line="240" w:lineRule="auto"/>
              <w:jc w:val="both"/>
              <w:rPr>
                <w:rFonts w:ascii="Arial" w:eastAsia="Times New Roman" w:hAnsi="Arial" w:cs="Arial"/>
                <w:color w:val="000000"/>
                <w:sz w:val="20"/>
                <w:szCs w:val="20"/>
              </w:rPr>
            </w:pPr>
            <w:r w:rsidRPr="00240993">
              <w:rPr>
                <w:rFonts w:ascii="Arial" w:eastAsia="Times New Roman" w:hAnsi="Arial" w:cs="Arial"/>
                <w:color w:val="000000"/>
                <w:lang w:val="vi-VN" w:eastAsia="vi-VN"/>
              </w:rPr>
              <w:t>3,777,882,262</w:t>
            </w:r>
          </w:p>
        </w:tc>
      </w:tr>
      <w:tr w:rsidR="007546B5" w:rsidRPr="0054640D" w14:paraId="5D756C5C" w14:textId="77777777"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8EEDDE" w14:textId="77777777"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auto" w:fill="auto"/>
            <w:noWrap/>
            <w:vAlign w:val="center"/>
            <w:hideMark/>
          </w:tcPr>
          <w:p w14:paraId="2D482E46" w14:textId="77777777"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1820" w:type="dxa"/>
            <w:tcBorders>
              <w:top w:val="nil"/>
              <w:left w:val="nil"/>
              <w:bottom w:val="single" w:sz="4" w:space="0" w:color="auto"/>
              <w:right w:val="single" w:sz="4" w:space="0" w:color="auto"/>
            </w:tcBorders>
            <w:shd w:val="clear" w:color="auto" w:fill="auto"/>
            <w:vAlign w:val="center"/>
            <w:hideMark/>
          </w:tcPr>
          <w:p w14:paraId="4523F7FD" w14:textId="77777777" w:rsidR="007546B5" w:rsidRPr="00556831" w:rsidRDefault="00DF316D" w:rsidP="00556831">
            <w:pPr>
              <w:spacing w:after="0" w:line="240" w:lineRule="auto"/>
              <w:jc w:val="both"/>
              <w:rPr>
                <w:rFonts w:ascii="Arial" w:eastAsia="Times New Roman" w:hAnsi="Arial" w:cs="Arial"/>
                <w:b/>
                <w:bCs/>
                <w:color w:val="000000"/>
                <w:sz w:val="20"/>
                <w:szCs w:val="20"/>
              </w:rPr>
            </w:pPr>
            <w:r>
              <w:rPr>
                <w:rFonts w:ascii="Arial" w:hAnsi="Arial" w:cs="Arial"/>
                <w:b/>
                <w:bCs/>
                <w:sz w:val="20"/>
                <w:szCs w:val="20"/>
              </w:rPr>
              <w:t>376,038,081,250</w:t>
            </w:r>
          </w:p>
        </w:tc>
        <w:tc>
          <w:tcPr>
            <w:tcW w:w="1780" w:type="dxa"/>
            <w:tcBorders>
              <w:top w:val="nil"/>
              <w:left w:val="nil"/>
              <w:bottom w:val="single" w:sz="4" w:space="0" w:color="auto"/>
              <w:right w:val="single" w:sz="4" w:space="0" w:color="auto"/>
            </w:tcBorders>
            <w:shd w:val="clear" w:color="auto" w:fill="auto"/>
            <w:vAlign w:val="center"/>
            <w:hideMark/>
          </w:tcPr>
          <w:p w14:paraId="0FED8678" w14:textId="77777777" w:rsidR="007546B5" w:rsidRPr="00556831" w:rsidRDefault="00DF316D" w:rsidP="00556831">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rPr>
              <w:t>102,495,780,665</w:t>
            </w:r>
          </w:p>
        </w:tc>
        <w:tc>
          <w:tcPr>
            <w:tcW w:w="1640" w:type="dxa"/>
            <w:tcBorders>
              <w:top w:val="nil"/>
              <w:left w:val="nil"/>
              <w:bottom w:val="single" w:sz="4" w:space="0" w:color="auto"/>
              <w:right w:val="single" w:sz="4" w:space="0" w:color="auto"/>
            </w:tcBorders>
            <w:shd w:val="clear" w:color="auto" w:fill="auto"/>
            <w:vAlign w:val="center"/>
            <w:hideMark/>
          </w:tcPr>
          <w:p w14:paraId="264C701A" w14:textId="77777777" w:rsidR="007546B5" w:rsidRPr="00556831" w:rsidRDefault="00DF316D" w:rsidP="00556831">
            <w:pPr>
              <w:spacing w:after="0" w:line="240" w:lineRule="auto"/>
              <w:jc w:val="both"/>
              <w:rPr>
                <w:rFonts w:ascii="Arial" w:eastAsia="Times New Roman" w:hAnsi="Arial" w:cs="Arial"/>
                <w:b/>
                <w:bCs/>
                <w:color w:val="000000"/>
                <w:sz w:val="20"/>
                <w:szCs w:val="20"/>
              </w:rPr>
            </w:pPr>
            <w:r w:rsidRPr="00240993">
              <w:rPr>
                <w:rFonts w:ascii="Arial" w:eastAsia="Times New Roman" w:hAnsi="Arial" w:cs="Arial"/>
                <w:b/>
                <w:bCs/>
                <w:color w:val="000000"/>
              </w:rPr>
              <w:t>95,667,748,372</w:t>
            </w:r>
          </w:p>
        </w:tc>
      </w:tr>
    </w:tbl>
    <w:p w14:paraId="7CCAFA3B" w14:textId="77777777"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14:paraId="11EEB075" w14:textId="77777777"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sz w:val="20"/>
          <w:szCs w:val="20"/>
        </w:rPr>
        <w:t>Giá trị tài sản ròng của quỹ </w:t>
      </w:r>
      <w:r w:rsidR="001F1B90" w:rsidRPr="00556831">
        <w:rPr>
          <w:rFonts w:ascii="Arial" w:hAnsi="Arial" w:cs="Arial"/>
          <w:sz w:val="20"/>
          <w:szCs w:val="20"/>
        </w:rPr>
        <w:t xml:space="preserve">tại ngày </w:t>
      </w:r>
      <w:r w:rsidR="004B03CC" w:rsidRPr="00556831">
        <w:rPr>
          <w:rFonts w:ascii="Arial" w:hAnsi="Arial" w:cs="Arial"/>
          <w:sz w:val="20"/>
          <w:szCs w:val="20"/>
        </w:rPr>
        <w:t>3</w:t>
      </w:r>
      <w:r w:rsidR="00DF316D">
        <w:rPr>
          <w:rFonts w:ascii="Arial" w:hAnsi="Arial" w:cs="Arial"/>
          <w:sz w:val="20"/>
          <w:szCs w:val="20"/>
        </w:rPr>
        <w:t>1</w:t>
      </w:r>
      <w:r w:rsidR="004B03CC" w:rsidRPr="00556831">
        <w:rPr>
          <w:rFonts w:ascii="Arial" w:hAnsi="Arial" w:cs="Arial"/>
          <w:sz w:val="20"/>
          <w:szCs w:val="20"/>
        </w:rPr>
        <w:t>/</w:t>
      </w:r>
      <w:r w:rsidR="00DF316D">
        <w:rPr>
          <w:rFonts w:ascii="Arial" w:hAnsi="Arial" w:cs="Arial"/>
          <w:sz w:val="20"/>
          <w:szCs w:val="20"/>
        </w:rPr>
        <w:t>12</w:t>
      </w:r>
      <w:r w:rsidR="004B03CC" w:rsidRPr="00556831">
        <w:rPr>
          <w:rFonts w:ascii="Arial" w:hAnsi="Arial" w:cs="Arial"/>
          <w:sz w:val="20"/>
          <w:szCs w:val="20"/>
        </w:rPr>
        <w:t>/2017</w:t>
      </w:r>
      <w:r w:rsidR="001F1B90" w:rsidRPr="00556831">
        <w:rPr>
          <w:rFonts w:ascii="Arial" w:hAnsi="Arial" w:cs="Arial"/>
          <w:sz w:val="20"/>
          <w:szCs w:val="20"/>
        </w:rPr>
        <w:t xml:space="preserve"> </w:t>
      </w:r>
      <w:r w:rsidR="007C3EBF" w:rsidRPr="00556831">
        <w:rPr>
          <w:rFonts w:ascii="Arial" w:hAnsi="Arial" w:cs="Arial"/>
          <w:sz w:val="20"/>
          <w:szCs w:val="20"/>
        </w:rPr>
        <w:t xml:space="preserve">là </w:t>
      </w:r>
      <w:r w:rsidR="00DF316D">
        <w:rPr>
          <w:rFonts w:ascii="Arial" w:hAnsi="Arial" w:cs="Arial"/>
          <w:color w:val="000000" w:themeColor="text1"/>
          <w:sz w:val="20"/>
          <w:szCs w:val="20"/>
        </w:rPr>
        <w:t>359,357,225,052</w:t>
      </w:r>
      <w:r w:rsidR="007C3EBF" w:rsidRPr="00556831">
        <w:rPr>
          <w:rFonts w:ascii="Arial" w:hAnsi="Arial" w:cs="Arial"/>
          <w:color w:val="000000" w:themeColor="text1"/>
          <w:sz w:val="20"/>
          <w:szCs w:val="20"/>
        </w:rPr>
        <w:t xml:space="preserve"> đồng</w:t>
      </w:r>
      <w:r w:rsidR="00366B9D" w:rsidRPr="00556831">
        <w:rPr>
          <w:rFonts w:ascii="Arial" w:hAnsi="Arial" w:cs="Arial"/>
          <w:color w:val="000000" w:themeColor="text1"/>
          <w:sz w:val="20"/>
          <w:szCs w:val="20"/>
        </w:rPr>
        <w:t>,</w:t>
      </w:r>
      <w:r w:rsid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tại</w:t>
      </w:r>
      <w:r w:rsidR="00A91635">
        <w:rPr>
          <w:rFonts w:ascii="Arial" w:hAnsi="Arial" w:cs="Arial"/>
          <w:color w:val="000000" w:themeColor="text1"/>
          <w:sz w:val="20"/>
          <w:szCs w:val="20"/>
        </w:rPr>
        <w:t xml:space="preserve"> </w:t>
      </w:r>
      <w:r w:rsidR="00C041A5" w:rsidRPr="00556831">
        <w:rPr>
          <w:rFonts w:ascii="Arial" w:hAnsi="Arial" w:cs="Arial"/>
          <w:color w:val="000000" w:themeColor="text1"/>
          <w:sz w:val="20"/>
          <w:szCs w:val="20"/>
        </w:rPr>
        <w:t xml:space="preserve">ngày </w:t>
      </w:r>
      <w:r w:rsidR="00DF316D">
        <w:rPr>
          <w:rFonts w:ascii="Arial" w:hAnsi="Arial" w:cs="Arial"/>
          <w:color w:val="000000" w:themeColor="text1"/>
          <w:sz w:val="20"/>
          <w:szCs w:val="20"/>
        </w:rPr>
        <w:t>31/12</w:t>
      </w:r>
      <w:r w:rsidR="004B03CC" w:rsidRPr="00556831">
        <w:rPr>
          <w:rFonts w:ascii="Arial" w:hAnsi="Arial" w:cs="Arial"/>
          <w:color w:val="000000" w:themeColor="text1"/>
          <w:sz w:val="20"/>
          <w:szCs w:val="20"/>
        </w:rPr>
        <w:t>/2016</w:t>
      </w:r>
      <w:r w:rsidR="00366B9D" w:rsidRPr="00556831">
        <w:rPr>
          <w:rFonts w:ascii="Arial" w:hAnsi="Arial" w:cs="Arial"/>
          <w:color w:val="000000" w:themeColor="text1"/>
          <w:sz w:val="20"/>
          <w:szCs w:val="20"/>
        </w:rPr>
        <w:t xml:space="preserve"> </w:t>
      </w:r>
      <w:r w:rsidR="001F1B90" w:rsidRPr="00556831">
        <w:rPr>
          <w:rFonts w:ascii="Arial" w:hAnsi="Arial" w:cs="Arial"/>
          <w:color w:val="000000" w:themeColor="text1"/>
          <w:sz w:val="20"/>
          <w:szCs w:val="20"/>
        </w:rPr>
        <w:t>là</w:t>
      </w:r>
      <w:r w:rsidRPr="00556831">
        <w:rPr>
          <w:rFonts w:ascii="Arial" w:hAnsi="Arial" w:cs="Arial"/>
          <w:color w:val="000000" w:themeColor="text1"/>
          <w:sz w:val="20"/>
          <w:szCs w:val="20"/>
        </w:rPr>
        <w:t xml:space="preserve"> </w:t>
      </w:r>
      <w:r w:rsidR="00344322" w:rsidRP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 xml:space="preserve"> </w:t>
      </w:r>
      <w:r w:rsidR="00DF316D" w:rsidRPr="003B7BE8">
        <w:rPr>
          <w:rFonts w:ascii="Arial" w:hAnsi="Arial" w:cs="Arial"/>
          <w:sz w:val="20"/>
          <w:szCs w:val="20"/>
        </w:rPr>
        <w:t>102,184,671,330</w:t>
      </w:r>
      <w:r w:rsidR="00DF316D" w:rsidRPr="003B7BE8">
        <w:rPr>
          <w:rFonts w:ascii="Arial" w:hAnsi="Arial" w:cs="Arial"/>
        </w:rPr>
        <w:t xml:space="preserve"> </w:t>
      </w:r>
      <w:r w:rsidR="008D6A8B" w:rsidRPr="00556831">
        <w:rPr>
          <w:rFonts w:ascii="Arial" w:hAnsi="Arial" w:cs="Arial"/>
          <w:color w:val="000000" w:themeColor="text1"/>
          <w:sz w:val="20"/>
          <w:szCs w:val="20"/>
        </w:rPr>
        <w:t>đồng</w:t>
      </w:r>
    </w:p>
    <w:p w14:paraId="0CF43845" w14:textId="77777777" w:rsidR="00091432" w:rsidRPr="00556831" w:rsidRDefault="00240993"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Tại ngày </w:t>
      </w:r>
      <w:r w:rsidR="00DF316D">
        <w:rPr>
          <w:rFonts w:ascii="Arial" w:hAnsi="Arial" w:cs="Arial"/>
          <w:color w:val="000000" w:themeColor="text1"/>
          <w:sz w:val="20"/>
          <w:szCs w:val="20"/>
        </w:rPr>
        <w:t>31/12/2017</w:t>
      </w:r>
      <w:r w:rsidR="00D552D6"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 </w:t>
      </w:r>
      <w:r w:rsidR="00D552D6" w:rsidRPr="00556831">
        <w:rPr>
          <w:rFonts w:ascii="Arial" w:hAnsi="Arial" w:cs="Arial"/>
          <w:color w:val="000000" w:themeColor="text1"/>
          <w:sz w:val="20"/>
          <w:szCs w:val="20"/>
        </w:rPr>
        <w:t>g</w:t>
      </w:r>
      <w:r w:rsidR="00091432" w:rsidRPr="00556831">
        <w:rPr>
          <w:rFonts w:ascii="Arial" w:hAnsi="Arial" w:cs="Arial"/>
          <w:color w:val="000000" w:themeColor="text1"/>
          <w:sz w:val="20"/>
          <w:szCs w:val="20"/>
        </w:rPr>
        <w:t xml:space="preserve">iá trị tài sản ròng trên một đơn vị quỹ: </w:t>
      </w:r>
      <w:r w:rsidR="006E5F53">
        <w:rPr>
          <w:rFonts w:ascii="Arial" w:hAnsi="Arial" w:cs="Arial"/>
          <w:color w:val="000000" w:themeColor="text1"/>
          <w:sz w:val="20"/>
          <w:szCs w:val="20"/>
        </w:rPr>
        <w:t>16,022.02</w:t>
      </w:r>
      <w:r w:rsidR="005A5A89" w:rsidRPr="00556831">
        <w:rPr>
          <w:rFonts w:ascii="Arial" w:hAnsi="Arial" w:cs="Arial"/>
          <w:color w:val="000000" w:themeColor="text1"/>
          <w:sz w:val="20"/>
          <w:szCs w:val="20"/>
        </w:rPr>
        <w:t>,</w:t>
      </w:r>
      <w:r w:rsidR="00091432" w:rsidRPr="00556831">
        <w:rPr>
          <w:rFonts w:ascii="Arial" w:hAnsi="Arial" w:cs="Arial"/>
          <w:color w:val="000000" w:themeColor="text1"/>
          <w:sz w:val="20"/>
          <w:szCs w:val="20"/>
        </w:rPr>
        <w:t xml:space="preserve"> số lượng chứng chỉ quỹ</w:t>
      </w:r>
      <w:r w:rsidR="008F0E90" w:rsidRPr="00556831">
        <w:rPr>
          <w:rFonts w:ascii="Arial" w:hAnsi="Arial" w:cs="Arial"/>
          <w:color w:val="000000" w:themeColor="text1"/>
          <w:sz w:val="20"/>
          <w:szCs w:val="20"/>
        </w:rPr>
        <w:t xml:space="preserve"> đang lưu hành</w:t>
      </w:r>
      <w:r w:rsidR="00091432" w:rsidRPr="00556831">
        <w:rPr>
          <w:rFonts w:ascii="Arial" w:hAnsi="Arial" w:cs="Arial"/>
          <w:color w:val="000000" w:themeColor="text1"/>
          <w:sz w:val="20"/>
          <w:szCs w:val="20"/>
        </w:rPr>
        <w:t xml:space="preserve">: </w:t>
      </w:r>
      <w:r w:rsidR="006E5F53">
        <w:rPr>
          <w:rFonts w:ascii="Arial" w:hAnsi="Arial" w:cs="Arial"/>
          <w:sz w:val="20"/>
          <w:szCs w:val="20"/>
        </w:rPr>
        <w:t>22,428,956.71</w:t>
      </w:r>
    </w:p>
    <w:p w14:paraId="101F78A6" w14:textId="77777777"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Giá trị tài sản ròng trên một đơn vị quỹ cao nhất trong kỳ</w:t>
      </w:r>
      <w:r w:rsidR="008F0E90" w:rsidRPr="00556831">
        <w:rPr>
          <w:rFonts w:ascii="Arial" w:hAnsi="Arial" w:cs="Arial"/>
          <w:color w:val="000000" w:themeColor="text1"/>
          <w:sz w:val="20"/>
          <w:szCs w:val="20"/>
        </w:rPr>
        <w:t xml:space="preserve"> báo cáo</w:t>
      </w:r>
      <w:r w:rsidRPr="00556831">
        <w:rPr>
          <w:rFonts w:ascii="Arial" w:hAnsi="Arial" w:cs="Arial"/>
          <w:color w:val="000000" w:themeColor="text1"/>
          <w:sz w:val="20"/>
          <w:szCs w:val="20"/>
        </w:rPr>
        <w:t xml:space="preserve">: </w:t>
      </w:r>
      <w:r w:rsidR="006E5F53">
        <w:rPr>
          <w:rFonts w:ascii="Arial" w:hAnsi="Arial" w:cs="Arial"/>
          <w:color w:val="000000" w:themeColor="text1"/>
          <w:sz w:val="20"/>
          <w:szCs w:val="20"/>
        </w:rPr>
        <w:t>16,033.44</w:t>
      </w:r>
      <w:r w:rsidR="00A9424D"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đồng/ccq</w:t>
      </w:r>
    </w:p>
    <w:p w14:paraId="22643A05" w14:textId="77777777"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Giá trị tài sản ròng trên một đơn vị quỹ thấp nhất trong kỳ báo cáo: </w:t>
      </w:r>
      <w:r w:rsidR="006E5F53">
        <w:rPr>
          <w:rFonts w:ascii="Arial" w:hAnsi="Arial" w:cs="Arial"/>
          <w:color w:val="000000" w:themeColor="text1"/>
          <w:sz w:val="20"/>
          <w:szCs w:val="20"/>
        </w:rPr>
        <w:t>13,822.49</w:t>
      </w:r>
      <w:r w:rsidR="00A9424D"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đồng/ccq</w:t>
      </w:r>
    </w:p>
    <w:p w14:paraId="7A1290C1" w14:textId="77777777"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color w:val="000000" w:themeColor="text1"/>
          <w:sz w:val="20"/>
          <w:szCs w:val="20"/>
        </w:rPr>
        <w:t xml:space="preserve">Tổng lợi nhuận của quỹ, nêu chi tiết phần lợi nhuận thu được từ sự tăng trưởng giá </w:t>
      </w:r>
      <w:r w:rsidRPr="00556831">
        <w:rPr>
          <w:rFonts w:ascii="Arial" w:hAnsi="Arial" w:cs="Arial"/>
          <w:sz w:val="20"/>
          <w:szCs w:val="20"/>
        </w:rPr>
        <w:t>chứng khoán (giá trị lãi vốn) và phần lợi nhuận thu được từ lợi tức chứng khoán (cổ tức, trái tức, lãi suất tiền gửi…) (giá trị thu nhập);</w:t>
      </w:r>
    </w:p>
    <w:bookmarkStart w:id="0" w:name="_MON_1515399778"/>
    <w:bookmarkEnd w:id="0"/>
    <w:p w14:paraId="35482C22" w14:textId="52674D4D" w:rsidR="004D5204" w:rsidRPr="00556831" w:rsidRDefault="003B7BE8"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sz w:val="20"/>
          <w:szCs w:val="20"/>
        </w:rPr>
        <w:object w:dxaOrig="7449" w:dyaOrig="1472" w14:anchorId="49229D21">
          <v:shape id="_x0000_i1038" type="#_x0000_t75" style="width:372.65pt;height:73.65pt" o:ole="">
            <v:imagedata r:id="rId10" o:title=""/>
          </v:shape>
          <o:OLEObject Type="Embed" ProgID="Excel.Sheet.12" ShapeID="_x0000_i1038" DrawAspect="Content" ObjectID="_1583067527" r:id="rId11"/>
        </w:object>
      </w:r>
    </w:p>
    <w:p w14:paraId="2CD1DD1C"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Lợi nhuận đã phân phối trên một đơn vị quỹ (giá trị thuần và giá trị gộp) trong kỳ báo cáo, kể cả trong trường hợp chi trả bằng tiền mặt hoặc chi trả bằng đơn vị quỹ: không có</w:t>
      </w:r>
    </w:p>
    <w:p w14:paraId="0A1C3CF6"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Thời điểm phân chia lợi nhuận: không có</w:t>
      </w:r>
    </w:p>
    <w:p w14:paraId="785B6F46"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r w:rsidRPr="00556831">
        <w:rPr>
          <w:rFonts w:ascii="Arial" w:hAnsi="Arial" w:cs="Arial"/>
          <w:sz w:val="20"/>
          <w:szCs w:val="20"/>
        </w:rPr>
        <w:t>Giá trị tài sản ròng trên một đơn vị quỹ trước và sau thời điểm phân chia lợi nhuận: không có</w:t>
      </w:r>
    </w:p>
    <w:p w14:paraId="66C8BC53"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Tỷ lệ chi phí hoạt động của quỹ và thuyết minh về việc chênh lệch chi phí hoạt động của quỹ (</w:t>
      </w:r>
      <w:r w:rsidR="00DB2BA1" w:rsidRPr="00556831">
        <w:rPr>
          <w:rFonts w:ascii="Arial" w:hAnsi="Arial" w:cs="Arial"/>
          <w:i/>
          <w:sz w:val="20"/>
          <w:szCs w:val="20"/>
        </w:rPr>
        <w:t>chỉ tính tại thời điểm cuối quý II và cuối quý IV của năm tài chính</w:t>
      </w:r>
      <w:r w:rsidR="00DB2BA1" w:rsidRPr="00556831">
        <w:rPr>
          <w:rFonts w:ascii="Arial" w:hAnsi="Arial" w:cs="Arial"/>
          <w:sz w:val="20"/>
          <w:szCs w:val="20"/>
        </w:rPr>
        <w:t>);</w:t>
      </w:r>
    </w:p>
    <w:p w14:paraId="3DEDAB92"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sz w:val="20"/>
          <w:szCs w:val="20"/>
        </w:rPr>
        <w:t xml:space="preserve">Tỷ lệ chi phí hoạt động trên GTTSR trung bình trong kỳ </w:t>
      </w:r>
      <w:r w:rsidRPr="00556831">
        <w:rPr>
          <w:rFonts w:ascii="Arial" w:hAnsi="Arial" w:cs="Arial"/>
          <w:color w:val="000000" w:themeColor="text1"/>
          <w:sz w:val="20"/>
          <w:szCs w:val="20"/>
        </w:rPr>
        <w:t xml:space="preserve">(%): </w:t>
      </w:r>
      <w:r w:rsidR="00A944FE" w:rsidRPr="00556831">
        <w:rPr>
          <w:rFonts w:ascii="Arial" w:hAnsi="Arial" w:cs="Arial"/>
          <w:color w:val="000000" w:themeColor="text1"/>
          <w:sz w:val="20"/>
          <w:szCs w:val="20"/>
        </w:rPr>
        <w:t>1.</w:t>
      </w:r>
      <w:r w:rsidR="006E5F53">
        <w:rPr>
          <w:rFonts w:ascii="Arial" w:hAnsi="Arial" w:cs="Arial"/>
          <w:color w:val="000000" w:themeColor="text1"/>
          <w:sz w:val="20"/>
          <w:szCs w:val="20"/>
        </w:rPr>
        <w:t>26</w:t>
      </w:r>
      <w:r w:rsidR="00A944FE" w:rsidRPr="00556831">
        <w:rPr>
          <w:rFonts w:ascii="Arial" w:hAnsi="Arial" w:cs="Arial"/>
          <w:color w:val="000000" w:themeColor="text1"/>
          <w:sz w:val="20"/>
          <w:szCs w:val="20"/>
        </w:rPr>
        <w:t>%</w:t>
      </w:r>
    </w:p>
    <w:p w14:paraId="61DBDDB3" w14:textId="77777777" w:rsidR="00DB2BA1" w:rsidRPr="00556831" w:rsidRDefault="00892618"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B2BA1" w:rsidRPr="00556831">
        <w:rPr>
          <w:rFonts w:ascii="Arial" w:hAnsi="Arial" w:cs="Arial"/>
          <w:color w:val="000000" w:themeColor="text1"/>
          <w:sz w:val="20"/>
          <w:szCs w:val="20"/>
        </w:rPr>
        <w:t>Tốc độ vòng quay danh mục và thuyết minh về việc chênh lệch tốc độ vòng quay của danh mục (</w:t>
      </w:r>
      <w:r w:rsidR="00DB2BA1" w:rsidRPr="00556831">
        <w:rPr>
          <w:rFonts w:ascii="Arial" w:hAnsi="Arial" w:cs="Arial"/>
          <w:i/>
          <w:color w:val="000000" w:themeColor="text1"/>
          <w:sz w:val="20"/>
          <w:szCs w:val="20"/>
        </w:rPr>
        <w:t>chỉ tính tại thời điểm cuối quý II và cuối quý IV của năm tài chính</w:t>
      </w:r>
      <w:r w:rsidR="00DB2BA1" w:rsidRPr="00556831">
        <w:rPr>
          <w:rFonts w:ascii="Arial" w:hAnsi="Arial" w:cs="Arial"/>
          <w:color w:val="000000" w:themeColor="text1"/>
          <w:sz w:val="20"/>
          <w:szCs w:val="20"/>
        </w:rPr>
        <w:t>);</w:t>
      </w:r>
    </w:p>
    <w:p w14:paraId="4AD4F7D0" w14:textId="77777777" w:rsidR="00DB2BA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r w:rsidR="00DB2BA1" w:rsidRPr="00556831">
        <w:rPr>
          <w:rFonts w:ascii="Arial" w:hAnsi="Arial" w:cs="Arial"/>
          <w:color w:val="000000" w:themeColor="text1"/>
          <w:sz w:val="20"/>
          <w:szCs w:val="20"/>
          <w:lang w:val="fr-FR"/>
        </w:rPr>
        <w:t>Tốc độ vòng quay danh mục trong kỳ/NAV trung bình trong kỳ</w:t>
      </w:r>
      <w:r w:rsidR="00EE69E6" w:rsidRPr="00556831">
        <w:rPr>
          <w:rFonts w:ascii="Arial" w:hAnsi="Arial" w:cs="Arial"/>
          <w:color w:val="000000" w:themeColor="text1"/>
          <w:sz w:val="20"/>
          <w:szCs w:val="20"/>
          <w:lang w:val="fr-FR"/>
        </w:rPr>
        <w:t xml:space="preserve"> năm 2017</w:t>
      </w:r>
      <w:r w:rsidR="00DB2BA1" w:rsidRPr="00556831">
        <w:rPr>
          <w:rFonts w:ascii="Arial" w:hAnsi="Arial" w:cs="Arial"/>
          <w:color w:val="000000" w:themeColor="text1"/>
          <w:sz w:val="20"/>
          <w:szCs w:val="20"/>
          <w:lang w:val="fr-FR"/>
        </w:rPr>
        <w:t xml:space="preserve"> : </w:t>
      </w:r>
      <w:r w:rsidR="006E5F53">
        <w:rPr>
          <w:rFonts w:ascii="Arial" w:hAnsi="Arial" w:cs="Arial"/>
          <w:color w:val="000000" w:themeColor="text1"/>
          <w:sz w:val="20"/>
          <w:szCs w:val="20"/>
          <w:lang w:val="fr-FR"/>
        </w:rPr>
        <w:t>196.06</w:t>
      </w:r>
      <w:r w:rsidRPr="00556831">
        <w:rPr>
          <w:rFonts w:ascii="Arial" w:hAnsi="Arial" w:cs="Arial"/>
          <w:color w:val="000000" w:themeColor="text1"/>
          <w:sz w:val="20"/>
          <w:szCs w:val="20"/>
          <w:lang w:val="fr-FR"/>
        </w:rPr>
        <w:t>%</w:t>
      </w:r>
    </w:p>
    <w:p w14:paraId="6733D3F5" w14:textId="77777777" w:rsidR="002B6BE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r w:rsidR="002B6BE1" w:rsidRPr="00556831">
        <w:rPr>
          <w:rFonts w:ascii="Arial" w:hAnsi="Arial" w:cs="Arial"/>
          <w:color w:val="000000" w:themeColor="text1"/>
          <w:sz w:val="20"/>
          <w:szCs w:val="20"/>
          <w:lang w:val="fr-FR"/>
        </w:rPr>
        <w:t>Tốc độ vòng quay danh mục trong kỳ/NAV trung bình năm 201</w:t>
      </w:r>
      <w:r w:rsidR="00B479E7" w:rsidRPr="00556831">
        <w:rPr>
          <w:rFonts w:ascii="Arial" w:hAnsi="Arial" w:cs="Arial"/>
          <w:color w:val="000000" w:themeColor="text1"/>
          <w:sz w:val="20"/>
          <w:szCs w:val="20"/>
          <w:lang w:val="fr-FR"/>
        </w:rPr>
        <w:t>6</w:t>
      </w:r>
      <w:r w:rsidR="002B6BE1" w:rsidRPr="00556831">
        <w:rPr>
          <w:rFonts w:ascii="Arial" w:hAnsi="Arial" w:cs="Arial"/>
          <w:color w:val="000000" w:themeColor="text1"/>
          <w:sz w:val="20"/>
          <w:szCs w:val="20"/>
          <w:lang w:val="fr-FR"/>
        </w:rPr>
        <w:t xml:space="preserve"> : </w:t>
      </w:r>
      <w:r w:rsidR="00B479E7" w:rsidRPr="00556831">
        <w:rPr>
          <w:rFonts w:ascii="Arial" w:hAnsi="Arial" w:cs="Arial"/>
          <w:color w:val="000000" w:themeColor="text1"/>
          <w:sz w:val="20"/>
          <w:szCs w:val="20"/>
          <w:lang w:val="nl-NL"/>
        </w:rPr>
        <w:t xml:space="preserve"> </w:t>
      </w:r>
      <w:r w:rsidR="006E5F53">
        <w:rPr>
          <w:rFonts w:ascii="Arial" w:hAnsi="Arial" w:cs="Arial"/>
          <w:color w:val="000000" w:themeColor="text1"/>
          <w:sz w:val="20"/>
          <w:szCs w:val="20"/>
          <w:lang w:val="nl-NL"/>
        </w:rPr>
        <w:t>253.50</w:t>
      </w:r>
      <w:r w:rsidR="002B6BE1" w:rsidRPr="00556831">
        <w:rPr>
          <w:rFonts w:ascii="Arial" w:hAnsi="Arial" w:cs="Arial"/>
          <w:color w:val="000000" w:themeColor="text1"/>
          <w:sz w:val="20"/>
          <w:szCs w:val="20"/>
          <w:lang w:val="fr-FR"/>
        </w:rPr>
        <w:t>%</w:t>
      </w:r>
    </w:p>
    <w:p w14:paraId="4A573F56" w14:textId="3CAA5183" w:rsidR="00892618" w:rsidRPr="00477A52" w:rsidRDefault="00500470" w:rsidP="007D71BB">
      <w:pPr>
        <w:tabs>
          <w:tab w:val="left" w:pos="270"/>
          <w:tab w:val="left" w:pos="1134"/>
        </w:tabs>
        <w:spacing w:before="120" w:after="120"/>
        <w:jc w:val="both"/>
        <w:rPr>
          <w:rFonts w:ascii="Arial" w:hAnsi="Arial" w:cs="Arial"/>
          <w:color w:val="000000" w:themeColor="text1"/>
          <w:sz w:val="20"/>
          <w:szCs w:val="20"/>
        </w:rPr>
      </w:pPr>
      <w:r w:rsidRPr="00477A52">
        <w:rPr>
          <w:rFonts w:ascii="Arial" w:hAnsi="Arial" w:cs="Arial"/>
          <w:color w:val="000000" w:themeColor="text1"/>
          <w:sz w:val="20"/>
          <w:szCs w:val="20"/>
        </w:rPr>
        <w:t>Nguyên nhân của sự thay đổi này</w:t>
      </w:r>
      <w:r w:rsidR="00EE69E6" w:rsidRPr="00477A52">
        <w:rPr>
          <w:rFonts w:ascii="Arial" w:hAnsi="Arial" w:cs="Arial"/>
          <w:color w:val="000000" w:themeColor="text1"/>
          <w:sz w:val="20"/>
          <w:szCs w:val="20"/>
        </w:rPr>
        <w:t xml:space="preserve">: </w:t>
      </w:r>
    </w:p>
    <w:p w14:paraId="19F728CA" w14:textId="51BCB20A" w:rsidR="00171B94" w:rsidRPr="003B7BE8" w:rsidRDefault="00171B94" w:rsidP="007D71BB">
      <w:pPr>
        <w:tabs>
          <w:tab w:val="left" w:pos="270"/>
          <w:tab w:val="left" w:pos="1134"/>
        </w:tabs>
        <w:spacing w:before="120" w:after="120"/>
        <w:jc w:val="both"/>
        <w:rPr>
          <w:rFonts w:ascii="Arial" w:hAnsi="Arial" w:cs="Arial"/>
          <w:sz w:val="20"/>
          <w:szCs w:val="20"/>
        </w:rPr>
      </w:pPr>
      <w:r w:rsidRPr="003B7BE8">
        <w:rPr>
          <w:rFonts w:ascii="Arial" w:hAnsi="Arial" w:cs="Arial"/>
          <w:sz w:val="20"/>
          <w:szCs w:val="20"/>
        </w:rPr>
        <w:t>Trong năm 2017, tỷ lệ chi phí hoạt đ</w:t>
      </w:r>
      <w:r w:rsidR="002864C8" w:rsidRPr="003B7BE8">
        <w:rPr>
          <w:rFonts w:ascii="Arial" w:hAnsi="Arial" w:cs="Arial"/>
          <w:sz w:val="20"/>
          <w:szCs w:val="20"/>
        </w:rPr>
        <w:t>ộ</w:t>
      </w:r>
      <w:r w:rsidRPr="003B7BE8">
        <w:rPr>
          <w:rFonts w:ascii="Arial" w:hAnsi="Arial" w:cs="Arial"/>
          <w:sz w:val="20"/>
          <w:szCs w:val="20"/>
        </w:rPr>
        <w:t>ng</w:t>
      </w:r>
      <w:r w:rsidR="002864C8" w:rsidRPr="003B7BE8">
        <w:rPr>
          <w:rFonts w:ascii="Arial" w:hAnsi="Arial" w:cs="Arial"/>
          <w:sz w:val="20"/>
          <w:szCs w:val="20"/>
        </w:rPr>
        <w:t xml:space="preserve"> trên giá trị tài sản ròng</w:t>
      </w:r>
      <w:r w:rsidRPr="003B7BE8">
        <w:rPr>
          <w:rFonts w:ascii="Arial" w:hAnsi="Arial" w:cs="Arial"/>
          <w:sz w:val="20"/>
          <w:szCs w:val="20"/>
        </w:rPr>
        <w:t xml:space="preserve"> của quỹ VFB và tốc độ vòng quay danh mục giảm do tổng giá trị tài sản ròng của quỹ có sự tăng trưởng mạnh từ 102,1 tại thời điểm 31/12/2016 lên 3</w:t>
      </w:r>
      <w:r w:rsidR="002864C8" w:rsidRPr="003B7BE8">
        <w:rPr>
          <w:rFonts w:ascii="Arial" w:hAnsi="Arial" w:cs="Arial"/>
          <w:sz w:val="20"/>
          <w:szCs w:val="20"/>
        </w:rPr>
        <w:t>59</w:t>
      </w:r>
      <w:r w:rsidRPr="003B7BE8">
        <w:rPr>
          <w:rFonts w:ascii="Arial" w:hAnsi="Arial" w:cs="Arial"/>
          <w:sz w:val="20"/>
          <w:szCs w:val="20"/>
        </w:rPr>
        <w:t>,</w:t>
      </w:r>
      <w:r w:rsidR="002864C8" w:rsidRPr="003B7BE8">
        <w:rPr>
          <w:rFonts w:ascii="Arial" w:hAnsi="Arial" w:cs="Arial"/>
          <w:sz w:val="20"/>
          <w:szCs w:val="20"/>
        </w:rPr>
        <w:t>35</w:t>
      </w:r>
      <w:r w:rsidRPr="003B7BE8">
        <w:rPr>
          <w:rFonts w:ascii="Arial" w:hAnsi="Arial" w:cs="Arial"/>
          <w:sz w:val="20"/>
          <w:szCs w:val="20"/>
        </w:rPr>
        <w:t xml:space="preserve"> tỷ tại thời điểm 3</w:t>
      </w:r>
      <w:r w:rsidR="002864C8" w:rsidRPr="003B7BE8">
        <w:rPr>
          <w:rFonts w:ascii="Arial" w:hAnsi="Arial" w:cs="Arial"/>
          <w:sz w:val="20"/>
          <w:szCs w:val="20"/>
        </w:rPr>
        <w:t>1</w:t>
      </w:r>
      <w:r w:rsidRPr="003B7BE8">
        <w:rPr>
          <w:rFonts w:ascii="Arial" w:hAnsi="Arial" w:cs="Arial"/>
          <w:sz w:val="20"/>
          <w:szCs w:val="20"/>
        </w:rPr>
        <w:t>/</w:t>
      </w:r>
      <w:r w:rsidR="002864C8" w:rsidRPr="003B7BE8">
        <w:rPr>
          <w:rFonts w:ascii="Arial" w:hAnsi="Arial" w:cs="Arial"/>
          <w:sz w:val="20"/>
          <w:szCs w:val="20"/>
        </w:rPr>
        <w:t>12</w:t>
      </w:r>
      <w:r w:rsidRPr="003B7BE8">
        <w:rPr>
          <w:rFonts w:ascii="Arial" w:hAnsi="Arial" w:cs="Arial"/>
          <w:sz w:val="20"/>
          <w:szCs w:val="20"/>
        </w:rPr>
        <w:t>/2017. Bên cạnh đó</w:t>
      </w:r>
      <w:r w:rsidR="002864C8" w:rsidRPr="003B7BE8">
        <w:rPr>
          <w:rFonts w:ascii="Arial" w:hAnsi="Arial" w:cs="Arial"/>
          <w:sz w:val="20"/>
          <w:szCs w:val="20"/>
        </w:rPr>
        <w:t>, việc</w:t>
      </w:r>
      <w:r w:rsidRPr="003B7BE8">
        <w:rPr>
          <w:rFonts w:ascii="Arial" w:hAnsi="Arial" w:cs="Arial"/>
          <w:sz w:val="20"/>
          <w:szCs w:val="20"/>
        </w:rPr>
        <w:t xml:space="preserve"> quỹ áp dụng việc mua và nắm giữ đối với trái phiếu </w:t>
      </w:r>
      <w:r w:rsidR="002864C8" w:rsidRPr="003B7BE8">
        <w:rPr>
          <w:rFonts w:ascii="Arial" w:hAnsi="Arial" w:cs="Arial"/>
          <w:sz w:val="20"/>
          <w:szCs w:val="20"/>
        </w:rPr>
        <w:t>C</w:t>
      </w:r>
      <w:r w:rsidRPr="003B7BE8">
        <w:rPr>
          <w:rFonts w:ascii="Arial" w:hAnsi="Arial" w:cs="Arial"/>
          <w:sz w:val="20"/>
          <w:szCs w:val="20"/>
        </w:rPr>
        <w:t xml:space="preserve">hính phủ trong </w:t>
      </w:r>
      <w:r w:rsidR="002864C8" w:rsidRPr="003B7BE8">
        <w:rPr>
          <w:rFonts w:ascii="Arial" w:hAnsi="Arial" w:cs="Arial"/>
          <w:sz w:val="20"/>
          <w:szCs w:val="20"/>
        </w:rPr>
        <w:t xml:space="preserve">năm </w:t>
      </w:r>
      <w:r w:rsidRPr="003B7BE8">
        <w:rPr>
          <w:rFonts w:ascii="Arial" w:hAnsi="Arial" w:cs="Arial"/>
          <w:sz w:val="20"/>
          <w:szCs w:val="20"/>
        </w:rPr>
        <w:t>2017 dẫn tới việc chi phí giao dịch của quỹ giảm.</w:t>
      </w:r>
    </w:p>
    <w:p w14:paraId="10259E36" w14:textId="77777777" w:rsidR="00D84438" w:rsidRPr="00556831" w:rsidRDefault="00D84438"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Chỉ tiêu về lợi nhuận của quỹ: </w:t>
      </w:r>
    </w:p>
    <w:p w14:paraId="0E333A8A" w14:textId="366A83C1" w:rsidR="00DD6C68" w:rsidRDefault="00D84438" w:rsidP="007D71BB">
      <w:pPr>
        <w:tabs>
          <w:tab w:val="left" w:pos="270"/>
          <w:tab w:val="left" w:pos="1134"/>
        </w:tabs>
        <w:spacing w:before="120" w:after="12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Tổng lợi nhuận bình quân năm của quỹ phát sinh trong </w:t>
      </w:r>
      <w:r w:rsidR="006176EC" w:rsidRPr="00556831">
        <w:rPr>
          <w:rFonts w:ascii="Arial" w:hAnsi="Arial" w:cs="Arial"/>
          <w:color w:val="000000" w:themeColor="text1"/>
          <w:sz w:val="20"/>
          <w:szCs w:val="20"/>
        </w:rPr>
        <w:t>thời hạn 36 tháng</w:t>
      </w:r>
      <w:r w:rsidR="003327E5" w:rsidRPr="00556831">
        <w:rPr>
          <w:rFonts w:ascii="Arial" w:hAnsi="Arial" w:cs="Arial"/>
          <w:color w:val="000000" w:themeColor="text1"/>
          <w:sz w:val="20"/>
          <w:szCs w:val="20"/>
        </w:rPr>
        <w:t xml:space="preserve"> (từ thời điểm lập Quỹ 10/6/2013 đến ngày lập báo cáo)</w:t>
      </w:r>
      <w:r w:rsidRPr="00556831">
        <w:rPr>
          <w:rFonts w:ascii="Arial" w:hAnsi="Arial" w:cs="Arial"/>
          <w:color w:val="000000" w:themeColor="text1"/>
          <w:sz w:val="20"/>
          <w:szCs w:val="20"/>
        </w:rPr>
        <w:t xml:space="preserve">: </w:t>
      </w:r>
    </w:p>
    <w:p w14:paraId="2F4D4234" w14:textId="77777777" w:rsidR="003B7BE8" w:rsidRPr="00556831" w:rsidRDefault="003B7BE8" w:rsidP="007D71BB">
      <w:pPr>
        <w:tabs>
          <w:tab w:val="left" w:pos="270"/>
          <w:tab w:val="left" w:pos="1134"/>
        </w:tabs>
        <w:spacing w:before="120" w:after="120"/>
        <w:jc w:val="both"/>
        <w:rPr>
          <w:rFonts w:ascii="Arial" w:hAnsi="Arial" w:cs="Arial"/>
          <w:color w:val="000000" w:themeColor="text1"/>
          <w:sz w:val="20"/>
          <w:szCs w:val="20"/>
        </w:rPr>
      </w:pPr>
    </w:p>
    <w:tbl>
      <w:tblPr>
        <w:tblW w:w="7735" w:type="dxa"/>
        <w:tblLook w:val="04A0" w:firstRow="1" w:lastRow="0" w:firstColumn="1" w:lastColumn="0" w:noHBand="0" w:noVBand="1"/>
      </w:tblPr>
      <w:tblGrid>
        <w:gridCol w:w="2245"/>
        <w:gridCol w:w="1746"/>
        <w:gridCol w:w="1791"/>
        <w:gridCol w:w="2020"/>
      </w:tblGrid>
      <w:tr w:rsidR="001319EE" w:rsidRPr="0054640D" w14:paraId="3372F670" w14:textId="77777777" w:rsidTr="00556831">
        <w:trPr>
          <w:trHeight w:val="22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6718" w14:textId="77777777" w:rsidR="00D261D0" w:rsidRPr="00556831" w:rsidRDefault="00D261D0"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Chỉ tiêu</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26D4EEF1" w14:textId="77777777" w:rsidR="00D261D0" w:rsidRPr="00556831" w:rsidRDefault="006E5F53" w:rsidP="007D71BB">
            <w:pPr>
              <w:spacing w:after="0" w:line="240" w:lineRule="auto"/>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năm</w:t>
            </w:r>
            <w:r w:rsidR="0015142A" w:rsidRPr="00556831">
              <w:rPr>
                <w:rFonts w:ascii="Arial" w:eastAsia="Times New Roman" w:hAnsi="Arial" w:cs="Arial"/>
                <w:b/>
                <w:bCs/>
                <w:color w:val="000000" w:themeColor="text1"/>
                <w:sz w:val="20"/>
                <w:szCs w:val="20"/>
              </w:rPr>
              <w:t xml:space="preserve"> 2017</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51DF6A9E" w14:textId="77777777" w:rsidR="00D261D0" w:rsidRPr="00556831" w:rsidRDefault="006E5F53" w:rsidP="007D71BB">
            <w:pPr>
              <w:spacing w:after="0" w:line="240" w:lineRule="auto"/>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năm</w:t>
            </w:r>
            <w:r w:rsidR="0015142A" w:rsidRPr="00556831">
              <w:rPr>
                <w:rFonts w:ascii="Arial" w:eastAsia="Times New Roman" w:hAnsi="Arial" w:cs="Arial"/>
                <w:b/>
                <w:bCs/>
                <w:color w:val="000000" w:themeColor="text1"/>
                <w:sz w:val="20"/>
                <w:szCs w:val="20"/>
              </w:rPr>
              <w:t xml:space="preserve"> 2016</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30A0BCA" w14:textId="77777777" w:rsidR="00D261D0" w:rsidRPr="00556831" w:rsidRDefault="006E5F53" w:rsidP="007D71BB">
            <w:pPr>
              <w:spacing w:after="0" w:line="240" w:lineRule="auto"/>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năm</w:t>
            </w:r>
            <w:r w:rsidR="0015142A" w:rsidRPr="00556831">
              <w:rPr>
                <w:rFonts w:ascii="Arial" w:eastAsia="Times New Roman" w:hAnsi="Arial" w:cs="Arial"/>
                <w:b/>
                <w:bCs/>
                <w:color w:val="000000" w:themeColor="text1"/>
                <w:sz w:val="20"/>
                <w:szCs w:val="20"/>
              </w:rPr>
              <w:t xml:space="preserve"> 2015</w:t>
            </w:r>
          </w:p>
        </w:tc>
      </w:tr>
      <w:tr w:rsidR="001319EE" w:rsidRPr="0054640D" w14:paraId="7753CD30" w14:textId="77777777" w:rsidTr="00556831">
        <w:trPr>
          <w:trHeight w:val="44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C64E70D" w14:textId="77777777" w:rsidR="00D261D0" w:rsidRPr="00556831" w:rsidRDefault="00D261D0" w:rsidP="007D71BB">
            <w:pPr>
              <w:spacing w:after="0" w:line="240" w:lineRule="auto"/>
              <w:jc w:val="both"/>
              <w:rPr>
                <w:rFonts w:ascii="Arial" w:eastAsia="Times New Roman" w:hAnsi="Arial" w:cs="Arial"/>
                <w:b/>
                <w:color w:val="000000" w:themeColor="text1"/>
                <w:sz w:val="20"/>
                <w:szCs w:val="20"/>
              </w:rPr>
            </w:pPr>
            <w:r w:rsidRPr="00556831">
              <w:rPr>
                <w:rFonts w:ascii="Arial" w:eastAsia="Times New Roman" w:hAnsi="Arial" w:cs="Arial"/>
                <w:b/>
                <w:color w:val="000000" w:themeColor="text1"/>
                <w:sz w:val="20"/>
                <w:szCs w:val="20"/>
              </w:rPr>
              <w:t>Lợi nhuận bình quân</w:t>
            </w:r>
          </w:p>
        </w:tc>
        <w:tc>
          <w:tcPr>
            <w:tcW w:w="1679" w:type="dxa"/>
            <w:tcBorders>
              <w:top w:val="nil"/>
              <w:left w:val="nil"/>
              <w:bottom w:val="single" w:sz="4" w:space="0" w:color="auto"/>
              <w:right w:val="single" w:sz="4" w:space="0" w:color="auto"/>
            </w:tcBorders>
            <w:shd w:val="clear" w:color="auto" w:fill="auto"/>
            <w:noWrap/>
            <w:vAlign w:val="center"/>
            <w:hideMark/>
          </w:tcPr>
          <w:p w14:paraId="2600CFB1" w14:textId="77777777" w:rsidR="00D261D0" w:rsidRPr="00556831" w:rsidRDefault="006E5F53" w:rsidP="007D71BB">
            <w:pPr>
              <w:spacing w:after="0" w:line="240" w:lineRule="auto"/>
              <w:jc w:val="both"/>
              <w:rPr>
                <w:rFonts w:ascii="Arial" w:eastAsia="Times New Roman" w:hAnsi="Arial" w:cs="Arial"/>
                <w:color w:val="000000" w:themeColor="text1"/>
                <w:sz w:val="20"/>
                <w:szCs w:val="20"/>
              </w:rPr>
            </w:pPr>
            <w:r w:rsidRPr="00FA1FF6">
              <w:rPr>
                <w:rFonts w:ascii="Arial" w:hAnsi="Arial" w:cs="Arial"/>
                <w:b/>
                <w:color w:val="000000"/>
              </w:rPr>
              <w:t>42,948,148,502</w:t>
            </w:r>
          </w:p>
        </w:tc>
        <w:tc>
          <w:tcPr>
            <w:tcW w:w="1791" w:type="dxa"/>
            <w:tcBorders>
              <w:top w:val="nil"/>
              <w:left w:val="nil"/>
              <w:bottom w:val="single" w:sz="4" w:space="0" w:color="auto"/>
              <w:right w:val="single" w:sz="4" w:space="0" w:color="auto"/>
            </w:tcBorders>
            <w:shd w:val="clear" w:color="auto" w:fill="auto"/>
            <w:noWrap/>
            <w:vAlign w:val="center"/>
            <w:hideMark/>
          </w:tcPr>
          <w:p w14:paraId="082C7758" w14:textId="77777777" w:rsidR="00D261D0" w:rsidRPr="00556831" w:rsidRDefault="006E5F53" w:rsidP="007D71BB">
            <w:pPr>
              <w:spacing w:after="0" w:line="240" w:lineRule="auto"/>
              <w:jc w:val="both"/>
              <w:rPr>
                <w:rFonts w:ascii="Arial" w:eastAsia="Times New Roman" w:hAnsi="Arial" w:cs="Arial"/>
                <w:color w:val="000000" w:themeColor="text1"/>
                <w:sz w:val="20"/>
                <w:szCs w:val="20"/>
              </w:rPr>
            </w:pPr>
            <w:r>
              <w:rPr>
                <w:b/>
                <w:bCs/>
                <w:color w:val="000000"/>
              </w:rPr>
              <w:t>8,962,079,871</w:t>
            </w:r>
          </w:p>
        </w:tc>
        <w:tc>
          <w:tcPr>
            <w:tcW w:w="2020" w:type="dxa"/>
            <w:tcBorders>
              <w:top w:val="nil"/>
              <w:left w:val="nil"/>
              <w:bottom w:val="single" w:sz="4" w:space="0" w:color="auto"/>
              <w:right w:val="single" w:sz="4" w:space="0" w:color="auto"/>
            </w:tcBorders>
            <w:shd w:val="clear" w:color="auto" w:fill="auto"/>
            <w:noWrap/>
            <w:vAlign w:val="center"/>
            <w:hideMark/>
          </w:tcPr>
          <w:p w14:paraId="2CEB2DBB" w14:textId="77777777" w:rsidR="002B6BE1" w:rsidRPr="00556831" w:rsidRDefault="002B6BE1" w:rsidP="007D71BB">
            <w:pPr>
              <w:spacing w:after="0" w:line="240" w:lineRule="auto"/>
              <w:jc w:val="both"/>
              <w:rPr>
                <w:rFonts w:ascii="Arial" w:eastAsia="Times New Roman" w:hAnsi="Arial" w:cs="Arial"/>
                <w:color w:val="000000" w:themeColor="text1"/>
                <w:sz w:val="20"/>
                <w:szCs w:val="20"/>
              </w:rPr>
            </w:pPr>
          </w:p>
          <w:p w14:paraId="554632B4" w14:textId="77777777" w:rsidR="003769E6" w:rsidRPr="00556831" w:rsidRDefault="006E5F53" w:rsidP="007D71BB">
            <w:pPr>
              <w:spacing w:after="0" w:line="240" w:lineRule="auto"/>
              <w:jc w:val="both"/>
              <w:rPr>
                <w:rFonts w:ascii="Arial" w:hAnsi="Arial" w:cs="Arial"/>
                <w:b/>
                <w:bCs/>
                <w:color w:val="000000" w:themeColor="text1"/>
                <w:sz w:val="20"/>
                <w:szCs w:val="20"/>
              </w:rPr>
            </w:pPr>
            <w:r>
              <w:rPr>
                <w:b/>
                <w:bCs/>
                <w:color w:val="000000"/>
              </w:rPr>
              <w:t>5,600,388,549</w:t>
            </w:r>
          </w:p>
          <w:p w14:paraId="01140015" w14:textId="77777777" w:rsidR="00D261D0" w:rsidRPr="00556831" w:rsidRDefault="00D261D0" w:rsidP="007D71BB">
            <w:pPr>
              <w:spacing w:after="0" w:line="240" w:lineRule="auto"/>
              <w:jc w:val="both"/>
              <w:rPr>
                <w:rFonts w:ascii="Arial" w:eastAsia="Times New Roman" w:hAnsi="Arial" w:cs="Arial"/>
                <w:color w:val="000000" w:themeColor="text1"/>
                <w:sz w:val="20"/>
                <w:szCs w:val="20"/>
              </w:rPr>
            </w:pPr>
          </w:p>
        </w:tc>
      </w:tr>
    </w:tbl>
    <w:p w14:paraId="64F3A70B" w14:textId="77777777" w:rsidR="00D84438" w:rsidRPr="00556831" w:rsidRDefault="00240993"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Các chỉ tiêu so sánh khác, bảo đảm tuân thủ nguyên tắc:</w:t>
      </w:r>
    </w:p>
    <w:p w14:paraId="725C3912"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Phương thức, nguyên tắc xác định giá trị tài sản, giá trị lợi nhuận là thống nhất, đã được công bố và được thẩm định bởi một tổ chức độc lập khác</w:t>
      </w:r>
      <w:r w:rsidR="00F90E2F" w:rsidRPr="00556831">
        <w:rPr>
          <w:rFonts w:ascii="Arial" w:hAnsi="Arial" w:cs="Arial"/>
          <w:color w:val="000000" w:themeColor="text1"/>
          <w:sz w:val="20"/>
          <w:szCs w:val="20"/>
        </w:rPr>
        <w:t>: nguyên tắc xác định giá trị tài sản của Quỹ được quy định chi tiết trong Điều lệ Quỹ và sổ tay định giá của Quỹ</w:t>
      </w:r>
      <w:r w:rsidR="00D84438" w:rsidRPr="00556831">
        <w:rPr>
          <w:rFonts w:ascii="Arial" w:hAnsi="Arial" w:cs="Arial"/>
          <w:color w:val="000000" w:themeColor="text1"/>
          <w:sz w:val="20"/>
          <w:szCs w:val="20"/>
        </w:rPr>
        <w:t>;</w:t>
      </w:r>
    </w:p>
    <w:p w14:paraId="57064CD7"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Dữ liệu được cung cấp bởi một tổ chức độc lập</w:t>
      </w:r>
      <w:r w:rsidR="00F90E2F" w:rsidRPr="00556831">
        <w:rPr>
          <w:rFonts w:ascii="Arial" w:hAnsi="Arial" w:cs="Arial"/>
          <w:color w:val="000000" w:themeColor="text1"/>
          <w:sz w:val="20"/>
          <w:szCs w:val="20"/>
        </w:rPr>
        <w:t>: Bảng báo giá chứng khoán được cung cấp bởi 3 Cty Chứng khoán độc lập của Quỹ và được Ban Đại diện phê duyệt hàng năm</w:t>
      </w:r>
    </w:p>
    <w:p w14:paraId="27BEC420" w14:textId="77777777" w:rsidR="00D84438" w:rsidRPr="00556831" w:rsidRDefault="00D84438" w:rsidP="007D71BB">
      <w:pPr>
        <w:pStyle w:val="ListParagraph"/>
        <w:numPr>
          <w:ilvl w:val="0"/>
          <w:numId w:val="29"/>
        </w:numPr>
        <w:tabs>
          <w:tab w:val="left" w:pos="180"/>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Báo cáo phải nêu rõ khuyến cáo rằng </w:t>
      </w:r>
      <w:r w:rsidRPr="00556831">
        <w:rPr>
          <w:rFonts w:ascii="Arial" w:hAnsi="Arial" w:cs="Arial"/>
          <w:color w:val="000000" w:themeColor="text1"/>
          <w:sz w:val="20"/>
          <w:szCs w:val="20"/>
          <w:lang w:val="pt-BR"/>
        </w:rPr>
        <w:t>các thông tin về kết quả hoạt động của quỹ trước đây chỉ mang tính tham khảo và không có nghĩa là việc đầu tư sẽ bảo đảm khả năng sinh lời cho nhà đầu tư.</w:t>
      </w:r>
    </w:p>
    <w:p w14:paraId="5C76C84E" w14:textId="305B3770" w:rsidR="00D84438" w:rsidRPr="00477A52" w:rsidRDefault="005B6393" w:rsidP="003B7BE8">
      <w:pPr>
        <w:pStyle w:val="ListParagraph"/>
        <w:numPr>
          <w:ilvl w:val="0"/>
          <w:numId w:val="42"/>
        </w:numPr>
        <w:tabs>
          <w:tab w:val="left" w:pos="270"/>
          <w:tab w:val="left" w:pos="1134"/>
        </w:tabs>
        <w:spacing w:before="120" w:after="120" w:line="240" w:lineRule="auto"/>
        <w:contextualSpacing w:val="0"/>
        <w:jc w:val="both"/>
        <w:rPr>
          <w:rFonts w:ascii="Arial" w:hAnsi="Arial" w:cs="Arial"/>
          <w:b/>
          <w:color w:val="000000" w:themeColor="text1"/>
          <w:sz w:val="20"/>
          <w:szCs w:val="20"/>
        </w:rPr>
      </w:pPr>
      <w:r w:rsidRPr="00477A52">
        <w:rPr>
          <w:rFonts w:ascii="Arial" w:hAnsi="Arial" w:cs="Arial"/>
          <w:b/>
          <w:color w:val="000000" w:themeColor="text1"/>
          <w:sz w:val="20"/>
          <w:szCs w:val="20"/>
        </w:rPr>
        <w:t>Báo cáo về hoạt động quản lý tài sản của Công ty quản lý quỹ</w:t>
      </w:r>
      <w:r w:rsidR="00C9715A" w:rsidRPr="00477A52">
        <w:rPr>
          <w:rFonts w:ascii="Arial" w:hAnsi="Arial" w:cs="Arial"/>
          <w:b/>
          <w:color w:val="000000" w:themeColor="text1"/>
          <w:sz w:val="20"/>
          <w:szCs w:val="20"/>
        </w:rPr>
        <w:t>:</w:t>
      </w:r>
    </w:p>
    <w:p w14:paraId="53EF3984" w14:textId="77777777"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Báo cáo về hoạt động quản lý tài sản của Công ty quản lý quỹ bao gồm các nội dung sau:</w:t>
      </w:r>
    </w:p>
    <w:p w14:paraId="1B7E6D59"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Thuyết minh về việc thay đổi Công ty quản lý quỹ: </w:t>
      </w:r>
      <w:r w:rsidRPr="00556831">
        <w:rPr>
          <w:rFonts w:ascii="Arial" w:hAnsi="Arial" w:cs="Arial"/>
          <w:i/>
          <w:color w:val="000000" w:themeColor="text1"/>
          <w:sz w:val="20"/>
          <w:szCs w:val="20"/>
        </w:rPr>
        <w:t>không có</w:t>
      </w:r>
      <w:r w:rsidRPr="00556831">
        <w:rPr>
          <w:rFonts w:ascii="Arial" w:hAnsi="Arial" w:cs="Arial"/>
          <w:color w:val="000000" w:themeColor="text1"/>
          <w:sz w:val="20"/>
          <w:szCs w:val="20"/>
        </w:rPr>
        <w:t xml:space="preserve"> </w:t>
      </w:r>
    </w:p>
    <w:p w14:paraId="5C35B47D" w14:textId="350EFFBE" w:rsidR="00CF73DE" w:rsidRPr="003B7BE8"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sz w:val="20"/>
          <w:szCs w:val="20"/>
        </w:rPr>
      </w:pPr>
      <w:r w:rsidRPr="00EB58A6">
        <w:rPr>
          <w:rFonts w:ascii="Arial" w:hAnsi="Arial" w:cs="Arial"/>
          <w:color w:val="000000" w:themeColor="text1"/>
          <w:sz w:val="20"/>
          <w:szCs w:val="20"/>
        </w:rPr>
        <w:t>Thuyết minh về việc quỹ có đạt được mục tiêu đầu tư (thuyết minh này chỉ cần thiết tại báo cáo hàng năm của quỹ</w:t>
      </w:r>
      <w:r w:rsidRPr="003B7BE8">
        <w:rPr>
          <w:rFonts w:ascii="Arial" w:hAnsi="Arial" w:cs="Arial"/>
          <w:sz w:val="20"/>
          <w:szCs w:val="20"/>
        </w:rPr>
        <w:t xml:space="preserve">): </w:t>
      </w:r>
      <w:r w:rsidR="007E6CAA" w:rsidRPr="003B7BE8">
        <w:rPr>
          <w:rFonts w:ascii="Arial" w:hAnsi="Arial" w:cs="Arial"/>
          <w:sz w:val="20"/>
          <w:szCs w:val="20"/>
        </w:rPr>
        <w:t xml:space="preserve">Quỹ có </w:t>
      </w:r>
      <w:r w:rsidR="00EB58A6" w:rsidRPr="003B7BE8">
        <w:rPr>
          <w:rFonts w:ascii="Arial" w:hAnsi="Arial" w:cs="Arial"/>
          <w:sz w:val="20"/>
          <w:szCs w:val="20"/>
        </w:rPr>
        <w:t>tăng trưởng giá trị tài sản ròng trên mỗi chứng chỉ quỹ đạt 15,94% cao nhất trong số các quỹ đầu tư trái phiếu đang hoạt động trên thị trường Việt Nam.</w:t>
      </w:r>
    </w:p>
    <w:p w14:paraId="135A125A"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sánh kết quả lợi nhuận của quỹ với kết quả lợi nhuận của danh mục tham chiếu, chỉ số cơ sở công bố tại Bản cáo bạch trong cùng kỳ báo cáo (bằng đồ thị): </w:t>
      </w:r>
      <w:r w:rsidRPr="00556831">
        <w:rPr>
          <w:rFonts w:ascii="Arial" w:hAnsi="Arial" w:cs="Arial"/>
          <w:i/>
          <w:color w:val="000000" w:themeColor="text1"/>
          <w:sz w:val="20"/>
          <w:szCs w:val="20"/>
        </w:rPr>
        <w:t>Quỹ không áp dụng danh mục tham chiếu, chỉ số tham chiếu.</w:t>
      </w:r>
    </w:p>
    <w:p w14:paraId="017ED29A"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556831">
        <w:rPr>
          <w:rFonts w:ascii="Arial" w:hAnsi="Arial" w:cs="Arial"/>
          <w:i/>
          <w:color w:val="000000" w:themeColor="text1"/>
          <w:sz w:val="20"/>
          <w:szCs w:val="20"/>
        </w:rPr>
        <w:t>Quỹ không áp dụng danh mục tham chiếu, chỉ số tham chiếu.</w:t>
      </w:r>
    </w:p>
    <w:p w14:paraId="7962117E" w14:textId="4E11DAD4" w:rsidR="00CF73DE" w:rsidRPr="003B7BE8" w:rsidRDefault="005B6393"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color w:val="000000" w:themeColor="text1"/>
          <w:sz w:val="20"/>
          <w:szCs w:val="20"/>
        </w:rPr>
        <w:t xml:space="preserve">e) Mô tả chiến lược, chiến thuật đầu tư mà quỹ đã sử dụng trong kỳ báo cáo. Trường hợp có sự khác 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w:t>
      </w:r>
      <w:r w:rsidRPr="00477A52">
        <w:rPr>
          <w:rFonts w:ascii="Arial" w:hAnsi="Arial" w:cs="Arial"/>
          <w:color w:val="000000" w:themeColor="text1"/>
          <w:sz w:val="20"/>
          <w:szCs w:val="20"/>
        </w:rPr>
        <w:t xml:space="preserve">trong kỳ: </w:t>
      </w:r>
      <w:r w:rsidR="00713815" w:rsidRPr="003B7BE8">
        <w:rPr>
          <w:rFonts w:ascii="Arial" w:hAnsi="Arial" w:cs="Arial"/>
          <w:sz w:val="20"/>
          <w:szCs w:val="20"/>
        </w:rPr>
        <w:t>Trong kỳ quỹ áp dụng chính xác các chiến lược, chiến thuật đầu tư như đã được công bố trong Bản cáo bạch (Không bổ sung gì thêm)</w:t>
      </w:r>
    </w:p>
    <w:p w14:paraId="42460DC7" w14:textId="0C6A0A81" w:rsidR="00CF73DE"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highlight w:val="yellow"/>
        </w:rPr>
      </w:pPr>
      <w:r w:rsidRPr="00556831">
        <w:rPr>
          <w:rFonts w:ascii="Arial" w:hAnsi="Arial" w:cs="Arial"/>
          <w:color w:val="000000" w:themeColor="text1"/>
          <w:sz w:val="20"/>
          <w:szCs w:val="20"/>
        </w:rPr>
        <w:t>f) Mô tả sự khác biệt về cơ cấu danh mục đầu tư của quỹ tại thời điểm báo cáo, so với danh mục đầu tư của quỹ năm liền kề năm báo cáo</w:t>
      </w:r>
      <w:r w:rsidRPr="00556831">
        <w:rPr>
          <w:rFonts w:ascii="Arial" w:hAnsi="Arial" w:cs="Arial"/>
          <w:i/>
          <w:color w:val="000000" w:themeColor="text1"/>
          <w:sz w:val="20"/>
          <w:szCs w:val="20"/>
        </w:rPr>
        <w:t>:</w:t>
      </w:r>
      <w:r w:rsidR="002A551E" w:rsidRPr="00556831">
        <w:rPr>
          <w:rFonts w:ascii="Arial" w:hAnsi="Arial" w:cs="Arial"/>
          <w:i/>
          <w:color w:val="000000" w:themeColor="text1"/>
          <w:sz w:val="20"/>
          <w:szCs w:val="20"/>
        </w:rPr>
        <w:t xml:space="preserve"> </w:t>
      </w:r>
    </w:p>
    <w:p w14:paraId="6BABFF54" w14:textId="380E9CDD" w:rsidR="00713815" w:rsidRPr="003B7BE8" w:rsidRDefault="00713815" w:rsidP="00C9715A">
      <w:pPr>
        <w:pStyle w:val="ListParagraph"/>
        <w:tabs>
          <w:tab w:val="left" w:pos="270"/>
          <w:tab w:val="left" w:pos="1134"/>
        </w:tabs>
        <w:spacing w:before="120" w:after="120"/>
        <w:ind w:left="0"/>
        <w:contextualSpacing w:val="0"/>
        <w:jc w:val="both"/>
        <w:rPr>
          <w:rFonts w:ascii="Arial" w:hAnsi="Arial" w:cs="Arial"/>
          <w:sz w:val="20"/>
          <w:szCs w:val="20"/>
        </w:rPr>
      </w:pPr>
      <w:r w:rsidRPr="003B7BE8">
        <w:rPr>
          <w:rFonts w:ascii="Arial" w:hAnsi="Arial" w:cs="Arial"/>
          <w:sz w:val="20"/>
          <w:szCs w:val="20"/>
        </w:rPr>
        <w:t>Tại thời điểm 3</w:t>
      </w:r>
      <w:r w:rsidR="002864C8" w:rsidRPr="003B7BE8">
        <w:rPr>
          <w:rFonts w:ascii="Arial" w:hAnsi="Arial" w:cs="Arial"/>
          <w:sz w:val="20"/>
          <w:szCs w:val="20"/>
        </w:rPr>
        <w:t>1</w:t>
      </w:r>
      <w:r w:rsidRPr="003B7BE8">
        <w:rPr>
          <w:rFonts w:ascii="Arial" w:hAnsi="Arial" w:cs="Arial"/>
          <w:sz w:val="20"/>
          <w:szCs w:val="20"/>
        </w:rPr>
        <w:t>/</w:t>
      </w:r>
      <w:r w:rsidR="002864C8" w:rsidRPr="003B7BE8">
        <w:rPr>
          <w:rFonts w:ascii="Arial" w:hAnsi="Arial" w:cs="Arial"/>
          <w:sz w:val="20"/>
          <w:szCs w:val="20"/>
        </w:rPr>
        <w:t>12</w:t>
      </w:r>
      <w:r w:rsidRPr="003B7BE8">
        <w:rPr>
          <w:rFonts w:ascii="Arial" w:hAnsi="Arial" w:cs="Arial"/>
          <w:sz w:val="20"/>
          <w:szCs w:val="20"/>
        </w:rPr>
        <w:t>/2017, phân bổ tài sản trong danh mục đầu tư của quỹ tính trên giá trị tài sản</w:t>
      </w:r>
      <w:r w:rsidR="00342F10" w:rsidRPr="003B7BE8">
        <w:rPr>
          <w:rFonts w:ascii="Arial" w:hAnsi="Arial" w:cs="Arial"/>
          <w:sz w:val="20"/>
          <w:szCs w:val="20"/>
        </w:rPr>
        <w:t xml:space="preserve"> ròng</w:t>
      </w:r>
      <w:r w:rsidRPr="003B7BE8">
        <w:rPr>
          <w:rFonts w:ascii="Arial" w:hAnsi="Arial" w:cs="Arial"/>
          <w:sz w:val="20"/>
          <w:szCs w:val="20"/>
        </w:rPr>
        <w:t xml:space="preserve"> bao gồm </w:t>
      </w:r>
      <w:r w:rsidR="00342F10" w:rsidRPr="003B7BE8">
        <w:rPr>
          <w:rFonts w:ascii="Arial" w:hAnsi="Arial" w:cs="Arial"/>
          <w:sz w:val="20"/>
          <w:szCs w:val="20"/>
        </w:rPr>
        <w:t>61</w:t>
      </w:r>
      <w:r w:rsidRPr="003B7BE8">
        <w:rPr>
          <w:rFonts w:ascii="Arial" w:hAnsi="Arial" w:cs="Arial"/>
          <w:sz w:val="20"/>
          <w:szCs w:val="20"/>
        </w:rPr>
        <w:t>,</w:t>
      </w:r>
      <w:r w:rsidR="00342F10" w:rsidRPr="003B7BE8">
        <w:rPr>
          <w:rFonts w:ascii="Arial" w:hAnsi="Arial" w:cs="Arial"/>
          <w:sz w:val="20"/>
          <w:szCs w:val="20"/>
        </w:rPr>
        <w:t>80</w:t>
      </w:r>
      <w:r w:rsidRPr="003B7BE8">
        <w:rPr>
          <w:rFonts w:ascii="Arial" w:hAnsi="Arial" w:cs="Arial"/>
          <w:sz w:val="20"/>
          <w:szCs w:val="20"/>
        </w:rPr>
        <w:t>% giá trị trái phiếu</w:t>
      </w:r>
      <w:r w:rsidR="00342F10" w:rsidRPr="003B7BE8">
        <w:rPr>
          <w:rFonts w:ascii="Arial" w:hAnsi="Arial" w:cs="Arial"/>
          <w:sz w:val="20"/>
          <w:szCs w:val="20"/>
        </w:rPr>
        <w:t>;</w:t>
      </w:r>
      <w:r w:rsidRPr="003B7BE8">
        <w:rPr>
          <w:rFonts w:ascii="Arial" w:hAnsi="Arial" w:cs="Arial"/>
          <w:sz w:val="20"/>
          <w:szCs w:val="20"/>
        </w:rPr>
        <w:t xml:space="preserve"> 3</w:t>
      </w:r>
      <w:r w:rsidR="00342F10" w:rsidRPr="003B7BE8">
        <w:rPr>
          <w:rFonts w:ascii="Arial" w:hAnsi="Arial" w:cs="Arial"/>
          <w:sz w:val="20"/>
          <w:szCs w:val="20"/>
        </w:rPr>
        <w:t>3</w:t>
      </w:r>
      <w:r w:rsidRPr="003B7BE8">
        <w:rPr>
          <w:rFonts w:ascii="Arial" w:hAnsi="Arial" w:cs="Arial"/>
          <w:sz w:val="20"/>
          <w:szCs w:val="20"/>
        </w:rPr>
        <w:t>,</w:t>
      </w:r>
      <w:r w:rsidR="00342F10" w:rsidRPr="003B7BE8">
        <w:rPr>
          <w:rFonts w:ascii="Arial" w:hAnsi="Arial" w:cs="Arial"/>
          <w:sz w:val="20"/>
          <w:szCs w:val="20"/>
        </w:rPr>
        <w:t>77</w:t>
      </w:r>
      <w:r w:rsidRPr="003B7BE8">
        <w:rPr>
          <w:rFonts w:ascii="Arial" w:hAnsi="Arial" w:cs="Arial"/>
          <w:sz w:val="20"/>
          <w:szCs w:val="20"/>
        </w:rPr>
        <w:t xml:space="preserve">% giá trị chứng chỉ tiền gửi và 17,3% giá trị tiền mặt và tiền gửi ngân hàng. Tỷ trọng này có sự thay đổi lớn so với thời điểm 30/6/2016, đặc biệt đối với tỷ trong tiền mặt, do việc có thêm dòng tiền mua vào quỹ và việc sử dụng giao dịch bán-mua lại trái phiếu chính phủ lại thời điểm 30/6/2016. </w:t>
      </w:r>
    </w:p>
    <w:p w14:paraId="148B6C2E" w14:textId="57455C27" w:rsidR="00C9715A" w:rsidRDefault="005B6393" w:rsidP="00C9715A">
      <w:pPr>
        <w:pStyle w:val="ListParagraph"/>
        <w:tabs>
          <w:tab w:val="left" w:pos="270"/>
          <w:tab w:val="left" w:pos="1134"/>
        </w:tabs>
        <w:spacing w:before="120" w:after="120"/>
        <w:ind w:left="0"/>
        <w:contextualSpacing w:val="0"/>
        <w:jc w:val="both"/>
        <w:rPr>
          <w:rFonts w:ascii="Arial" w:hAnsi="Arial" w:cs="Arial"/>
          <w:i/>
          <w:color w:val="000000" w:themeColor="text1"/>
          <w:sz w:val="20"/>
          <w:szCs w:val="20"/>
          <w:highlight w:val="yellow"/>
        </w:rPr>
      </w:pPr>
      <w:r w:rsidRPr="00556831">
        <w:rPr>
          <w:rFonts w:ascii="Arial" w:hAnsi="Arial" w:cs="Arial"/>
          <w:color w:val="000000" w:themeColor="text1"/>
          <w:sz w:val="20"/>
          <w:szCs w:val="20"/>
        </w:rPr>
        <w:t>g) Phân tích kết quả hoạt động của quỹ dựa trên việc so sánh giá trị tài sản ròng trên một đơn vị quỹ (sau khi đã điều chỉnh phần lợi nhuận đã phân phối, tại kỳ báo cáo này tại kỳ báo cáo gần nhất:</w:t>
      </w:r>
      <w:r w:rsidR="002A551E" w:rsidRPr="00556831">
        <w:rPr>
          <w:rFonts w:ascii="Arial" w:hAnsi="Arial" w:cs="Arial"/>
          <w:color w:val="000000" w:themeColor="text1"/>
          <w:sz w:val="20"/>
          <w:szCs w:val="20"/>
        </w:rPr>
        <w:t xml:space="preserve"> </w:t>
      </w:r>
    </w:p>
    <w:p w14:paraId="7BADA386" w14:textId="5A6BC86B" w:rsidR="00713815" w:rsidRPr="00713815" w:rsidRDefault="00713815" w:rsidP="00C9715A">
      <w:pPr>
        <w:pStyle w:val="ListParagraph"/>
        <w:tabs>
          <w:tab w:val="left" w:pos="270"/>
          <w:tab w:val="left" w:pos="1134"/>
        </w:tabs>
        <w:spacing w:before="120" w:after="120"/>
        <w:ind w:left="0"/>
        <w:contextualSpacing w:val="0"/>
        <w:jc w:val="both"/>
        <w:rPr>
          <w:rFonts w:ascii="Arial" w:hAnsi="Arial" w:cs="Arial"/>
          <w:color w:val="1F4E79" w:themeColor="accent1" w:themeShade="80"/>
          <w:sz w:val="20"/>
          <w:szCs w:val="20"/>
        </w:rPr>
      </w:pPr>
      <w:r w:rsidRPr="003B7BE8">
        <w:rPr>
          <w:rFonts w:ascii="Arial" w:hAnsi="Arial" w:cs="Arial"/>
          <w:sz w:val="20"/>
          <w:szCs w:val="20"/>
        </w:rPr>
        <w:t>Trong giai đoạn từ ngày 1/1/2017 tới 3</w:t>
      </w:r>
      <w:r w:rsidR="002864C8" w:rsidRPr="003B7BE8">
        <w:rPr>
          <w:rFonts w:ascii="Arial" w:hAnsi="Arial" w:cs="Arial"/>
          <w:sz w:val="20"/>
          <w:szCs w:val="20"/>
        </w:rPr>
        <w:t>1</w:t>
      </w:r>
      <w:r w:rsidRPr="003B7BE8">
        <w:rPr>
          <w:rFonts w:ascii="Arial" w:hAnsi="Arial" w:cs="Arial"/>
          <w:sz w:val="20"/>
          <w:szCs w:val="20"/>
        </w:rPr>
        <w:t>/</w:t>
      </w:r>
      <w:r w:rsidR="002864C8" w:rsidRPr="003B7BE8">
        <w:rPr>
          <w:rFonts w:ascii="Arial" w:hAnsi="Arial" w:cs="Arial"/>
          <w:sz w:val="20"/>
          <w:szCs w:val="20"/>
        </w:rPr>
        <w:t>12</w:t>
      </w:r>
      <w:r w:rsidRPr="003B7BE8">
        <w:rPr>
          <w:rFonts w:ascii="Arial" w:hAnsi="Arial" w:cs="Arial"/>
          <w:sz w:val="20"/>
          <w:szCs w:val="20"/>
        </w:rPr>
        <w:t xml:space="preserve">/2017, NAV trên chứng chỉ quỹ của quỹ VFB đạt mức tăng trưởng </w:t>
      </w:r>
      <w:r w:rsidR="00342F10" w:rsidRPr="003B7BE8">
        <w:rPr>
          <w:rFonts w:ascii="Arial" w:hAnsi="Arial" w:cs="Arial"/>
          <w:sz w:val="20"/>
          <w:szCs w:val="20"/>
        </w:rPr>
        <w:t>15</w:t>
      </w:r>
      <w:r w:rsidRPr="003B7BE8">
        <w:rPr>
          <w:rFonts w:ascii="Arial" w:hAnsi="Arial" w:cs="Arial"/>
          <w:sz w:val="20"/>
          <w:szCs w:val="20"/>
        </w:rPr>
        <w:t>,</w:t>
      </w:r>
      <w:r w:rsidR="00342F10" w:rsidRPr="003B7BE8">
        <w:rPr>
          <w:rFonts w:ascii="Arial" w:hAnsi="Arial" w:cs="Arial"/>
          <w:sz w:val="20"/>
          <w:szCs w:val="20"/>
        </w:rPr>
        <w:t>94</w:t>
      </w:r>
      <w:r w:rsidRPr="003B7BE8">
        <w:rPr>
          <w:rFonts w:ascii="Arial" w:hAnsi="Arial" w:cs="Arial"/>
          <w:sz w:val="20"/>
          <w:szCs w:val="20"/>
        </w:rPr>
        <w:t>% từ mức 13.819,1</w:t>
      </w:r>
      <w:r w:rsidR="00342F10" w:rsidRPr="003B7BE8">
        <w:rPr>
          <w:rFonts w:ascii="Arial" w:hAnsi="Arial" w:cs="Arial"/>
          <w:sz w:val="20"/>
          <w:szCs w:val="20"/>
        </w:rPr>
        <w:t>1</w:t>
      </w:r>
      <w:r w:rsidRPr="003B7BE8">
        <w:rPr>
          <w:rFonts w:ascii="Arial" w:hAnsi="Arial" w:cs="Arial"/>
          <w:sz w:val="20"/>
          <w:szCs w:val="20"/>
        </w:rPr>
        <w:t xml:space="preserve"> đồng lên mức 1</w:t>
      </w:r>
      <w:r w:rsidR="00342F10" w:rsidRPr="003B7BE8">
        <w:rPr>
          <w:rFonts w:ascii="Arial" w:hAnsi="Arial" w:cs="Arial"/>
          <w:sz w:val="20"/>
          <w:szCs w:val="20"/>
        </w:rPr>
        <w:t>6</w:t>
      </w:r>
      <w:r w:rsidRPr="003B7BE8">
        <w:rPr>
          <w:rFonts w:ascii="Arial" w:hAnsi="Arial" w:cs="Arial"/>
          <w:sz w:val="20"/>
          <w:szCs w:val="20"/>
        </w:rPr>
        <w:t>.</w:t>
      </w:r>
      <w:r w:rsidR="00342F10" w:rsidRPr="003B7BE8">
        <w:rPr>
          <w:rFonts w:ascii="Arial" w:hAnsi="Arial" w:cs="Arial"/>
          <w:sz w:val="20"/>
          <w:szCs w:val="20"/>
        </w:rPr>
        <w:t>022</w:t>
      </w:r>
      <w:r w:rsidRPr="003B7BE8">
        <w:rPr>
          <w:rFonts w:ascii="Arial" w:hAnsi="Arial" w:cs="Arial"/>
          <w:sz w:val="20"/>
          <w:szCs w:val="20"/>
        </w:rPr>
        <w:t>,</w:t>
      </w:r>
      <w:r w:rsidR="00342F10" w:rsidRPr="003B7BE8">
        <w:rPr>
          <w:rFonts w:ascii="Arial" w:hAnsi="Arial" w:cs="Arial"/>
          <w:sz w:val="20"/>
          <w:szCs w:val="20"/>
        </w:rPr>
        <w:t>02</w:t>
      </w:r>
      <w:r w:rsidRPr="003B7BE8">
        <w:rPr>
          <w:rFonts w:ascii="Arial" w:hAnsi="Arial" w:cs="Arial"/>
          <w:sz w:val="20"/>
          <w:szCs w:val="20"/>
        </w:rPr>
        <w:t xml:space="preserve"> đồng. Tăng trưởng NAV nêu trển được đóng góp chủ yếu từ lãi chứng chỉ tiền gửi,</w:t>
      </w:r>
      <w:r w:rsidR="00342F10" w:rsidRPr="003B7BE8">
        <w:rPr>
          <w:rFonts w:ascii="Arial" w:hAnsi="Arial" w:cs="Arial"/>
          <w:sz w:val="20"/>
          <w:szCs w:val="20"/>
        </w:rPr>
        <w:t xml:space="preserve"> lãi trái phiếu doanh nghiệp và</w:t>
      </w:r>
      <w:r w:rsidRPr="003B7BE8">
        <w:rPr>
          <w:rFonts w:ascii="Arial" w:hAnsi="Arial" w:cs="Arial"/>
          <w:sz w:val="20"/>
          <w:szCs w:val="20"/>
        </w:rPr>
        <w:t xml:space="preserve"> trái phiếu </w:t>
      </w:r>
      <w:r w:rsidR="00342F10" w:rsidRPr="003B7BE8">
        <w:rPr>
          <w:rFonts w:ascii="Arial" w:hAnsi="Arial" w:cs="Arial"/>
          <w:sz w:val="20"/>
          <w:szCs w:val="20"/>
        </w:rPr>
        <w:t>C</w:t>
      </w:r>
      <w:r w:rsidRPr="003B7BE8">
        <w:rPr>
          <w:rFonts w:ascii="Arial" w:hAnsi="Arial" w:cs="Arial"/>
          <w:sz w:val="20"/>
          <w:szCs w:val="20"/>
        </w:rPr>
        <w:t xml:space="preserve">hính phủ và từ việc tăng giá các trái phiếu được quỹ nắm giữ. Tăng trưởng NAV/chứng chỉ quỹ trong năm 2017 có sự thay đổi mạnh so với năm 2016 (tăng </w:t>
      </w:r>
      <w:r w:rsidR="00342F10" w:rsidRPr="003B7BE8">
        <w:rPr>
          <w:rFonts w:ascii="Arial" w:hAnsi="Arial" w:cs="Arial"/>
          <w:sz w:val="20"/>
          <w:szCs w:val="20"/>
        </w:rPr>
        <w:t>15</w:t>
      </w:r>
      <w:r w:rsidRPr="003B7BE8">
        <w:rPr>
          <w:rFonts w:ascii="Arial" w:hAnsi="Arial" w:cs="Arial"/>
          <w:sz w:val="20"/>
          <w:szCs w:val="20"/>
        </w:rPr>
        <w:t>,</w:t>
      </w:r>
      <w:r w:rsidR="00342F10" w:rsidRPr="003B7BE8">
        <w:rPr>
          <w:rFonts w:ascii="Arial" w:hAnsi="Arial" w:cs="Arial"/>
          <w:sz w:val="20"/>
          <w:szCs w:val="20"/>
        </w:rPr>
        <w:t>94</w:t>
      </w:r>
      <w:r w:rsidRPr="003B7BE8">
        <w:rPr>
          <w:rFonts w:ascii="Arial" w:hAnsi="Arial" w:cs="Arial"/>
          <w:sz w:val="20"/>
          <w:szCs w:val="20"/>
        </w:rPr>
        <w:t xml:space="preserve">% so với mức tăng </w:t>
      </w:r>
      <w:r w:rsidR="00342F10" w:rsidRPr="003B7BE8">
        <w:rPr>
          <w:rFonts w:ascii="Arial" w:hAnsi="Arial" w:cs="Arial"/>
          <w:sz w:val="20"/>
          <w:szCs w:val="20"/>
        </w:rPr>
        <w:t>9</w:t>
      </w:r>
      <w:r w:rsidRPr="003B7BE8">
        <w:rPr>
          <w:rFonts w:ascii="Arial" w:hAnsi="Arial" w:cs="Arial"/>
          <w:sz w:val="20"/>
          <w:szCs w:val="20"/>
        </w:rPr>
        <w:t>,</w:t>
      </w:r>
      <w:r w:rsidR="00342F10" w:rsidRPr="003B7BE8">
        <w:rPr>
          <w:rFonts w:ascii="Arial" w:hAnsi="Arial" w:cs="Arial"/>
          <w:sz w:val="20"/>
          <w:szCs w:val="20"/>
        </w:rPr>
        <w:t>53</w:t>
      </w:r>
      <w:r w:rsidRPr="003B7BE8">
        <w:rPr>
          <w:rFonts w:ascii="Arial" w:hAnsi="Arial" w:cs="Arial"/>
          <w:sz w:val="20"/>
          <w:szCs w:val="20"/>
        </w:rPr>
        <w:t xml:space="preserve">% của năm 2016), nguyên nhân chính của sự thay đổi này là lợi nhuận từ việc tăng giá các trái phiếu </w:t>
      </w:r>
      <w:r w:rsidR="00477A52" w:rsidRPr="003B7BE8">
        <w:rPr>
          <w:rFonts w:ascii="Arial" w:hAnsi="Arial" w:cs="Arial"/>
          <w:sz w:val="20"/>
          <w:szCs w:val="20"/>
        </w:rPr>
        <w:t>C</w:t>
      </w:r>
      <w:r w:rsidRPr="003B7BE8">
        <w:rPr>
          <w:rFonts w:ascii="Arial" w:hAnsi="Arial" w:cs="Arial"/>
          <w:sz w:val="20"/>
          <w:szCs w:val="20"/>
        </w:rPr>
        <w:t>hính phủ được quỹ n</w:t>
      </w:r>
      <w:r w:rsidR="00342F10" w:rsidRPr="003B7BE8">
        <w:rPr>
          <w:rFonts w:ascii="Arial" w:hAnsi="Arial" w:cs="Arial"/>
          <w:sz w:val="20"/>
          <w:szCs w:val="20"/>
        </w:rPr>
        <w:t>ắ</w:t>
      </w:r>
      <w:r w:rsidRPr="003B7BE8">
        <w:rPr>
          <w:rFonts w:ascii="Arial" w:hAnsi="Arial" w:cs="Arial"/>
          <w:sz w:val="20"/>
          <w:szCs w:val="20"/>
        </w:rPr>
        <w:t>m giữ trong 2017</w:t>
      </w:r>
      <w:r w:rsidRPr="00713815">
        <w:rPr>
          <w:rFonts w:ascii="Arial" w:hAnsi="Arial" w:cs="Arial"/>
          <w:color w:val="1F4E79" w:themeColor="accent1" w:themeShade="80"/>
          <w:sz w:val="20"/>
          <w:szCs w:val="20"/>
        </w:rPr>
        <w:t>.</w:t>
      </w:r>
    </w:p>
    <w:p w14:paraId="43C1CEDE"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556831">
        <w:rPr>
          <w:rFonts w:ascii="Arial" w:hAnsi="Arial" w:cs="Arial"/>
          <w:color w:val="000000" w:themeColor="text1"/>
          <w:sz w:val="20"/>
          <w:szCs w:val="20"/>
        </w:rPr>
        <w:t xml:space="preserve">i)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14:paraId="7D29F04A"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14:paraId="4CF43853" w14:textId="77777777" w:rsidR="00D84438"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556831">
        <w:rPr>
          <w:rFonts w:ascii="Arial" w:hAnsi="Arial" w:cs="Arial"/>
          <w:color w:val="000000" w:themeColor="text1"/>
          <w:sz w:val="20"/>
          <w:szCs w:val="20"/>
          <w:lang w:val="nl-NL"/>
        </w:rPr>
        <w:t xml:space="preserve">l) Thông tin về các giao dịch với người có quyền lợi liên quan : </w:t>
      </w:r>
      <w:r w:rsidRPr="00556831">
        <w:rPr>
          <w:rFonts w:ascii="Arial" w:hAnsi="Arial" w:cs="Arial"/>
          <w:i/>
          <w:color w:val="000000" w:themeColor="text1"/>
          <w:sz w:val="20"/>
          <w:szCs w:val="20"/>
          <w:lang w:val="nl-NL"/>
        </w:rPr>
        <w:t>không có</w:t>
      </w:r>
      <w:r w:rsidRPr="00556831">
        <w:rPr>
          <w:rFonts w:ascii="Arial" w:hAnsi="Arial" w:cs="Arial"/>
          <w:color w:val="000000" w:themeColor="text1"/>
          <w:sz w:val="20"/>
          <w:szCs w:val="20"/>
          <w:lang w:val="nl-NL"/>
        </w:rPr>
        <w:t xml:space="preserve"> </w:t>
      </w:r>
    </w:p>
    <w:p w14:paraId="5021A24A" w14:textId="3E967D86" w:rsidR="00D84438" w:rsidRPr="003B7BE8" w:rsidRDefault="00D84438" w:rsidP="003B7BE8">
      <w:pPr>
        <w:pStyle w:val="ListParagraph"/>
        <w:numPr>
          <w:ilvl w:val="0"/>
          <w:numId w:val="42"/>
        </w:numPr>
        <w:tabs>
          <w:tab w:val="left" w:pos="270"/>
          <w:tab w:val="left" w:pos="1134"/>
        </w:tabs>
        <w:spacing w:before="120" w:after="120" w:line="240" w:lineRule="auto"/>
        <w:contextualSpacing w:val="0"/>
        <w:jc w:val="both"/>
        <w:rPr>
          <w:rFonts w:ascii="Arial" w:hAnsi="Arial" w:cs="Arial"/>
          <w:b/>
          <w:color w:val="000000" w:themeColor="text1"/>
          <w:sz w:val="20"/>
          <w:szCs w:val="20"/>
        </w:rPr>
      </w:pPr>
      <w:r w:rsidRPr="003B7BE8">
        <w:rPr>
          <w:rFonts w:ascii="Arial" w:hAnsi="Arial" w:cs="Arial"/>
          <w:b/>
          <w:color w:val="000000" w:themeColor="text1"/>
          <w:sz w:val="20"/>
          <w:szCs w:val="20"/>
        </w:rPr>
        <w:t xml:space="preserve">Báo cáo về hoạt động giám sát của Ngân hàng giám sát: </w:t>
      </w:r>
    </w:p>
    <w:p w14:paraId="22B9C9EF" w14:textId="77777777" w:rsidR="003B7BE8" w:rsidRPr="003B7BE8" w:rsidRDefault="003B7BE8" w:rsidP="003B7BE8">
      <w:pPr>
        <w:pStyle w:val="ListParagraph"/>
        <w:tabs>
          <w:tab w:val="left" w:pos="1134"/>
        </w:tabs>
        <w:spacing w:after="0" w:line="360" w:lineRule="auto"/>
        <w:ind w:left="0"/>
        <w:jc w:val="both"/>
        <w:rPr>
          <w:lang w:val="vi-VN"/>
        </w:rPr>
      </w:pPr>
      <w:r w:rsidRPr="003B7BE8">
        <w:rPr>
          <w:lang w:val="vi-VN"/>
        </w:rPr>
        <w:t>Ngân hàng giám sát phải đưa ra ý kiến về sự tuân thủ quy định pháp luật, quy định tại Điều lệ quỹ, Bản cáo bạch của Công ty quản lý quỹ đầu tư Việt Nam (VFM) trong quá trình vận hành và quản lý quỹ Đầu tư trái phiếu Việt Nam (VFMVFB) đối với các nội dung sau:</w:t>
      </w:r>
    </w:p>
    <w:p w14:paraId="4C849D3B" w14:textId="77777777" w:rsidR="003B7BE8" w:rsidRPr="003B7BE8" w:rsidRDefault="003B7BE8" w:rsidP="003B7BE8">
      <w:pPr>
        <w:pStyle w:val="ListParagraph"/>
        <w:numPr>
          <w:ilvl w:val="0"/>
          <w:numId w:val="31"/>
        </w:numPr>
        <w:tabs>
          <w:tab w:val="left" w:pos="270"/>
          <w:tab w:val="left" w:pos="1134"/>
        </w:tabs>
        <w:spacing w:after="0" w:line="360" w:lineRule="auto"/>
        <w:ind w:left="0" w:firstLine="0"/>
        <w:jc w:val="both"/>
        <w:rPr>
          <w:lang w:val="vi-VN"/>
        </w:rPr>
      </w:pPr>
      <w:r w:rsidRPr="003B7BE8">
        <w:rPr>
          <w:i/>
          <w:lang w:val="vi-VN"/>
        </w:rPr>
        <w:t>Thuyết minh về việc thay đổi Ngân hàng giám sát (nếu có):</w:t>
      </w:r>
      <w:r w:rsidRPr="003B7BE8">
        <w:rPr>
          <w:lang w:val="vi-VN"/>
        </w:rPr>
        <w:t xml:space="preserve"> từ 01 tháng 01 năm 2017 đến ngày 3</w:t>
      </w:r>
      <w:r w:rsidRPr="003B7BE8">
        <w:t>1</w:t>
      </w:r>
      <w:r w:rsidRPr="003B7BE8">
        <w:rPr>
          <w:lang w:val="vi-VN"/>
        </w:rPr>
        <w:t xml:space="preserve"> tháng </w:t>
      </w:r>
      <w:r w:rsidRPr="003B7BE8">
        <w:t>12</w:t>
      </w:r>
      <w:r w:rsidRPr="003B7BE8">
        <w:rPr>
          <w:lang w:val="vi-VN"/>
        </w:rPr>
        <w:t xml:space="preserve"> năm 2017, Quỹ không thay đổi Ngân hàng giám sát.</w:t>
      </w:r>
    </w:p>
    <w:p w14:paraId="1690BE3F" w14:textId="77777777" w:rsidR="003B7BE8" w:rsidRPr="003B7BE8" w:rsidRDefault="003B7BE8" w:rsidP="003B7BE8">
      <w:pPr>
        <w:pStyle w:val="ListParagraph"/>
        <w:numPr>
          <w:ilvl w:val="0"/>
          <w:numId w:val="31"/>
        </w:numPr>
        <w:tabs>
          <w:tab w:val="left" w:pos="270"/>
          <w:tab w:val="left" w:pos="1134"/>
        </w:tabs>
        <w:spacing w:after="0" w:line="360" w:lineRule="auto"/>
        <w:ind w:left="0" w:firstLine="0"/>
        <w:jc w:val="both"/>
        <w:rPr>
          <w:szCs w:val="26"/>
          <w:lang w:val="vi-VN"/>
        </w:rPr>
      </w:pPr>
      <w:r w:rsidRPr="003B7BE8">
        <w:rPr>
          <w:i/>
          <w:lang w:val="vi-VN"/>
        </w:rPr>
        <w:t>Việc đầu tư tuân thủ các hạn chế về đầu tư, hạn chế về vay theo quy định pháp luật, quy định tại Điều lệ quỹ, Bản cáo bạch :</w:t>
      </w:r>
      <w:r w:rsidRPr="003B7BE8">
        <w:rPr>
          <w:lang w:val="vi-VN"/>
        </w:rPr>
        <w:t xml:space="preserve"> trong quá trình giám sát hoạt động đầu tư và các giao dịch tài sản của quỹ  Đầu tư trái phiếu Việt Nam (VFMVFB) trong năm 2017, </w:t>
      </w:r>
      <w:r w:rsidRPr="003B7BE8">
        <w:rPr>
          <w:rFonts w:ascii="Times New Roman" w:hAnsi="Times New Roman"/>
          <w:lang w:val="vi-VN"/>
        </w:rPr>
        <w:t xml:space="preserve">hạn mức đầu tư của Quỹ đã phát sinh sai lệch so với quy định tại các văn bản pháp luật chứng khoán hiện hành về quỹ mở, </w:t>
      </w:r>
      <w:r w:rsidRPr="003B7BE8">
        <w:rPr>
          <w:rFonts w:ascii="Times New Roman" w:hAnsi="Times New Roman"/>
        </w:rPr>
        <w:t xml:space="preserve">Điều lệ Quỹ, </w:t>
      </w:r>
      <w:r w:rsidRPr="003B7BE8">
        <w:rPr>
          <w:rFonts w:ascii="Times New Roman" w:hAnsi="Times New Roman"/>
          <w:lang w:val="vi-VN"/>
        </w:rPr>
        <w:t>Bản cáo bạch của Quỹ và văn bản pháp luật có liên quan, cụ thể như sau:</w:t>
      </w:r>
    </w:p>
    <w:p w14:paraId="49DF3A3F" w14:textId="77777777" w:rsidR="003B7BE8" w:rsidRPr="003B7BE8" w:rsidRDefault="003B7BE8" w:rsidP="003B7BE8">
      <w:pPr>
        <w:pStyle w:val="ListParagraph"/>
        <w:numPr>
          <w:ilvl w:val="0"/>
          <w:numId w:val="41"/>
        </w:numPr>
        <w:spacing w:before="120" w:after="120" w:line="360" w:lineRule="auto"/>
        <w:ind w:left="0" w:firstLine="0"/>
        <w:jc w:val="both"/>
        <w:rPr>
          <w:rFonts w:ascii="Times New Roman" w:eastAsiaTheme="minorEastAsia" w:hAnsi="Times New Roman"/>
          <w:lang w:val="nl-NL"/>
        </w:rPr>
      </w:pPr>
      <w:r w:rsidRPr="003B7BE8">
        <w:rPr>
          <w:rFonts w:ascii="Times New Roman" w:eastAsiaTheme="minorEastAsia" w:hAnsi="Times New Roman"/>
          <w:lang w:val="nl-NL"/>
        </w:rPr>
        <w:t>Theo Khoản 10, Điều 1, Thông tư 15/2016/TT-BTC (“Thông tư 15”) ngày 20/01/2016 về việc sửa đổi, bổ sung một số điều của Thông tư số 183/2011/TT-BTC và Điều 11, Điều lệ Quỹ quy định: “Quỹ không được đầu tư quá mười phần trăm (10%) tổng giá trị tài sản của Quỹ vào cổ phiếu, trái phiếu chuẩn bị niêm yết, chuẩn bị đăng ký giao dịch phát hành bởi các tổ chức phát hành hoạt động theo pháp luật Việt Nam; trái phiếu doanh nghiệp phát hành bởi tổ chức niêm yết có bảo lãnh thanh toán của tổ chức tín dụng hoặc cam kết mua lại của tổ chức phát hành”. Trường hợp phát sinh sai lệch, Công ty quản lý Quỹ phải điều chỉnh lại danh mục để đáp ứng quy định pháp luật trong thời gian cho phép.</w:t>
      </w:r>
    </w:p>
    <w:tbl>
      <w:tblPr>
        <w:tblpPr w:leftFromText="180" w:rightFromText="180" w:vertAnchor="text" w:horzAnchor="margin" w:tblpX="108" w:tblpY="6"/>
        <w:tblW w:w="9360" w:type="dxa"/>
        <w:tblLook w:val="04A0" w:firstRow="1" w:lastRow="0" w:firstColumn="1" w:lastColumn="0" w:noHBand="0" w:noVBand="1"/>
      </w:tblPr>
      <w:tblGrid>
        <w:gridCol w:w="1772"/>
        <w:gridCol w:w="2361"/>
        <w:gridCol w:w="1710"/>
        <w:gridCol w:w="1897"/>
        <w:gridCol w:w="1620"/>
      </w:tblGrid>
      <w:tr w:rsidR="003B7BE8" w:rsidRPr="003B7BE8" w14:paraId="4089DC13" w14:textId="77777777" w:rsidTr="00EB2A46">
        <w:trPr>
          <w:trHeight w:val="1230"/>
        </w:trPr>
        <w:tc>
          <w:tcPr>
            <w:tcW w:w="1772" w:type="dxa"/>
            <w:tcBorders>
              <w:top w:val="single" w:sz="4" w:space="0" w:color="auto"/>
              <w:left w:val="single" w:sz="4" w:space="0" w:color="auto"/>
              <w:bottom w:val="single" w:sz="4" w:space="0" w:color="auto"/>
              <w:right w:val="single" w:sz="4" w:space="0" w:color="auto"/>
            </w:tcBorders>
            <w:shd w:val="clear" w:color="000000" w:fill="FFFFFF"/>
            <w:hideMark/>
          </w:tcPr>
          <w:p w14:paraId="13CA680B"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Kỳ định giá</w:t>
            </w:r>
          </w:p>
        </w:tc>
        <w:tc>
          <w:tcPr>
            <w:tcW w:w="2361" w:type="dxa"/>
            <w:tcBorders>
              <w:top w:val="single" w:sz="4" w:space="0" w:color="auto"/>
              <w:left w:val="nil"/>
              <w:bottom w:val="single" w:sz="4" w:space="0" w:color="auto"/>
              <w:right w:val="single" w:sz="4" w:space="0" w:color="auto"/>
            </w:tcBorders>
            <w:shd w:val="clear" w:color="000000" w:fill="FFFFFF"/>
            <w:hideMark/>
          </w:tcPr>
          <w:p w14:paraId="570629B6"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Tỷ trọng đầu tư vào trái phiểu chuẩn bị niêm yết của Công ty CP đầu tư hạ tầng kỹ thuật thành phố Hồ Chí Minh/ Tổng giá trị tài sản</w:t>
            </w:r>
          </w:p>
        </w:tc>
        <w:tc>
          <w:tcPr>
            <w:tcW w:w="1710" w:type="dxa"/>
            <w:tcBorders>
              <w:top w:val="single" w:sz="4" w:space="0" w:color="auto"/>
              <w:left w:val="nil"/>
              <w:bottom w:val="single" w:sz="4" w:space="0" w:color="auto"/>
              <w:right w:val="single" w:sz="4" w:space="0" w:color="auto"/>
            </w:tcBorders>
            <w:shd w:val="clear" w:color="000000" w:fill="FFFFFF"/>
            <w:hideMark/>
          </w:tcPr>
          <w:p w14:paraId="227B2268"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Thời hạn khắc phục theo quy định</w:t>
            </w:r>
          </w:p>
        </w:tc>
        <w:tc>
          <w:tcPr>
            <w:tcW w:w="1897" w:type="dxa"/>
            <w:tcBorders>
              <w:top w:val="single" w:sz="4" w:space="0" w:color="auto"/>
              <w:left w:val="nil"/>
              <w:bottom w:val="single" w:sz="4" w:space="0" w:color="auto"/>
              <w:right w:val="single" w:sz="4" w:space="0" w:color="auto"/>
            </w:tcBorders>
            <w:shd w:val="clear" w:color="000000" w:fill="FFFFFF"/>
            <w:hideMark/>
          </w:tcPr>
          <w:p w14:paraId="68E3A9D9"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Ngày khắc phục</w:t>
            </w:r>
          </w:p>
        </w:tc>
        <w:tc>
          <w:tcPr>
            <w:tcW w:w="1620" w:type="dxa"/>
            <w:tcBorders>
              <w:top w:val="single" w:sz="4" w:space="0" w:color="auto"/>
              <w:left w:val="nil"/>
              <w:bottom w:val="single" w:sz="4" w:space="0" w:color="auto"/>
              <w:right w:val="single" w:sz="4" w:space="0" w:color="auto"/>
            </w:tcBorders>
            <w:shd w:val="clear" w:color="000000" w:fill="FFFFFF"/>
            <w:hideMark/>
          </w:tcPr>
          <w:p w14:paraId="00F7E146"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Tuân thủ Quy định</w:t>
            </w:r>
          </w:p>
        </w:tc>
      </w:tr>
      <w:tr w:rsidR="003B7BE8" w:rsidRPr="003B7BE8" w14:paraId="0CF5D6AD"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03CC8DBD"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22/09/2017</w:t>
            </w:r>
          </w:p>
        </w:tc>
        <w:tc>
          <w:tcPr>
            <w:tcW w:w="2361" w:type="dxa"/>
            <w:tcBorders>
              <w:top w:val="nil"/>
              <w:left w:val="nil"/>
              <w:bottom w:val="single" w:sz="4" w:space="0" w:color="auto"/>
              <w:right w:val="single" w:sz="4" w:space="0" w:color="auto"/>
            </w:tcBorders>
            <w:shd w:val="clear" w:color="000000" w:fill="FFFFFF"/>
            <w:noWrap/>
            <w:vAlign w:val="center"/>
            <w:hideMark/>
          </w:tcPr>
          <w:p w14:paraId="59663984"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11.25%</w:t>
            </w:r>
          </w:p>
        </w:tc>
        <w:tc>
          <w:tcPr>
            <w:tcW w:w="17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B95D16"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22/12/2017</w:t>
            </w:r>
          </w:p>
        </w:tc>
        <w:tc>
          <w:tcPr>
            <w:tcW w:w="189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34F08D"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31/10/2017 (*)</w:t>
            </w:r>
          </w:p>
        </w:tc>
        <w:tc>
          <w:tcPr>
            <w:tcW w:w="16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FD5014"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Tuân thủ</w:t>
            </w:r>
          </w:p>
        </w:tc>
      </w:tr>
      <w:tr w:rsidR="003B7BE8" w:rsidRPr="003B7BE8" w14:paraId="1655F5C3"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4E39624B"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29/09/2017</w:t>
            </w:r>
          </w:p>
        </w:tc>
        <w:tc>
          <w:tcPr>
            <w:tcW w:w="2361" w:type="dxa"/>
            <w:tcBorders>
              <w:top w:val="nil"/>
              <w:left w:val="nil"/>
              <w:bottom w:val="single" w:sz="4" w:space="0" w:color="auto"/>
              <w:right w:val="single" w:sz="4" w:space="0" w:color="auto"/>
            </w:tcBorders>
            <w:shd w:val="clear" w:color="000000" w:fill="FFFFFF"/>
            <w:noWrap/>
            <w:vAlign w:val="center"/>
            <w:hideMark/>
          </w:tcPr>
          <w:p w14:paraId="0A7CC0F9"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13.44%</w:t>
            </w:r>
          </w:p>
        </w:tc>
        <w:tc>
          <w:tcPr>
            <w:tcW w:w="1710" w:type="dxa"/>
            <w:vMerge/>
            <w:tcBorders>
              <w:top w:val="nil"/>
              <w:left w:val="single" w:sz="4" w:space="0" w:color="auto"/>
              <w:bottom w:val="single" w:sz="4" w:space="0" w:color="000000"/>
              <w:right w:val="single" w:sz="4" w:space="0" w:color="auto"/>
            </w:tcBorders>
            <w:vAlign w:val="center"/>
            <w:hideMark/>
          </w:tcPr>
          <w:p w14:paraId="6F03CF3F"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897" w:type="dxa"/>
            <w:vMerge/>
            <w:tcBorders>
              <w:top w:val="nil"/>
              <w:left w:val="single" w:sz="4" w:space="0" w:color="auto"/>
              <w:bottom w:val="single" w:sz="4" w:space="0" w:color="000000"/>
              <w:right w:val="single" w:sz="4" w:space="0" w:color="auto"/>
            </w:tcBorders>
            <w:vAlign w:val="center"/>
            <w:hideMark/>
          </w:tcPr>
          <w:p w14:paraId="003285F9"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2D4A4C18"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r>
      <w:tr w:rsidR="003B7BE8" w:rsidRPr="003B7BE8" w14:paraId="6816696A"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7AC1EED0"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30/09/2017 (*)</w:t>
            </w:r>
          </w:p>
        </w:tc>
        <w:tc>
          <w:tcPr>
            <w:tcW w:w="2361" w:type="dxa"/>
            <w:tcBorders>
              <w:top w:val="nil"/>
              <w:left w:val="nil"/>
              <w:bottom w:val="single" w:sz="4" w:space="0" w:color="auto"/>
              <w:right w:val="single" w:sz="4" w:space="0" w:color="auto"/>
            </w:tcBorders>
            <w:shd w:val="clear" w:color="000000" w:fill="FFFFFF"/>
            <w:noWrap/>
            <w:vAlign w:val="center"/>
            <w:hideMark/>
          </w:tcPr>
          <w:p w14:paraId="7CF38B82"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13.45%</w:t>
            </w:r>
          </w:p>
        </w:tc>
        <w:tc>
          <w:tcPr>
            <w:tcW w:w="1710" w:type="dxa"/>
            <w:vMerge/>
            <w:tcBorders>
              <w:top w:val="nil"/>
              <w:left w:val="single" w:sz="4" w:space="0" w:color="auto"/>
              <w:bottom w:val="single" w:sz="4" w:space="0" w:color="000000"/>
              <w:right w:val="single" w:sz="4" w:space="0" w:color="auto"/>
            </w:tcBorders>
            <w:vAlign w:val="center"/>
            <w:hideMark/>
          </w:tcPr>
          <w:p w14:paraId="263BF470"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897" w:type="dxa"/>
            <w:vMerge/>
            <w:tcBorders>
              <w:top w:val="nil"/>
              <w:left w:val="single" w:sz="4" w:space="0" w:color="auto"/>
              <w:bottom w:val="single" w:sz="4" w:space="0" w:color="000000"/>
              <w:right w:val="single" w:sz="4" w:space="0" w:color="auto"/>
            </w:tcBorders>
            <w:vAlign w:val="center"/>
            <w:hideMark/>
          </w:tcPr>
          <w:p w14:paraId="651D2A0D"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2AE32BDC"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r>
      <w:tr w:rsidR="003B7BE8" w:rsidRPr="003B7BE8" w14:paraId="6CFFEC26"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3ED70730"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06/10/2017</w:t>
            </w:r>
          </w:p>
        </w:tc>
        <w:tc>
          <w:tcPr>
            <w:tcW w:w="2361" w:type="dxa"/>
            <w:tcBorders>
              <w:top w:val="nil"/>
              <w:left w:val="nil"/>
              <w:bottom w:val="single" w:sz="4" w:space="0" w:color="auto"/>
              <w:right w:val="single" w:sz="4" w:space="0" w:color="auto"/>
            </w:tcBorders>
            <w:shd w:val="clear" w:color="000000" w:fill="FFFFFF"/>
            <w:noWrap/>
            <w:vAlign w:val="center"/>
            <w:hideMark/>
          </w:tcPr>
          <w:p w14:paraId="5A3B83B1"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10.77%</w:t>
            </w:r>
          </w:p>
        </w:tc>
        <w:tc>
          <w:tcPr>
            <w:tcW w:w="1710" w:type="dxa"/>
            <w:vMerge/>
            <w:tcBorders>
              <w:top w:val="nil"/>
              <w:left w:val="single" w:sz="4" w:space="0" w:color="auto"/>
              <w:bottom w:val="single" w:sz="4" w:space="0" w:color="000000"/>
              <w:right w:val="single" w:sz="4" w:space="0" w:color="auto"/>
            </w:tcBorders>
            <w:vAlign w:val="center"/>
            <w:hideMark/>
          </w:tcPr>
          <w:p w14:paraId="3838138A"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897" w:type="dxa"/>
            <w:vMerge/>
            <w:tcBorders>
              <w:top w:val="nil"/>
              <w:left w:val="single" w:sz="4" w:space="0" w:color="auto"/>
              <w:bottom w:val="single" w:sz="4" w:space="0" w:color="000000"/>
              <w:right w:val="single" w:sz="4" w:space="0" w:color="auto"/>
            </w:tcBorders>
            <w:vAlign w:val="center"/>
            <w:hideMark/>
          </w:tcPr>
          <w:p w14:paraId="5A5260BC"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2555F0B4"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r>
      <w:tr w:rsidR="003B7BE8" w:rsidRPr="003B7BE8" w14:paraId="7D67A80A"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311367F0"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13/10/2017</w:t>
            </w:r>
          </w:p>
        </w:tc>
        <w:tc>
          <w:tcPr>
            <w:tcW w:w="2361" w:type="dxa"/>
            <w:tcBorders>
              <w:top w:val="nil"/>
              <w:left w:val="nil"/>
              <w:bottom w:val="single" w:sz="4" w:space="0" w:color="auto"/>
              <w:right w:val="single" w:sz="4" w:space="0" w:color="auto"/>
            </w:tcBorders>
            <w:shd w:val="clear" w:color="000000" w:fill="FFFFFF"/>
            <w:noWrap/>
            <w:vAlign w:val="center"/>
            <w:hideMark/>
          </w:tcPr>
          <w:p w14:paraId="50873F06"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11.39%</w:t>
            </w:r>
          </w:p>
        </w:tc>
        <w:tc>
          <w:tcPr>
            <w:tcW w:w="1710" w:type="dxa"/>
            <w:vMerge/>
            <w:tcBorders>
              <w:top w:val="nil"/>
              <w:left w:val="single" w:sz="4" w:space="0" w:color="auto"/>
              <w:bottom w:val="single" w:sz="4" w:space="0" w:color="000000"/>
              <w:right w:val="single" w:sz="4" w:space="0" w:color="auto"/>
            </w:tcBorders>
            <w:vAlign w:val="center"/>
            <w:hideMark/>
          </w:tcPr>
          <w:p w14:paraId="6F89A50A"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897" w:type="dxa"/>
            <w:vMerge/>
            <w:tcBorders>
              <w:top w:val="nil"/>
              <w:left w:val="single" w:sz="4" w:space="0" w:color="auto"/>
              <w:bottom w:val="single" w:sz="4" w:space="0" w:color="000000"/>
              <w:right w:val="single" w:sz="4" w:space="0" w:color="auto"/>
            </w:tcBorders>
            <w:vAlign w:val="center"/>
            <w:hideMark/>
          </w:tcPr>
          <w:p w14:paraId="0E8D6500"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616867EC"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r>
      <w:tr w:rsidR="003B7BE8" w:rsidRPr="003B7BE8" w14:paraId="3580CF07"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0CA689A3"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20/10/2017</w:t>
            </w:r>
          </w:p>
        </w:tc>
        <w:tc>
          <w:tcPr>
            <w:tcW w:w="2361" w:type="dxa"/>
            <w:tcBorders>
              <w:top w:val="nil"/>
              <w:left w:val="nil"/>
              <w:bottom w:val="single" w:sz="4" w:space="0" w:color="auto"/>
              <w:right w:val="single" w:sz="4" w:space="0" w:color="auto"/>
            </w:tcBorders>
            <w:shd w:val="clear" w:color="000000" w:fill="FFFFFF"/>
            <w:noWrap/>
            <w:vAlign w:val="center"/>
            <w:hideMark/>
          </w:tcPr>
          <w:p w14:paraId="6BFAEB62"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11.80%</w:t>
            </w:r>
          </w:p>
        </w:tc>
        <w:tc>
          <w:tcPr>
            <w:tcW w:w="1710" w:type="dxa"/>
            <w:vMerge/>
            <w:tcBorders>
              <w:top w:val="nil"/>
              <w:left w:val="single" w:sz="4" w:space="0" w:color="auto"/>
              <w:bottom w:val="single" w:sz="4" w:space="0" w:color="000000"/>
              <w:right w:val="single" w:sz="4" w:space="0" w:color="auto"/>
            </w:tcBorders>
            <w:vAlign w:val="center"/>
            <w:hideMark/>
          </w:tcPr>
          <w:p w14:paraId="1424FF26"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897" w:type="dxa"/>
            <w:vMerge/>
            <w:tcBorders>
              <w:top w:val="nil"/>
              <w:left w:val="single" w:sz="4" w:space="0" w:color="auto"/>
              <w:bottom w:val="single" w:sz="4" w:space="0" w:color="000000"/>
              <w:right w:val="single" w:sz="4" w:space="0" w:color="auto"/>
            </w:tcBorders>
            <w:vAlign w:val="center"/>
            <w:hideMark/>
          </w:tcPr>
          <w:p w14:paraId="6A5D01AF"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0D168F36"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r>
      <w:tr w:rsidR="003B7BE8" w:rsidRPr="003B7BE8" w14:paraId="0AA2BB80" w14:textId="77777777" w:rsidTr="00EB2A46">
        <w:trPr>
          <w:trHeight w:val="402"/>
        </w:trPr>
        <w:tc>
          <w:tcPr>
            <w:tcW w:w="1772" w:type="dxa"/>
            <w:tcBorders>
              <w:top w:val="nil"/>
              <w:left w:val="single" w:sz="4" w:space="0" w:color="auto"/>
              <w:bottom w:val="single" w:sz="4" w:space="0" w:color="auto"/>
              <w:right w:val="single" w:sz="4" w:space="0" w:color="auto"/>
            </w:tcBorders>
            <w:shd w:val="clear" w:color="000000" w:fill="FFFFFF"/>
            <w:vAlign w:val="center"/>
            <w:hideMark/>
          </w:tcPr>
          <w:p w14:paraId="2993132A"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27/10/2017</w:t>
            </w:r>
          </w:p>
        </w:tc>
        <w:tc>
          <w:tcPr>
            <w:tcW w:w="2361" w:type="dxa"/>
            <w:tcBorders>
              <w:top w:val="nil"/>
              <w:left w:val="nil"/>
              <w:bottom w:val="single" w:sz="4" w:space="0" w:color="auto"/>
              <w:right w:val="single" w:sz="4" w:space="0" w:color="auto"/>
            </w:tcBorders>
            <w:shd w:val="clear" w:color="000000" w:fill="FFFFFF"/>
            <w:vAlign w:val="center"/>
            <w:hideMark/>
          </w:tcPr>
          <w:p w14:paraId="0A530103" w14:textId="77777777" w:rsidR="003B7BE8" w:rsidRPr="003B7BE8" w:rsidRDefault="003B7BE8" w:rsidP="00EB2A46">
            <w:pPr>
              <w:spacing w:after="0" w:line="240" w:lineRule="auto"/>
              <w:jc w:val="center"/>
              <w:rPr>
                <w:rFonts w:ascii="Times New Roman" w:eastAsia="Times New Roman" w:hAnsi="Times New Roman"/>
                <w:color w:val="161718"/>
                <w:lang w:val="en-GB" w:eastAsia="en-GB"/>
              </w:rPr>
            </w:pPr>
            <w:r w:rsidRPr="003B7BE8">
              <w:rPr>
                <w:rFonts w:ascii="Times New Roman" w:eastAsia="Times New Roman" w:hAnsi="Times New Roman"/>
                <w:color w:val="161718"/>
                <w:lang w:val="en-GB" w:eastAsia="en-GB"/>
              </w:rPr>
              <w:t>12.35%</w:t>
            </w:r>
          </w:p>
        </w:tc>
        <w:tc>
          <w:tcPr>
            <w:tcW w:w="1710" w:type="dxa"/>
            <w:vMerge/>
            <w:tcBorders>
              <w:top w:val="nil"/>
              <w:left w:val="single" w:sz="4" w:space="0" w:color="auto"/>
              <w:bottom w:val="single" w:sz="4" w:space="0" w:color="000000"/>
              <w:right w:val="single" w:sz="4" w:space="0" w:color="auto"/>
            </w:tcBorders>
            <w:vAlign w:val="center"/>
            <w:hideMark/>
          </w:tcPr>
          <w:p w14:paraId="2D5A7FE5"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897" w:type="dxa"/>
            <w:vMerge/>
            <w:tcBorders>
              <w:top w:val="nil"/>
              <w:left w:val="single" w:sz="4" w:space="0" w:color="auto"/>
              <w:bottom w:val="single" w:sz="4" w:space="0" w:color="000000"/>
              <w:right w:val="single" w:sz="4" w:space="0" w:color="auto"/>
            </w:tcBorders>
            <w:vAlign w:val="center"/>
            <w:hideMark/>
          </w:tcPr>
          <w:p w14:paraId="03E949B0"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27BCA215" w14:textId="77777777" w:rsidR="003B7BE8" w:rsidRPr="003B7BE8" w:rsidRDefault="003B7BE8" w:rsidP="00EB2A46">
            <w:pPr>
              <w:spacing w:after="0" w:line="240" w:lineRule="auto"/>
              <w:rPr>
                <w:rFonts w:ascii="Times New Roman" w:eastAsia="Times New Roman" w:hAnsi="Times New Roman"/>
                <w:color w:val="161718"/>
                <w:lang w:val="en-GB" w:eastAsia="en-GB"/>
              </w:rPr>
            </w:pPr>
          </w:p>
        </w:tc>
      </w:tr>
    </w:tbl>
    <w:p w14:paraId="1FFFD600" w14:textId="77777777" w:rsidR="003B7BE8" w:rsidRPr="003B7BE8" w:rsidRDefault="003B7BE8" w:rsidP="003B7BE8">
      <w:pPr>
        <w:pStyle w:val="ListParagraph"/>
        <w:spacing w:before="120" w:after="120" w:line="360" w:lineRule="auto"/>
        <w:ind w:left="0"/>
        <w:jc w:val="both"/>
        <w:rPr>
          <w:rFonts w:ascii="Times New Roman" w:eastAsiaTheme="minorEastAsia" w:hAnsi="Times New Roman"/>
          <w:lang w:val="nl-NL"/>
        </w:rPr>
      </w:pPr>
      <w:r w:rsidRPr="003B7BE8">
        <w:rPr>
          <w:rFonts w:ascii="Times New Roman" w:eastAsiaTheme="minorEastAsia" w:hAnsi="Times New Roman"/>
          <w:lang w:val="nl-NL"/>
        </w:rPr>
        <w:t>(*) Tại ngày</w:t>
      </w:r>
    </w:p>
    <w:p w14:paraId="34C16FD4" w14:textId="77777777" w:rsidR="003B7BE8" w:rsidRPr="003B7BE8" w:rsidRDefault="003B7BE8" w:rsidP="003B7BE8">
      <w:pPr>
        <w:pStyle w:val="ListParagraph"/>
        <w:spacing w:before="120" w:after="120" w:line="360" w:lineRule="auto"/>
        <w:ind w:left="0"/>
        <w:jc w:val="both"/>
        <w:rPr>
          <w:rFonts w:ascii="Times New Roman" w:eastAsiaTheme="minorEastAsia" w:hAnsi="Times New Roman"/>
          <w:lang w:val="nl-NL"/>
        </w:rPr>
      </w:pPr>
      <w:r w:rsidRPr="003B7BE8">
        <w:rPr>
          <w:rFonts w:ascii="Times New Roman" w:eastAsiaTheme="minorEastAsia" w:hAnsi="Times New Roman"/>
          <w:lang w:val="nl-NL"/>
        </w:rPr>
        <w:t>Tại các thời điểm phát sinh sai lệch,  Ngân hàng TNHH MTV Standard Chartered (Việt Nam) ("SCBVL") đã gửi công văn tới Công ty Quản lý Quỹ để thông báo về tình trạng phát sinh sai lệch đồng thời kiến nghị Công ty Quản lý Quỹ có những biện pháp quản lý và điều chỉnh cơ cấu danh mục đầu tư của Quỹ để đáp ứng các hạn mức đầu tư trong thời hạn quy định theo Thông tư và Điều lệ Quỹ.</w:t>
      </w:r>
    </w:p>
    <w:p w14:paraId="7BEBE9D6" w14:textId="77777777" w:rsidR="003B7BE8" w:rsidRPr="003B7BE8" w:rsidRDefault="003B7BE8" w:rsidP="003B7BE8">
      <w:pPr>
        <w:pStyle w:val="ListParagraph"/>
        <w:spacing w:before="120" w:after="120" w:line="360" w:lineRule="auto"/>
        <w:ind w:left="0"/>
        <w:jc w:val="both"/>
        <w:rPr>
          <w:rFonts w:ascii="Times New Roman" w:eastAsiaTheme="minorEastAsia" w:hAnsi="Times New Roman"/>
          <w:lang w:val="nl-NL"/>
        </w:rPr>
      </w:pPr>
      <w:r w:rsidRPr="003B7BE8">
        <w:rPr>
          <w:rFonts w:ascii="Times New Roman" w:eastAsiaTheme="minorEastAsia" w:hAnsi="Times New Roman"/>
          <w:lang w:val="nl-NL"/>
        </w:rPr>
        <w:t>Công ty quản lý Quỹ đã thực hiện điều chỉnh danh mục đầu tư để đáp ứng hạn mức đầu tư theo quy định pháp luật trong thời gian cho phép đối với các trường hợp phát sinh sai lệch nêu trên tại ngày 31 tháng 10 năm 2017.</w:t>
      </w:r>
    </w:p>
    <w:p w14:paraId="24769E12" w14:textId="77777777" w:rsidR="003B7BE8" w:rsidRPr="003B7BE8" w:rsidRDefault="003B7BE8" w:rsidP="003B7BE8">
      <w:pPr>
        <w:pStyle w:val="ListParagraph"/>
        <w:tabs>
          <w:tab w:val="left" w:pos="270"/>
          <w:tab w:val="left" w:pos="1134"/>
        </w:tabs>
        <w:spacing w:after="0" w:line="360" w:lineRule="auto"/>
        <w:ind w:left="0"/>
        <w:jc w:val="both"/>
        <w:rPr>
          <w:szCs w:val="26"/>
          <w:lang w:val="vi-VN"/>
        </w:rPr>
      </w:pPr>
      <w:r w:rsidRPr="003B7BE8">
        <w:rPr>
          <w:szCs w:val="26"/>
          <w:lang w:val="vi-VN"/>
        </w:rPr>
        <w:t xml:space="preserve">Tại ngày 31 tháng 12 năm 2017, cơ cấu đầu tư của Quỹ đã tuân thủ các quy định tại các văn bản pháp luật chứng khoán hiện hành về Quỹ mở, </w:t>
      </w:r>
      <w:r w:rsidRPr="003B7BE8">
        <w:rPr>
          <w:szCs w:val="26"/>
        </w:rPr>
        <w:t xml:space="preserve">Điều lệ Quỹ, </w:t>
      </w:r>
      <w:r w:rsidRPr="003B7BE8">
        <w:rPr>
          <w:szCs w:val="26"/>
          <w:lang w:val="vi-VN"/>
        </w:rPr>
        <w:t>Bản cáo bạch của Quỹ và văn bản pháp luật liên quan.</w:t>
      </w:r>
    </w:p>
    <w:p w14:paraId="759ADE98" w14:textId="77777777" w:rsidR="003B7BE8" w:rsidRPr="003B7BE8" w:rsidRDefault="003B7BE8" w:rsidP="003B7BE8">
      <w:pPr>
        <w:tabs>
          <w:tab w:val="left" w:pos="270"/>
          <w:tab w:val="left" w:pos="1134"/>
        </w:tabs>
        <w:spacing w:after="0" w:line="360" w:lineRule="auto"/>
        <w:jc w:val="both"/>
        <w:rPr>
          <w:lang w:val="vi-VN"/>
        </w:rPr>
      </w:pPr>
      <w:r w:rsidRPr="003B7BE8">
        <w:rPr>
          <w:lang w:val="vi-VN"/>
        </w:rPr>
        <w:t>Từ ngày 01 tháng 01 năm 2017 đến ngày 3</w:t>
      </w:r>
      <w:r w:rsidRPr="003B7BE8">
        <w:t>1</w:t>
      </w:r>
      <w:r w:rsidRPr="003B7BE8">
        <w:rPr>
          <w:lang w:val="vi-VN"/>
        </w:rPr>
        <w:t xml:space="preserve"> tháng </w:t>
      </w:r>
      <w:r w:rsidRPr="003B7BE8">
        <w:t>12</w:t>
      </w:r>
      <w:r w:rsidRPr="003B7BE8">
        <w:rPr>
          <w:lang w:val="vi-VN"/>
        </w:rPr>
        <w:t xml:space="preserve"> năm 2017, Quỹ không có bất kỳ hợp đồng vay và cho vay.</w:t>
      </w:r>
    </w:p>
    <w:p w14:paraId="515A670D" w14:textId="77777777" w:rsidR="003B7BE8" w:rsidRPr="003B7BE8" w:rsidRDefault="003B7BE8" w:rsidP="003B7BE8">
      <w:pPr>
        <w:pStyle w:val="ListParagraph"/>
        <w:numPr>
          <w:ilvl w:val="0"/>
          <w:numId w:val="31"/>
        </w:numPr>
        <w:tabs>
          <w:tab w:val="left" w:pos="270"/>
          <w:tab w:val="left" w:pos="1134"/>
        </w:tabs>
        <w:spacing w:after="0" w:line="360" w:lineRule="auto"/>
        <w:ind w:left="0" w:firstLine="0"/>
        <w:jc w:val="both"/>
        <w:rPr>
          <w:lang w:val="vi-VN"/>
        </w:rPr>
      </w:pPr>
      <w:r w:rsidRPr="003B7BE8">
        <w:rPr>
          <w:i/>
          <w:lang w:val="vi-VN"/>
        </w:rPr>
        <w:t>Việc xác định giá, đánh giá tài sản ròng của Quỹ:</w:t>
      </w:r>
      <w:r w:rsidRPr="003B7BE8">
        <w:rPr>
          <w:lang w:val="vi-VN"/>
        </w:rPr>
        <w:t xml:space="preserve"> việc xác định giá trị tài sản ròng của Quỹ đã tuân thủ theo quy định pháp luật, quy định tại Điều lệ quỹ, Bản cáo bạch và các văn bản pháp luật có liên quan.</w:t>
      </w:r>
    </w:p>
    <w:p w14:paraId="1430450D" w14:textId="77777777" w:rsidR="003B7BE8" w:rsidRPr="003B7BE8" w:rsidRDefault="003B7BE8" w:rsidP="003B7BE8">
      <w:pPr>
        <w:pStyle w:val="ListParagraph"/>
        <w:numPr>
          <w:ilvl w:val="0"/>
          <w:numId w:val="31"/>
        </w:numPr>
        <w:tabs>
          <w:tab w:val="left" w:pos="270"/>
          <w:tab w:val="left" w:pos="1134"/>
        </w:tabs>
        <w:spacing w:after="0" w:line="360" w:lineRule="auto"/>
        <w:ind w:left="0" w:firstLine="0"/>
        <w:jc w:val="both"/>
        <w:rPr>
          <w:lang w:val="vi-VN"/>
        </w:rPr>
      </w:pPr>
      <w:r w:rsidRPr="003B7BE8">
        <w:rPr>
          <w:i/>
          <w:lang w:val="vi-VN"/>
        </w:rPr>
        <w:t>Việc phát hành bổ sung chứng chỉ quỹ, mua lại chứng chỉ quỹ:</w:t>
      </w:r>
      <w:r w:rsidRPr="003B7BE8">
        <w:rPr>
          <w:lang w:val="vi-VN"/>
        </w:rPr>
        <w:t xml:space="preserve"> việc phát hành bổ sung chứng chỉ quỹ, mua lại chứng chỉ quỹ được tuân thủ theo quy định pháp luật liên quan hiện hành, quy định tại Điều lệ quỹ, Bản cáo bạch. </w:t>
      </w:r>
    </w:p>
    <w:p w14:paraId="1AD5C9B5" w14:textId="77777777" w:rsidR="003B7BE8" w:rsidRPr="003B7BE8" w:rsidRDefault="003B7BE8" w:rsidP="003B7BE8">
      <w:pPr>
        <w:pStyle w:val="ListParagraph"/>
        <w:tabs>
          <w:tab w:val="left" w:pos="270"/>
          <w:tab w:val="left" w:pos="1134"/>
        </w:tabs>
        <w:spacing w:after="0" w:line="360" w:lineRule="auto"/>
        <w:ind w:left="0"/>
        <w:jc w:val="both"/>
        <w:rPr>
          <w:lang w:val="vi-VN"/>
        </w:rPr>
      </w:pPr>
      <w:r w:rsidRPr="003B7BE8">
        <w:rPr>
          <w:lang w:val="vi-VN"/>
        </w:rPr>
        <w:t>Từ ngày 01/01/2017 ngày 3</w:t>
      </w:r>
      <w:r w:rsidRPr="003B7BE8">
        <w:t>1</w:t>
      </w:r>
      <w:r w:rsidRPr="003B7BE8">
        <w:rPr>
          <w:lang w:val="vi-VN"/>
        </w:rPr>
        <w:t>/</w:t>
      </w:r>
      <w:r w:rsidRPr="003B7BE8">
        <w:t>12</w:t>
      </w:r>
      <w:r w:rsidRPr="003B7BE8">
        <w:rPr>
          <w:lang w:val="vi-VN"/>
        </w:rPr>
        <w:t>/2017, Quỹ đã thực hiện:</w:t>
      </w:r>
    </w:p>
    <w:p w14:paraId="16A7F142" w14:textId="77777777" w:rsidR="003B7BE8" w:rsidRPr="003B7BE8" w:rsidRDefault="003B7BE8" w:rsidP="003B7BE8">
      <w:pPr>
        <w:pStyle w:val="ListParagraph"/>
        <w:numPr>
          <w:ilvl w:val="0"/>
          <w:numId w:val="40"/>
        </w:numPr>
        <w:tabs>
          <w:tab w:val="left" w:pos="270"/>
          <w:tab w:val="left" w:pos="1134"/>
        </w:tabs>
        <w:spacing w:after="0" w:line="360" w:lineRule="auto"/>
        <w:jc w:val="both"/>
        <w:rPr>
          <w:lang w:val="vi-VN"/>
        </w:rPr>
      </w:pPr>
      <w:r w:rsidRPr="003B7BE8">
        <w:rPr>
          <w:lang w:val="vi-VN"/>
        </w:rPr>
        <w:t xml:space="preserve">Phát hành thêm chứng chỉ Quỹ: phát hành thêm </w:t>
      </w:r>
      <w:r w:rsidRPr="003B7BE8">
        <w:t>48,323,198.67</w:t>
      </w:r>
      <w:r w:rsidRPr="003B7BE8">
        <w:rPr>
          <w:lang w:val="vi-VN"/>
        </w:rPr>
        <w:t xml:space="preserve"> chứng chỉ Quỹ tương ứng với tổng giá trị phát hành theo mệnh giá là </w:t>
      </w:r>
      <w:r w:rsidRPr="003B7BE8">
        <w:t>483,231,986,7</w:t>
      </w:r>
      <w:r w:rsidRPr="003B7BE8">
        <w:rPr>
          <w:lang w:val="vi-VN"/>
        </w:rPr>
        <w:t>00 đồng.</w:t>
      </w:r>
    </w:p>
    <w:p w14:paraId="43DF35E9" w14:textId="77777777" w:rsidR="003B7BE8" w:rsidRPr="003B7BE8" w:rsidRDefault="003B7BE8" w:rsidP="003B7BE8">
      <w:pPr>
        <w:pStyle w:val="ListParagraph"/>
        <w:numPr>
          <w:ilvl w:val="0"/>
          <w:numId w:val="40"/>
        </w:numPr>
        <w:tabs>
          <w:tab w:val="left" w:pos="270"/>
          <w:tab w:val="left" w:pos="1134"/>
        </w:tabs>
        <w:spacing w:after="0" w:line="360" w:lineRule="auto"/>
        <w:jc w:val="both"/>
        <w:rPr>
          <w:lang w:val="vi-VN"/>
        </w:rPr>
      </w:pPr>
      <w:r w:rsidRPr="003B7BE8">
        <w:rPr>
          <w:lang w:val="vi-VN"/>
        </w:rPr>
        <w:t xml:space="preserve">Mua lại chứng chỉ Quỹ: Quỹ mua lại </w:t>
      </w:r>
      <w:r w:rsidRPr="003B7BE8">
        <w:t>33,288,689.</w:t>
      </w:r>
      <w:r w:rsidRPr="003B7BE8">
        <w:rPr>
          <w:lang w:val="vi-VN"/>
        </w:rPr>
        <w:t>2</w:t>
      </w:r>
      <w:r w:rsidRPr="003B7BE8">
        <w:t>5</w:t>
      </w:r>
      <w:r w:rsidRPr="003B7BE8">
        <w:rPr>
          <w:lang w:val="vi-VN"/>
        </w:rPr>
        <w:t xml:space="preserve"> chứng chỉ Quỹ tương ứng với tổng giá trị mua lại theo mệnh giá là </w:t>
      </w:r>
      <w:r w:rsidRPr="003B7BE8">
        <w:t>332,886,892,5</w:t>
      </w:r>
      <w:r w:rsidRPr="003B7BE8">
        <w:rPr>
          <w:lang w:val="vi-VN"/>
        </w:rPr>
        <w:t>00 đồng.</w:t>
      </w:r>
    </w:p>
    <w:p w14:paraId="365FB6A3" w14:textId="3294307A" w:rsidR="003B7BE8" w:rsidRPr="003B7BE8" w:rsidRDefault="003B7BE8" w:rsidP="003B7BE8">
      <w:pPr>
        <w:pStyle w:val="ListParagraph"/>
        <w:tabs>
          <w:tab w:val="left" w:pos="270"/>
          <w:tab w:val="left" w:pos="1134"/>
        </w:tabs>
        <w:spacing w:after="0" w:line="360" w:lineRule="auto"/>
        <w:ind w:left="0"/>
        <w:jc w:val="both"/>
        <w:rPr>
          <w:szCs w:val="26"/>
          <w:lang w:val="vi-VN"/>
        </w:rPr>
      </w:pPr>
      <w:r w:rsidRPr="003B7BE8">
        <w:rPr>
          <w:i/>
          <w:lang w:val="vi-VN"/>
        </w:rPr>
        <w:t>e) Việc phân chia lợi nhuận của quỹ:</w:t>
      </w:r>
      <w:r w:rsidRPr="003B7BE8">
        <w:rPr>
          <w:lang w:val="vi-VN"/>
        </w:rPr>
        <w:t xml:space="preserve"> từ ngày 01/01/2017 đến ngày </w:t>
      </w:r>
      <w:r w:rsidRPr="003B7BE8">
        <w:t>31</w:t>
      </w:r>
      <w:r w:rsidRPr="003B7BE8">
        <w:rPr>
          <w:lang w:val="vi-VN"/>
        </w:rPr>
        <w:t>/</w:t>
      </w:r>
      <w:r w:rsidRPr="003B7BE8">
        <w:t>12</w:t>
      </w:r>
      <w:r w:rsidRPr="003B7BE8">
        <w:rPr>
          <w:lang w:val="vi-VN"/>
        </w:rPr>
        <w:t>/2017, Quỹ không thực hiện phân phối lợi nhuận cho nhà đầu tư.</w:t>
      </w:r>
    </w:p>
    <w:p w14:paraId="2070EADE" w14:textId="23E49863" w:rsidR="0054640D" w:rsidRPr="00556831" w:rsidRDefault="003B7BE8" w:rsidP="007D71BB">
      <w:pPr>
        <w:jc w:val="both"/>
        <w:rPr>
          <w:rFonts w:ascii="Arial" w:hAnsi="Arial" w:cs="Arial"/>
          <w:b/>
          <w:color w:val="000000" w:themeColor="text1"/>
          <w:sz w:val="20"/>
          <w:szCs w:val="20"/>
        </w:rPr>
      </w:pPr>
      <w:r w:rsidRPr="003B7BE8">
        <w:rPr>
          <w:rFonts w:ascii="Arial" w:hAnsi="Arial" w:cs="Arial"/>
          <w:b/>
          <w:color w:val="000000" w:themeColor="text1"/>
          <w:sz w:val="20"/>
          <w:szCs w:val="20"/>
        </w:rPr>
        <w:t>5</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 </w:t>
      </w:r>
      <w:r w:rsidR="00D84438" w:rsidRPr="00556831">
        <w:rPr>
          <w:rFonts w:ascii="Arial" w:hAnsi="Arial" w:cs="Arial"/>
          <w:b/>
          <w:color w:val="000000" w:themeColor="text1"/>
          <w:sz w:val="20"/>
          <w:szCs w:val="20"/>
        </w:rPr>
        <w:t>Báo cáo về hoạt động ủy quyền</w:t>
      </w:r>
    </w:p>
    <w:p w14:paraId="26EF1660" w14:textId="77777777"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3D3A1E8B" w14:textId="77777777"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002" w:type="dxa"/>
        <w:tblInd w:w="93" w:type="dxa"/>
        <w:tblLook w:val="04A0" w:firstRow="1" w:lastRow="0" w:firstColumn="1" w:lastColumn="0" w:noHBand="0" w:noVBand="1"/>
      </w:tblPr>
      <w:tblGrid>
        <w:gridCol w:w="3975"/>
        <w:gridCol w:w="1620"/>
        <w:gridCol w:w="1890"/>
        <w:gridCol w:w="1517"/>
      </w:tblGrid>
      <w:tr w:rsidR="001319EE" w:rsidRPr="0054640D" w14:paraId="46D8D97E" w14:textId="77777777" w:rsidTr="00534BD1">
        <w:trPr>
          <w:trHeight w:val="322"/>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80C7" w14:textId="77777777"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0033AAB"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lợi nhuận</w:t>
            </w:r>
          </w:p>
        </w:tc>
        <w:tc>
          <w:tcPr>
            <w:tcW w:w="1890" w:type="dxa"/>
            <w:tcBorders>
              <w:top w:val="single" w:sz="4" w:space="0" w:color="auto"/>
              <w:left w:val="nil"/>
              <w:bottom w:val="single" w:sz="4" w:space="0" w:color="auto"/>
              <w:right w:val="single" w:sz="4" w:space="0" w:color="auto"/>
            </w:tcBorders>
            <w:vAlign w:val="bottom"/>
          </w:tcPr>
          <w:p w14:paraId="26EE8D03"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chi phí hoạt động</w:t>
            </w:r>
          </w:p>
        </w:tc>
        <w:tc>
          <w:tcPr>
            <w:tcW w:w="1517" w:type="dxa"/>
            <w:tcBorders>
              <w:top w:val="single" w:sz="4" w:space="0" w:color="auto"/>
              <w:left w:val="single" w:sz="4" w:space="0" w:color="auto"/>
              <w:bottom w:val="single" w:sz="4" w:space="0" w:color="auto"/>
              <w:right w:val="single" w:sz="4" w:space="0" w:color="auto"/>
            </w:tcBorders>
          </w:tcPr>
          <w:p w14:paraId="28A46C3B" w14:textId="77777777"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thu nhập</w:t>
            </w:r>
          </w:p>
        </w:tc>
      </w:tr>
      <w:tr w:rsidR="001319EE" w:rsidRPr="0054640D" w14:paraId="248E0783" w14:textId="77777777" w:rsidTr="00C9715A">
        <w:trPr>
          <w:trHeight w:val="355"/>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081C8A3F"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đại lý chuyển nhượng </w:t>
            </w:r>
          </w:p>
        </w:tc>
        <w:tc>
          <w:tcPr>
            <w:tcW w:w="1620" w:type="dxa"/>
            <w:tcBorders>
              <w:top w:val="nil"/>
              <w:left w:val="nil"/>
              <w:bottom w:val="single" w:sz="4" w:space="0" w:color="auto"/>
              <w:right w:val="single" w:sz="4" w:space="0" w:color="auto"/>
            </w:tcBorders>
            <w:shd w:val="clear" w:color="auto" w:fill="auto"/>
            <w:noWrap/>
            <w:vAlign w:val="bottom"/>
          </w:tcPr>
          <w:p w14:paraId="49F053B3" w14:textId="55C54F70" w:rsidR="007C577C" w:rsidRPr="00556831" w:rsidRDefault="00C9715A" w:rsidP="007D71BB">
            <w:pPr>
              <w:jc w:val="both"/>
              <w:rPr>
                <w:rFonts w:ascii="Arial" w:hAnsi="Arial" w:cs="Arial"/>
                <w:color w:val="000000" w:themeColor="text1"/>
                <w:sz w:val="20"/>
                <w:szCs w:val="20"/>
                <w:lang w:eastAsia="vi-VN"/>
              </w:rPr>
            </w:pPr>
            <w:r>
              <w:rPr>
                <w:rFonts w:ascii="Arial" w:hAnsi="Arial" w:cs="Arial"/>
                <w:color w:val="000000" w:themeColor="text1"/>
                <w:sz w:val="20"/>
                <w:szCs w:val="20"/>
                <w:lang w:eastAsia="vi-VN"/>
              </w:rPr>
              <w:t>0.25%</w:t>
            </w:r>
          </w:p>
        </w:tc>
        <w:tc>
          <w:tcPr>
            <w:tcW w:w="1890" w:type="dxa"/>
            <w:tcBorders>
              <w:top w:val="nil"/>
              <w:left w:val="nil"/>
              <w:bottom w:val="single" w:sz="4" w:space="0" w:color="auto"/>
              <w:right w:val="single" w:sz="4" w:space="0" w:color="auto"/>
            </w:tcBorders>
            <w:vAlign w:val="bottom"/>
          </w:tcPr>
          <w:p w14:paraId="23C7D870" w14:textId="1CD8C633" w:rsidR="007C577C" w:rsidRPr="00C9715A" w:rsidRDefault="00C9715A" w:rsidP="007D71BB">
            <w:pPr>
              <w:jc w:val="both"/>
              <w:rPr>
                <w:rFonts w:ascii="Arial" w:hAnsi="Arial" w:cs="Arial"/>
                <w:color w:val="000000" w:themeColor="text1"/>
                <w:sz w:val="20"/>
                <w:szCs w:val="20"/>
                <w:lang w:eastAsia="vi-VN"/>
              </w:rPr>
            </w:pPr>
            <w:r>
              <w:rPr>
                <w:rFonts w:ascii="Arial" w:hAnsi="Arial" w:cs="Arial"/>
                <w:color w:val="000000" w:themeColor="text1"/>
                <w:sz w:val="20"/>
                <w:szCs w:val="20"/>
                <w:lang w:eastAsia="vi-VN"/>
              </w:rPr>
              <w:t>3.39%</w:t>
            </w:r>
          </w:p>
        </w:tc>
        <w:tc>
          <w:tcPr>
            <w:tcW w:w="1517" w:type="dxa"/>
            <w:tcBorders>
              <w:top w:val="single" w:sz="4" w:space="0" w:color="auto"/>
              <w:left w:val="single" w:sz="4" w:space="0" w:color="auto"/>
              <w:bottom w:val="single" w:sz="4" w:space="0" w:color="auto"/>
              <w:right w:val="single" w:sz="4" w:space="0" w:color="auto"/>
            </w:tcBorders>
            <w:vAlign w:val="bottom"/>
          </w:tcPr>
          <w:p w14:paraId="44C7156E" w14:textId="6A2BCD23" w:rsidR="007C577C" w:rsidRPr="00C9715A" w:rsidRDefault="00C9715A" w:rsidP="007D71BB">
            <w:pPr>
              <w:jc w:val="both"/>
              <w:rPr>
                <w:rFonts w:ascii="Arial" w:hAnsi="Arial" w:cs="Arial"/>
                <w:color w:val="000000" w:themeColor="text1"/>
                <w:sz w:val="20"/>
                <w:szCs w:val="20"/>
                <w:lang w:eastAsia="vi-VN"/>
              </w:rPr>
            </w:pPr>
            <w:r>
              <w:rPr>
                <w:rFonts w:ascii="Arial" w:hAnsi="Arial" w:cs="Arial"/>
                <w:color w:val="000000" w:themeColor="text1"/>
                <w:sz w:val="20"/>
                <w:szCs w:val="20"/>
                <w:lang w:eastAsia="vi-VN"/>
              </w:rPr>
              <w:t>0.22%</w:t>
            </w:r>
          </w:p>
        </w:tc>
      </w:tr>
      <w:tr w:rsidR="001319EE" w:rsidRPr="0054640D" w14:paraId="537244ED" w14:textId="77777777" w:rsidTr="00C9715A">
        <w:trPr>
          <w:trHeight w:val="371"/>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77C2EB4D"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Quản trị Quỹ </w:t>
            </w:r>
          </w:p>
        </w:tc>
        <w:tc>
          <w:tcPr>
            <w:tcW w:w="1620" w:type="dxa"/>
            <w:tcBorders>
              <w:top w:val="nil"/>
              <w:left w:val="nil"/>
              <w:bottom w:val="single" w:sz="4" w:space="0" w:color="auto"/>
              <w:right w:val="single" w:sz="4" w:space="0" w:color="auto"/>
            </w:tcBorders>
            <w:shd w:val="clear" w:color="auto" w:fill="auto"/>
            <w:noWrap/>
            <w:vAlign w:val="bottom"/>
          </w:tcPr>
          <w:p w14:paraId="0BC9EA74" w14:textId="11D17029" w:rsidR="007C577C" w:rsidRPr="00556831" w:rsidRDefault="00C9715A" w:rsidP="007D71BB">
            <w:pPr>
              <w:jc w:val="both"/>
              <w:rPr>
                <w:rFonts w:ascii="Arial" w:hAnsi="Arial" w:cs="Arial"/>
                <w:color w:val="000000" w:themeColor="text1"/>
                <w:sz w:val="20"/>
                <w:szCs w:val="20"/>
                <w:lang w:eastAsia="vi-VN"/>
              </w:rPr>
            </w:pPr>
            <w:r>
              <w:rPr>
                <w:rFonts w:ascii="Arial" w:hAnsi="Arial" w:cs="Arial"/>
                <w:color w:val="000000" w:themeColor="text1"/>
                <w:sz w:val="20"/>
                <w:szCs w:val="20"/>
                <w:lang w:eastAsia="vi-VN"/>
              </w:rPr>
              <w:t>0.31%</w:t>
            </w:r>
          </w:p>
        </w:tc>
        <w:tc>
          <w:tcPr>
            <w:tcW w:w="1890" w:type="dxa"/>
            <w:tcBorders>
              <w:top w:val="nil"/>
              <w:left w:val="nil"/>
              <w:bottom w:val="single" w:sz="4" w:space="0" w:color="auto"/>
              <w:right w:val="single" w:sz="4" w:space="0" w:color="auto"/>
            </w:tcBorders>
            <w:vAlign w:val="bottom"/>
          </w:tcPr>
          <w:p w14:paraId="5C3412D2" w14:textId="70094214" w:rsidR="007C577C" w:rsidRPr="00C9715A" w:rsidRDefault="00C9715A" w:rsidP="007D71BB">
            <w:pPr>
              <w:jc w:val="both"/>
              <w:rPr>
                <w:rFonts w:ascii="Arial" w:hAnsi="Arial" w:cs="Arial"/>
                <w:color w:val="000000" w:themeColor="text1"/>
                <w:sz w:val="20"/>
                <w:szCs w:val="20"/>
                <w:lang w:eastAsia="vi-VN"/>
              </w:rPr>
            </w:pPr>
            <w:r>
              <w:rPr>
                <w:rFonts w:ascii="Arial" w:hAnsi="Arial" w:cs="Arial"/>
                <w:color w:val="000000" w:themeColor="text1"/>
                <w:sz w:val="20"/>
                <w:szCs w:val="20"/>
                <w:lang w:eastAsia="vi-VN"/>
              </w:rPr>
              <w:t>4.3%</w:t>
            </w:r>
          </w:p>
        </w:tc>
        <w:tc>
          <w:tcPr>
            <w:tcW w:w="1517" w:type="dxa"/>
            <w:tcBorders>
              <w:top w:val="single" w:sz="4" w:space="0" w:color="auto"/>
              <w:left w:val="single" w:sz="4" w:space="0" w:color="auto"/>
              <w:bottom w:val="single" w:sz="4" w:space="0" w:color="auto"/>
              <w:right w:val="single" w:sz="4" w:space="0" w:color="auto"/>
            </w:tcBorders>
            <w:vAlign w:val="bottom"/>
          </w:tcPr>
          <w:p w14:paraId="54C2E259" w14:textId="5124C93A" w:rsidR="007C577C" w:rsidRPr="00C9715A" w:rsidRDefault="00C9715A" w:rsidP="007D71BB">
            <w:pPr>
              <w:jc w:val="both"/>
              <w:rPr>
                <w:rFonts w:ascii="Arial" w:hAnsi="Arial" w:cs="Arial"/>
                <w:color w:val="000000" w:themeColor="text1"/>
                <w:sz w:val="20"/>
                <w:szCs w:val="20"/>
                <w:lang w:eastAsia="vi-VN"/>
              </w:rPr>
            </w:pPr>
            <w:r>
              <w:rPr>
                <w:rFonts w:ascii="Arial" w:hAnsi="Arial" w:cs="Arial"/>
                <w:color w:val="000000" w:themeColor="text1"/>
                <w:sz w:val="20"/>
                <w:szCs w:val="20"/>
                <w:lang w:eastAsia="vi-VN"/>
              </w:rPr>
              <w:t>0.29%</w:t>
            </w:r>
          </w:p>
        </w:tc>
      </w:tr>
    </w:tbl>
    <w:p w14:paraId="61CB14B5"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14:paraId="46E65113" w14:textId="77777777" w:rsidR="00240993"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  Tổng chi phí các hoạt động ủy quyền phải trả cho bên nhận ủy quyền (trường hợp bên nhận ủy quyền cung cấp nhiều dịch vụ cho công ty quản lý quỹ);</w:t>
      </w:r>
    </w:p>
    <w:bookmarkStart w:id="1" w:name="_MON_1515400533"/>
    <w:bookmarkEnd w:id="1"/>
    <w:p w14:paraId="0CC12045" w14:textId="6F3ED53A" w:rsidR="0071028F" w:rsidRPr="00556831" w:rsidRDefault="00D12A61"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object w:dxaOrig="7514" w:dyaOrig="1181" w14:anchorId="4FF2CEC2">
          <v:shape id="_x0000_i1041" type="#_x0000_t75" style="width:405.05pt;height:59.35pt" o:ole="">
            <v:imagedata r:id="rId12" o:title=""/>
          </v:shape>
          <o:OLEObject Type="Embed" ProgID="Excel.Sheet.12" ShapeID="_x0000_i1041" DrawAspect="Content" ObjectID="_1583067528" r:id="rId13"/>
        </w:object>
      </w:r>
    </w:p>
    <w:p w14:paraId="67FFACCA"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8800" w:type="dxa"/>
        <w:tblInd w:w="108" w:type="dxa"/>
        <w:tblLook w:val="01E0" w:firstRow="1" w:lastRow="1" w:firstColumn="1" w:lastColumn="1" w:noHBand="0" w:noVBand="0"/>
      </w:tblPr>
      <w:tblGrid>
        <w:gridCol w:w="4556"/>
        <w:gridCol w:w="4244"/>
      </w:tblGrid>
      <w:tr w:rsidR="00D84438" w:rsidRPr="0054640D" w14:paraId="17C0C2E2" w14:textId="77777777" w:rsidTr="008249DC">
        <w:tc>
          <w:tcPr>
            <w:tcW w:w="4556" w:type="dxa"/>
          </w:tcPr>
          <w:p w14:paraId="5694A449" w14:textId="77777777"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4244" w:type="dxa"/>
          </w:tcPr>
          <w:p w14:paraId="1F6F7BBC" w14:textId="2E5A4E27" w:rsidR="003F2078" w:rsidRDefault="00D84438" w:rsidP="007D71BB">
            <w:pPr>
              <w:spacing w:before="120" w:after="100" w:afterAutospacing="1"/>
              <w:jc w:val="both"/>
              <w:rPr>
                <w:rFonts w:ascii="Arial" w:hAnsi="Arial" w:cs="Arial"/>
                <w:b/>
                <w:bCs/>
                <w:color w:val="000000" w:themeColor="text1"/>
                <w:sz w:val="20"/>
                <w:szCs w:val="20"/>
                <w:lang w:val="nl-NL"/>
              </w:rPr>
            </w:pPr>
            <w:r w:rsidRPr="00556831">
              <w:rPr>
                <w:rFonts w:ascii="Arial" w:hAnsi="Arial" w:cs="Arial"/>
                <w:b/>
                <w:bCs/>
                <w:color w:val="000000" w:themeColor="text1"/>
                <w:sz w:val="20"/>
                <w:szCs w:val="20"/>
                <w:lang w:val="nl-NL"/>
              </w:rPr>
              <w:t>Tổng Giám đốc Công ty quản lý quỹ</w:t>
            </w:r>
          </w:p>
          <w:p w14:paraId="59750B27" w14:textId="77777777" w:rsidR="003B7BE8" w:rsidRDefault="003B7BE8" w:rsidP="007D71BB">
            <w:pPr>
              <w:spacing w:before="120" w:after="100" w:afterAutospacing="1"/>
              <w:jc w:val="both"/>
              <w:rPr>
                <w:rFonts w:ascii="Arial" w:hAnsi="Arial" w:cs="Arial"/>
                <w:b/>
                <w:bCs/>
                <w:color w:val="000000" w:themeColor="text1"/>
                <w:sz w:val="20"/>
                <w:szCs w:val="20"/>
                <w:lang w:val="nl-NL"/>
              </w:rPr>
            </w:pPr>
          </w:p>
          <w:p w14:paraId="12EA8E67" w14:textId="77777777"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14:paraId="4B65B43F" w14:textId="77777777"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14:paraId="59012474" w14:textId="77777777" w:rsidR="002D7555" w:rsidRPr="00556831" w:rsidRDefault="002D7555" w:rsidP="00E47A85">
      <w:pPr>
        <w:spacing w:after="0"/>
        <w:jc w:val="center"/>
        <w:rPr>
          <w:rFonts w:ascii="Arial" w:eastAsia="Times New Roman" w:hAnsi="Arial" w:cs="Arial"/>
          <w:b/>
          <w:bCs/>
          <w:color w:val="000000" w:themeColor="text1"/>
          <w:sz w:val="20"/>
          <w:szCs w:val="20"/>
        </w:rPr>
      </w:pPr>
    </w:p>
    <w:p w14:paraId="1BE05381"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263218D0" w14:textId="7398A251" w:rsidR="00870EDA" w:rsidRPr="00556831" w:rsidRDefault="00870EDA">
      <w:pPr>
        <w:spacing w:after="0" w:line="240" w:lineRule="auto"/>
        <w:rPr>
          <w:rFonts w:ascii="Arial" w:eastAsia="Times New Roman" w:hAnsi="Arial" w:cs="Arial"/>
          <w:b/>
          <w:bCs/>
          <w:color w:val="000000" w:themeColor="text1"/>
          <w:sz w:val="20"/>
          <w:szCs w:val="20"/>
        </w:rPr>
      </w:pPr>
      <w:bookmarkStart w:id="2" w:name="_GoBack"/>
      <w:bookmarkEnd w:id="2"/>
    </w:p>
    <w:sectPr w:rsidR="00870EDA" w:rsidRPr="00556831" w:rsidSect="00494E10">
      <w:footerReference w:type="default" r:id="rId14"/>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3C280" w14:textId="77777777" w:rsidR="00BE365C" w:rsidRDefault="00BE365C" w:rsidP="00FA743B">
      <w:pPr>
        <w:spacing w:after="0" w:line="240" w:lineRule="auto"/>
      </w:pPr>
      <w:r>
        <w:separator/>
      </w:r>
    </w:p>
  </w:endnote>
  <w:endnote w:type="continuationSeparator" w:id="0">
    <w:p w14:paraId="1347E18D" w14:textId="77777777" w:rsidR="00BE365C" w:rsidRDefault="00BE365C"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D23" w14:textId="7F6B44EF" w:rsidR="00F8551A" w:rsidRDefault="005B6393">
    <w:pPr>
      <w:pStyle w:val="Footer"/>
      <w:jc w:val="center"/>
    </w:pPr>
    <w:r>
      <w:fldChar w:fldCharType="begin"/>
    </w:r>
    <w:r w:rsidR="006D0E73">
      <w:instrText xml:space="preserve"> PAGE   \* MERGEFORMAT </w:instrText>
    </w:r>
    <w:r>
      <w:fldChar w:fldCharType="separate"/>
    </w:r>
    <w:r w:rsidR="00477A52">
      <w:rPr>
        <w:noProof/>
      </w:rPr>
      <w:t>1</w:t>
    </w:r>
    <w:r>
      <w:rPr>
        <w:noProof/>
      </w:rPr>
      <w:fldChar w:fldCharType="end"/>
    </w:r>
  </w:p>
  <w:p w14:paraId="7A0422BE" w14:textId="77777777"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85182" w14:textId="77777777" w:rsidR="00BE365C" w:rsidRDefault="00BE365C" w:rsidP="00FA743B">
      <w:pPr>
        <w:spacing w:after="0" w:line="240" w:lineRule="auto"/>
      </w:pPr>
      <w:r>
        <w:separator/>
      </w:r>
    </w:p>
  </w:footnote>
  <w:footnote w:type="continuationSeparator" w:id="0">
    <w:p w14:paraId="498387F5" w14:textId="77777777" w:rsidR="00BE365C" w:rsidRDefault="00BE365C" w:rsidP="00FA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2"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31380B"/>
    <w:multiLevelType w:val="hybridMultilevel"/>
    <w:tmpl w:val="D24430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F772BE"/>
    <w:multiLevelType w:val="hybridMultilevel"/>
    <w:tmpl w:val="D714C36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38" w15:restartNumberingAfterBreak="0">
    <w:nsid w:val="7D085FFF"/>
    <w:multiLevelType w:val="hybridMultilevel"/>
    <w:tmpl w:val="027CC3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4"/>
  </w:num>
  <w:num w:numId="4">
    <w:abstractNumId w:val="7"/>
  </w:num>
  <w:num w:numId="5">
    <w:abstractNumId w:val="33"/>
  </w:num>
  <w:num w:numId="6">
    <w:abstractNumId w:val="26"/>
  </w:num>
  <w:num w:numId="7">
    <w:abstractNumId w:val="19"/>
  </w:num>
  <w:num w:numId="8">
    <w:abstractNumId w:val="10"/>
  </w:num>
  <w:num w:numId="9">
    <w:abstractNumId w:val="40"/>
  </w:num>
  <w:num w:numId="10">
    <w:abstractNumId w:val="41"/>
  </w:num>
  <w:num w:numId="11">
    <w:abstractNumId w:val="2"/>
  </w:num>
  <w:num w:numId="12">
    <w:abstractNumId w:val="36"/>
  </w:num>
  <w:num w:numId="13">
    <w:abstractNumId w:val="22"/>
  </w:num>
  <w:num w:numId="14">
    <w:abstractNumId w:val="9"/>
  </w:num>
  <w:num w:numId="15">
    <w:abstractNumId w:val="30"/>
  </w:num>
  <w:num w:numId="16">
    <w:abstractNumId w:val="39"/>
  </w:num>
  <w:num w:numId="17">
    <w:abstractNumId w:val="32"/>
  </w:num>
  <w:num w:numId="18">
    <w:abstractNumId w:val="23"/>
  </w:num>
  <w:num w:numId="19">
    <w:abstractNumId w:val="29"/>
  </w:num>
  <w:num w:numId="20">
    <w:abstractNumId w:val="18"/>
  </w:num>
  <w:num w:numId="21">
    <w:abstractNumId w:val="12"/>
  </w:num>
  <w:num w:numId="22">
    <w:abstractNumId w:val="14"/>
  </w:num>
  <w:num w:numId="23">
    <w:abstractNumId w:val="11"/>
  </w:num>
  <w:num w:numId="24">
    <w:abstractNumId w:val="13"/>
  </w:num>
  <w:num w:numId="25">
    <w:abstractNumId w:val="21"/>
  </w:num>
  <w:num w:numId="26">
    <w:abstractNumId w:val="35"/>
  </w:num>
  <w:num w:numId="27">
    <w:abstractNumId w:val="37"/>
  </w:num>
  <w:num w:numId="28">
    <w:abstractNumId w:val="27"/>
  </w:num>
  <w:num w:numId="29">
    <w:abstractNumId w:val="15"/>
  </w:num>
  <w:num w:numId="30">
    <w:abstractNumId w:val="5"/>
  </w:num>
  <w:num w:numId="31">
    <w:abstractNumId w:val="3"/>
  </w:num>
  <w:num w:numId="32">
    <w:abstractNumId w:val="8"/>
  </w:num>
  <w:num w:numId="33">
    <w:abstractNumId w:val="31"/>
  </w:num>
  <w:num w:numId="34">
    <w:abstractNumId w:val="1"/>
  </w:num>
  <w:num w:numId="35">
    <w:abstractNumId w:val="0"/>
  </w:num>
  <w:num w:numId="36">
    <w:abstractNumId w:val="20"/>
  </w:num>
  <w:num w:numId="37">
    <w:abstractNumId w:val="28"/>
  </w:num>
  <w:num w:numId="38">
    <w:abstractNumId w:val="6"/>
  </w:num>
  <w:num w:numId="39">
    <w:abstractNumId w:val="16"/>
  </w:num>
  <w:num w:numId="40">
    <w:abstractNumId w:val="24"/>
  </w:num>
  <w:num w:numId="41">
    <w:abstractNumId w:val="3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06E2"/>
    <w:rsid w:val="00006470"/>
    <w:rsid w:val="000072FB"/>
    <w:rsid w:val="00016BEF"/>
    <w:rsid w:val="00025A85"/>
    <w:rsid w:val="000502F6"/>
    <w:rsid w:val="00050380"/>
    <w:rsid w:val="0005757F"/>
    <w:rsid w:val="0005798C"/>
    <w:rsid w:val="00067A58"/>
    <w:rsid w:val="00070049"/>
    <w:rsid w:val="000754F3"/>
    <w:rsid w:val="00080A94"/>
    <w:rsid w:val="00091432"/>
    <w:rsid w:val="00091C60"/>
    <w:rsid w:val="000A0555"/>
    <w:rsid w:val="000A1974"/>
    <w:rsid w:val="000B7B59"/>
    <w:rsid w:val="000D1214"/>
    <w:rsid w:val="000E72BA"/>
    <w:rsid w:val="000F337E"/>
    <w:rsid w:val="00116CB8"/>
    <w:rsid w:val="00122ADE"/>
    <w:rsid w:val="0012698F"/>
    <w:rsid w:val="00130DF3"/>
    <w:rsid w:val="001319EE"/>
    <w:rsid w:val="001412D4"/>
    <w:rsid w:val="00146798"/>
    <w:rsid w:val="0015142A"/>
    <w:rsid w:val="001628FE"/>
    <w:rsid w:val="0016346C"/>
    <w:rsid w:val="00163F1E"/>
    <w:rsid w:val="00171B94"/>
    <w:rsid w:val="00185A14"/>
    <w:rsid w:val="001932A0"/>
    <w:rsid w:val="001A338B"/>
    <w:rsid w:val="001A4A60"/>
    <w:rsid w:val="001B0CAE"/>
    <w:rsid w:val="001B4620"/>
    <w:rsid w:val="001B5942"/>
    <w:rsid w:val="001C2DBE"/>
    <w:rsid w:val="001C5530"/>
    <w:rsid w:val="001C6EDF"/>
    <w:rsid w:val="001D0567"/>
    <w:rsid w:val="001E4D06"/>
    <w:rsid w:val="001F0D78"/>
    <w:rsid w:val="001F1B90"/>
    <w:rsid w:val="001F367B"/>
    <w:rsid w:val="00201D13"/>
    <w:rsid w:val="002048E3"/>
    <w:rsid w:val="00205083"/>
    <w:rsid w:val="00213049"/>
    <w:rsid w:val="00220AB8"/>
    <w:rsid w:val="0022564B"/>
    <w:rsid w:val="002309A0"/>
    <w:rsid w:val="00230B6A"/>
    <w:rsid w:val="002331D8"/>
    <w:rsid w:val="00233475"/>
    <w:rsid w:val="00240993"/>
    <w:rsid w:val="00245C74"/>
    <w:rsid w:val="0024648F"/>
    <w:rsid w:val="002573B0"/>
    <w:rsid w:val="00270D82"/>
    <w:rsid w:val="002730F1"/>
    <w:rsid w:val="002751F7"/>
    <w:rsid w:val="00277FFC"/>
    <w:rsid w:val="002854AB"/>
    <w:rsid w:val="00285865"/>
    <w:rsid w:val="002864C8"/>
    <w:rsid w:val="00287E6F"/>
    <w:rsid w:val="00291EEF"/>
    <w:rsid w:val="002A2014"/>
    <w:rsid w:val="002A2898"/>
    <w:rsid w:val="002A4C7D"/>
    <w:rsid w:val="002A551E"/>
    <w:rsid w:val="002A755C"/>
    <w:rsid w:val="002B18C0"/>
    <w:rsid w:val="002B263C"/>
    <w:rsid w:val="002B6BE1"/>
    <w:rsid w:val="002C1412"/>
    <w:rsid w:val="002D0576"/>
    <w:rsid w:val="002D179A"/>
    <w:rsid w:val="002D280B"/>
    <w:rsid w:val="002D7555"/>
    <w:rsid w:val="002F039B"/>
    <w:rsid w:val="002F03A9"/>
    <w:rsid w:val="002F1698"/>
    <w:rsid w:val="002F7E36"/>
    <w:rsid w:val="0030019D"/>
    <w:rsid w:val="003031B7"/>
    <w:rsid w:val="003052A1"/>
    <w:rsid w:val="0032261A"/>
    <w:rsid w:val="00324B04"/>
    <w:rsid w:val="003262F6"/>
    <w:rsid w:val="0032720C"/>
    <w:rsid w:val="003327E5"/>
    <w:rsid w:val="00333F4E"/>
    <w:rsid w:val="00335E7B"/>
    <w:rsid w:val="00342F10"/>
    <w:rsid w:val="00344322"/>
    <w:rsid w:val="00344772"/>
    <w:rsid w:val="00345930"/>
    <w:rsid w:val="003501E4"/>
    <w:rsid w:val="003539EF"/>
    <w:rsid w:val="00366B9D"/>
    <w:rsid w:val="00367C86"/>
    <w:rsid w:val="0037282C"/>
    <w:rsid w:val="0037450E"/>
    <w:rsid w:val="00374E94"/>
    <w:rsid w:val="003769E6"/>
    <w:rsid w:val="003A2807"/>
    <w:rsid w:val="003A3D08"/>
    <w:rsid w:val="003A52DF"/>
    <w:rsid w:val="003A74EB"/>
    <w:rsid w:val="003A7BA0"/>
    <w:rsid w:val="003B09CD"/>
    <w:rsid w:val="003B4835"/>
    <w:rsid w:val="003B5F64"/>
    <w:rsid w:val="003B7BE8"/>
    <w:rsid w:val="003C64AA"/>
    <w:rsid w:val="003D4757"/>
    <w:rsid w:val="003D4BE9"/>
    <w:rsid w:val="003D5A7C"/>
    <w:rsid w:val="003E1469"/>
    <w:rsid w:val="003E25A5"/>
    <w:rsid w:val="003E6CAA"/>
    <w:rsid w:val="003F2078"/>
    <w:rsid w:val="00401A9A"/>
    <w:rsid w:val="00406078"/>
    <w:rsid w:val="00413ABA"/>
    <w:rsid w:val="00415716"/>
    <w:rsid w:val="00417B04"/>
    <w:rsid w:val="00420143"/>
    <w:rsid w:val="004234AE"/>
    <w:rsid w:val="00426336"/>
    <w:rsid w:val="00426665"/>
    <w:rsid w:val="00434849"/>
    <w:rsid w:val="00437221"/>
    <w:rsid w:val="00450516"/>
    <w:rsid w:val="00462961"/>
    <w:rsid w:val="00471777"/>
    <w:rsid w:val="00477A52"/>
    <w:rsid w:val="00492AB5"/>
    <w:rsid w:val="00494C86"/>
    <w:rsid w:val="00494E10"/>
    <w:rsid w:val="004A02E6"/>
    <w:rsid w:val="004A112E"/>
    <w:rsid w:val="004A61C5"/>
    <w:rsid w:val="004B03CC"/>
    <w:rsid w:val="004B3FBF"/>
    <w:rsid w:val="004C5783"/>
    <w:rsid w:val="004C59D2"/>
    <w:rsid w:val="004C61B3"/>
    <w:rsid w:val="004C7A37"/>
    <w:rsid w:val="004D5204"/>
    <w:rsid w:val="004D67C7"/>
    <w:rsid w:val="004D6F2B"/>
    <w:rsid w:val="004F2321"/>
    <w:rsid w:val="004F6E71"/>
    <w:rsid w:val="00500470"/>
    <w:rsid w:val="00501569"/>
    <w:rsid w:val="005058A9"/>
    <w:rsid w:val="0051065D"/>
    <w:rsid w:val="005135A3"/>
    <w:rsid w:val="00523E0C"/>
    <w:rsid w:val="00527F16"/>
    <w:rsid w:val="005306D0"/>
    <w:rsid w:val="00533A11"/>
    <w:rsid w:val="005347C2"/>
    <w:rsid w:val="00534BD1"/>
    <w:rsid w:val="0054640D"/>
    <w:rsid w:val="0054730D"/>
    <w:rsid w:val="00552A2C"/>
    <w:rsid w:val="00553BDF"/>
    <w:rsid w:val="00556831"/>
    <w:rsid w:val="00560B9A"/>
    <w:rsid w:val="00561E1B"/>
    <w:rsid w:val="0056472B"/>
    <w:rsid w:val="0057464F"/>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4694"/>
    <w:rsid w:val="006176EC"/>
    <w:rsid w:val="0062124E"/>
    <w:rsid w:val="00623D8B"/>
    <w:rsid w:val="0064456E"/>
    <w:rsid w:val="00647E0F"/>
    <w:rsid w:val="00652D33"/>
    <w:rsid w:val="006557C6"/>
    <w:rsid w:val="00665BBD"/>
    <w:rsid w:val="00667546"/>
    <w:rsid w:val="00670409"/>
    <w:rsid w:val="006846D6"/>
    <w:rsid w:val="0068549D"/>
    <w:rsid w:val="006900DF"/>
    <w:rsid w:val="00695521"/>
    <w:rsid w:val="006A6938"/>
    <w:rsid w:val="006B3E5E"/>
    <w:rsid w:val="006B671D"/>
    <w:rsid w:val="006B75D5"/>
    <w:rsid w:val="006C249E"/>
    <w:rsid w:val="006C5345"/>
    <w:rsid w:val="006D0E73"/>
    <w:rsid w:val="006D516D"/>
    <w:rsid w:val="006E1481"/>
    <w:rsid w:val="006E5F53"/>
    <w:rsid w:val="006E640D"/>
    <w:rsid w:val="00701EB4"/>
    <w:rsid w:val="007053ED"/>
    <w:rsid w:val="0071028F"/>
    <w:rsid w:val="007109F5"/>
    <w:rsid w:val="00713815"/>
    <w:rsid w:val="00715EF0"/>
    <w:rsid w:val="0072169B"/>
    <w:rsid w:val="007259A2"/>
    <w:rsid w:val="00725B2D"/>
    <w:rsid w:val="007416B4"/>
    <w:rsid w:val="007451A2"/>
    <w:rsid w:val="007546B5"/>
    <w:rsid w:val="00763B79"/>
    <w:rsid w:val="00775005"/>
    <w:rsid w:val="00777350"/>
    <w:rsid w:val="00784AC2"/>
    <w:rsid w:val="00791BF6"/>
    <w:rsid w:val="007920FF"/>
    <w:rsid w:val="007943B5"/>
    <w:rsid w:val="00796551"/>
    <w:rsid w:val="007A015F"/>
    <w:rsid w:val="007A2A55"/>
    <w:rsid w:val="007A40A0"/>
    <w:rsid w:val="007A7236"/>
    <w:rsid w:val="007A78D9"/>
    <w:rsid w:val="007B3948"/>
    <w:rsid w:val="007B4E75"/>
    <w:rsid w:val="007C3EBF"/>
    <w:rsid w:val="007C577C"/>
    <w:rsid w:val="007C5B0F"/>
    <w:rsid w:val="007C7C92"/>
    <w:rsid w:val="007D7147"/>
    <w:rsid w:val="007D71BB"/>
    <w:rsid w:val="007E693E"/>
    <w:rsid w:val="007E6CAA"/>
    <w:rsid w:val="007E6EF3"/>
    <w:rsid w:val="007F0FEA"/>
    <w:rsid w:val="007F4C71"/>
    <w:rsid w:val="008057CF"/>
    <w:rsid w:val="0080738E"/>
    <w:rsid w:val="008111AC"/>
    <w:rsid w:val="00817CA9"/>
    <w:rsid w:val="00817CBB"/>
    <w:rsid w:val="008249DC"/>
    <w:rsid w:val="00826E3E"/>
    <w:rsid w:val="008301E5"/>
    <w:rsid w:val="008319A6"/>
    <w:rsid w:val="00832E61"/>
    <w:rsid w:val="008400F7"/>
    <w:rsid w:val="00842ABA"/>
    <w:rsid w:val="00865CDF"/>
    <w:rsid w:val="00870EDA"/>
    <w:rsid w:val="00871B78"/>
    <w:rsid w:val="00883EE6"/>
    <w:rsid w:val="00892618"/>
    <w:rsid w:val="008A0D39"/>
    <w:rsid w:val="008A5553"/>
    <w:rsid w:val="008B086E"/>
    <w:rsid w:val="008B4928"/>
    <w:rsid w:val="008B5876"/>
    <w:rsid w:val="008D3D7E"/>
    <w:rsid w:val="008D6A8B"/>
    <w:rsid w:val="008F0E90"/>
    <w:rsid w:val="008F1FDB"/>
    <w:rsid w:val="008F501A"/>
    <w:rsid w:val="00900146"/>
    <w:rsid w:val="00914147"/>
    <w:rsid w:val="00920BDB"/>
    <w:rsid w:val="0092288E"/>
    <w:rsid w:val="00922E20"/>
    <w:rsid w:val="00933B9A"/>
    <w:rsid w:val="00944148"/>
    <w:rsid w:val="00955A5E"/>
    <w:rsid w:val="0096009E"/>
    <w:rsid w:val="00962B04"/>
    <w:rsid w:val="009654CF"/>
    <w:rsid w:val="009668F6"/>
    <w:rsid w:val="00967840"/>
    <w:rsid w:val="00972988"/>
    <w:rsid w:val="00972E43"/>
    <w:rsid w:val="009767F4"/>
    <w:rsid w:val="00982F21"/>
    <w:rsid w:val="00985DB2"/>
    <w:rsid w:val="00986497"/>
    <w:rsid w:val="00992923"/>
    <w:rsid w:val="009A16B5"/>
    <w:rsid w:val="009A5EB0"/>
    <w:rsid w:val="009B0EF1"/>
    <w:rsid w:val="009B5077"/>
    <w:rsid w:val="009C048C"/>
    <w:rsid w:val="009C23D2"/>
    <w:rsid w:val="009C2A7E"/>
    <w:rsid w:val="009C7402"/>
    <w:rsid w:val="009D22A7"/>
    <w:rsid w:val="009D3991"/>
    <w:rsid w:val="009E1C7F"/>
    <w:rsid w:val="009F297E"/>
    <w:rsid w:val="009F5F62"/>
    <w:rsid w:val="009F68FF"/>
    <w:rsid w:val="00A05092"/>
    <w:rsid w:val="00A05109"/>
    <w:rsid w:val="00A0759E"/>
    <w:rsid w:val="00A11AAF"/>
    <w:rsid w:val="00A1378F"/>
    <w:rsid w:val="00A303C9"/>
    <w:rsid w:val="00A356DC"/>
    <w:rsid w:val="00A42DC0"/>
    <w:rsid w:val="00A611CD"/>
    <w:rsid w:val="00A67F2C"/>
    <w:rsid w:val="00A7714E"/>
    <w:rsid w:val="00A81D0C"/>
    <w:rsid w:val="00A87320"/>
    <w:rsid w:val="00A91635"/>
    <w:rsid w:val="00A936BD"/>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2CA6"/>
    <w:rsid w:val="00B160B9"/>
    <w:rsid w:val="00B16A54"/>
    <w:rsid w:val="00B27C59"/>
    <w:rsid w:val="00B33621"/>
    <w:rsid w:val="00B35592"/>
    <w:rsid w:val="00B35981"/>
    <w:rsid w:val="00B3745A"/>
    <w:rsid w:val="00B41DB6"/>
    <w:rsid w:val="00B479E7"/>
    <w:rsid w:val="00B507EB"/>
    <w:rsid w:val="00B60C82"/>
    <w:rsid w:val="00B655ED"/>
    <w:rsid w:val="00B67EA1"/>
    <w:rsid w:val="00B74307"/>
    <w:rsid w:val="00B75763"/>
    <w:rsid w:val="00B82891"/>
    <w:rsid w:val="00B860E0"/>
    <w:rsid w:val="00B91BAF"/>
    <w:rsid w:val="00BA2978"/>
    <w:rsid w:val="00BC2D36"/>
    <w:rsid w:val="00BC4629"/>
    <w:rsid w:val="00BC6E16"/>
    <w:rsid w:val="00BD0F19"/>
    <w:rsid w:val="00BD5DB7"/>
    <w:rsid w:val="00BD6F52"/>
    <w:rsid w:val="00BE0808"/>
    <w:rsid w:val="00BE365C"/>
    <w:rsid w:val="00BE7766"/>
    <w:rsid w:val="00BF1846"/>
    <w:rsid w:val="00C033C8"/>
    <w:rsid w:val="00C03D83"/>
    <w:rsid w:val="00C041A5"/>
    <w:rsid w:val="00C14B34"/>
    <w:rsid w:val="00C1629B"/>
    <w:rsid w:val="00C2195F"/>
    <w:rsid w:val="00C42BF8"/>
    <w:rsid w:val="00C44509"/>
    <w:rsid w:val="00C50E36"/>
    <w:rsid w:val="00C63E73"/>
    <w:rsid w:val="00C71F4C"/>
    <w:rsid w:val="00C72752"/>
    <w:rsid w:val="00C74FB6"/>
    <w:rsid w:val="00C83A66"/>
    <w:rsid w:val="00C952E2"/>
    <w:rsid w:val="00C9715A"/>
    <w:rsid w:val="00C97241"/>
    <w:rsid w:val="00C9769D"/>
    <w:rsid w:val="00CA09E3"/>
    <w:rsid w:val="00CA3B7B"/>
    <w:rsid w:val="00CA668B"/>
    <w:rsid w:val="00CC4A62"/>
    <w:rsid w:val="00CE55B8"/>
    <w:rsid w:val="00CF5907"/>
    <w:rsid w:val="00CF73DE"/>
    <w:rsid w:val="00D00C8B"/>
    <w:rsid w:val="00D02FC4"/>
    <w:rsid w:val="00D0799B"/>
    <w:rsid w:val="00D111DA"/>
    <w:rsid w:val="00D12A61"/>
    <w:rsid w:val="00D25DF9"/>
    <w:rsid w:val="00D261D0"/>
    <w:rsid w:val="00D3541E"/>
    <w:rsid w:val="00D46B6C"/>
    <w:rsid w:val="00D552D6"/>
    <w:rsid w:val="00D565D7"/>
    <w:rsid w:val="00D67A2A"/>
    <w:rsid w:val="00D70B95"/>
    <w:rsid w:val="00D809C5"/>
    <w:rsid w:val="00D84438"/>
    <w:rsid w:val="00D8453A"/>
    <w:rsid w:val="00D86720"/>
    <w:rsid w:val="00D92CBC"/>
    <w:rsid w:val="00D93009"/>
    <w:rsid w:val="00DA71E3"/>
    <w:rsid w:val="00DB2BA1"/>
    <w:rsid w:val="00DB6A61"/>
    <w:rsid w:val="00DC5E17"/>
    <w:rsid w:val="00DC654E"/>
    <w:rsid w:val="00DD3B3A"/>
    <w:rsid w:val="00DD6C68"/>
    <w:rsid w:val="00DD7DFE"/>
    <w:rsid w:val="00DE311B"/>
    <w:rsid w:val="00DE5A2E"/>
    <w:rsid w:val="00DF1760"/>
    <w:rsid w:val="00DF316D"/>
    <w:rsid w:val="00DF4A87"/>
    <w:rsid w:val="00DF585F"/>
    <w:rsid w:val="00DF5E10"/>
    <w:rsid w:val="00E04FEE"/>
    <w:rsid w:val="00E259DB"/>
    <w:rsid w:val="00E45646"/>
    <w:rsid w:val="00E47A85"/>
    <w:rsid w:val="00E50A5B"/>
    <w:rsid w:val="00E50A90"/>
    <w:rsid w:val="00E559DB"/>
    <w:rsid w:val="00E56A5B"/>
    <w:rsid w:val="00E628F8"/>
    <w:rsid w:val="00E7469C"/>
    <w:rsid w:val="00E74811"/>
    <w:rsid w:val="00E76EBB"/>
    <w:rsid w:val="00E80B61"/>
    <w:rsid w:val="00E81C04"/>
    <w:rsid w:val="00E8335B"/>
    <w:rsid w:val="00E90F63"/>
    <w:rsid w:val="00E9323B"/>
    <w:rsid w:val="00EB0682"/>
    <w:rsid w:val="00EB58A6"/>
    <w:rsid w:val="00EE1D6B"/>
    <w:rsid w:val="00EE2B5D"/>
    <w:rsid w:val="00EE5869"/>
    <w:rsid w:val="00EE69E6"/>
    <w:rsid w:val="00EF76B9"/>
    <w:rsid w:val="00F04CDE"/>
    <w:rsid w:val="00F05BCA"/>
    <w:rsid w:val="00F14C00"/>
    <w:rsid w:val="00F350F0"/>
    <w:rsid w:val="00F406B7"/>
    <w:rsid w:val="00F54959"/>
    <w:rsid w:val="00F7228D"/>
    <w:rsid w:val="00F8551A"/>
    <w:rsid w:val="00F86DF9"/>
    <w:rsid w:val="00F90E2F"/>
    <w:rsid w:val="00FA743B"/>
    <w:rsid w:val="00FB20CB"/>
    <w:rsid w:val="00FB6ED8"/>
    <w:rsid w:val="00FC5118"/>
    <w:rsid w:val="00FD0C9D"/>
    <w:rsid w:val="00FD33C5"/>
    <w:rsid w:val="00FD5FD2"/>
    <w:rsid w:val="00FD73A6"/>
    <w:rsid w:val="00FE4871"/>
    <w:rsid w:val="00FE7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2D7064"/>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FE012-C6DE-4908-928E-AFD8239FC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2167</Words>
  <Characters>12357</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linhtha</dc:creator>
  <cp:keywords>Public</cp:keywords>
  <cp:lastModifiedBy>Anh Vuong Thi Tram</cp:lastModifiedBy>
  <cp:revision>2</cp:revision>
  <cp:lastPrinted>2016-08-10T07:10:00Z</cp:lastPrinted>
  <dcterms:created xsi:type="dcterms:W3CDTF">2018-03-20T09:12:00Z</dcterms:created>
  <dcterms:modified xsi:type="dcterms:W3CDTF">2018-03-20T09:12:00Z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