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CE" w:rsidRPr="00145FF9" w:rsidRDefault="0060532E" w:rsidP="00A620CE">
      <w:pPr>
        <w:shd w:val="clear" w:color="auto" w:fill="FFFFFF"/>
        <w:spacing w:before="120" w:after="0" w:line="240" w:lineRule="auto"/>
        <w:jc w:val="center"/>
        <w:rPr>
          <w:rFonts w:ascii="Arial" w:hAnsi="Arial" w:cs="Arial"/>
          <w:b/>
          <w:sz w:val="20"/>
          <w:szCs w:val="26"/>
          <w:lang w:val="nl-NL"/>
        </w:rPr>
      </w:pPr>
      <w:r w:rsidRPr="00145FF9">
        <w:rPr>
          <w:rFonts w:ascii="Arial" w:hAnsi="Arial" w:cs="Arial"/>
          <w:b/>
          <w:sz w:val="20"/>
          <w:szCs w:val="26"/>
          <w:lang w:val="nl-NL"/>
        </w:rPr>
        <w:t>MẪU VÀ GIẢI THÍCH BÁO CÁO TÀI CHÍNH</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Phần I: Mẫu báo cáo của Công ty quản lý quỹ</w:t>
      </w:r>
    </w:p>
    <w:p w:rsidR="0060532E" w:rsidRDefault="0060532E" w:rsidP="0060532E">
      <w:pPr>
        <w:shd w:val="clear" w:color="auto" w:fill="FFFFFF"/>
        <w:tabs>
          <w:tab w:val="left" w:pos="540"/>
        </w:tabs>
        <w:spacing w:before="120" w:after="0" w:line="240" w:lineRule="auto"/>
        <w:jc w:val="center"/>
        <w:rPr>
          <w:rFonts w:ascii="Arial" w:hAnsi="Arial" w:cs="Arial"/>
          <w:b/>
          <w:sz w:val="20"/>
          <w:szCs w:val="26"/>
          <w:lang w:val="nl-NL"/>
        </w:rPr>
      </w:pPr>
      <w:r w:rsidRPr="00145FF9">
        <w:rPr>
          <w:rFonts w:ascii="Arial" w:hAnsi="Arial" w:cs="Arial"/>
          <w:b/>
          <w:sz w:val="20"/>
          <w:szCs w:val="26"/>
          <w:lang w:val="nl-NL"/>
        </w:rPr>
        <w:t>BÁO CÁO CỦA CÔNG TY QUẢN LÝ QUỸ</w:t>
      </w:r>
    </w:p>
    <w:p w:rsidR="00DF31A5" w:rsidRDefault="00DF31A5" w:rsidP="0060532E">
      <w:pPr>
        <w:shd w:val="clear" w:color="auto" w:fill="FFFFFF"/>
        <w:tabs>
          <w:tab w:val="left" w:pos="540"/>
        </w:tabs>
        <w:spacing w:before="120" w:after="0" w:line="240" w:lineRule="auto"/>
        <w:jc w:val="center"/>
        <w:rPr>
          <w:rFonts w:ascii="Arial" w:hAnsi="Arial" w:cs="Arial"/>
          <w:b/>
          <w:sz w:val="20"/>
          <w:szCs w:val="26"/>
          <w:lang w:val="nl-NL"/>
        </w:rPr>
      </w:pPr>
      <w:r>
        <w:rPr>
          <w:rFonts w:ascii="Arial" w:hAnsi="Arial" w:cs="Arial"/>
          <w:b/>
          <w:sz w:val="20"/>
          <w:szCs w:val="26"/>
          <w:lang w:val="nl-NL"/>
        </w:rPr>
        <w:t>QUÝ III.201</w:t>
      </w:r>
      <w:r w:rsidR="00694305">
        <w:rPr>
          <w:rFonts w:ascii="Arial" w:hAnsi="Arial" w:cs="Arial"/>
          <w:b/>
          <w:sz w:val="20"/>
          <w:szCs w:val="26"/>
          <w:lang w:val="nl-NL"/>
        </w:rPr>
        <w:t>7</w:t>
      </w:r>
    </w:p>
    <w:p w:rsidR="00A620CE" w:rsidRPr="00145FF9" w:rsidRDefault="00A620CE" w:rsidP="0060532E">
      <w:pPr>
        <w:shd w:val="clear" w:color="auto" w:fill="FFFFFF"/>
        <w:tabs>
          <w:tab w:val="left" w:pos="540"/>
        </w:tabs>
        <w:spacing w:before="120" w:after="0" w:line="240" w:lineRule="auto"/>
        <w:jc w:val="center"/>
        <w:rPr>
          <w:rFonts w:ascii="Arial" w:hAnsi="Arial" w:cs="Arial"/>
          <w:b/>
          <w:sz w:val="20"/>
          <w:szCs w:val="26"/>
          <w:lang w:val="nl-NL"/>
        </w:rPr>
      </w:pP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I. Thông tin chung về Quỹ</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1. Mục tiêu của Quỹ:</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Phù hợp với Giấy chứng nhận đăng ký thành lập Quỹ do UBCKNN cấp, Điều lệ và Bản cáo bạch của Quỹ;</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2. Hiệu quả hoạt động của Quỹ:</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Theo Báo cáo tài chính của Quỹ đã được soát xét hoặc đã được kiểm toán, tính đến kỳ báo cáo, thay đổi giá trị tài sản ròng (NAV) của Quỹ</w:t>
      </w:r>
      <w:r w:rsidR="0091066B" w:rsidRPr="00145FF9">
        <w:rPr>
          <w:rFonts w:ascii="Arial" w:hAnsi="Arial" w:cs="Arial"/>
          <w:sz w:val="20"/>
          <w:szCs w:val="26"/>
          <w:lang w:val="nl-NL"/>
        </w:rPr>
        <w:t xml:space="preserve"> là </w:t>
      </w:r>
      <w:r w:rsidR="0091066B" w:rsidRPr="00145FF9">
        <w:rPr>
          <w:rFonts w:ascii="Arial" w:hAnsi="Arial" w:cs="Arial"/>
          <w:b/>
          <w:sz w:val="20"/>
          <w:szCs w:val="26"/>
          <w:lang w:val="nl-NL"/>
        </w:rPr>
        <w:t>4.68</w:t>
      </w:r>
      <w:r w:rsidRPr="00145FF9">
        <w:rPr>
          <w:rFonts w:ascii="Arial" w:hAnsi="Arial" w:cs="Arial"/>
          <w:sz w:val="20"/>
          <w:szCs w:val="26"/>
          <w:lang w:val="nl-NL"/>
        </w:rPr>
        <w:t xml:space="preserve"> (%) so với giá trị tài sản ròng của quỹ đầu kỳ báo cáo; </w:t>
      </w:r>
      <w:r w:rsidR="0091066B" w:rsidRPr="00145FF9">
        <w:rPr>
          <w:rFonts w:ascii="Arial" w:hAnsi="Arial" w:cs="Arial"/>
          <w:sz w:val="20"/>
          <w:szCs w:val="26"/>
          <w:lang w:val="nl-NL"/>
        </w:rPr>
        <w:t>Quỹ không có</w:t>
      </w:r>
      <w:r w:rsidRPr="00145FF9">
        <w:rPr>
          <w:rFonts w:ascii="Arial" w:hAnsi="Arial" w:cs="Arial"/>
          <w:sz w:val="20"/>
          <w:szCs w:val="26"/>
          <w:lang w:val="nl-NL"/>
        </w:rPr>
        <w:t xml:space="preserve"> danh mục cơ cấu </w:t>
      </w:r>
      <w:r w:rsidR="0091066B" w:rsidRPr="00145FF9">
        <w:rPr>
          <w:rFonts w:ascii="Arial" w:hAnsi="Arial" w:cs="Arial"/>
          <w:sz w:val="20"/>
          <w:szCs w:val="26"/>
          <w:lang w:val="nl-NL"/>
        </w:rPr>
        <w:t>và</w:t>
      </w:r>
      <w:r w:rsidRPr="00145FF9">
        <w:rPr>
          <w:rFonts w:ascii="Arial" w:hAnsi="Arial" w:cs="Arial"/>
          <w:sz w:val="20"/>
          <w:szCs w:val="26"/>
          <w:lang w:val="nl-NL"/>
        </w:rPr>
        <w:t xml:space="preserve"> chỉ số tham chiế</w:t>
      </w:r>
      <w:r w:rsidR="0091066B" w:rsidRPr="00145FF9">
        <w:rPr>
          <w:rFonts w:ascii="Arial" w:hAnsi="Arial" w:cs="Arial"/>
          <w:sz w:val="20"/>
          <w:szCs w:val="26"/>
          <w:lang w:val="nl-NL"/>
        </w:rPr>
        <w:t xml:space="preserve">u là </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3. Chính sách và chiến lược đầu tư của Quỹ:</w:t>
      </w:r>
    </w:p>
    <w:p w:rsidR="003A77C8" w:rsidRPr="00145FF9" w:rsidRDefault="003A77C8" w:rsidP="0060532E">
      <w:pPr>
        <w:shd w:val="clear" w:color="auto" w:fill="FFFFFF"/>
        <w:tabs>
          <w:tab w:val="left" w:pos="540"/>
        </w:tabs>
        <w:spacing w:before="120" w:after="0" w:line="240" w:lineRule="auto"/>
      </w:pPr>
      <w:r w:rsidRPr="00145FF9">
        <w:t>Chiến lược đầu tư cho quỹ VFMVFB là năng động dựa trên cơ sở phân tích cơ bản kinh tế vĩ mô, áp dụng các mô hình kỹ thuật, thống kê hoặc phân tích cơ bản về doanh nghiệp để đưa ra các quyết định đầu tư sao cho đem lại lợi nhuận tối đa cho danh mục. Riêng đối với trái phiếu doanh nghiệp cần được phân tích ít nhất bằng một mô hình định mức tín nhiệm do đối tác hỗ trợ kỹ thuật và Công ty Quản lý quỹ VFM phát triển.</w:t>
      </w:r>
    </w:p>
    <w:p w:rsidR="00C0245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4. Phân loại Quỹ:</w:t>
      </w:r>
      <w:r w:rsidR="002D6DC4" w:rsidRPr="00145FF9">
        <w:rPr>
          <w:rFonts w:ascii="Arial" w:hAnsi="Arial" w:cs="Arial"/>
          <w:b/>
          <w:sz w:val="20"/>
          <w:szCs w:val="26"/>
          <w:lang w:val="nl-NL"/>
        </w:rPr>
        <w:t xml:space="preserve"> </w:t>
      </w:r>
      <w:r w:rsidR="002D6DC4" w:rsidRPr="00145FF9">
        <w:rPr>
          <w:rFonts w:ascii="Arial" w:hAnsi="Arial" w:cs="Arial"/>
          <w:sz w:val="20"/>
          <w:szCs w:val="26"/>
          <w:lang w:val="nl-NL"/>
        </w:rPr>
        <w:t>Quỹ công chúng dạng mở</w:t>
      </w:r>
    </w:p>
    <w:p w:rsidR="00C0245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5. Thời gian khuyến cáo đầu tư của Quỹ:</w:t>
      </w:r>
      <w:r w:rsidR="002D6DC4" w:rsidRPr="00145FF9">
        <w:rPr>
          <w:rFonts w:ascii="Arial" w:hAnsi="Arial" w:cs="Arial"/>
          <w:b/>
          <w:sz w:val="20"/>
          <w:szCs w:val="26"/>
          <w:lang w:val="nl-NL"/>
        </w:rPr>
        <w:t xml:space="preserve"> </w:t>
      </w:r>
      <w:r w:rsidR="002D6DC4" w:rsidRPr="00145FF9">
        <w:rPr>
          <w:rFonts w:ascii="Arial" w:hAnsi="Arial" w:cs="Arial"/>
          <w:sz w:val="20"/>
          <w:szCs w:val="26"/>
          <w:lang w:val="nl-NL"/>
        </w:rPr>
        <w:t>Không có</w:t>
      </w:r>
      <w:r w:rsidR="002D6DC4" w:rsidRPr="00145FF9">
        <w:rPr>
          <w:rFonts w:ascii="Arial" w:hAnsi="Arial" w:cs="Arial"/>
          <w:b/>
          <w:sz w:val="20"/>
          <w:szCs w:val="26"/>
          <w:lang w:val="nl-NL"/>
        </w:rPr>
        <w:t xml:space="preserve"> </w:t>
      </w:r>
    </w:p>
    <w:p w:rsidR="00C0245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6. Mức độ rủi ro ngắn hạn (thấp, trung bình, cao):</w:t>
      </w:r>
      <w:r w:rsidR="003A77C8" w:rsidRPr="00145FF9">
        <w:rPr>
          <w:rFonts w:ascii="Arial" w:hAnsi="Arial" w:cs="Arial"/>
          <w:sz w:val="20"/>
          <w:szCs w:val="26"/>
          <w:lang w:val="nl-NL"/>
        </w:rPr>
        <w:t>Thấp</w:t>
      </w:r>
    </w:p>
    <w:p w:rsidR="00C0245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7. Thời điểm bắt đầu hoạt động của Quỹ:</w:t>
      </w:r>
      <w:r w:rsidR="002D6DC4" w:rsidRPr="00145FF9">
        <w:rPr>
          <w:rFonts w:ascii="Arial" w:hAnsi="Arial" w:cs="Arial"/>
          <w:b/>
          <w:sz w:val="20"/>
          <w:szCs w:val="26"/>
          <w:lang w:val="nl-NL"/>
        </w:rPr>
        <w:t xml:space="preserve"> </w:t>
      </w:r>
      <w:r w:rsidR="0084211E" w:rsidRPr="00145FF9">
        <w:rPr>
          <w:rFonts w:ascii="Arial" w:hAnsi="Arial" w:cs="Arial"/>
          <w:sz w:val="20"/>
          <w:szCs w:val="26"/>
          <w:lang w:val="nl-NL"/>
        </w:rPr>
        <w:t xml:space="preserve">Ngày </w:t>
      </w:r>
      <w:r w:rsidR="003A77C8" w:rsidRPr="00145FF9">
        <w:rPr>
          <w:rFonts w:ascii="Arial" w:hAnsi="Arial" w:cs="Arial"/>
          <w:sz w:val="20"/>
          <w:szCs w:val="26"/>
          <w:lang w:val="nl-NL"/>
        </w:rPr>
        <w:t>10/06/2013</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b/>
          <w:sz w:val="20"/>
          <w:szCs w:val="26"/>
          <w:lang w:val="nl-NL"/>
        </w:rPr>
        <w:t>8. Quy mô Quỹ tại thời điểm báo cáo</w:t>
      </w:r>
      <w:r w:rsidRPr="00145FF9">
        <w:rPr>
          <w:rFonts w:ascii="Arial" w:hAnsi="Arial" w:cs="Arial"/>
          <w:sz w:val="20"/>
          <w:szCs w:val="26"/>
          <w:lang w:val="nl-NL"/>
        </w:rPr>
        <w:t xml:space="preserve"> (Tại ngày</w:t>
      </w:r>
      <w:r w:rsidR="00C0245E" w:rsidRPr="00145FF9">
        <w:rPr>
          <w:rFonts w:ascii="Arial" w:hAnsi="Arial" w:cs="Arial"/>
          <w:sz w:val="20"/>
          <w:szCs w:val="26"/>
          <w:lang w:val="nl-NL"/>
        </w:rPr>
        <w:t xml:space="preserve"> 30/0</w:t>
      </w:r>
      <w:r w:rsidR="00694305">
        <w:rPr>
          <w:rFonts w:ascii="Arial" w:hAnsi="Arial" w:cs="Arial"/>
          <w:sz w:val="20"/>
          <w:szCs w:val="26"/>
          <w:lang w:val="nl-NL"/>
        </w:rPr>
        <w:t>9</w:t>
      </w:r>
      <w:r w:rsidR="00C0245E" w:rsidRPr="00145FF9">
        <w:rPr>
          <w:rFonts w:ascii="Arial" w:hAnsi="Arial" w:cs="Arial"/>
          <w:sz w:val="20"/>
          <w:szCs w:val="26"/>
          <w:lang w:val="nl-NL"/>
        </w:rPr>
        <w:t>/201</w:t>
      </w:r>
      <w:r w:rsidR="00694305">
        <w:rPr>
          <w:rFonts w:ascii="Arial" w:hAnsi="Arial" w:cs="Arial"/>
          <w:sz w:val="20"/>
          <w:szCs w:val="26"/>
          <w:lang w:val="nl-NL"/>
        </w:rPr>
        <w:t>7</w:t>
      </w:r>
      <w:r w:rsidRPr="00145FF9">
        <w:rPr>
          <w:rFonts w:ascii="Arial" w:hAnsi="Arial" w:cs="Arial"/>
          <w:sz w:val="20"/>
          <w:szCs w:val="26"/>
          <w:lang w:val="nl-NL"/>
        </w:rPr>
        <w:t xml:space="preserve">): </w:t>
      </w:r>
    </w:p>
    <w:p w:rsidR="006E00F4" w:rsidRPr="00145FF9" w:rsidRDefault="0084211E" w:rsidP="006E00F4">
      <w:pPr>
        <w:pStyle w:val="ListParagraph"/>
        <w:numPr>
          <w:ilvl w:val="0"/>
          <w:numId w:val="1"/>
        </w:numPr>
        <w:shd w:val="clear" w:color="auto" w:fill="FFFFFF"/>
        <w:tabs>
          <w:tab w:val="left" w:pos="540"/>
        </w:tabs>
        <w:spacing w:before="120" w:after="0" w:line="240" w:lineRule="auto"/>
        <w:rPr>
          <w:rFonts w:ascii="Arial" w:hAnsi="Arial" w:cs="Arial"/>
          <w:sz w:val="20"/>
          <w:szCs w:val="20"/>
          <w:lang w:val="nl-NL"/>
        </w:rPr>
      </w:pPr>
      <w:r w:rsidRPr="00145FF9">
        <w:rPr>
          <w:rFonts w:ascii="Arial" w:hAnsi="Arial" w:cs="Arial"/>
          <w:sz w:val="20"/>
          <w:szCs w:val="26"/>
          <w:lang w:val="nl-NL"/>
        </w:rPr>
        <w:t>Tổng giá trị tài sản ròng:</w:t>
      </w:r>
      <w:r w:rsidRPr="00145FF9">
        <w:t xml:space="preserve"> </w:t>
      </w:r>
      <w:r w:rsidR="00694305">
        <w:rPr>
          <w:rFonts w:ascii="Arial" w:hAnsi="Arial" w:cs="Arial"/>
          <w:b/>
          <w:sz w:val="20"/>
          <w:szCs w:val="20"/>
        </w:rPr>
        <w:t>209.300.081.825</w:t>
      </w:r>
      <w:r w:rsidR="00806F29" w:rsidRPr="00145FF9">
        <w:rPr>
          <w:rFonts w:ascii="Arial" w:hAnsi="Arial" w:cs="Arial"/>
          <w:sz w:val="20"/>
          <w:szCs w:val="20"/>
        </w:rPr>
        <w:t xml:space="preserve"> </w:t>
      </w:r>
      <w:r w:rsidRPr="00145FF9">
        <w:rPr>
          <w:rFonts w:ascii="Arial" w:hAnsi="Arial" w:cs="Arial"/>
          <w:sz w:val="20"/>
          <w:szCs w:val="20"/>
          <w:lang w:val="nl-NL"/>
        </w:rPr>
        <w:t>Việt Nam đồng</w:t>
      </w:r>
    </w:p>
    <w:p w:rsidR="0084211E" w:rsidRPr="00145FF9" w:rsidRDefault="0084211E" w:rsidP="006E00F4">
      <w:pPr>
        <w:pStyle w:val="ListParagraph"/>
        <w:numPr>
          <w:ilvl w:val="0"/>
          <w:numId w:val="1"/>
        </w:numPr>
        <w:shd w:val="clear" w:color="auto" w:fill="FFFFFF"/>
        <w:tabs>
          <w:tab w:val="left" w:pos="540"/>
        </w:tabs>
        <w:spacing w:before="120" w:after="0" w:line="240" w:lineRule="auto"/>
        <w:rPr>
          <w:rFonts w:ascii="Arial" w:hAnsi="Arial" w:cs="Arial"/>
          <w:sz w:val="20"/>
          <w:szCs w:val="20"/>
          <w:lang w:val="nl-NL"/>
        </w:rPr>
      </w:pPr>
      <w:r w:rsidRPr="00145FF9">
        <w:rPr>
          <w:rFonts w:ascii="Arial" w:hAnsi="Arial" w:cs="Arial"/>
          <w:sz w:val="20"/>
          <w:szCs w:val="20"/>
          <w:lang w:val="nl-NL"/>
        </w:rPr>
        <w:t>Số lượng chứng chỉ quỹ</w:t>
      </w:r>
      <w:r w:rsidR="006E00F4" w:rsidRPr="00145FF9">
        <w:rPr>
          <w:rFonts w:ascii="Arial" w:hAnsi="Arial" w:cs="Arial"/>
          <w:sz w:val="20"/>
          <w:szCs w:val="20"/>
          <w:lang w:val="nl-NL"/>
        </w:rPr>
        <w:t xml:space="preserve">: </w:t>
      </w:r>
      <w:r w:rsidR="00694305">
        <w:rPr>
          <w:rFonts w:ascii="Times New Roman" w:eastAsia="Times New Roman" w:hAnsi="Times New Roman"/>
          <w:b/>
          <w:color w:val="000000"/>
        </w:rPr>
        <w:t>13.365.682,99</w:t>
      </w:r>
      <w:r w:rsidR="006E00F4" w:rsidRPr="00145FF9">
        <w:rPr>
          <w:rFonts w:ascii="Times New Roman" w:eastAsia="Times New Roman" w:hAnsi="Times New Roman"/>
          <w:color w:val="000000"/>
        </w:rPr>
        <w:t xml:space="preserve"> </w:t>
      </w:r>
      <w:r w:rsidRPr="00145FF9">
        <w:rPr>
          <w:rFonts w:ascii="Arial" w:hAnsi="Arial" w:cs="Arial"/>
          <w:sz w:val="20"/>
          <w:szCs w:val="20"/>
          <w:lang w:val="nl-NL"/>
        </w:rPr>
        <w:t>chứng chỉ quỹ</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9. Chỉ số tham chiếu của Quỹ:</w:t>
      </w:r>
      <w:r w:rsidR="00C0245E" w:rsidRPr="00145FF9">
        <w:rPr>
          <w:rFonts w:ascii="Arial" w:hAnsi="Arial" w:cs="Arial"/>
          <w:b/>
          <w:sz w:val="20"/>
          <w:szCs w:val="26"/>
          <w:lang w:val="nl-NL"/>
        </w:rPr>
        <w:t xml:space="preserve"> </w:t>
      </w:r>
      <w:r w:rsidR="00C0245E" w:rsidRPr="00145FF9">
        <w:rPr>
          <w:rFonts w:ascii="Arial" w:hAnsi="Arial" w:cs="Arial"/>
          <w:sz w:val="20"/>
          <w:szCs w:val="26"/>
          <w:lang w:val="nl-NL"/>
        </w:rPr>
        <w:t>Không có chỉ số tham chiếu</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10. Chính sách phân phối lợi nhuận của Quỹ:</w:t>
      </w:r>
      <w:r w:rsidR="002D6DC4" w:rsidRPr="00145FF9">
        <w:rPr>
          <w:rFonts w:ascii="Arial" w:hAnsi="Arial" w:cs="Arial"/>
          <w:b/>
          <w:sz w:val="20"/>
          <w:szCs w:val="26"/>
          <w:lang w:val="nl-NL"/>
        </w:rPr>
        <w:t xml:space="preserve"> </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b/>
          <w:sz w:val="20"/>
          <w:szCs w:val="26"/>
          <w:lang w:val="nl-NL"/>
        </w:rPr>
        <w:t>11. Lợi nhuận thuần thực tế phân phối trên một đơn vị Chứng chỉ Quỹ</w:t>
      </w:r>
      <w:r w:rsidR="0099628D" w:rsidRPr="00145FF9">
        <w:rPr>
          <w:rFonts w:ascii="Arial" w:hAnsi="Arial" w:cs="Arial"/>
          <w:sz w:val="20"/>
          <w:szCs w:val="26"/>
          <w:lang w:val="nl-NL"/>
        </w:rPr>
        <w:t xml:space="preserve">: </w:t>
      </w:r>
      <w:r w:rsidR="00064C08" w:rsidRPr="00145FF9">
        <w:rPr>
          <w:rFonts w:ascii="Arial" w:hAnsi="Arial" w:cs="Arial"/>
          <w:sz w:val="20"/>
          <w:szCs w:val="26"/>
          <w:lang w:val="nl-NL"/>
        </w:rPr>
        <w:t>(ở thời điểm báo cáo (N)):</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II. Số liệu hoạt động</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1. Cơ cấu tài sản quỹ (N: Đến thời điểm báo cáo):</w:t>
      </w:r>
    </w:p>
    <w:tbl>
      <w:tblPr>
        <w:tblW w:w="8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3057"/>
        <w:gridCol w:w="1631"/>
        <w:gridCol w:w="1640"/>
        <w:gridCol w:w="1713"/>
      </w:tblGrid>
      <w:tr w:rsidR="00B84302" w:rsidRPr="00145FF9" w:rsidTr="009B70B6">
        <w:tc>
          <w:tcPr>
            <w:tcW w:w="1901" w:type="pct"/>
            <w:shd w:val="clear" w:color="auto" w:fill="auto"/>
            <w:vAlign w:val="center"/>
          </w:tcPr>
          <w:p w:rsidR="00B84302" w:rsidRPr="00145FF9" w:rsidRDefault="00B84302" w:rsidP="00B8430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Cơ cấu tài sản quỹ</w:t>
            </w:r>
          </w:p>
        </w:tc>
        <w:tc>
          <w:tcPr>
            <w:tcW w:w="1014" w:type="pct"/>
            <w:shd w:val="clear" w:color="auto" w:fill="auto"/>
          </w:tcPr>
          <w:p w:rsidR="00B84302" w:rsidRPr="00145FF9" w:rsidRDefault="00B84302" w:rsidP="00B8430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84717A"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694305">
              <w:rPr>
                <w:rFonts w:ascii="Arial" w:eastAsia="Times New Roman" w:hAnsi="Arial" w:cs="Arial"/>
                <w:b/>
                <w:sz w:val="20"/>
                <w:szCs w:val="26"/>
                <w:lang w:val="nl-NL"/>
              </w:rPr>
              <w:t>7</w:t>
            </w:r>
          </w:p>
          <w:p w:rsidR="00B84302" w:rsidRPr="00145FF9" w:rsidRDefault="00B84302" w:rsidP="00B8430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w:t>
            </w:r>
          </w:p>
        </w:tc>
        <w:tc>
          <w:tcPr>
            <w:tcW w:w="1020" w:type="pct"/>
            <w:shd w:val="clear" w:color="auto" w:fill="auto"/>
          </w:tcPr>
          <w:p w:rsidR="00B84302" w:rsidRPr="00145FF9" w:rsidRDefault="00B84302" w:rsidP="00B8430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84717A"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694305">
              <w:rPr>
                <w:rFonts w:ascii="Arial" w:eastAsia="Times New Roman" w:hAnsi="Arial" w:cs="Arial"/>
                <w:b/>
                <w:sz w:val="20"/>
                <w:szCs w:val="26"/>
                <w:lang w:val="nl-NL"/>
              </w:rPr>
              <w:t>6</w:t>
            </w:r>
          </w:p>
          <w:p w:rsidR="00B84302" w:rsidRPr="00145FF9" w:rsidRDefault="00B84302" w:rsidP="00B8430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 xml:space="preserve"> (%)</w:t>
            </w:r>
          </w:p>
        </w:tc>
        <w:tc>
          <w:tcPr>
            <w:tcW w:w="1065" w:type="pct"/>
            <w:shd w:val="clear" w:color="auto" w:fill="auto"/>
          </w:tcPr>
          <w:p w:rsidR="00B84302" w:rsidRPr="00145FF9" w:rsidRDefault="00B84302" w:rsidP="00B8430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84717A"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543905">
              <w:rPr>
                <w:rFonts w:ascii="Arial" w:eastAsia="Times New Roman" w:hAnsi="Arial" w:cs="Arial"/>
                <w:b/>
                <w:sz w:val="20"/>
                <w:szCs w:val="26"/>
                <w:lang w:val="nl-NL"/>
              </w:rPr>
              <w:t>5</w:t>
            </w:r>
          </w:p>
          <w:p w:rsidR="00B84302" w:rsidRPr="00145FF9" w:rsidRDefault="00B84302" w:rsidP="00B8430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 xml:space="preserve"> (%)</w:t>
            </w:r>
          </w:p>
        </w:tc>
      </w:tr>
      <w:tr w:rsidR="0059191E" w:rsidRPr="00145FF9" w:rsidTr="0059191E">
        <w:tc>
          <w:tcPr>
            <w:tcW w:w="1901" w:type="pct"/>
            <w:shd w:val="clear" w:color="auto" w:fill="auto"/>
            <w:vAlign w:val="center"/>
          </w:tcPr>
          <w:p w:rsidR="0059191E" w:rsidRPr="00145FF9" w:rsidRDefault="0059191E" w:rsidP="003A77C8">
            <w:pPr>
              <w:tabs>
                <w:tab w:val="left" w:pos="-18"/>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1.</w:t>
            </w:r>
            <w:r w:rsidR="003A77C8" w:rsidRPr="00145FF9">
              <w:rPr>
                <w:rFonts w:ascii="Arial" w:eastAsia="Times New Roman" w:hAnsi="Arial" w:cs="Arial"/>
                <w:sz w:val="20"/>
                <w:szCs w:val="26"/>
                <w:lang w:val="nl-NL"/>
              </w:rPr>
              <w:t>Danh mục trái phiếu</w:t>
            </w:r>
            <w:r w:rsidRPr="00145FF9">
              <w:rPr>
                <w:rFonts w:ascii="Arial" w:eastAsia="Times New Roman" w:hAnsi="Arial" w:cs="Arial"/>
                <w:sz w:val="20"/>
                <w:szCs w:val="26"/>
                <w:lang w:val="nl-NL"/>
              </w:rPr>
              <w:t xml:space="preserve"> </w:t>
            </w:r>
          </w:p>
        </w:tc>
        <w:tc>
          <w:tcPr>
            <w:tcW w:w="1014" w:type="pct"/>
            <w:shd w:val="clear" w:color="auto" w:fill="auto"/>
          </w:tcPr>
          <w:p w:rsidR="0059191E" w:rsidRPr="00145FF9" w:rsidRDefault="00694305" w:rsidP="009F58A2">
            <w:pPr>
              <w:pStyle w:val="NoSpacing"/>
              <w:jc w:val="center"/>
              <w:rPr>
                <w:color w:val="000000"/>
              </w:rPr>
            </w:pPr>
            <w:r>
              <w:rPr>
                <w:color w:val="000000"/>
              </w:rPr>
              <w:t>39.95</w:t>
            </w:r>
          </w:p>
        </w:tc>
        <w:tc>
          <w:tcPr>
            <w:tcW w:w="1020" w:type="pct"/>
            <w:shd w:val="clear" w:color="auto" w:fill="auto"/>
          </w:tcPr>
          <w:p w:rsidR="0059191E" w:rsidRPr="00145FF9" w:rsidRDefault="00694305" w:rsidP="009F58A2">
            <w:pPr>
              <w:pStyle w:val="NoSpacing"/>
              <w:jc w:val="center"/>
              <w:rPr>
                <w:color w:val="000000"/>
              </w:rPr>
            </w:pPr>
            <w:r>
              <w:rPr>
                <w:color w:val="000000"/>
              </w:rPr>
              <w:t>51.9</w:t>
            </w:r>
          </w:p>
        </w:tc>
        <w:tc>
          <w:tcPr>
            <w:tcW w:w="1065" w:type="pct"/>
            <w:shd w:val="clear" w:color="auto" w:fill="auto"/>
          </w:tcPr>
          <w:p w:rsidR="0059191E" w:rsidRPr="00145FF9" w:rsidRDefault="00543905" w:rsidP="009F58A2">
            <w:pPr>
              <w:pStyle w:val="NoSpacing"/>
              <w:jc w:val="center"/>
              <w:rPr>
                <w:color w:val="000000"/>
              </w:rPr>
            </w:pPr>
            <w:r>
              <w:rPr>
                <w:color w:val="000000"/>
              </w:rPr>
              <w:t>48.0</w:t>
            </w:r>
          </w:p>
        </w:tc>
      </w:tr>
      <w:tr w:rsidR="0059191E" w:rsidRPr="00145FF9" w:rsidTr="0059191E">
        <w:tc>
          <w:tcPr>
            <w:tcW w:w="1901" w:type="pct"/>
            <w:shd w:val="clear" w:color="auto" w:fill="auto"/>
            <w:vAlign w:val="center"/>
          </w:tcPr>
          <w:p w:rsidR="0059191E" w:rsidRPr="00145FF9" w:rsidRDefault="0059191E" w:rsidP="0059191E">
            <w:pPr>
              <w:tabs>
                <w:tab w:val="left" w:pos="223"/>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2.Tài sản khác</w:t>
            </w:r>
          </w:p>
        </w:tc>
        <w:tc>
          <w:tcPr>
            <w:tcW w:w="1014" w:type="pct"/>
            <w:shd w:val="clear" w:color="auto" w:fill="auto"/>
          </w:tcPr>
          <w:p w:rsidR="0059191E" w:rsidRPr="00145FF9" w:rsidRDefault="00694305" w:rsidP="009F58A2">
            <w:pPr>
              <w:pStyle w:val="NoSpacing"/>
              <w:jc w:val="center"/>
              <w:rPr>
                <w:color w:val="000000"/>
              </w:rPr>
            </w:pPr>
            <w:r>
              <w:rPr>
                <w:color w:val="000000"/>
              </w:rPr>
              <w:t>60.05</w:t>
            </w:r>
          </w:p>
        </w:tc>
        <w:tc>
          <w:tcPr>
            <w:tcW w:w="1020" w:type="pct"/>
            <w:shd w:val="clear" w:color="auto" w:fill="auto"/>
          </w:tcPr>
          <w:p w:rsidR="0059191E" w:rsidRPr="00145FF9" w:rsidRDefault="00694305" w:rsidP="009F58A2">
            <w:pPr>
              <w:pStyle w:val="NoSpacing"/>
              <w:jc w:val="center"/>
              <w:rPr>
                <w:color w:val="000000"/>
              </w:rPr>
            </w:pPr>
            <w:r>
              <w:rPr>
                <w:color w:val="000000"/>
              </w:rPr>
              <w:t>48.1</w:t>
            </w:r>
          </w:p>
        </w:tc>
        <w:tc>
          <w:tcPr>
            <w:tcW w:w="1065" w:type="pct"/>
            <w:shd w:val="clear" w:color="auto" w:fill="auto"/>
          </w:tcPr>
          <w:p w:rsidR="0059191E" w:rsidRPr="00145FF9" w:rsidRDefault="00543905" w:rsidP="009F58A2">
            <w:pPr>
              <w:pStyle w:val="NoSpacing"/>
              <w:jc w:val="center"/>
              <w:rPr>
                <w:color w:val="000000"/>
              </w:rPr>
            </w:pPr>
            <w:r>
              <w:rPr>
                <w:color w:val="000000"/>
              </w:rPr>
              <w:t>52.0</w:t>
            </w:r>
          </w:p>
        </w:tc>
      </w:tr>
      <w:tr w:rsidR="0060532E" w:rsidRPr="00145FF9" w:rsidTr="0059191E">
        <w:tc>
          <w:tcPr>
            <w:tcW w:w="1901" w:type="pct"/>
            <w:shd w:val="clear" w:color="auto" w:fill="auto"/>
            <w:vAlign w:val="center"/>
          </w:tcPr>
          <w:p w:rsidR="0060532E" w:rsidRPr="00145FF9" w:rsidRDefault="0060532E" w:rsidP="009B70B6">
            <w:pPr>
              <w:tabs>
                <w:tab w:val="left" w:pos="540"/>
              </w:tabs>
              <w:spacing w:before="120" w:after="0" w:line="240" w:lineRule="auto"/>
              <w:rPr>
                <w:rFonts w:ascii="Arial" w:eastAsia="Times New Roman" w:hAnsi="Arial" w:cs="Arial"/>
                <w:b/>
                <w:sz w:val="20"/>
                <w:szCs w:val="26"/>
                <w:lang w:val="nl-NL"/>
              </w:rPr>
            </w:pPr>
            <w:r w:rsidRPr="00145FF9">
              <w:rPr>
                <w:rFonts w:ascii="Arial" w:eastAsia="Times New Roman" w:hAnsi="Arial" w:cs="Arial"/>
                <w:b/>
                <w:sz w:val="20"/>
                <w:szCs w:val="26"/>
                <w:lang w:val="nl-NL"/>
              </w:rPr>
              <w:t>Cộng</w:t>
            </w:r>
          </w:p>
        </w:tc>
        <w:tc>
          <w:tcPr>
            <w:tcW w:w="1014" w:type="pct"/>
            <w:shd w:val="clear" w:color="auto" w:fill="auto"/>
            <w:vAlign w:val="center"/>
          </w:tcPr>
          <w:p w:rsidR="0060532E" w:rsidRPr="00145FF9" w:rsidRDefault="0060532E" w:rsidP="009F58A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100,00</w:t>
            </w:r>
          </w:p>
        </w:tc>
        <w:tc>
          <w:tcPr>
            <w:tcW w:w="1020" w:type="pct"/>
            <w:shd w:val="clear" w:color="auto" w:fill="auto"/>
            <w:vAlign w:val="center"/>
          </w:tcPr>
          <w:p w:rsidR="0060532E" w:rsidRPr="00145FF9" w:rsidRDefault="0060532E" w:rsidP="009F58A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100,00</w:t>
            </w:r>
          </w:p>
        </w:tc>
        <w:tc>
          <w:tcPr>
            <w:tcW w:w="1065" w:type="pct"/>
            <w:shd w:val="clear" w:color="auto" w:fill="auto"/>
            <w:vAlign w:val="center"/>
          </w:tcPr>
          <w:p w:rsidR="0060532E" w:rsidRPr="00145FF9" w:rsidRDefault="0060532E" w:rsidP="009F58A2">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100,00</w:t>
            </w:r>
          </w:p>
        </w:tc>
      </w:tr>
    </w:tbl>
    <w:p w:rsidR="002B2957" w:rsidRPr="00145FF9" w:rsidRDefault="002B2957" w:rsidP="0060532E">
      <w:pPr>
        <w:shd w:val="clear" w:color="auto" w:fill="FFFFFF"/>
        <w:tabs>
          <w:tab w:val="left" w:pos="540"/>
        </w:tabs>
        <w:spacing w:before="120" w:after="0" w:line="240" w:lineRule="auto"/>
        <w:rPr>
          <w:rFonts w:ascii="Arial" w:hAnsi="Arial" w:cs="Arial"/>
          <w:b/>
          <w:sz w:val="20"/>
          <w:szCs w:val="26"/>
          <w:lang w:val="nl-NL"/>
        </w:rPr>
      </w:pPr>
    </w:p>
    <w:p w:rsidR="0084717A" w:rsidRPr="00145FF9" w:rsidRDefault="0084717A" w:rsidP="0060532E">
      <w:pPr>
        <w:shd w:val="clear" w:color="auto" w:fill="FFFFFF"/>
        <w:tabs>
          <w:tab w:val="left" w:pos="540"/>
        </w:tabs>
        <w:spacing w:before="120" w:after="0" w:line="240" w:lineRule="auto"/>
        <w:rPr>
          <w:rFonts w:ascii="Arial" w:hAnsi="Arial" w:cs="Arial"/>
          <w:b/>
          <w:sz w:val="20"/>
          <w:szCs w:val="26"/>
          <w:lang w:val="nl-NL"/>
        </w:rPr>
      </w:pPr>
    </w:p>
    <w:p w:rsidR="00E72377" w:rsidRPr="00145FF9" w:rsidRDefault="00E72377" w:rsidP="0060532E">
      <w:pPr>
        <w:shd w:val="clear" w:color="auto" w:fill="FFFFFF"/>
        <w:tabs>
          <w:tab w:val="left" w:pos="540"/>
        </w:tabs>
        <w:spacing w:before="120" w:after="0" w:line="240" w:lineRule="auto"/>
        <w:rPr>
          <w:rFonts w:ascii="Arial" w:hAnsi="Arial" w:cs="Arial"/>
          <w:b/>
          <w:sz w:val="20"/>
          <w:szCs w:val="26"/>
          <w:lang w:val="nl-NL"/>
        </w:rPr>
      </w:pP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2. Chi tiết chỉ tiêu hoạt động (N: Đến thời điểm báo cáo):</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44"/>
        <w:gridCol w:w="1949"/>
        <w:gridCol w:w="1893"/>
        <w:gridCol w:w="1968"/>
      </w:tblGrid>
      <w:tr w:rsidR="00665168" w:rsidRPr="00145FF9" w:rsidTr="009B70B6">
        <w:trPr>
          <w:trHeight w:val="535"/>
        </w:trPr>
        <w:tc>
          <w:tcPr>
            <w:tcW w:w="1894" w:type="pct"/>
            <w:shd w:val="clear" w:color="auto" w:fill="auto"/>
            <w:vAlign w:val="center"/>
          </w:tcPr>
          <w:p w:rsidR="00665168" w:rsidRPr="00145FF9" w:rsidRDefault="00665168" w:rsidP="00665168">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Chỉ tiêu</w:t>
            </w:r>
          </w:p>
        </w:tc>
        <w:tc>
          <w:tcPr>
            <w:tcW w:w="1042" w:type="pct"/>
            <w:shd w:val="clear" w:color="auto" w:fill="auto"/>
          </w:tcPr>
          <w:p w:rsidR="00665168" w:rsidRPr="00145FF9" w:rsidRDefault="00665168" w:rsidP="00665168">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6E00F4"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694305">
              <w:rPr>
                <w:rFonts w:ascii="Arial" w:eastAsia="Times New Roman" w:hAnsi="Arial" w:cs="Arial"/>
                <w:b/>
                <w:sz w:val="20"/>
                <w:szCs w:val="26"/>
                <w:lang w:val="nl-NL"/>
              </w:rPr>
              <w:t>7</w:t>
            </w:r>
          </w:p>
          <w:p w:rsidR="00665168" w:rsidRPr="00145FF9" w:rsidRDefault="00665168" w:rsidP="00665168">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w:t>
            </w:r>
          </w:p>
        </w:tc>
        <w:tc>
          <w:tcPr>
            <w:tcW w:w="1012" w:type="pct"/>
            <w:shd w:val="clear" w:color="auto" w:fill="auto"/>
          </w:tcPr>
          <w:p w:rsidR="00665168" w:rsidRPr="00145FF9" w:rsidRDefault="00665168" w:rsidP="00665168">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6E00F4"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694305">
              <w:rPr>
                <w:rFonts w:ascii="Arial" w:eastAsia="Times New Roman" w:hAnsi="Arial" w:cs="Arial"/>
                <w:b/>
                <w:sz w:val="20"/>
                <w:szCs w:val="26"/>
                <w:lang w:val="nl-NL"/>
              </w:rPr>
              <w:t>6</w:t>
            </w:r>
          </w:p>
          <w:p w:rsidR="00665168" w:rsidRPr="00145FF9" w:rsidRDefault="00665168" w:rsidP="00665168">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 xml:space="preserve"> (%)</w:t>
            </w:r>
          </w:p>
        </w:tc>
        <w:tc>
          <w:tcPr>
            <w:tcW w:w="1052" w:type="pct"/>
            <w:shd w:val="clear" w:color="auto" w:fill="auto"/>
          </w:tcPr>
          <w:p w:rsidR="00665168" w:rsidRPr="00145FF9" w:rsidRDefault="00665168" w:rsidP="00665168">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6E00F4"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F47293">
              <w:rPr>
                <w:rFonts w:ascii="Arial" w:eastAsia="Times New Roman" w:hAnsi="Arial" w:cs="Arial"/>
                <w:b/>
                <w:sz w:val="20"/>
                <w:szCs w:val="26"/>
                <w:lang w:val="nl-NL"/>
              </w:rPr>
              <w:t>5</w:t>
            </w:r>
          </w:p>
          <w:p w:rsidR="00665168" w:rsidRPr="00145FF9" w:rsidRDefault="00665168" w:rsidP="00665168">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 xml:space="preserve"> (%)</w:t>
            </w:r>
          </w:p>
        </w:tc>
      </w:tr>
      <w:tr w:rsidR="00694305" w:rsidRPr="00145FF9" w:rsidTr="006061C4">
        <w:trPr>
          <w:trHeight w:val="778"/>
        </w:trPr>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2.1.Giá trị tài sản ròng của Quỹ</w:t>
            </w:r>
          </w:p>
        </w:tc>
        <w:tc>
          <w:tcPr>
            <w:tcW w:w="104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Pr>
                <w:color w:val="000000"/>
              </w:rPr>
              <w:t>209,300,081,825</w:t>
            </w:r>
          </w:p>
        </w:tc>
        <w:tc>
          <w:tcPr>
            <w:tcW w:w="101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100,742,551,188</w:t>
            </w:r>
          </w:p>
        </w:tc>
        <w:tc>
          <w:tcPr>
            <w:tcW w:w="1052" w:type="pct"/>
            <w:shd w:val="clear" w:color="auto" w:fill="auto"/>
            <w:vAlign w:val="center"/>
          </w:tcPr>
          <w:p w:rsidR="00694305" w:rsidRPr="00145FF9" w:rsidRDefault="00694305" w:rsidP="00694305">
            <w:pPr>
              <w:spacing w:after="0" w:line="240" w:lineRule="auto"/>
              <w:jc w:val="center"/>
              <w:rPr>
                <w:rFonts w:ascii="Tahoma" w:hAnsi="Tahoma" w:cs="Tahoma"/>
                <w:b/>
                <w:bCs/>
                <w:color w:val="323232"/>
                <w:sz w:val="20"/>
                <w:szCs w:val="20"/>
              </w:rPr>
            </w:pPr>
            <w:r w:rsidRPr="00145FF9">
              <w:rPr>
                <w:rFonts w:ascii="Tahoma" w:hAnsi="Tahoma" w:cs="Tahoma"/>
                <w:b/>
                <w:bCs/>
                <w:color w:val="323232"/>
                <w:sz w:val="20"/>
                <w:szCs w:val="20"/>
              </w:rPr>
              <w:t xml:space="preserve">                       </w:t>
            </w:r>
          </w:p>
          <w:p w:rsidR="00694305" w:rsidRPr="00145FF9" w:rsidRDefault="00694305" w:rsidP="00694305">
            <w:pPr>
              <w:spacing w:after="0" w:line="240" w:lineRule="auto"/>
              <w:jc w:val="center"/>
              <w:rPr>
                <w:rFonts w:ascii="Times New Roman" w:eastAsia="Times New Roman" w:hAnsi="Times New Roman"/>
                <w:color w:val="000000"/>
              </w:rPr>
            </w:pPr>
            <w:r w:rsidRPr="00145FF9">
              <w:rPr>
                <w:color w:val="000000"/>
              </w:rPr>
              <w:t>106,099,492,831</w:t>
            </w:r>
          </w:p>
          <w:p w:rsidR="00694305" w:rsidRPr="00145FF9" w:rsidRDefault="00694305" w:rsidP="006061C4">
            <w:pPr>
              <w:tabs>
                <w:tab w:val="left" w:pos="540"/>
              </w:tabs>
              <w:spacing w:before="120" w:after="0" w:line="240" w:lineRule="auto"/>
              <w:rPr>
                <w:rFonts w:ascii="Arial" w:eastAsia="Times New Roman" w:hAnsi="Arial" w:cs="Arial"/>
                <w:sz w:val="20"/>
                <w:szCs w:val="26"/>
                <w:lang w:val="nl-NL"/>
              </w:rPr>
            </w:pPr>
          </w:p>
        </w:tc>
      </w:tr>
      <w:tr w:rsidR="00694305" w:rsidRPr="00145FF9" w:rsidTr="006061C4">
        <w:trPr>
          <w:trHeight w:val="625"/>
        </w:trPr>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2.2.Tổng số chứng chỉ quỹ đang lưu hành</w:t>
            </w:r>
          </w:p>
        </w:tc>
        <w:tc>
          <w:tcPr>
            <w:tcW w:w="1042" w:type="pct"/>
            <w:shd w:val="clear" w:color="auto" w:fill="auto"/>
            <w:vAlign w:val="center"/>
          </w:tcPr>
          <w:p w:rsidR="00694305" w:rsidRPr="006061C4" w:rsidRDefault="00694305" w:rsidP="006061C4">
            <w:pPr>
              <w:spacing w:after="0" w:line="240" w:lineRule="auto"/>
              <w:jc w:val="center"/>
              <w:rPr>
                <w:color w:val="000000"/>
              </w:rPr>
            </w:pPr>
            <w:r>
              <w:rPr>
                <w:color w:val="000000"/>
              </w:rPr>
              <w:t>13,365,682.99</w:t>
            </w:r>
          </w:p>
        </w:tc>
        <w:tc>
          <w:tcPr>
            <w:tcW w:w="101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7,405,360.58</w:t>
            </w:r>
          </w:p>
        </w:tc>
        <w:tc>
          <w:tcPr>
            <w:tcW w:w="1052" w:type="pct"/>
            <w:shd w:val="clear" w:color="auto" w:fill="auto"/>
            <w:vAlign w:val="center"/>
          </w:tcPr>
          <w:p w:rsidR="00694305" w:rsidRPr="006061C4" w:rsidRDefault="00694305" w:rsidP="006061C4">
            <w:pPr>
              <w:spacing w:after="0" w:line="240" w:lineRule="auto"/>
              <w:jc w:val="center"/>
              <w:rPr>
                <w:rFonts w:ascii="Tahoma" w:hAnsi="Tahoma" w:cs="Tahoma"/>
                <w:sz w:val="20"/>
                <w:szCs w:val="20"/>
              </w:rPr>
            </w:pPr>
            <w:r w:rsidRPr="00145FF9">
              <w:rPr>
                <w:color w:val="000000"/>
              </w:rPr>
              <w:t>8,573,551.42</w:t>
            </w:r>
          </w:p>
        </w:tc>
      </w:tr>
      <w:tr w:rsidR="00694305" w:rsidRPr="00145FF9" w:rsidTr="002B2957">
        <w:trPr>
          <w:trHeight w:val="715"/>
        </w:trPr>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2.3.Giá trị tài sản ròng của một đơn vị Chứng chỉ quỹ (CCQ)</w:t>
            </w:r>
          </w:p>
        </w:tc>
        <w:tc>
          <w:tcPr>
            <w:tcW w:w="104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Pr>
                <w:color w:val="000000"/>
              </w:rPr>
              <w:t>15,659.51</w:t>
            </w:r>
          </w:p>
        </w:tc>
        <w:tc>
          <w:tcPr>
            <w:tcW w:w="101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13,604.00</w:t>
            </w:r>
          </w:p>
        </w:tc>
        <w:tc>
          <w:tcPr>
            <w:tcW w:w="1052" w:type="pct"/>
            <w:shd w:val="clear" w:color="auto" w:fill="auto"/>
            <w:vAlign w:val="center"/>
          </w:tcPr>
          <w:p w:rsidR="00694305" w:rsidRPr="00145FF9" w:rsidRDefault="00694305" w:rsidP="006061C4">
            <w:pPr>
              <w:spacing w:after="0" w:line="240" w:lineRule="auto"/>
              <w:jc w:val="center"/>
              <w:rPr>
                <w:rFonts w:ascii="Tahoma" w:hAnsi="Tahoma" w:cs="Tahoma"/>
                <w:b/>
                <w:bCs/>
                <w:sz w:val="20"/>
                <w:szCs w:val="20"/>
              </w:rPr>
            </w:pPr>
            <w:r w:rsidRPr="00145FF9">
              <w:rPr>
                <w:color w:val="000000"/>
              </w:rPr>
              <w:t>12,375.20</w:t>
            </w:r>
          </w:p>
        </w:tc>
      </w:tr>
      <w:tr w:rsidR="00694305" w:rsidRPr="00145FF9" w:rsidTr="002B2957">
        <w:trPr>
          <w:trHeight w:val="715"/>
        </w:trPr>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2.4.Giá trị tài sản ròng cao nhất của 1 đơn vị CCQ trong kỳ báo cáo</w:t>
            </w:r>
          </w:p>
        </w:tc>
        <w:tc>
          <w:tcPr>
            <w:tcW w:w="1042" w:type="pct"/>
            <w:shd w:val="clear" w:color="auto" w:fill="auto"/>
            <w:vAlign w:val="center"/>
          </w:tcPr>
          <w:p w:rsidR="00694305" w:rsidRPr="00145FF9" w:rsidRDefault="00F47293" w:rsidP="00694305">
            <w:pPr>
              <w:spacing w:after="0" w:line="240" w:lineRule="auto"/>
              <w:jc w:val="center"/>
              <w:rPr>
                <w:sz w:val="20"/>
                <w:szCs w:val="20"/>
              </w:rPr>
            </w:pPr>
            <w:r>
              <w:rPr>
                <w:sz w:val="20"/>
                <w:szCs w:val="20"/>
              </w:rPr>
              <w:t>15,670.92</w:t>
            </w:r>
          </w:p>
        </w:tc>
        <w:tc>
          <w:tcPr>
            <w:tcW w:w="101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13,616.20</w:t>
            </w:r>
          </w:p>
        </w:tc>
        <w:tc>
          <w:tcPr>
            <w:tcW w:w="105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12,205.18</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2.5.Giá trị tài sản ròng thấp nhất của 1 đơn vị CCQ trong kỳ báo cáo</w:t>
            </w:r>
          </w:p>
        </w:tc>
        <w:tc>
          <w:tcPr>
            <w:tcW w:w="1042" w:type="pct"/>
            <w:shd w:val="clear" w:color="auto" w:fill="auto"/>
            <w:vAlign w:val="center"/>
          </w:tcPr>
          <w:p w:rsidR="00694305" w:rsidRDefault="00F47293" w:rsidP="00694305">
            <w:pPr>
              <w:spacing w:after="0" w:line="240" w:lineRule="auto"/>
              <w:jc w:val="center"/>
              <w:rPr>
                <w:color w:val="000000"/>
              </w:rPr>
            </w:pPr>
            <w:r>
              <w:rPr>
                <w:color w:val="000000"/>
              </w:rPr>
              <w:t>13,550.89</w:t>
            </w:r>
          </w:p>
          <w:p w:rsidR="00694305" w:rsidRPr="00145FF9" w:rsidRDefault="00694305" w:rsidP="00694305">
            <w:pPr>
              <w:spacing w:after="0" w:line="240" w:lineRule="auto"/>
              <w:jc w:val="center"/>
              <w:rPr>
                <w:sz w:val="20"/>
                <w:szCs w:val="20"/>
              </w:rPr>
            </w:pPr>
          </w:p>
        </w:tc>
        <w:tc>
          <w:tcPr>
            <w:tcW w:w="1012" w:type="pct"/>
            <w:shd w:val="clear" w:color="auto" w:fill="auto"/>
            <w:vAlign w:val="center"/>
          </w:tcPr>
          <w:p w:rsidR="00694305" w:rsidRDefault="00694305" w:rsidP="00694305">
            <w:pPr>
              <w:spacing w:after="0" w:line="240" w:lineRule="auto"/>
              <w:jc w:val="center"/>
              <w:rPr>
                <w:color w:val="000000"/>
              </w:rPr>
            </w:pPr>
          </w:p>
          <w:p w:rsidR="00694305" w:rsidRPr="00145FF9" w:rsidRDefault="00694305" w:rsidP="00694305">
            <w:pPr>
              <w:spacing w:after="0" w:line="240" w:lineRule="auto"/>
              <w:jc w:val="center"/>
              <w:rPr>
                <w:rFonts w:ascii="Times New Roman" w:eastAsia="Times New Roman" w:hAnsi="Times New Roman"/>
                <w:color w:val="000000"/>
              </w:rPr>
            </w:pPr>
            <w:r w:rsidRPr="00145FF9">
              <w:rPr>
                <w:color w:val="000000"/>
              </w:rPr>
              <w:t>12,375.84</w:t>
            </w:r>
          </w:p>
          <w:p w:rsidR="00694305" w:rsidRPr="00145FF9" w:rsidRDefault="00694305" w:rsidP="00694305">
            <w:pPr>
              <w:tabs>
                <w:tab w:val="left" w:pos="540"/>
              </w:tabs>
              <w:spacing w:before="120" w:after="0" w:line="240" w:lineRule="auto"/>
              <w:jc w:val="center"/>
              <w:rPr>
                <w:sz w:val="20"/>
                <w:szCs w:val="20"/>
              </w:rPr>
            </w:pPr>
          </w:p>
        </w:tc>
        <w:tc>
          <w:tcPr>
            <w:tcW w:w="1052" w:type="pct"/>
            <w:shd w:val="clear" w:color="auto" w:fill="auto"/>
            <w:vAlign w:val="center"/>
          </w:tcPr>
          <w:p w:rsidR="00694305" w:rsidRDefault="00694305" w:rsidP="00694305">
            <w:pPr>
              <w:spacing w:after="0" w:line="240" w:lineRule="auto"/>
              <w:jc w:val="center"/>
              <w:rPr>
                <w:color w:val="000000"/>
              </w:rPr>
            </w:pPr>
          </w:p>
          <w:p w:rsidR="00694305" w:rsidRPr="00145FF9" w:rsidRDefault="00694305" w:rsidP="00694305">
            <w:pPr>
              <w:spacing w:after="0" w:line="240" w:lineRule="auto"/>
              <w:jc w:val="center"/>
              <w:rPr>
                <w:rFonts w:ascii="Times New Roman" w:eastAsia="Times New Roman" w:hAnsi="Times New Roman"/>
                <w:color w:val="000000"/>
              </w:rPr>
            </w:pPr>
            <w:r w:rsidRPr="00145FF9">
              <w:rPr>
                <w:color w:val="000000"/>
              </w:rPr>
              <w:t>11,735.09</w:t>
            </w:r>
          </w:p>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2.6.Giá cuối ngày của 1 đơn vị CCQ tại ngày báo cáo</w:t>
            </w:r>
          </w:p>
        </w:tc>
        <w:tc>
          <w:tcPr>
            <w:tcW w:w="104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c>
          <w:tcPr>
            <w:tcW w:w="101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c>
          <w:tcPr>
            <w:tcW w:w="105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2.7.Giá cuối ngày cao nhất của 1 đơn vị CCQ trong kỳ báo cáo</w:t>
            </w:r>
          </w:p>
        </w:tc>
        <w:tc>
          <w:tcPr>
            <w:tcW w:w="104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c>
          <w:tcPr>
            <w:tcW w:w="101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c>
          <w:tcPr>
            <w:tcW w:w="105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2.8.Giá cuối ngày thấp nhất của 1 đơn vị CCQ trong kỳ báo cáo</w:t>
            </w:r>
          </w:p>
        </w:tc>
        <w:tc>
          <w:tcPr>
            <w:tcW w:w="104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c>
          <w:tcPr>
            <w:tcW w:w="101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c>
          <w:tcPr>
            <w:tcW w:w="105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N/A</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2.9.Tổng tăng trưởng (%)/1 đơn vị CCQ</w:t>
            </w:r>
          </w:p>
        </w:tc>
        <w:tc>
          <w:tcPr>
            <w:tcW w:w="1042" w:type="pct"/>
            <w:shd w:val="clear" w:color="auto" w:fill="auto"/>
            <w:vAlign w:val="center"/>
          </w:tcPr>
          <w:p w:rsidR="00694305" w:rsidRDefault="00694305" w:rsidP="009F58A2">
            <w:pPr>
              <w:spacing w:after="0" w:line="240" w:lineRule="auto"/>
              <w:jc w:val="center"/>
              <w:rPr>
                <w:rFonts w:ascii="Times New Roman" w:eastAsia="Times New Roman" w:hAnsi="Times New Roman"/>
                <w:color w:val="000000"/>
              </w:rPr>
            </w:pPr>
            <w:r>
              <w:rPr>
                <w:color w:val="000000"/>
              </w:rPr>
              <w:t>410.81%</w:t>
            </w:r>
          </w:p>
        </w:tc>
        <w:tc>
          <w:tcPr>
            <w:tcW w:w="101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1086.50%</w:t>
            </w:r>
          </w:p>
        </w:tc>
        <w:tc>
          <w:tcPr>
            <w:tcW w:w="105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-178.88%</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2.9.1.Tăng trưởng vốn (%)/1 đơn vị CCQ (Thay đổi do biến động giá)</w:t>
            </w:r>
          </w:p>
        </w:tc>
        <w:tc>
          <w:tcPr>
            <w:tcW w:w="1042" w:type="pct"/>
            <w:shd w:val="clear" w:color="auto" w:fill="auto"/>
            <w:vAlign w:val="center"/>
          </w:tcPr>
          <w:p w:rsidR="00694305" w:rsidRDefault="00694305" w:rsidP="006061C4">
            <w:pPr>
              <w:jc w:val="center"/>
              <w:rPr>
                <w:color w:val="000000"/>
              </w:rPr>
            </w:pPr>
            <w:r>
              <w:rPr>
                <w:color w:val="000000"/>
              </w:rPr>
              <w:t>-23.98%</w:t>
            </w:r>
          </w:p>
        </w:tc>
        <w:tc>
          <w:tcPr>
            <w:tcW w:w="101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617.78%</w:t>
            </w:r>
          </w:p>
        </w:tc>
        <w:tc>
          <w:tcPr>
            <w:tcW w:w="105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-91.28%</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2.9.2.Tăng trưởng thu nhập (%)/1 đơn vị CCQ (Tính trên thu nhập đã thực hiện)</w:t>
            </w:r>
          </w:p>
        </w:tc>
        <w:tc>
          <w:tcPr>
            <w:tcW w:w="1042" w:type="pct"/>
            <w:shd w:val="clear" w:color="auto" w:fill="auto"/>
            <w:vAlign w:val="center"/>
          </w:tcPr>
          <w:p w:rsidR="00694305" w:rsidRDefault="00694305" w:rsidP="006061C4">
            <w:pPr>
              <w:jc w:val="center"/>
              <w:rPr>
                <w:color w:val="000000"/>
              </w:rPr>
            </w:pPr>
            <w:r>
              <w:rPr>
                <w:color w:val="000000"/>
              </w:rPr>
              <w:t>434.79%</w:t>
            </w:r>
          </w:p>
        </w:tc>
        <w:tc>
          <w:tcPr>
            <w:tcW w:w="101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468.71%</w:t>
            </w:r>
          </w:p>
        </w:tc>
        <w:tc>
          <w:tcPr>
            <w:tcW w:w="105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-87.60%</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2.10.Phân phối gộp trên 1 đơn vị CCQ</w:t>
            </w:r>
          </w:p>
        </w:tc>
        <w:tc>
          <w:tcPr>
            <w:tcW w:w="1042" w:type="pct"/>
            <w:shd w:val="clear" w:color="auto" w:fill="auto"/>
            <w:vAlign w:val="center"/>
          </w:tcPr>
          <w:p w:rsidR="00694305" w:rsidRPr="00145FF9" w:rsidRDefault="00694305" w:rsidP="009F58A2">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01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05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2.11.Phân phối ròng trên 1 đơn vị CCQ</w:t>
            </w:r>
          </w:p>
        </w:tc>
        <w:tc>
          <w:tcPr>
            <w:tcW w:w="1042" w:type="pct"/>
            <w:shd w:val="clear" w:color="auto" w:fill="auto"/>
            <w:vAlign w:val="center"/>
          </w:tcPr>
          <w:p w:rsidR="00694305" w:rsidRPr="00145FF9" w:rsidRDefault="00694305" w:rsidP="009F58A2">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01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05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2.12.Ngày chốt quyền (Ex-date of distribution)</w:t>
            </w:r>
          </w:p>
        </w:tc>
        <w:tc>
          <w:tcPr>
            <w:tcW w:w="1042" w:type="pct"/>
            <w:shd w:val="clear" w:color="auto" w:fill="auto"/>
            <w:vAlign w:val="center"/>
          </w:tcPr>
          <w:p w:rsidR="00694305" w:rsidRPr="00145FF9" w:rsidRDefault="00694305" w:rsidP="009F58A2">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01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052" w:type="pct"/>
            <w:shd w:val="clear" w:color="auto" w:fill="auto"/>
            <w:vAlign w:val="center"/>
          </w:tcPr>
          <w:p w:rsidR="00694305" w:rsidRPr="00145FF9" w:rsidRDefault="00694305" w:rsidP="0069430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r>
      <w:tr w:rsidR="00694305" w:rsidRPr="00145FF9" w:rsidTr="0059191E">
        <w:tc>
          <w:tcPr>
            <w:tcW w:w="1894" w:type="pct"/>
            <w:shd w:val="clear" w:color="auto" w:fill="auto"/>
            <w:vAlign w:val="center"/>
          </w:tcPr>
          <w:p w:rsidR="00694305" w:rsidRPr="00145FF9" w:rsidRDefault="00694305" w:rsidP="0069430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2.13.Tỷ lệ chi phí hoạt động của quỹ (%)</w:t>
            </w:r>
          </w:p>
        </w:tc>
        <w:tc>
          <w:tcPr>
            <w:tcW w:w="104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1.</w:t>
            </w:r>
            <w:r>
              <w:rPr>
                <w:color w:val="000000"/>
              </w:rPr>
              <w:t>20</w:t>
            </w:r>
            <w:r w:rsidRPr="00145FF9">
              <w:rPr>
                <w:color w:val="000000"/>
              </w:rPr>
              <w:t>%</w:t>
            </w:r>
          </w:p>
        </w:tc>
        <w:tc>
          <w:tcPr>
            <w:tcW w:w="101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1.83%</w:t>
            </w:r>
          </w:p>
        </w:tc>
        <w:tc>
          <w:tcPr>
            <w:tcW w:w="1052" w:type="pct"/>
            <w:shd w:val="clear" w:color="auto" w:fill="auto"/>
            <w:vAlign w:val="center"/>
          </w:tcPr>
          <w:p w:rsidR="00694305" w:rsidRPr="006061C4" w:rsidRDefault="00694305" w:rsidP="006061C4">
            <w:pPr>
              <w:spacing w:after="0" w:line="240" w:lineRule="auto"/>
              <w:jc w:val="center"/>
              <w:rPr>
                <w:rFonts w:ascii="Times New Roman" w:eastAsia="Times New Roman" w:hAnsi="Times New Roman"/>
                <w:color w:val="000000"/>
              </w:rPr>
            </w:pPr>
            <w:r w:rsidRPr="00145FF9">
              <w:rPr>
                <w:color w:val="000000"/>
              </w:rPr>
              <w:t>1.82%</w:t>
            </w:r>
          </w:p>
        </w:tc>
      </w:tr>
      <w:tr w:rsidR="00694305" w:rsidRPr="00145FF9" w:rsidTr="0059191E">
        <w:tc>
          <w:tcPr>
            <w:tcW w:w="1894" w:type="pct"/>
            <w:shd w:val="clear" w:color="auto" w:fill="auto"/>
            <w:vAlign w:val="center"/>
          </w:tcPr>
          <w:p w:rsidR="00694305" w:rsidRPr="00145FF9" w:rsidRDefault="00694305" w:rsidP="006061C4">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2.14.Tốc độ vòng quay danh mục (lần)</w:t>
            </w:r>
          </w:p>
        </w:tc>
        <w:tc>
          <w:tcPr>
            <w:tcW w:w="1042" w:type="pct"/>
            <w:shd w:val="clear" w:color="auto" w:fill="auto"/>
            <w:vAlign w:val="center"/>
          </w:tcPr>
          <w:p w:rsidR="00694305" w:rsidRPr="006061C4" w:rsidRDefault="00694305" w:rsidP="006061C4">
            <w:pPr>
              <w:spacing w:after="0" w:line="240" w:lineRule="auto"/>
              <w:jc w:val="center"/>
              <w:rPr>
                <w:rFonts w:ascii="Arial" w:eastAsia="Times New Roman" w:hAnsi="Arial" w:cs="Arial"/>
                <w:color w:val="000000"/>
                <w:sz w:val="20"/>
                <w:szCs w:val="20"/>
              </w:rPr>
            </w:pPr>
            <w:r w:rsidRPr="00145FF9">
              <w:rPr>
                <w:rFonts w:ascii="Arial" w:hAnsi="Arial" w:cs="Arial"/>
                <w:color w:val="000000"/>
                <w:sz w:val="20"/>
                <w:szCs w:val="20"/>
              </w:rPr>
              <w:t>1.</w:t>
            </w:r>
            <w:r>
              <w:rPr>
                <w:rFonts w:ascii="Arial" w:hAnsi="Arial" w:cs="Arial"/>
                <w:color w:val="000000"/>
                <w:sz w:val="20"/>
                <w:szCs w:val="20"/>
              </w:rPr>
              <w:t>83</w:t>
            </w:r>
          </w:p>
        </w:tc>
        <w:tc>
          <w:tcPr>
            <w:tcW w:w="1012" w:type="pct"/>
            <w:shd w:val="clear" w:color="auto" w:fill="auto"/>
            <w:vAlign w:val="center"/>
          </w:tcPr>
          <w:p w:rsidR="00694305" w:rsidRPr="006061C4" w:rsidRDefault="00694305" w:rsidP="006061C4">
            <w:pPr>
              <w:spacing w:after="0" w:line="240" w:lineRule="auto"/>
              <w:jc w:val="center"/>
              <w:rPr>
                <w:rFonts w:ascii="Arial" w:eastAsia="Times New Roman" w:hAnsi="Arial" w:cs="Arial"/>
                <w:color w:val="000000"/>
                <w:sz w:val="20"/>
                <w:szCs w:val="20"/>
              </w:rPr>
            </w:pPr>
            <w:r w:rsidRPr="00145FF9">
              <w:rPr>
                <w:rFonts w:ascii="Arial" w:hAnsi="Arial" w:cs="Arial"/>
                <w:color w:val="000000"/>
                <w:sz w:val="20"/>
                <w:szCs w:val="20"/>
              </w:rPr>
              <w:t>1.21</w:t>
            </w:r>
          </w:p>
        </w:tc>
        <w:tc>
          <w:tcPr>
            <w:tcW w:w="1052" w:type="pct"/>
            <w:shd w:val="clear" w:color="auto" w:fill="auto"/>
            <w:vAlign w:val="center"/>
          </w:tcPr>
          <w:p w:rsidR="00694305" w:rsidRPr="00145FF9" w:rsidRDefault="00694305" w:rsidP="006061C4">
            <w:pPr>
              <w:spacing w:after="0" w:line="240" w:lineRule="auto"/>
              <w:jc w:val="center"/>
              <w:rPr>
                <w:rFonts w:ascii="Arial" w:hAnsi="Arial" w:cs="Arial"/>
                <w:color w:val="000000"/>
                <w:sz w:val="20"/>
                <w:szCs w:val="20"/>
              </w:rPr>
            </w:pPr>
            <w:r w:rsidRPr="00145FF9">
              <w:rPr>
                <w:rFonts w:ascii="Arial" w:hAnsi="Arial" w:cs="Arial"/>
                <w:color w:val="000000"/>
                <w:sz w:val="20"/>
                <w:szCs w:val="20"/>
              </w:rPr>
              <w:t>3.22</w:t>
            </w:r>
          </w:p>
        </w:tc>
      </w:tr>
    </w:tbl>
    <w:p w:rsidR="00DA59F1" w:rsidRPr="00C204AF" w:rsidRDefault="0060532E" w:rsidP="006061C4">
      <w:pPr>
        <w:shd w:val="clear" w:color="auto" w:fill="FFFFFF"/>
        <w:tabs>
          <w:tab w:val="left" w:pos="540"/>
        </w:tabs>
        <w:spacing w:before="120" w:after="0" w:line="240" w:lineRule="auto"/>
        <w:jc w:val="center"/>
        <w:rPr>
          <w:rFonts w:ascii="Arial" w:hAnsi="Arial" w:cs="Arial"/>
          <w:i/>
          <w:sz w:val="20"/>
          <w:szCs w:val="26"/>
          <w:lang w:val="nl-NL"/>
        </w:rPr>
      </w:pPr>
      <w:r w:rsidRPr="00145FF9">
        <w:rPr>
          <w:rFonts w:ascii="Arial" w:hAnsi="Arial" w:cs="Arial"/>
          <w:sz w:val="20"/>
          <w:szCs w:val="26"/>
          <w:lang w:val="nl-NL"/>
        </w:rPr>
        <w:t xml:space="preserve">● </w:t>
      </w:r>
      <w:r w:rsidRPr="00145FF9">
        <w:rPr>
          <w:rFonts w:ascii="Arial" w:hAnsi="Arial" w:cs="Arial"/>
          <w:i/>
          <w:sz w:val="20"/>
          <w:szCs w:val="26"/>
          <w:lang w:val="nl-NL"/>
        </w:rPr>
        <w:t>Tốc độ vòng quay danh mục: Có thể thuyết minh những nhân tố ảnh hưởng.</w:t>
      </w:r>
    </w:p>
    <w:p w:rsidR="006061C4" w:rsidRDefault="006061C4" w:rsidP="0060532E">
      <w:pPr>
        <w:shd w:val="clear" w:color="auto" w:fill="FFFFFF"/>
        <w:tabs>
          <w:tab w:val="left" w:pos="540"/>
        </w:tabs>
        <w:spacing w:before="120" w:after="0" w:line="240" w:lineRule="auto"/>
        <w:rPr>
          <w:rFonts w:ascii="Arial" w:hAnsi="Arial" w:cs="Arial"/>
          <w:b/>
          <w:sz w:val="20"/>
          <w:szCs w:val="26"/>
          <w:lang w:val="nl-NL"/>
        </w:rPr>
      </w:pPr>
    </w:p>
    <w:p w:rsidR="006061C4" w:rsidRDefault="006061C4" w:rsidP="0060532E">
      <w:pPr>
        <w:shd w:val="clear" w:color="auto" w:fill="FFFFFF"/>
        <w:tabs>
          <w:tab w:val="left" w:pos="540"/>
        </w:tabs>
        <w:spacing w:before="120" w:after="0" w:line="240" w:lineRule="auto"/>
        <w:rPr>
          <w:rFonts w:ascii="Arial" w:hAnsi="Arial" w:cs="Arial"/>
          <w:b/>
          <w:sz w:val="20"/>
          <w:szCs w:val="26"/>
          <w:lang w:val="nl-NL"/>
        </w:rPr>
      </w:pPr>
    </w:p>
    <w:p w:rsidR="006061C4" w:rsidRDefault="006061C4" w:rsidP="0060532E">
      <w:pPr>
        <w:shd w:val="clear" w:color="auto" w:fill="FFFFFF"/>
        <w:tabs>
          <w:tab w:val="left" w:pos="540"/>
        </w:tabs>
        <w:spacing w:before="120" w:after="0" w:line="240" w:lineRule="auto"/>
        <w:rPr>
          <w:rFonts w:ascii="Arial" w:hAnsi="Arial" w:cs="Arial"/>
          <w:b/>
          <w:sz w:val="20"/>
          <w:szCs w:val="26"/>
          <w:lang w:val="nl-NL"/>
        </w:rPr>
      </w:pPr>
    </w:p>
    <w:p w:rsidR="006061C4" w:rsidRDefault="006061C4" w:rsidP="0060532E">
      <w:pPr>
        <w:shd w:val="clear" w:color="auto" w:fill="FFFFFF"/>
        <w:tabs>
          <w:tab w:val="left" w:pos="540"/>
        </w:tabs>
        <w:spacing w:before="120" w:after="0" w:line="240" w:lineRule="auto"/>
        <w:rPr>
          <w:rFonts w:ascii="Arial" w:hAnsi="Arial" w:cs="Arial"/>
          <w:b/>
          <w:sz w:val="20"/>
          <w:szCs w:val="26"/>
          <w:lang w:val="nl-NL"/>
        </w:rPr>
      </w:pPr>
    </w:p>
    <w:p w:rsidR="006061C4" w:rsidRDefault="006061C4" w:rsidP="0060532E">
      <w:pPr>
        <w:shd w:val="clear" w:color="auto" w:fill="FFFFFF"/>
        <w:tabs>
          <w:tab w:val="left" w:pos="540"/>
        </w:tabs>
        <w:spacing w:before="120" w:after="0" w:line="240" w:lineRule="auto"/>
        <w:rPr>
          <w:rFonts w:ascii="Arial" w:hAnsi="Arial" w:cs="Arial"/>
          <w:b/>
          <w:sz w:val="20"/>
          <w:szCs w:val="26"/>
          <w:lang w:val="nl-NL"/>
        </w:rPr>
      </w:pP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b/>
          <w:sz w:val="20"/>
          <w:szCs w:val="26"/>
          <w:lang w:val="nl-NL"/>
        </w:rPr>
        <w:lastRenderedPageBreak/>
        <w:t>3.Tăng trưởng qua các thời kỳ:</w:t>
      </w:r>
    </w:p>
    <w:tbl>
      <w:tblPr>
        <w:tblW w:w="80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56"/>
        <w:gridCol w:w="2551"/>
        <w:gridCol w:w="2700"/>
      </w:tblGrid>
      <w:tr w:rsidR="0060532E" w:rsidRPr="00145FF9" w:rsidTr="009F58A2">
        <w:tc>
          <w:tcPr>
            <w:tcW w:w="1721" w:type="pct"/>
            <w:shd w:val="clear" w:color="auto" w:fill="auto"/>
            <w:vAlign w:val="center"/>
          </w:tcPr>
          <w:p w:rsidR="0060532E" w:rsidRPr="00145FF9" w:rsidRDefault="0060532E" w:rsidP="009B70B6">
            <w:pPr>
              <w:tabs>
                <w:tab w:val="left" w:pos="540"/>
              </w:tabs>
              <w:spacing w:before="120" w:after="0" w:line="240" w:lineRule="auto"/>
              <w:rPr>
                <w:rFonts w:ascii="Arial" w:eastAsia="Times New Roman" w:hAnsi="Arial" w:cs="Arial"/>
                <w:b/>
                <w:sz w:val="20"/>
                <w:szCs w:val="26"/>
                <w:lang w:val="nl-NL"/>
              </w:rPr>
            </w:pPr>
            <w:r w:rsidRPr="00145FF9">
              <w:rPr>
                <w:rFonts w:ascii="Arial" w:eastAsia="Times New Roman" w:hAnsi="Arial" w:cs="Arial"/>
                <w:b/>
                <w:sz w:val="20"/>
                <w:szCs w:val="26"/>
                <w:lang w:val="nl-NL"/>
              </w:rPr>
              <w:t>Giai đoạn</w:t>
            </w:r>
          </w:p>
        </w:tc>
        <w:tc>
          <w:tcPr>
            <w:tcW w:w="1593" w:type="pct"/>
            <w:shd w:val="clear" w:color="auto" w:fill="auto"/>
            <w:vAlign w:val="center"/>
          </w:tcPr>
          <w:p w:rsidR="0060532E" w:rsidRPr="00145FF9" w:rsidRDefault="0060532E" w:rsidP="009B70B6">
            <w:pPr>
              <w:tabs>
                <w:tab w:val="left" w:pos="540"/>
              </w:tabs>
              <w:spacing w:before="120" w:after="0" w:line="240" w:lineRule="auto"/>
              <w:rPr>
                <w:rFonts w:ascii="Arial" w:eastAsia="Times New Roman" w:hAnsi="Arial" w:cs="Arial"/>
                <w:b/>
                <w:sz w:val="20"/>
                <w:szCs w:val="26"/>
                <w:lang w:val="nl-NL"/>
              </w:rPr>
            </w:pPr>
            <w:r w:rsidRPr="00145FF9">
              <w:rPr>
                <w:rFonts w:ascii="Arial" w:eastAsia="Times New Roman" w:hAnsi="Arial" w:cs="Arial"/>
                <w:b/>
                <w:sz w:val="20"/>
                <w:szCs w:val="26"/>
                <w:lang w:val="nl-NL"/>
              </w:rPr>
              <w:t>Tổng tăng trưởng của NAV/CCQ</w:t>
            </w:r>
            <w:r w:rsidR="00690902" w:rsidRPr="00145FF9">
              <w:rPr>
                <w:rFonts w:ascii="Arial" w:eastAsia="Times New Roman" w:hAnsi="Arial" w:cs="Arial"/>
                <w:b/>
                <w:sz w:val="20"/>
                <w:szCs w:val="26"/>
                <w:lang w:val="nl-NL"/>
              </w:rPr>
              <w:t xml:space="preserve"> (%)</w:t>
            </w:r>
          </w:p>
        </w:tc>
        <w:tc>
          <w:tcPr>
            <w:tcW w:w="1686" w:type="pct"/>
            <w:shd w:val="clear" w:color="auto" w:fill="auto"/>
            <w:vAlign w:val="center"/>
          </w:tcPr>
          <w:p w:rsidR="0060532E" w:rsidRPr="00145FF9" w:rsidRDefault="0060532E" w:rsidP="009B70B6">
            <w:pPr>
              <w:tabs>
                <w:tab w:val="left" w:pos="540"/>
              </w:tabs>
              <w:spacing w:before="120" w:after="0" w:line="240" w:lineRule="auto"/>
              <w:rPr>
                <w:rFonts w:ascii="Arial" w:eastAsia="Times New Roman" w:hAnsi="Arial" w:cs="Arial"/>
                <w:b/>
                <w:sz w:val="20"/>
                <w:szCs w:val="26"/>
                <w:lang w:val="nl-NL"/>
              </w:rPr>
            </w:pPr>
            <w:r w:rsidRPr="00145FF9">
              <w:rPr>
                <w:rFonts w:ascii="Arial" w:eastAsia="Times New Roman" w:hAnsi="Arial" w:cs="Arial"/>
                <w:b/>
                <w:sz w:val="20"/>
                <w:szCs w:val="26"/>
                <w:lang w:val="nl-NL"/>
              </w:rPr>
              <w:t>Tăng trưởng NAV/CCQ hàng năm</w:t>
            </w:r>
            <w:r w:rsidR="00690902" w:rsidRPr="00145FF9">
              <w:rPr>
                <w:rFonts w:ascii="Arial" w:eastAsia="Times New Roman" w:hAnsi="Arial" w:cs="Arial"/>
                <w:b/>
                <w:sz w:val="20"/>
                <w:szCs w:val="26"/>
                <w:lang w:val="nl-NL"/>
              </w:rPr>
              <w:t xml:space="preserve"> (%)</w:t>
            </w:r>
          </w:p>
        </w:tc>
      </w:tr>
      <w:tr w:rsidR="00F47293" w:rsidRPr="00145FF9" w:rsidTr="009F58A2">
        <w:tc>
          <w:tcPr>
            <w:tcW w:w="1721" w:type="pct"/>
            <w:shd w:val="clear" w:color="auto" w:fill="auto"/>
            <w:vAlign w:val="center"/>
          </w:tcPr>
          <w:p w:rsidR="00F47293" w:rsidRPr="009F58A2" w:rsidRDefault="00F47293" w:rsidP="00F47293">
            <w:pPr>
              <w:tabs>
                <w:tab w:val="left" w:pos="540"/>
              </w:tabs>
              <w:spacing w:before="120" w:after="0" w:line="240" w:lineRule="auto"/>
              <w:rPr>
                <w:rFonts w:ascii="Arial" w:eastAsia="Times New Roman" w:hAnsi="Arial" w:cs="Arial"/>
                <w:sz w:val="20"/>
                <w:szCs w:val="26"/>
                <w:lang w:val="nl-NL"/>
              </w:rPr>
            </w:pPr>
            <w:r w:rsidRPr="009F58A2">
              <w:rPr>
                <w:rFonts w:ascii="Arial" w:eastAsia="Times New Roman" w:hAnsi="Arial" w:cs="Arial"/>
                <w:sz w:val="20"/>
                <w:szCs w:val="26"/>
                <w:lang w:val="nl-NL"/>
              </w:rPr>
              <w:t>- 1 năm</w:t>
            </w:r>
          </w:p>
        </w:tc>
        <w:tc>
          <w:tcPr>
            <w:tcW w:w="1593" w:type="pct"/>
            <w:shd w:val="clear" w:color="auto" w:fill="auto"/>
            <w:vAlign w:val="center"/>
          </w:tcPr>
          <w:p w:rsidR="00F47293" w:rsidRPr="009F58A2" w:rsidRDefault="00F47293" w:rsidP="00F47293">
            <w:pPr>
              <w:tabs>
                <w:tab w:val="left" w:pos="540"/>
              </w:tabs>
              <w:spacing w:before="120" w:after="0" w:line="240" w:lineRule="auto"/>
              <w:jc w:val="center"/>
              <w:rPr>
                <w:rFonts w:ascii="Times New Roman" w:eastAsia="Times New Roman" w:hAnsi="Times New Roman"/>
                <w:color w:val="000000" w:themeColor="text1"/>
                <w:highlight w:val="yellow"/>
                <w:lang w:val="nl-NL"/>
              </w:rPr>
            </w:pPr>
            <w:r w:rsidRPr="009F58A2">
              <w:rPr>
                <w:rFonts w:ascii="Times New Roman" w:eastAsia="Times New Roman" w:hAnsi="Times New Roman"/>
                <w:color w:val="000000" w:themeColor="text1"/>
                <w:lang w:val="nl-NL"/>
              </w:rPr>
              <w:t>15,11%</w:t>
            </w:r>
          </w:p>
        </w:tc>
        <w:tc>
          <w:tcPr>
            <w:tcW w:w="1686" w:type="pct"/>
            <w:shd w:val="clear" w:color="auto" w:fill="auto"/>
            <w:vAlign w:val="center"/>
          </w:tcPr>
          <w:p w:rsidR="00F47293" w:rsidRPr="009F58A2" w:rsidRDefault="00F47293" w:rsidP="00F47293">
            <w:pPr>
              <w:tabs>
                <w:tab w:val="left" w:pos="540"/>
              </w:tabs>
              <w:spacing w:before="120" w:after="0" w:line="240" w:lineRule="auto"/>
              <w:jc w:val="center"/>
              <w:rPr>
                <w:rFonts w:ascii="Times New Roman" w:eastAsia="Times New Roman" w:hAnsi="Times New Roman"/>
                <w:color w:val="000000" w:themeColor="text1"/>
                <w:highlight w:val="yellow"/>
                <w:lang w:val="nl-NL"/>
              </w:rPr>
            </w:pPr>
            <w:r w:rsidRPr="009F58A2">
              <w:rPr>
                <w:rFonts w:ascii="Times New Roman" w:eastAsia="Times New Roman" w:hAnsi="Times New Roman"/>
                <w:color w:val="000000" w:themeColor="text1"/>
                <w:lang w:val="nl-NL"/>
              </w:rPr>
              <w:t>15,11%</w:t>
            </w:r>
          </w:p>
        </w:tc>
      </w:tr>
      <w:tr w:rsidR="00F47293" w:rsidRPr="00145FF9" w:rsidTr="009F58A2">
        <w:tc>
          <w:tcPr>
            <w:tcW w:w="1721" w:type="pct"/>
            <w:shd w:val="clear" w:color="auto" w:fill="auto"/>
            <w:vAlign w:val="center"/>
          </w:tcPr>
          <w:p w:rsidR="00F47293" w:rsidRPr="009F58A2" w:rsidRDefault="00F47293" w:rsidP="00F47293">
            <w:pPr>
              <w:tabs>
                <w:tab w:val="left" w:pos="540"/>
              </w:tabs>
              <w:spacing w:before="120" w:after="0" w:line="240" w:lineRule="auto"/>
              <w:rPr>
                <w:rFonts w:ascii="Arial" w:eastAsia="Times New Roman" w:hAnsi="Arial" w:cs="Arial"/>
                <w:sz w:val="20"/>
                <w:szCs w:val="26"/>
                <w:lang w:val="nl-NL"/>
              </w:rPr>
            </w:pPr>
            <w:r w:rsidRPr="009F58A2">
              <w:rPr>
                <w:rFonts w:ascii="Arial" w:eastAsia="Times New Roman" w:hAnsi="Arial" w:cs="Arial"/>
                <w:sz w:val="20"/>
                <w:szCs w:val="26"/>
                <w:lang w:val="nl-NL"/>
              </w:rPr>
              <w:t>- 3 năm</w:t>
            </w:r>
          </w:p>
        </w:tc>
        <w:tc>
          <w:tcPr>
            <w:tcW w:w="1593" w:type="pct"/>
            <w:shd w:val="clear" w:color="auto" w:fill="auto"/>
            <w:vAlign w:val="center"/>
          </w:tcPr>
          <w:p w:rsidR="00F47293" w:rsidRPr="009F58A2" w:rsidRDefault="00F47293" w:rsidP="00F47293">
            <w:pPr>
              <w:tabs>
                <w:tab w:val="left" w:pos="540"/>
              </w:tabs>
              <w:spacing w:before="120" w:after="0" w:line="240" w:lineRule="auto"/>
              <w:jc w:val="center"/>
              <w:rPr>
                <w:rFonts w:ascii="Times New Roman" w:eastAsia="Times New Roman" w:hAnsi="Times New Roman"/>
                <w:color w:val="000000" w:themeColor="text1"/>
                <w:highlight w:val="yellow"/>
                <w:lang w:val="nl-NL"/>
              </w:rPr>
            </w:pPr>
            <w:r w:rsidRPr="009F58A2">
              <w:rPr>
                <w:rFonts w:ascii="Times New Roman" w:eastAsia="Times New Roman" w:hAnsi="Times New Roman"/>
                <w:color w:val="000000" w:themeColor="text1"/>
                <w:lang w:val="nl-NL"/>
              </w:rPr>
              <w:t>33,44%</w:t>
            </w:r>
          </w:p>
        </w:tc>
        <w:tc>
          <w:tcPr>
            <w:tcW w:w="1686" w:type="pct"/>
            <w:shd w:val="clear" w:color="auto" w:fill="auto"/>
            <w:vAlign w:val="center"/>
          </w:tcPr>
          <w:p w:rsidR="00F47293" w:rsidRPr="009F58A2" w:rsidRDefault="00F47293" w:rsidP="00F47293">
            <w:pPr>
              <w:tabs>
                <w:tab w:val="left" w:pos="540"/>
              </w:tabs>
              <w:spacing w:before="120" w:after="0" w:line="240" w:lineRule="auto"/>
              <w:jc w:val="center"/>
              <w:rPr>
                <w:rFonts w:ascii="Times New Roman" w:eastAsia="Times New Roman" w:hAnsi="Times New Roman"/>
                <w:color w:val="000000" w:themeColor="text1"/>
                <w:highlight w:val="yellow"/>
                <w:lang w:val="nl-NL"/>
              </w:rPr>
            </w:pPr>
            <w:r w:rsidRPr="009F58A2">
              <w:rPr>
                <w:rFonts w:ascii="Times New Roman" w:eastAsia="Times New Roman" w:hAnsi="Times New Roman"/>
                <w:color w:val="000000" w:themeColor="text1"/>
                <w:lang w:val="nl-NL"/>
              </w:rPr>
              <w:t>10,09%</w:t>
            </w:r>
          </w:p>
        </w:tc>
      </w:tr>
      <w:tr w:rsidR="00F47293" w:rsidRPr="00145FF9" w:rsidTr="009F58A2">
        <w:tc>
          <w:tcPr>
            <w:tcW w:w="1721" w:type="pct"/>
            <w:shd w:val="clear" w:color="auto" w:fill="auto"/>
            <w:vAlign w:val="center"/>
          </w:tcPr>
          <w:p w:rsidR="00F47293" w:rsidRPr="009F58A2" w:rsidRDefault="00F47293" w:rsidP="00F47293">
            <w:pPr>
              <w:tabs>
                <w:tab w:val="left" w:pos="540"/>
              </w:tabs>
              <w:spacing w:before="120" w:after="0" w:line="240" w:lineRule="auto"/>
              <w:rPr>
                <w:rFonts w:ascii="Arial" w:eastAsia="Times New Roman" w:hAnsi="Arial" w:cs="Arial"/>
                <w:sz w:val="20"/>
                <w:szCs w:val="26"/>
                <w:lang w:val="nl-NL"/>
              </w:rPr>
            </w:pPr>
            <w:r w:rsidRPr="009F58A2">
              <w:rPr>
                <w:rFonts w:ascii="Arial" w:eastAsia="Times New Roman" w:hAnsi="Arial" w:cs="Arial"/>
                <w:sz w:val="20"/>
                <w:szCs w:val="26"/>
                <w:lang w:val="nl-NL"/>
              </w:rPr>
              <w:t>- Từ khi thành lập</w:t>
            </w:r>
          </w:p>
        </w:tc>
        <w:tc>
          <w:tcPr>
            <w:tcW w:w="1593" w:type="pct"/>
            <w:shd w:val="clear" w:color="auto" w:fill="auto"/>
            <w:vAlign w:val="center"/>
          </w:tcPr>
          <w:p w:rsidR="00F47293" w:rsidRPr="009F58A2" w:rsidRDefault="00F47293" w:rsidP="00F47293">
            <w:pPr>
              <w:tabs>
                <w:tab w:val="left" w:pos="540"/>
              </w:tabs>
              <w:spacing w:before="120" w:after="0" w:line="240" w:lineRule="auto"/>
              <w:jc w:val="center"/>
              <w:rPr>
                <w:rFonts w:ascii="Times New Roman" w:eastAsia="Times New Roman" w:hAnsi="Times New Roman"/>
                <w:color w:val="000000" w:themeColor="text1"/>
                <w:lang w:val="nl-NL"/>
              </w:rPr>
            </w:pPr>
            <w:r w:rsidRPr="009F58A2">
              <w:rPr>
                <w:rFonts w:ascii="Times New Roman" w:eastAsia="Times New Roman" w:hAnsi="Times New Roman"/>
                <w:color w:val="000000" w:themeColor="text1"/>
                <w:lang w:val="nl-NL"/>
              </w:rPr>
              <w:t>56,77%</w:t>
            </w:r>
          </w:p>
        </w:tc>
        <w:tc>
          <w:tcPr>
            <w:tcW w:w="1686" w:type="pct"/>
            <w:shd w:val="clear" w:color="auto" w:fill="auto"/>
            <w:vAlign w:val="center"/>
          </w:tcPr>
          <w:p w:rsidR="00F47293" w:rsidRPr="009F58A2" w:rsidRDefault="00F47293" w:rsidP="00F47293">
            <w:pPr>
              <w:tabs>
                <w:tab w:val="left" w:pos="540"/>
              </w:tabs>
              <w:spacing w:before="120" w:after="0" w:line="240" w:lineRule="auto"/>
              <w:jc w:val="center"/>
              <w:rPr>
                <w:rFonts w:ascii="Times New Roman" w:eastAsia="Times New Roman" w:hAnsi="Times New Roman"/>
                <w:color w:val="000000" w:themeColor="text1"/>
                <w:highlight w:val="yellow"/>
                <w:lang w:val="nl-NL"/>
              </w:rPr>
            </w:pPr>
            <w:r w:rsidRPr="009F58A2">
              <w:rPr>
                <w:rFonts w:ascii="Times New Roman" w:eastAsia="Times New Roman" w:hAnsi="Times New Roman"/>
                <w:color w:val="000000" w:themeColor="text1"/>
                <w:lang w:val="nl-NL"/>
              </w:rPr>
              <w:t>10,97%</w:t>
            </w:r>
          </w:p>
        </w:tc>
      </w:tr>
      <w:tr w:rsidR="00F47293" w:rsidRPr="00145FF9" w:rsidTr="009F58A2">
        <w:tc>
          <w:tcPr>
            <w:tcW w:w="1721" w:type="pct"/>
            <w:shd w:val="clear" w:color="auto" w:fill="auto"/>
            <w:vAlign w:val="center"/>
          </w:tcPr>
          <w:p w:rsidR="00F47293" w:rsidRPr="00145FF9" w:rsidRDefault="00F47293" w:rsidP="00F47293">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 Tăng trưởng của chỉ số tham chiếu</w:t>
            </w:r>
          </w:p>
        </w:tc>
        <w:tc>
          <w:tcPr>
            <w:tcW w:w="1593" w:type="pct"/>
            <w:shd w:val="clear" w:color="auto" w:fill="auto"/>
            <w:vAlign w:val="center"/>
          </w:tcPr>
          <w:p w:rsidR="00F47293" w:rsidRPr="00145FF9" w:rsidRDefault="00F47293" w:rsidP="00F47293">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Không có chỉ số tham chiếu</w:t>
            </w:r>
          </w:p>
        </w:tc>
        <w:tc>
          <w:tcPr>
            <w:tcW w:w="1686" w:type="pct"/>
            <w:shd w:val="clear" w:color="auto" w:fill="auto"/>
            <w:vAlign w:val="center"/>
          </w:tcPr>
          <w:p w:rsidR="00F47293" w:rsidRPr="00145FF9" w:rsidRDefault="00F47293" w:rsidP="00F47293">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Không có chỉ số tham chiếu</w:t>
            </w:r>
          </w:p>
        </w:tc>
      </w:tr>
    </w:tbl>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4. Tăng trưởng hàng năm:</w:t>
      </w:r>
    </w:p>
    <w:tbl>
      <w:tblPr>
        <w:tblW w:w="7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6"/>
        <w:gridCol w:w="1435"/>
        <w:gridCol w:w="1534"/>
        <w:gridCol w:w="1534"/>
      </w:tblGrid>
      <w:tr w:rsidR="00552FF3" w:rsidRPr="00145FF9" w:rsidTr="00552FF3">
        <w:tc>
          <w:tcPr>
            <w:tcW w:w="2017" w:type="pct"/>
            <w:shd w:val="clear" w:color="auto" w:fill="auto"/>
          </w:tcPr>
          <w:p w:rsidR="00552FF3" w:rsidRPr="00145FF9" w:rsidRDefault="00552FF3" w:rsidP="00552FF3">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Thời kỳ</w:t>
            </w:r>
          </w:p>
        </w:tc>
        <w:tc>
          <w:tcPr>
            <w:tcW w:w="950" w:type="pct"/>
            <w:shd w:val="clear" w:color="auto" w:fill="auto"/>
          </w:tcPr>
          <w:p w:rsidR="00552FF3" w:rsidRPr="00145FF9" w:rsidRDefault="00552FF3" w:rsidP="00552FF3">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293DDB"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D91B65">
              <w:rPr>
                <w:rFonts w:ascii="Arial" w:eastAsia="Times New Roman" w:hAnsi="Arial" w:cs="Arial"/>
                <w:b/>
                <w:sz w:val="20"/>
                <w:szCs w:val="26"/>
                <w:lang w:val="nl-NL"/>
              </w:rPr>
              <w:t>7</w:t>
            </w:r>
          </w:p>
          <w:p w:rsidR="00552FF3" w:rsidRPr="00145FF9" w:rsidRDefault="00552FF3" w:rsidP="00552FF3">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w:t>
            </w:r>
          </w:p>
        </w:tc>
        <w:tc>
          <w:tcPr>
            <w:tcW w:w="1016" w:type="pct"/>
            <w:shd w:val="clear" w:color="auto" w:fill="auto"/>
          </w:tcPr>
          <w:p w:rsidR="00552FF3" w:rsidRPr="00145FF9" w:rsidRDefault="00552FF3" w:rsidP="00552FF3">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293DDB"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D91B65">
              <w:rPr>
                <w:rFonts w:ascii="Arial" w:eastAsia="Times New Roman" w:hAnsi="Arial" w:cs="Arial"/>
                <w:b/>
                <w:sz w:val="20"/>
                <w:szCs w:val="26"/>
                <w:lang w:val="nl-NL"/>
              </w:rPr>
              <w:t>6</w:t>
            </w:r>
          </w:p>
          <w:p w:rsidR="00552FF3" w:rsidRPr="00145FF9" w:rsidRDefault="00552FF3" w:rsidP="00552FF3">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 xml:space="preserve"> (%)</w:t>
            </w:r>
          </w:p>
        </w:tc>
        <w:tc>
          <w:tcPr>
            <w:tcW w:w="1016" w:type="pct"/>
            <w:shd w:val="clear" w:color="auto" w:fill="auto"/>
          </w:tcPr>
          <w:p w:rsidR="00552FF3" w:rsidRPr="00145FF9" w:rsidRDefault="00552FF3" w:rsidP="00552FF3">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30/0</w:t>
            </w:r>
            <w:r w:rsidR="00293DDB" w:rsidRPr="00145FF9">
              <w:rPr>
                <w:rFonts w:ascii="Arial" w:eastAsia="Times New Roman" w:hAnsi="Arial" w:cs="Arial"/>
                <w:b/>
                <w:sz w:val="20"/>
                <w:szCs w:val="26"/>
                <w:lang w:val="nl-NL"/>
              </w:rPr>
              <w:t>9</w:t>
            </w:r>
            <w:r w:rsidRPr="00145FF9">
              <w:rPr>
                <w:rFonts w:ascii="Arial" w:eastAsia="Times New Roman" w:hAnsi="Arial" w:cs="Arial"/>
                <w:b/>
                <w:sz w:val="20"/>
                <w:szCs w:val="26"/>
                <w:lang w:val="nl-NL"/>
              </w:rPr>
              <w:t>/201</w:t>
            </w:r>
            <w:r w:rsidR="00D91B65">
              <w:rPr>
                <w:rFonts w:ascii="Arial" w:eastAsia="Times New Roman" w:hAnsi="Arial" w:cs="Arial"/>
                <w:b/>
                <w:sz w:val="20"/>
                <w:szCs w:val="26"/>
                <w:lang w:val="nl-NL"/>
              </w:rPr>
              <w:t>5</w:t>
            </w:r>
          </w:p>
          <w:p w:rsidR="00552FF3" w:rsidRPr="00145FF9" w:rsidRDefault="00552FF3" w:rsidP="00552FF3">
            <w:pPr>
              <w:tabs>
                <w:tab w:val="left" w:pos="540"/>
              </w:tabs>
              <w:spacing w:before="120" w:after="0" w:line="240" w:lineRule="auto"/>
              <w:jc w:val="center"/>
              <w:rPr>
                <w:rFonts w:ascii="Arial" w:eastAsia="Times New Roman" w:hAnsi="Arial" w:cs="Arial"/>
                <w:b/>
                <w:sz w:val="20"/>
                <w:szCs w:val="26"/>
                <w:lang w:val="nl-NL"/>
              </w:rPr>
            </w:pPr>
            <w:r w:rsidRPr="00145FF9">
              <w:rPr>
                <w:rFonts w:ascii="Arial" w:eastAsia="Times New Roman" w:hAnsi="Arial" w:cs="Arial"/>
                <w:b/>
                <w:sz w:val="20"/>
                <w:szCs w:val="26"/>
                <w:lang w:val="nl-NL"/>
              </w:rPr>
              <w:t xml:space="preserve"> (%)</w:t>
            </w:r>
          </w:p>
        </w:tc>
      </w:tr>
      <w:tr w:rsidR="00F47293" w:rsidRPr="00145FF9" w:rsidTr="00BA1CBD">
        <w:tc>
          <w:tcPr>
            <w:tcW w:w="2017" w:type="pct"/>
            <w:shd w:val="clear" w:color="auto" w:fill="auto"/>
          </w:tcPr>
          <w:p w:rsidR="00F47293" w:rsidRPr="00145FF9" w:rsidRDefault="00F47293" w:rsidP="00F47293">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Tỷ lệ tăng trưởng (%)/01 đơn vị CCQ</w:t>
            </w:r>
          </w:p>
        </w:tc>
        <w:tc>
          <w:tcPr>
            <w:tcW w:w="950" w:type="pct"/>
            <w:shd w:val="clear" w:color="auto" w:fill="auto"/>
          </w:tcPr>
          <w:p w:rsidR="00F47293" w:rsidRPr="009F58A2" w:rsidRDefault="00F47293" w:rsidP="00F47293">
            <w:pPr>
              <w:tabs>
                <w:tab w:val="left" w:pos="540"/>
              </w:tabs>
              <w:spacing w:before="120" w:after="0" w:line="240" w:lineRule="auto"/>
              <w:jc w:val="center"/>
              <w:rPr>
                <w:rFonts w:ascii="Times New Roman" w:eastAsia="Times New Roman" w:hAnsi="Times New Roman"/>
                <w:color w:val="000000" w:themeColor="text1"/>
                <w:lang w:val="nl-NL"/>
              </w:rPr>
            </w:pPr>
            <w:r w:rsidRPr="009F58A2">
              <w:rPr>
                <w:rFonts w:ascii="Times New Roman" w:eastAsia="Times New Roman" w:hAnsi="Times New Roman"/>
                <w:color w:val="000000" w:themeColor="text1"/>
                <w:lang w:val="nl-NL"/>
              </w:rPr>
              <w:t>9,53%</w:t>
            </w:r>
          </w:p>
        </w:tc>
        <w:tc>
          <w:tcPr>
            <w:tcW w:w="1016" w:type="pct"/>
            <w:shd w:val="clear" w:color="auto" w:fill="auto"/>
          </w:tcPr>
          <w:p w:rsidR="00F47293" w:rsidRPr="009F58A2" w:rsidRDefault="00F47293" w:rsidP="00F47293">
            <w:pPr>
              <w:tabs>
                <w:tab w:val="left" w:pos="540"/>
              </w:tabs>
              <w:spacing w:before="120" w:after="0" w:line="240" w:lineRule="auto"/>
              <w:jc w:val="center"/>
              <w:rPr>
                <w:rFonts w:ascii="Times New Roman" w:eastAsia="Times New Roman" w:hAnsi="Times New Roman"/>
                <w:color w:val="000000" w:themeColor="text1"/>
                <w:lang w:val="nl-NL"/>
              </w:rPr>
            </w:pPr>
            <w:r w:rsidRPr="009F58A2">
              <w:rPr>
                <w:rFonts w:ascii="Times New Roman" w:eastAsia="Times New Roman" w:hAnsi="Times New Roman"/>
                <w:color w:val="000000" w:themeColor="text1"/>
                <w:lang w:val="nl-NL"/>
              </w:rPr>
              <w:t>6,41%</w:t>
            </w:r>
          </w:p>
        </w:tc>
        <w:tc>
          <w:tcPr>
            <w:tcW w:w="1016" w:type="pct"/>
            <w:shd w:val="clear" w:color="auto" w:fill="auto"/>
          </w:tcPr>
          <w:p w:rsidR="00F47293" w:rsidRPr="009F58A2" w:rsidRDefault="00F47293" w:rsidP="00F47293">
            <w:pPr>
              <w:tabs>
                <w:tab w:val="left" w:pos="540"/>
              </w:tabs>
              <w:spacing w:before="120" w:after="0" w:line="240" w:lineRule="auto"/>
              <w:jc w:val="center"/>
              <w:rPr>
                <w:rFonts w:ascii="Times New Roman" w:eastAsia="Times New Roman" w:hAnsi="Times New Roman"/>
                <w:lang w:val="nl-NL"/>
              </w:rPr>
            </w:pPr>
            <w:r w:rsidRPr="009F58A2">
              <w:rPr>
                <w:rFonts w:ascii="Times New Roman" w:eastAsia="Times New Roman" w:hAnsi="Times New Roman"/>
                <w:lang w:val="nl-NL"/>
              </w:rPr>
              <w:t>15,69%</w:t>
            </w:r>
          </w:p>
        </w:tc>
      </w:tr>
    </w:tbl>
    <w:p w:rsidR="0060532E" w:rsidRPr="00145FF9" w:rsidRDefault="0060532E" w:rsidP="0060532E">
      <w:pPr>
        <w:shd w:val="clear" w:color="auto" w:fill="FFFFFF"/>
        <w:tabs>
          <w:tab w:val="left" w:pos="540"/>
        </w:tabs>
        <w:spacing w:before="120" w:after="0" w:line="240" w:lineRule="auto"/>
        <w:rPr>
          <w:rFonts w:ascii="Arial" w:hAnsi="Arial" w:cs="Arial"/>
          <w:i/>
          <w:sz w:val="20"/>
          <w:szCs w:val="26"/>
          <w:lang w:val="nl-NL"/>
        </w:rPr>
      </w:pPr>
      <w:r w:rsidRPr="00145FF9">
        <w:rPr>
          <w:rFonts w:ascii="Arial" w:hAnsi="Arial" w:cs="Arial"/>
          <w:i/>
          <w:sz w:val="20"/>
          <w:szCs w:val="26"/>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III. Mô tả thị trường trong kỳ:</w:t>
      </w:r>
    </w:p>
    <w:p w:rsidR="00B92263" w:rsidRDefault="00B13DCA" w:rsidP="00B92263">
      <w:pPr>
        <w:pStyle w:val="ListParagraph"/>
        <w:numPr>
          <w:ilvl w:val="0"/>
          <w:numId w:val="5"/>
        </w:num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 xml:space="preserve">Thị </w:t>
      </w:r>
      <w:r w:rsidR="00B92263" w:rsidRPr="00145FF9">
        <w:rPr>
          <w:rFonts w:ascii="Arial" w:hAnsi="Arial" w:cs="Arial"/>
          <w:b/>
          <w:sz w:val="20"/>
          <w:szCs w:val="26"/>
          <w:lang w:val="nl-NL"/>
        </w:rPr>
        <w:t xml:space="preserve">trường </w:t>
      </w:r>
      <w:r w:rsidRPr="00145FF9">
        <w:rPr>
          <w:rFonts w:ascii="Arial" w:hAnsi="Arial" w:cs="Arial"/>
          <w:b/>
          <w:sz w:val="20"/>
          <w:szCs w:val="26"/>
          <w:lang w:val="nl-NL"/>
        </w:rPr>
        <w:t>sơ cấp:</w:t>
      </w:r>
    </w:p>
    <w:p w:rsidR="00F47293" w:rsidRPr="00F47293" w:rsidRDefault="00F47293" w:rsidP="00E914FF">
      <w:pPr>
        <w:pStyle w:val="ListParagraph"/>
        <w:shd w:val="clear" w:color="auto" w:fill="FFFFFF"/>
        <w:tabs>
          <w:tab w:val="left" w:pos="540"/>
        </w:tabs>
        <w:spacing w:before="120" w:after="0" w:line="240" w:lineRule="auto"/>
        <w:jc w:val="both"/>
        <w:rPr>
          <w:rFonts w:ascii="Times New Roman" w:hAnsi="Times New Roman"/>
        </w:rPr>
      </w:pPr>
      <w:r w:rsidRPr="00F47293">
        <w:rPr>
          <w:rFonts w:ascii="Times New Roman" w:hAnsi="Times New Roman"/>
        </w:rPr>
        <w:t>Tháng 9/2017, thị trường trái phiếu sơ cấp đã cho thấy những tín hiệu tín cực. Trong tháng, HNX đã tổ chức tổng cộng 16 phiên đấu thầu, và đã huy động được 4.086 tỷ đồng trái phiếu Chính phủ, tăng 28,5% so với tháng 8/2017. Tỷ lệ trúng thầu so với giá trị gọi thầu đạt 47,5%, cải thiện đáng kể so với con số 24,4% của tháng 8. Mức lợi suất kỳ vọng của nhà đầu tư cũng giảm đáng kể khi mức lợi suất đặt thầu cao nhất giảm 20-25 điểm cơ bản ở tất cả các kỳ hạn. Tỷ lệ đặt thầu trên tổng khối lượng gọi thầu tăng lên 3,141 lần (tăng 59,18% so với tháng 8) và số phiên huy động thành công cũng tăng lên 10/16 phiên tổ chức đấu thầu.</w:t>
      </w:r>
    </w:p>
    <w:p w:rsidR="00F47293" w:rsidRPr="00F47293" w:rsidRDefault="00F47293" w:rsidP="00E914FF">
      <w:pPr>
        <w:pStyle w:val="ListParagraph"/>
        <w:shd w:val="clear" w:color="auto" w:fill="FFFFFF"/>
        <w:tabs>
          <w:tab w:val="left" w:pos="540"/>
        </w:tabs>
        <w:spacing w:before="120" w:after="0" w:line="240" w:lineRule="auto"/>
        <w:jc w:val="both"/>
        <w:rPr>
          <w:rFonts w:ascii="Times New Roman" w:hAnsi="Times New Roman"/>
        </w:rPr>
      </w:pPr>
      <w:r w:rsidRPr="00F47293">
        <w:rPr>
          <w:rFonts w:ascii="Times New Roman" w:hAnsi="Times New Roman"/>
        </w:rPr>
        <w:t>Lợi suất trúng thầu của trái phiếu Kho bạc Nhà nước biến động trong biên độ hẹp nhưng với xu hướng chung là tăng nhẹ. Lợi suất của trái phiếu kỳ hạn 5 năm nằm trong khoảng 4,63 - 4,67%/năm, 7 năm trong khoảng 4,83 - 4,85%/năm, 10 năm trong khoảng 5,38 - 5,40%/năm và 30 năm là 6,10%/năm. (Kỳ hạn 15 năm và 20 năm không phát hành thành công).</w:t>
      </w:r>
    </w:p>
    <w:p w:rsidR="00F47293" w:rsidRPr="00F47293" w:rsidRDefault="00F47293" w:rsidP="00E914FF">
      <w:pPr>
        <w:pStyle w:val="ListParagraph"/>
        <w:shd w:val="clear" w:color="auto" w:fill="FFFFFF"/>
        <w:tabs>
          <w:tab w:val="left" w:pos="540"/>
        </w:tabs>
        <w:spacing w:before="120" w:after="0" w:line="240" w:lineRule="auto"/>
        <w:jc w:val="both"/>
        <w:rPr>
          <w:rFonts w:ascii="Times New Roman" w:hAnsi="Times New Roman"/>
        </w:rPr>
      </w:pPr>
      <w:r w:rsidRPr="00F47293">
        <w:rPr>
          <w:rFonts w:ascii="Times New Roman" w:hAnsi="Times New Roman"/>
        </w:rPr>
        <w:t>Trong quý III, tổng khối lượng trái phiếu Chính phủ do KBNN phát hành là 22.435 tỷ đồng, giảm mạnh so với mức 56.496 tỷ đồng của quý I và 69.247 tỷ đồng trong quý II, không hoàn thành kế hoạch của cả quý. Xét chung 9 tháng đầu năm, KBNN đã phát hành được tổng cộng 148.178 tỷ đồng, tương đương với 80,8% kế hoạch năm 2017, giảm đáng kể so với con số huy động được cùng kỳ năm 2016 (với 249.880 tỷ đồng). Kết quả của quý III đã phần nào phản ánh động thái giảm nguồn cung trái phiếu trong bối cảnh tạm thời chưa giải ngân được nguồn vốn đã huy động của các năm trước. Trong quý IV, với sự tham gia của Bảo hiểm xã hội với tư cách là thành viên thị trường sơ cấp trong những tháng cuối năm 2017, thị trường trái phiếu sơ cấp được dự báo là sẽ sôi động hơn quý III.</w:t>
      </w:r>
    </w:p>
    <w:p w:rsidR="00F47293" w:rsidRPr="00F47293" w:rsidRDefault="00F47293" w:rsidP="00E914FF">
      <w:pPr>
        <w:pStyle w:val="ListParagraph"/>
        <w:shd w:val="clear" w:color="auto" w:fill="FFFFFF"/>
        <w:tabs>
          <w:tab w:val="left" w:pos="540"/>
        </w:tabs>
        <w:spacing w:before="120" w:after="0" w:line="240" w:lineRule="auto"/>
        <w:jc w:val="both"/>
        <w:rPr>
          <w:rFonts w:ascii="Times New Roman" w:hAnsi="Times New Roman"/>
        </w:rPr>
      </w:pPr>
      <w:r w:rsidRPr="00F47293">
        <w:rPr>
          <w:rFonts w:ascii="Times New Roman" w:hAnsi="Times New Roman"/>
        </w:rPr>
        <w:t>Đối với trái phiếu Chính phủ bảo lãnh, mức chênh lệch với trái phiếu Chính phủ cùng kỳ hạn đang có xu hướng tăng nhẹ từ 20-25 điểm cơ bản của tháng trước lên 40-45 điểm cơ bản trong tháng 9, do nhu cầu tái đầu tư kỳ hạn dài hơn của các công ty bảo hiểm tạo áp lực bán ra các kỳ hạn này. Đồng thời, thời điểm cuối tháng 9 cũng gần với sát với quý IV, khi mà trái phiếu Chính phủ bảo lãnh sẽ tiếp tục được phát hành trở lại.</w:t>
      </w:r>
    </w:p>
    <w:p w:rsidR="00F47293" w:rsidRDefault="00F47293" w:rsidP="00F47293">
      <w:pPr>
        <w:pStyle w:val="ListParagraph"/>
        <w:shd w:val="clear" w:color="auto" w:fill="FFFFFF"/>
        <w:tabs>
          <w:tab w:val="left" w:pos="540"/>
        </w:tabs>
        <w:spacing w:before="120" w:after="0" w:line="240" w:lineRule="auto"/>
        <w:rPr>
          <w:rFonts w:ascii="Arial" w:hAnsi="Arial" w:cs="Arial"/>
          <w:b/>
          <w:sz w:val="20"/>
          <w:szCs w:val="26"/>
          <w:lang w:val="nl-NL"/>
        </w:rPr>
      </w:pPr>
    </w:p>
    <w:p w:rsidR="00D91B65" w:rsidRDefault="00D91B65" w:rsidP="00D91B65">
      <w:pPr>
        <w:pStyle w:val="ListParagraph"/>
        <w:shd w:val="clear" w:color="auto" w:fill="FFFFFF"/>
        <w:tabs>
          <w:tab w:val="left" w:pos="540"/>
        </w:tabs>
        <w:spacing w:before="120" w:after="0" w:line="240" w:lineRule="auto"/>
        <w:rPr>
          <w:rFonts w:ascii="Arial" w:hAnsi="Arial" w:cs="Arial"/>
          <w:b/>
          <w:sz w:val="20"/>
          <w:szCs w:val="26"/>
          <w:lang w:val="nl-NL"/>
        </w:rPr>
      </w:pPr>
    </w:p>
    <w:p w:rsidR="006061C4" w:rsidRDefault="006061C4" w:rsidP="00D91B65">
      <w:pPr>
        <w:pStyle w:val="ListParagraph"/>
        <w:shd w:val="clear" w:color="auto" w:fill="FFFFFF"/>
        <w:tabs>
          <w:tab w:val="left" w:pos="540"/>
        </w:tabs>
        <w:spacing w:before="120" w:after="0" w:line="240" w:lineRule="auto"/>
        <w:rPr>
          <w:rFonts w:ascii="Arial" w:hAnsi="Arial" w:cs="Arial"/>
          <w:b/>
          <w:sz w:val="20"/>
          <w:szCs w:val="26"/>
          <w:lang w:val="nl-NL"/>
        </w:rPr>
      </w:pPr>
    </w:p>
    <w:p w:rsidR="006061C4" w:rsidRDefault="006061C4" w:rsidP="00D91B65">
      <w:pPr>
        <w:pStyle w:val="ListParagraph"/>
        <w:shd w:val="clear" w:color="auto" w:fill="FFFFFF"/>
        <w:tabs>
          <w:tab w:val="left" w:pos="540"/>
        </w:tabs>
        <w:spacing w:before="120" w:after="0" w:line="240" w:lineRule="auto"/>
        <w:rPr>
          <w:rFonts w:ascii="Arial" w:hAnsi="Arial" w:cs="Arial"/>
          <w:b/>
          <w:sz w:val="20"/>
          <w:szCs w:val="26"/>
          <w:lang w:val="nl-NL"/>
        </w:rPr>
      </w:pPr>
    </w:p>
    <w:p w:rsidR="006476C5" w:rsidRDefault="006476C5" w:rsidP="00D91B65">
      <w:pPr>
        <w:pStyle w:val="ListParagraph"/>
        <w:shd w:val="clear" w:color="auto" w:fill="FFFFFF"/>
        <w:tabs>
          <w:tab w:val="left" w:pos="540"/>
        </w:tabs>
        <w:spacing w:before="120" w:after="0" w:line="240" w:lineRule="auto"/>
        <w:rPr>
          <w:rFonts w:ascii="Arial" w:hAnsi="Arial" w:cs="Arial"/>
          <w:b/>
          <w:sz w:val="20"/>
          <w:szCs w:val="26"/>
          <w:lang w:val="nl-NL"/>
        </w:rPr>
      </w:pPr>
    </w:p>
    <w:p w:rsidR="006476C5" w:rsidRPr="00145FF9" w:rsidRDefault="006476C5" w:rsidP="00D91B65">
      <w:pPr>
        <w:pStyle w:val="ListParagraph"/>
        <w:shd w:val="clear" w:color="auto" w:fill="FFFFFF"/>
        <w:tabs>
          <w:tab w:val="left" w:pos="540"/>
        </w:tabs>
        <w:spacing w:before="120" w:after="0" w:line="240" w:lineRule="auto"/>
        <w:rPr>
          <w:rFonts w:ascii="Arial" w:hAnsi="Arial" w:cs="Arial"/>
          <w:b/>
          <w:sz w:val="20"/>
          <w:szCs w:val="26"/>
          <w:lang w:val="nl-NL"/>
        </w:rPr>
      </w:pPr>
    </w:p>
    <w:p w:rsidR="00B13DCA" w:rsidRDefault="005C0BFA" w:rsidP="005C0BFA">
      <w:pPr>
        <w:pStyle w:val="ListParagraph"/>
        <w:numPr>
          <w:ilvl w:val="0"/>
          <w:numId w:val="5"/>
        </w:num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lastRenderedPageBreak/>
        <w:t xml:space="preserve">Thị trường thứ cấp </w:t>
      </w:r>
    </w:p>
    <w:p w:rsidR="00B92263" w:rsidRPr="00E914FF" w:rsidRDefault="00F47293" w:rsidP="00E914FF">
      <w:pPr>
        <w:shd w:val="clear" w:color="auto" w:fill="FFFFFF"/>
        <w:tabs>
          <w:tab w:val="left" w:pos="540"/>
        </w:tabs>
        <w:spacing w:before="120" w:after="0" w:line="240" w:lineRule="auto"/>
        <w:jc w:val="both"/>
        <w:rPr>
          <w:rFonts w:ascii="Times New Roman" w:hAnsi="Times New Roman"/>
        </w:rPr>
      </w:pPr>
      <w:r>
        <w:rPr>
          <w:rFonts w:ascii="Arial" w:hAnsi="Arial" w:cs="Arial"/>
          <w:b/>
          <w:sz w:val="20"/>
          <w:szCs w:val="26"/>
          <w:lang w:val="nl-NL"/>
        </w:rPr>
        <w:t xml:space="preserve"> </w:t>
      </w:r>
      <w:r w:rsidRPr="00334138">
        <w:rPr>
          <w:rFonts w:ascii="Times New Roman" w:hAnsi="Times New Roman"/>
        </w:rPr>
        <w:t>Giao dịch trên thi trường thứ cấp có dấu hiệu khởi sắc hơn tháng trước do các nhà đầu tư đã phần nào quen với mặt bằng lãi suất mới và nhu cầu chốt lợi nhuận cho quý III/2017. Tổng giá trị giao dịch thông thường đạt 105.815 tỷ đồng, tăng nhẹ 11,74% so với tháng 8. Trong đó, giá trị giao dịch bình quân mỗi ngày đạt 5.039 tỷ đồng, tăng 22,39% so với tháng trước. Xu hướng chủ đạo của lợi suất trái phiếu trong quý là giảm. Mức lợi suất giao dịch thứ cấp đã giảm 10 đến 25 điểm cơ bản tùy kỳ hạn và quay trở lại giao dịch tiệm cận với mức lợi suất thấp kỷ lục của thứ cấp. Kỳ hạn thu hút được nhiều sự chú ý của các nhà đầu tư giao dịch trên thứ cấp nhất vẫn là kỳ hạn ngắn dưới 5 năm, chiếm 52,57% tổng khối lượng giao dịch. Các giao dịch kỳ hạn dài từ 15 đến 30 năm vẫn chiếm một tỷ lệ lớn với 17,65% tổng khối lượng giao dịch. Đối với giao dịch của nhà đầu tư nước ngoài, trong tháng 9, tổng giá trị giao dịch của khối ngoại đã giảm rất mạnh, chỉ đạt 729 tỷ đồng; tuy nhiên xu thế mua ròng đã quay lại và đạt 147 tỷ đồng, nâng tổng số mua ròng từ đầu năm 2017 lên 15.095 tỷ đồng.</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b/>
          <w:sz w:val="20"/>
          <w:szCs w:val="26"/>
          <w:lang w:val="nl-NL"/>
        </w:rPr>
        <w:t>IV</w:t>
      </w:r>
      <w:r w:rsidR="00A5123D" w:rsidRPr="00145FF9">
        <w:rPr>
          <w:rFonts w:ascii="Arial" w:hAnsi="Arial" w:cs="Arial"/>
          <w:b/>
          <w:sz w:val="20"/>
          <w:szCs w:val="26"/>
          <w:lang w:val="nl-NL"/>
        </w:rPr>
        <w:t>,</w:t>
      </w:r>
      <w:r w:rsidRPr="00145FF9">
        <w:rPr>
          <w:rFonts w:ascii="Arial" w:hAnsi="Arial" w:cs="Arial"/>
          <w:b/>
          <w:sz w:val="20"/>
          <w:szCs w:val="26"/>
          <w:lang w:val="nl-NL"/>
        </w:rPr>
        <w:t xml:space="preserve"> Chi tiết các chỉ tiêu hoạt động của quỹ</w:t>
      </w:r>
      <w:r w:rsidRPr="00145FF9">
        <w:rPr>
          <w:rFonts w:ascii="Arial" w:hAnsi="Arial" w:cs="Arial"/>
          <w:sz w:val="20"/>
          <w:szCs w:val="26"/>
          <w:lang w:val="nl-NL"/>
        </w:rPr>
        <w:t>:</w:t>
      </w:r>
    </w:p>
    <w:p w:rsidR="0060532E" w:rsidRPr="00145FF9"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4</w:t>
      </w:r>
      <w:r w:rsidR="003319D9">
        <w:rPr>
          <w:rFonts w:ascii="Arial" w:hAnsi="Arial" w:cs="Arial"/>
          <w:b/>
          <w:sz w:val="20"/>
          <w:szCs w:val="26"/>
          <w:lang w:val="nl-NL"/>
        </w:rPr>
        <w:t>.</w:t>
      </w:r>
      <w:r w:rsidRPr="00145FF9">
        <w:rPr>
          <w:rFonts w:ascii="Arial" w:hAnsi="Arial" w:cs="Arial"/>
          <w:b/>
          <w:sz w:val="20"/>
          <w:szCs w:val="26"/>
          <w:lang w:val="nl-NL"/>
        </w:rPr>
        <w:t>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60532E" w:rsidRPr="00145FF9" w:rsidTr="00BE4C65">
        <w:tc>
          <w:tcPr>
            <w:tcW w:w="1825" w:type="pct"/>
            <w:shd w:val="clear" w:color="auto" w:fill="auto"/>
            <w:vAlign w:val="center"/>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Chỉ tiêu</w:t>
            </w:r>
          </w:p>
        </w:tc>
        <w:tc>
          <w:tcPr>
            <w:tcW w:w="1024" w:type="pct"/>
            <w:shd w:val="clear" w:color="auto" w:fill="auto"/>
            <w:vAlign w:val="center"/>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1 năm đến thời điểm báo cáo (%)</w:t>
            </w:r>
          </w:p>
        </w:tc>
        <w:tc>
          <w:tcPr>
            <w:tcW w:w="1024" w:type="pct"/>
            <w:shd w:val="clear" w:color="auto" w:fill="auto"/>
            <w:vAlign w:val="center"/>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3 năm gần nhất tính đến thời điểm báo cáo (%)</w:t>
            </w:r>
          </w:p>
        </w:tc>
        <w:tc>
          <w:tcPr>
            <w:tcW w:w="1127" w:type="pct"/>
            <w:shd w:val="clear" w:color="auto" w:fill="auto"/>
            <w:vAlign w:val="center"/>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Từ khi thành lập đến thời điểm báo cáo (%)</w:t>
            </w:r>
          </w:p>
        </w:tc>
      </w:tr>
      <w:tr w:rsidR="0060532E" w:rsidRPr="00145FF9" w:rsidTr="00BE4C65">
        <w:tc>
          <w:tcPr>
            <w:tcW w:w="1825" w:type="pct"/>
            <w:shd w:val="clear" w:color="auto" w:fill="auto"/>
            <w:vAlign w:val="center"/>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A</w:t>
            </w:r>
          </w:p>
        </w:tc>
        <w:tc>
          <w:tcPr>
            <w:tcW w:w="1024" w:type="pct"/>
            <w:shd w:val="clear" w:color="auto" w:fill="auto"/>
            <w:vAlign w:val="center"/>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1</w:t>
            </w:r>
          </w:p>
        </w:tc>
        <w:tc>
          <w:tcPr>
            <w:tcW w:w="1024" w:type="pct"/>
            <w:shd w:val="clear" w:color="auto" w:fill="auto"/>
            <w:vAlign w:val="center"/>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2</w:t>
            </w:r>
          </w:p>
        </w:tc>
        <w:tc>
          <w:tcPr>
            <w:tcW w:w="1127" w:type="pct"/>
            <w:shd w:val="clear" w:color="auto" w:fill="auto"/>
            <w:vAlign w:val="center"/>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3</w:t>
            </w:r>
          </w:p>
        </w:tc>
      </w:tr>
      <w:tr w:rsidR="00F47293" w:rsidRPr="00145FF9" w:rsidTr="006476C5">
        <w:trPr>
          <w:trHeight w:val="571"/>
        </w:trPr>
        <w:tc>
          <w:tcPr>
            <w:tcW w:w="1825" w:type="pct"/>
            <w:shd w:val="clear" w:color="auto" w:fill="auto"/>
            <w:vAlign w:val="center"/>
          </w:tcPr>
          <w:p w:rsidR="00F47293" w:rsidRPr="00145FF9" w:rsidRDefault="00F47293" w:rsidP="00F47293">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Tăng trưởng thu nhập/1 đơn vị CCQ</w:t>
            </w:r>
          </w:p>
        </w:tc>
        <w:tc>
          <w:tcPr>
            <w:tcW w:w="1024" w:type="pct"/>
            <w:shd w:val="clear" w:color="auto" w:fill="auto"/>
          </w:tcPr>
          <w:p w:rsidR="00F47293" w:rsidRPr="009F58A2" w:rsidRDefault="00F47293" w:rsidP="006061C4">
            <w:pPr>
              <w:jc w:val="center"/>
              <w:rPr>
                <w:color w:val="000000" w:themeColor="text1"/>
              </w:rPr>
            </w:pPr>
            <w:r w:rsidRPr="009F58A2">
              <w:rPr>
                <w:color w:val="000000" w:themeColor="text1"/>
              </w:rPr>
              <w:t>434.79%</w:t>
            </w:r>
          </w:p>
        </w:tc>
        <w:tc>
          <w:tcPr>
            <w:tcW w:w="1024" w:type="pct"/>
            <w:shd w:val="clear" w:color="auto" w:fill="auto"/>
          </w:tcPr>
          <w:p w:rsidR="00F47293" w:rsidRPr="009F58A2" w:rsidRDefault="00F47293" w:rsidP="00F47293">
            <w:pPr>
              <w:jc w:val="center"/>
              <w:rPr>
                <w:color w:val="000000" w:themeColor="text1"/>
              </w:rPr>
            </w:pPr>
            <w:r w:rsidRPr="009F58A2">
              <w:rPr>
                <w:color w:val="000000" w:themeColor="text1"/>
              </w:rPr>
              <w:t>235.17%</w:t>
            </w:r>
          </w:p>
        </w:tc>
        <w:tc>
          <w:tcPr>
            <w:tcW w:w="1127" w:type="pct"/>
            <w:shd w:val="clear" w:color="auto" w:fill="auto"/>
            <w:vAlign w:val="center"/>
          </w:tcPr>
          <w:p w:rsidR="00F47293" w:rsidRPr="009F58A2" w:rsidRDefault="00F47293" w:rsidP="00F47293">
            <w:pPr>
              <w:spacing w:after="0" w:line="240" w:lineRule="auto"/>
              <w:jc w:val="center"/>
              <w:rPr>
                <w:rFonts w:ascii="Times New Roman" w:eastAsia="Times New Roman" w:hAnsi="Times New Roman"/>
                <w:color w:val="000000" w:themeColor="text1"/>
              </w:rPr>
            </w:pPr>
            <w:r w:rsidRPr="009F58A2">
              <w:rPr>
                <w:rFonts w:ascii="Times New Roman" w:hAnsi="Times New Roman"/>
                <w:color w:val="000000" w:themeColor="text1"/>
              </w:rPr>
              <w:t>N/A</w:t>
            </w:r>
          </w:p>
          <w:p w:rsidR="00F47293" w:rsidRPr="009F58A2" w:rsidRDefault="00F47293" w:rsidP="00F47293">
            <w:pPr>
              <w:jc w:val="center"/>
              <w:rPr>
                <w:rFonts w:ascii="Times New Roman" w:hAnsi="Times New Roman"/>
                <w:color w:val="000000" w:themeColor="text1"/>
                <w:sz w:val="20"/>
                <w:szCs w:val="20"/>
              </w:rPr>
            </w:pPr>
          </w:p>
        </w:tc>
      </w:tr>
      <w:tr w:rsidR="00F47293" w:rsidRPr="00145FF9" w:rsidTr="00D20CAF">
        <w:tc>
          <w:tcPr>
            <w:tcW w:w="1825" w:type="pct"/>
            <w:shd w:val="clear" w:color="auto" w:fill="auto"/>
            <w:vAlign w:val="center"/>
          </w:tcPr>
          <w:p w:rsidR="00F47293" w:rsidRPr="00145FF9" w:rsidRDefault="00F47293" w:rsidP="00F47293">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Tăng trưởng Vốn/1 đơn vị CCQ</w:t>
            </w:r>
          </w:p>
        </w:tc>
        <w:tc>
          <w:tcPr>
            <w:tcW w:w="1024" w:type="pct"/>
            <w:shd w:val="clear" w:color="auto" w:fill="auto"/>
          </w:tcPr>
          <w:p w:rsidR="00F47293" w:rsidRPr="009F58A2" w:rsidRDefault="00F47293" w:rsidP="006061C4">
            <w:pPr>
              <w:jc w:val="center"/>
              <w:rPr>
                <w:color w:val="000000" w:themeColor="text1"/>
              </w:rPr>
            </w:pPr>
            <w:r w:rsidRPr="009F58A2">
              <w:rPr>
                <w:color w:val="000000" w:themeColor="text1"/>
              </w:rPr>
              <w:t>-23.98%</w:t>
            </w:r>
          </w:p>
        </w:tc>
        <w:tc>
          <w:tcPr>
            <w:tcW w:w="1024" w:type="pct"/>
            <w:shd w:val="clear" w:color="auto" w:fill="auto"/>
          </w:tcPr>
          <w:p w:rsidR="00F47293" w:rsidRPr="009F58A2" w:rsidRDefault="00F47293" w:rsidP="00F47293">
            <w:pPr>
              <w:jc w:val="center"/>
              <w:rPr>
                <w:color w:val="000000" w:themeColor="text1"/>
              </w:rPr>
            </w:pPr>
            <w:r w:rsidRPr="009F58A2">
              <w:rPr>
                <w:color w:val="000000" w:themeColor="text1"/>
              </w:rPr>
              <w:t>23.91%</w:t>
            </w:r>
          </w:p>
        </w:tc>
        <w:tc>
          <w:tcPr>
            <w:tcW w:w="1127" w:type="pct"/>
            <w:shd w:val="clear" w:color="auto" w:fill="auto"/>
            <w:vAlign w:val="center"/>
          </w:tcPr>
          <w:p w:rsidR="00F47293" w:rsidRPr="009F58A2" w:rsidRDefault="00F47293" w:rsidP="00F47293">
            <w:pPr>
              <w:spacing w:after="0" w:line="240" w:lineRule="auto"/>
              <w:jc w:val="center"/>
              <w:rPr>
                <w:rFonts w:ascii="Times New Roman" w:eastAsia="Times New Roman" w:hAnsi="Times New Roman"/>
                <w:color w:val="000000" w:themeColor="text1"/>
              </w:rPr>
            </w:pPr>
            <w:r w:rsidRPr="009F58A2">
              <w:rPr>
                <w:rFonts w:ascii="Times New Roman" w:hAnsi="Times New Roman"/>
                <w:color w:val="000000" w:themeColor="text1"/>
              </w:rPr>
              <w:t>N/A</w:t>
            </w:r>
          </w:p>
          <w:p w:rsidR="00F47293" w:rsidRPr="009F58A2" w:rsidRDefault="00F47293" w:rsidP="00F47293">
            <w:pPr>
              <w:jc w:val="center"/>
              <w:rPr>
                <w:rFonts w:ascii="Times New Roman" w:hAnsi="Times New Roman"/>
                <w:color w:val="000000" w:themeColor="text1"/>
                <w:sz w:val="20"/>
                <w:szCs w:val="20"/>
              </w:rPr>
            </w:pPr>
          </w:p>
        </w:tc>
      </w:tr>
      <w:tr w:rsidR="00F47293" w:rsidRPr="00145FF9" w:rsidTr="00D20CAF">
        <w:tc>
          <w:tcPr>
            <w:tcW w:w="1825" w:type="pct"/>
            <w:shd w:val="clear" w:color="auto" w:fill="auto"/>
            <w:vAlign w:val="center"/>
          </w:tcPr>
          <w:p w:rsidR="00F47293" w:rsidRPr="00145FF9" w:rsidRDefault="00F47293" w:rsidP="00F47293">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Tổng tăng trưởng/1 đơn vị CCQ</w:t>
            </w:r>
          </w:p>
        </w:tc>
        <w:tc>
          <w:tcPr>
            <w:tcW w:w="1024" w:type="pct"/>
            <w:shd w:val="clear" w:color="auto" w:fill="auto"/>
          </w:tcPr>
          <w:p w:rsidR="00F47293" w:rsidRPr="009F58A2" w:rsidRDefault="00F47293" w:rsidP="006061C4">
            <w:pPr>
              <w:jc w:val="center"/>
              <w:rPr>
                <w:color w:val="000000" w:themeColor="text1"/>
              </w:rPr>
            </w:pPr>
            <w:r w:rsidRPr="009F58A2">
              <w:rPr>
                <w:color w:val="000000" w:themeColor="text1"/>
              </w:rPr>
              <w:t>410.81%</w:t>
            </w:r>
          </w:p>
        </w:tc>
        <w:tc>
          <w:tcPr>
            <w:tcW w:w="1024" w:type="pct"/>
            <w:shd w:val="clear" w:color="auto" w:fill="auto"/>
          </w:tcPr>
          <w:p w:rsidR="00F47293" w:rsidRPr="009F58A2" w:rsidRDefault="00F47293" w:rsidP="00F47293">
            <w:pPr>
              <w:jc w:val="center"/>
              <w:rPr>
                <w:color w:val="000000" w:themeColor="text1"/>
              </w:rPr>
            </w:pPr>
            <w:r w:rsidRPr="009F58A2">
              <w:rPr>
                <w:color w:val="000000" w:themeColor="text1"/>
              </w:rPr>
              <w:t>259.08%</w:t>
            </w:r>
          </w:p>
        </w:tc>
        <w:tc>
          <w:tcPr>
            <w:tcW w:w="1127" w:type="pct"/>
            <w:shd w:val="clear" w:color="auto" w:fill="auto"/>
            <w:vAlign w:val="center"/>
          </w:tcPr>
          <w:p w:rsidR="00F47293" w:rsidRPr="009F58A2" w:rsidRDefault="00F47293" w:rsidP="00F47293">
            <w:pPr>
              <w:spacing w:after="0" w:line="240" w:lineRule="auto"/>
              <w:jc w:val="center"/>
              <w:rPr>
                <w:rFonts w:ascii="Times New Roman" w:eastAsia="Times New Roman" w:hAnsi="Times New Roman"/>
                <w:color w:val="000000" w:themeColor="text1"/>
              </w:rPr>
            </w:pPr>
            <w:r w:rsidRPr="009F58A2">
              <w:rPr>
                <w:rFonts w:ascii="Times New Roman" w:hAnsi="Times New Roman"/>
                <w:color w:val="000000" w:themeColor="text1"/>
              </w:rPr>
              <w:t>N/A</w:t>
            </w:r>
          </w:p>
          <w:p w:rsidR="00F47293" w:rsidRPr="009F58A2" w:rsidRDefault="00F47293" w:rsidP="00F47293">
            <w:pPr>
              <w:spacing w:after="0"/>
              <w:jc w:val="center"/>
              <w:rPr>
                <w:rFonts w:ascii="Times New Roman" w:hAnsi="Times New Roman"/>
                <w:color w:val="000000" w:themeColor="text1"/>
                <w:sz w:val="20"/>
                <w:szCs w:val="20"/>
              </w:rPr>
            </w:pPr>
          </w:p>
        </w:tc>
      </w:tr>
      <w:tr w:rsidR="00F47293" w:rsidRPr="00145FF9" w:rsidTr="00D20CAF">
        <w:tc>
          <w:tcPr>
            <w:tcW w:w="1825" w:type="pct"/>
            <w:shd w:val="clear" w:color="auto" w:fill="auto"/>
            <w:vAlign w:val="center"/>
          </w:tcPr>
          <w:p w:rsidR="00F47293" w:rsidRPr="008404F5" w:rsidRDefault="00F47293" w:rsidP="00F47293">
            <w:pPr>
              <w:tabs>
                <w:tab w:val="left" w:pos="540"/>
              </w:tabs>
              <w:spacing w:before="120" w:after="0" w:line="240" w:lineRule="auto"/>
              <w:rPr>
                <w:rFonts w:ascii="Arial" w:eastAsia="Times New Roman" w:hAnsi="Arial" w:cs="Arial"/>
                <w:sz w:val="20"/>
                <w:szCs w:val="26"/>
                <w:highlight w:val="yellow"/>
                <w:lang w:val="nl-NL"/>
              </w:rPr>
            </w:pPr>
            <w:r w:rsidRPr="009F58A2">
              <w:rPr>
                <w:rFonts w:ascii="Arial" w:eastAsia="Times New Roman" w:hAnsi="Arial" w:cs="Arial"/>
                <w:sz w:val="20"/>
                <w:szCs w:val="26"/>
                <w:lang w:val="nl-NL"/>
              </w:rPr>
              <w:t>Tăng trưởng hàng năm(%)/1 đơn vị CCQ</w:t>
            </w:r>
          </w:p>
        </w:tc>
        <w:tc>
          <w:tcPr>
            <w:tcW w:w="1024" w:type="pct"/>
            <w:shd w:val="clear" w:color="auto" w:fill="auto"/>
          </w:tcPr>
          <w:p w:rsidR="00F47293" w:rsidRPr="009F58A2" w:rsidRDefault="00F47293" w:rsidP="006061C4">
            <w:pPr>
              <w:spacing w:line="360" w:lineRule="auto"/>
              <w:jc w:val="center"/>
              <w:rPr>
                <w:rFonts w:ascii="Times New Roman" w:eastAsia="Times New Roman" w:hAnsi="Times New Roman"/>
                <w:color w:val="000000" w:themeColor="text1"/>
                <w:lang w:val="nl-NL"/>
              </w:rPr>
            </w:pPr>
            <w:r w:rsidRPr="009F58A2">
              <w:rPr>
                <w:rFonts w:ascii="Times New Roman" w:eastAsia="Times New Roman" w:hAnsi="Times New Roman"/>
                <w:color w:val="000000" w:themeColor="text1"/>
                <w:lang w:val="nl-NL"/>
              </w:rPr>
              <w:t>15,11%</w:t>
            </w:r>
          </w:p>
        </w:tc>
        <w:tc>
          <w:tcPr>
            <w:tcW w:w="1024" w:type="pct"/>
            <w:shd w:val="clear" w:color="auto" w:fill="auto"/>
          </w:tcPr>
          <w:p w:rsidR="00F47293" w:rsidRPr="009F58A2" w:rsidRDefault="00F47293" w:rsidP="00F47293">
            <w:pPr>
              <w:spacing w:line="360" w:lineRule="auto"/>
              <w:jc w:val="center"/>
              <w:rPr>
                <w:rFonts w:ascii="Times New Roman" w:eastAsia="Times New Roman" w:hAnsi="Times New Roman"/>
                <w:color w:val="000000" w:themeColor="text1"/>
                <w:lang w:val="nl-NL"/>
              </w:rPr>
            </w:pPr>
            <w:r w:rsidRPr="009F58A2">
              <w:rPr>
                <w:rFonts w:ascii="Times New Roman" w:eastAsia="Times New Roman" w:hAnsi="Times New Roman"/>
                <w:color w:val="000000" w:themeColor="text1"/>
                <w:lang w:val="nl-NL"/>
              </w:rPr>
              <w:t>33,44%</w:t>
            </w:r>
          </w:p>
        </w:tc>
        <w:tc>
          <w:tcPr>
            <w:tcW w:w="1127" w:type="pct"/>
            <w:shd w:val="clear" w:color="auto" w:fill="auto"/>
            <w:vAlign w:val="center"/>
          </w:tcPr>
          <w:p w:rsidR="00F47293" w:rsidRPr="009F58A2" w:rsidRDefault="00F47293" w:rsidP="00F47293">
            <w:pPr>
              <w:jc w:val="center"/>
              <w:rPr>
                <w:rFonts w:ascii="Times New Roman" w:hAnsi="Times New Roman"/>
                <w:color w:val="000000" w:themeColor="text1"/>
                <w:sz w:val="20"/>
                <w:szCs w:val="20"/>
              </w:rPr>
            </w:pPr>
            <w:r w:rsidRPr="009F58A2">
              <w:rPr>
                <w:rFonts w:ascii="Times New Roman" w:eastAsia="Times New Roman" w:hAnsi="Times New Roman"/>
                <w:color w:val="000000" w:themeColor="text1"/>
                <w:lang w:val="nl-NL"/>
              </w:rPr>
              <w:t>56,77%</w:t>
            </w:r>
          </w:p>
        </w:tc>
      </w:tr>
      <w:tr w:rsidR="00BE4C65" w:rsidRPr="00145FF9" w:rsidTr="00BE4C65">
        <w:tc>
          <w:tcPr>
            <w:tcW w:w="1825" w:type="pct"/>
            <w:shd w:val="clear" w:color="auto" w:fill="auto"/>
            <w:vAlign w:val="center"/>
          </w:tcPr>
          <w:p w:rsidR="00BE4C65" w:rsidRPr="00145FF9" w:rsidRDefault="00BE4C65" w:rsidP="00BE4C6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Tăng trưởng của danh mục cơ cấu</w:t>
            </w:r>
          </w:p>
        </w:tc>
        <w:tc>
          <w:tcPr>
            <w:tcW w:w="1024" w:type="pct"/>
            <w:shd w:val="clear" w:color="auto" w:fill="auto"/>
            <w:vAlign w:val="center"/>
          </w:tcPr>
          <w:p w:rsidR="00BE4C65" w:rsidRPr="00145FF9" w:rsidRDefault="00BE4C65" w:rsidP="006061C4">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024" w:type="pct"/>
            <w:shd w:val="clear" w:color="auto" w:fill="auto"/>
            <w:vAlign w:val="center"/>
          </w:tcPr>
          <w:p w:rsidR="00BE4C65" w:rsidRPr="00145FF9" w:rsidRDefault="00BE4C65" w:rsidP="00BE4C6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127" w:type="pct"/>
            <w:shd w:val="clear" w:color="auto" w:fill="auto"/>
            <w:vAlign w:val="center"/>
          </w:tcPr>
          <w:p w:rsidR="00BE4C65" w:rsidRPr="00145FF9" w:rsidRDefault="00BE4C65" w:rsidP="00BE4C6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r>
      <w:tr w:rsidR="00BE4C65" w:rsidRPr="00145FF9" w:rsidTr="00BE4C65">
        <w:tc>
          <w:tcPr>
            <w:tcW w:w="1825" w:type="pct"/>
            <w:shd w:val="clear" w:color="auto" w:fill="auto"/>
            <w:vAlign w:val="center"/>
          </w:tcPr>
          <w:p w:rsidR="00BE4C65" w:rsidRPr="00145FF9" w:rsidRDefault="00BE4C65" w:rsidP="00BE4C65">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Thay đổi giá trị thị trường của 1 đơn vị CCQ</w:t>
            </w:r>
          </w:p>
        </w:tc>
        <w:tc>
          <w:tcPr>
            <w:tcW w:w="1024" w:type="pct"/>
            <w:shd w:val="clear" w:color="auto" w:fill="auto"/>
            <w:vAlign w:val="center"/>
          </w:tcPr>
          <w:p w:rsidR="00BE4C65" w:rsidRPr="00145FF9" w:rsidRDefault="00BE4C65" w:rsidP="006061C4">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024" w:type="pct"/>
            <w:shd w:val="clear" w:color="auto" w:fill="auto"/>
            <w:vAlign w:val="center"/>
          </w:tcPr>
          <w:p w:rsidR="00BE4C65" w:rsidRPr="00145FF9" w:rsidRDefault="00BE4C65" w:rsidP="00BE4C6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c>
          <w:tcPr>
            <w:tcW w:w="1127" w:type="pct"/>
            <w:shd w:val="clear" w:color="auto" w:fill="auto"/>
            <w:vAlign w:val="center"/>
          </w:tcPr>
          <w:p w:rsidR="00BE4C65" w:rsidRPr="00145FF9" w:rsidRDefault="00BE4C65" w:rsidP="00BE4C65">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Không có</w:t>
            </w:r>
          </w:p>
        </w:tc>
      </w:tr>
    </w:tbl>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 Vốn, Tổng tăng trưởng, Tăng trưởng hàng năm: Dựa trên tăng trưởng của giá trị tài sản ròng (NAV) trên 1 đơn vị chứng chỉ quỹ;</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 Chỉ số tham chiếu: Dựa trên giá công bố giao dịch cuối cùng ở thời điểm gần nhất</w:t>
      </w:r>
      <w:r w:rsidR="00A5123D" w:rsidRPr="00145FF9">
        <w:rPr>
          <w:rFonts w:ascii="Arial" w:hAnsi="Arial" w:cs="Arial"/>
          <w:sz w:val="20"/>
          <w:szCs w:val="26"/>
          <w:lang w:val="nl-NL"/>
        </w:rPr>
        <w:t>,</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 Các số liệu trình bày phải được dựa vào kết quả của Báo cáo tài chính đã được soát xét hoặc kiểm toán</w:t>
      </w:r>
      <w:r w:rsidR="00A5123D" w:rsidRPr="00145FF9">
        <w:rPr>
          <w:rFonts w:ascii="Arial" w:hAnsi="Arial" w:cs="Arial"/>
          <w:sz w:val="20"/>
          <w:szCs w:val="26"/>
          <w:lang w:val="nl-NL"/>
        </w:rPr>
        <w:t>,</w:t>
      </w:r>
      <w:r w:rsidRPr="00145FF9">
        <w:rPr>
          <w:rFonts w:ascii="Arial" w:hAnsi="Arial" w:cs="Arial"/>
          <w:sz w:val="20"/>
          <w:szCs w:val="26"/>
          <w:lang w:val="nl-NL"/>
        </w:rPr>
        <w:t xml:space="preserve"> Trường hợp dựa trên báo cáo tài chính chưa được soát xét phải công bố thông tin rõ ràng</w:t>
      </w:r>
      <w:r w:rsidR="00A5123D" w:rsidRPr="00145FF9">
        <w:rPr>
          <w:rFonts w:ascii="Arial" w:hAnsi="Arial" w:cs="Arial"/>
          <w:sz w:val="20"/>
          <w:szCs w:val="26"/>
          <w:lang w:val="nl-NL"/>
        </w:rPr>
        <w:t>,</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 Biểu đồ tăng trưởng hàng tháng của Quỹ trong 3 năm gần nhất</w:t>
      </w:r>
      <w:r w:rsidR="00A5123D" w:rsidRPr="00145FF9">
        <w:rPr>
          <w:rFonts w:ascii="Arial" w:hAnsi="Arial" w:cs="Arial"/>
          <w:sz w:val="20"/>
          <w:szCs w:val="26"/>
          <w:lang w:val="nl-NL"/>
        </w:rPr>
        <w:t>,</w:t>
      </w:r>
    </w:p>
    <w:p w:rsidR="004E7038" w:rsidRPr="00145FF9" w:rsidRDefault="004E7038" w:rsidP="0060532E">
      <w:pPr>
        <w:shd w:val="clear" w:color="auto" w:fill="FFFFFF"/>
        <w:tabs>
          <w:tab w:val="left" w:pos="540"/>
        </w:tabs>
        <w:spacing w:before="120" w:after="0" w:line="240" w:lineRule="auto"/>
        <w:rPr>
          <w:rFonts w:ascii="Arial" w:hAnsi="Arial" w:cs="Arial"/>
          <w:sz w:val="20"/>
          <w:szCs w:val="26"/>
          <w:lang w:val="nl-NL"/>
        </w:rPr>
      </w:pPr>
    </w:p>
    <w:p w:rsidR="004E7038" w:rsidRPr="00145FF9" w:rsidRDefault="004E7038" w:rsidP="0060532E">
      <w:pPr>
        <w:shd w:val="clear" w:color="auto" w:fill="FFFFFF"/>
        <w:tabs>
          <w:tab w:val="left" w:pos="540"/>
        </w:tabs>
        <w:spacing w:before="120" w:after="0" w:line="240" w:lineRule="auto"/>
        <w:rPr>
          <w:rFonts w:ascii="Arial" w:hAnsi="Arial" w:cs="Arial"/>
          <w:sz w:val="20"/>
          <w:szCs w:val="26"/>
          <w:lang w:val="nl-NL"/>
        </w:rPr>
      </w:pPr>
    </w:p>
    <w:p w:rsidR="004A0F62" w:rsidRPr="00145FF9" w:rsidRDefault="00F47293" w:rsidP="0060532E">
      <w:pPr>
        <w:shd w:val="clear" w:color="auto" w:fill="FFFFFF"/>
        <w:tabs>
          <w:tab w:val="left" w:pos="540"/>
        </w:tabs>
        <w:spacing w:before="120" w:after="0" w:line="240" w:lineRule="auto"/>
        <w:rPr>
          <w:rFonts w:ascii="Arial" w:hAnsi="Arial" w:cs="Arial"/>
          <w:sz w:val="20"/>
          <w:szCs w:val="26"/>
          <w:lang w:val="nl-NL"/>
        </w:rPr>
      </w:pPr>
      <w:r w:rsidRPr="00334138">
        <w:rPr>
          <w:rFonts w:ascii="Times New Roman" w:hAnsi="Times New Roman"/>
          <w:noProof/>
        </w:rPr>
        <w:lastRenderedPageBreak/>
        <w:drawing>
          <wp:inline distT="0" distB="0" distL="0" distR="0" wp14:anchorId="102C70FE" wp14:editId="13F7764D">
            <wp:extent cx="45720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4A0F62" w:rsidRPr="00145FF9" w:rsidRDefault="004A0F62" w:rsidP="0060532E">
      <w:pPr>
        <w:shd w:val="clear" w:color="auto" w:fill="FFFFFF"/>
        <w:tabs>
          <w:tab w:val="left" w:pos="540"/>
        </w:tabs>
        <w:spacing w:before="120" w:after="0" w:line="240" w:lineRule="auto"/>
        <w:rPr>
          <w:rFonts w:ascii="Arial" w:hAnsi="Arial" w:cs="Arial"/>
          <w:sz w:val="20"/>
          <w:szCs w:val="26"/>
          <w:lang w:val="nl-NL"/>
        </w:rPr>
      </w:pP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 Thay đổi giá trị tài sản ròng</w:t>
      </w:r>
      <w:r w:rsidR="00A5123D" w:rsidRPr="00145FF9">
        <w:rPr>
          <w:rFonts w:ascii="Arial" w:hAnsi="Arial" w:cs="Arial"/>
          <w:sz w:val="20"/>
          <w:szCs w:val="26"/>
          <w:lang w:val="nl-NL"/>
        </w:rPr>
        <w:t>,</w:t>
      </w:r>
    </w:p>
    <w:tbl>
      <w:tblPr>
        <w:tblW w:w="918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01"/>
        <w:gridCol w:w="1980"/>
        <w:gridCol w:w="2070"/>
        <w:gridCol w:w="1529"/>
      </w:tblGrid>
      <w:tr w:rsidR="0060532E" w:rsidRPr="00145FF9" w:rsidTr="00145FF9">
        <w:tc>
          <w:tcPr>
            <w:tcW w:w="1961"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Chỉ tiêu</w:t>
            </w:r>
          </w:p>
        </w:tc>
        <w:tc>
          <w:tcPr>
            <w:tcW w:w="1078" w:type="pct"/>
            <w:shd w:val="clear" w:color="auto" w:fill="auto"/>
          </w:tcPr>
          <w:p w:rsidR="0060532E" w:rsidRPr="00145FF9" w:rsidRDefault="00145FF9"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09/201</w:t>
            </w:r>
            <w:r w:rsidR="003319D9">
              <w:rPr>
                <w:rFonts w:ascii="Arial" w:eastAsia="Times New Roman" w:hAnsi="Arial" w:cs="Arial"/>
                <w:sz w:val="20"/>
                <w:szCs w:val="26"/>
                <w:lang w:val="nl-NL"/>
              </w:rPr>
              <w:t>7</w:t>
            </w:r>
          </w:p>
        </w:tc>
        <w:tc>
          <w:tcPr>
            <w:tcW w:w="1127" w:type="pct"/>
            <w:shd w:val="clear" w:color="auto" w:fill="auto"/>
          </w:tcPr>
          <w:p w:rsidR="0060532E" w:rsidRPr="00145FF9" w:rsidRDefault="00145FF9"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09/201</w:t>
            </w:r>
            <w:r w:rsidR="003319D9">
              <w:rPr>
                <w:rFonts w:ascii="Arial" w:eastAsia="Times New Roman" w:hAnsi="Arial" w:cs="Arial"/>
                <w:sz w:val="20"/>
                <w:szCs w:val="26"/>
                <w:lang w:val="nl-NL"/>
              </w:rPr>
              <w:t>6</w:t>
            </w:r>
          </w:p>
        </w:tc>
        <w:tc>
          <w:tcPr>
            <w:tcW w:w="833"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Tỷ lệ thay đổi</w:t>
            </w:r>
          </w:p>
        </w:tc>
      </w:tr>
      <w:tr w:rsidR="0060532E" w:rsidRPr="00145FF9" w:rsidTr="00145FF9">
        <w:tc>
          <w:tcPr>
            <w:tcW w:w="1961"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A</w:t>
            </w:r>
          </w:p>
        </w:tc>
        <w:tc>
          <w:tcPr>
            <w:tcW w:w="1078"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1</w:t>
            </w:r>
          </w:p>
        </w:tc>
        <w:tc>
          <w:tcPr>
            <w:tcW w:w="1127"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2</w:t>
            </w:r>
          </w:p>
        </w:tc>
        <w:tc>
          <w:tcPr>
            <w:tcW w:w="833"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3=((1)-(2))/(2)</w:t>
            </w:r>
          </w:p>
        </w:tc>
      </w:tr>
      <w:tr w:rsidR="0060532E" w:rsidRPr="00145FF9" w:rsidTr="00E914FF">
        <w:trPr>
          <w:trHeight w:val="490"/>
        </w:trPr>
        <w:tc>
          <w:tcPr>
            <w:tcW w:w="1961" w:type="pct"/>
            <w:shd w:val="clear" w:color="auto" w:fill="auto"/>
          </w:tcPr>
          <w:p w:rsidR="00145FF9" w:rsidRPr="00145FF9" w:rsidRDefault="0060532E" w:rsidP="009F58A2">
            <w:pPr>
              <w:tabs>
                <w:tab w:val="left" w:pos="540"/>
              </w:tabs>
              <w:spacing w:before="120" w:after="0" w:line="240" w:lineRule="auto"/>
              <w:rPr>
                <w:rFonts w:ascii="Arial" w:eastAsia="Times New Roman" w:hAnsi="Arial" w:cs="Arial"/>
                <w:sz w:val="20"/>
                <w:szCs w:val="26"/>
                <w:lang w:val="nl-NL"/>
              </w:rPr>
            </w:pPr>
            <w:r w:rsidRPr="00145FF9">
              <w:rPr>
                <w:rFonts w:ascii="Arial" w:eastAsia="Times New Roman" w:hAnsi="Arial" w:cs="Arial"/>
                <w:sz w:val="20"/>
                <w:szCs w:val="26"/>
                <w:lang w:val="nl-NL"/>
              </w:rPr>
              <w:t>Giá trị tài sản ròng (NAV) của Quỹ</w:t>
            </w:r>
          </w:p>
        </w:tc>
        <w:tc>
          <w:tcPr>
            <w:tcW w:w="1078" w:type="pct"/>
            <w:shd w:val="clear" w:color="auto" w:fill="auto"/>
          </w:tcPr>
          <w:p w:rsidR="0060532E" w:rsidRPr="00E914FF" w:rsidRDefault="003319D9" w:rsidP="00E914FF">
            <w:pPr>
              <w:spacing w:after="0" w:line="240" w:lineRule="auto"/>
              <w:jc w:val="center"/>
              <w:rPr>
                <w:rFonts w:ascii="Tahoma" w:hAnsi="Tahoma" w:cs="Tahoma"/>
                <w:color w:val="000000"/>
                <w:sz w:val="20"/>
                <w:szCs w:val="20"/>
              </w:rPr>
            </w:pPr>
            <w:r>
              <w:rPr>
                <w:color w:val="000000"/>
              </w:rPr>
              <w:t>209,300,081,825</w:t>
            </w:r>
          </w:p>
        </w:tc>
        <w:tc>
          <w:tcPr>
            <w:tcW w:w="1127" w:type="pct"/>
            <w:shd w:val="clear" w:color="auto" w:fill="auto"/>
          </w:tcPr>
          <w:p w:rsidR="0060532E" w:rsidRPr="00E914FF" w:rsidRDefault="003319D9" w:rsidP="00E914FF">
            <w:pPr>
              <w:spacing w:after="0" w:line="240" w:lineRule="auto"/>
              <w:jc w:val="center"/>
              <w:rPr>
                <w:rFonts w:ascii="Tahoma" w:hAnsi="Tahoma" w:cs="Tahoma"/>
                <w:color w:val="000000"/>
                <w:sz w:val="20"/>
                <w:szCs w:val="20"/>
              </w:rPr>
            </w:pPr>
            <w:r>
              <w:rPr>
                <w:color w:val="000000"/>
              </w:rPr>
              <w:t>100,742,551,188</w:t>
            </w:r>
          </w:p>
        </w:tc>
        <w:tc>
          <w:tcPr>
            <w:tcW w:w="833" w:type="pct"/>
            <w:shd w:val="clear" w:color="auto" w:fill="auto"/>
          </w:tcPr>
          <w:p w:rsidR="0060532E" w:rsidRPr="00E914FF" w:rsidRDefault="003319D9" w:rsidP="00E914FF">
            <w:pPr>
              <w:spacing w:after="0" w:line="240" w:lineRule="auto"/>
              <w:jc w:val="center"/>
              <w:rPr>
                <w:color w:val="000000"/>
              </w:rPr>
            </w:pPr>
            <w:r>
              <w:rPr>
                <w:color w:val="000000"/>
              </w:rPr>
              <w:t>107.76%</w:t>
            </w:r>
          </w:p>
        </w:tc>
      </w:tr>
      <w:tr w:rsidR="0060532E" w:rsidRPr="00145FF9" w:rsidTr="00E914FF">
        <w:trPr>
          <w:trHeight w:val="526"/>
        </w:trPr>
        <w:tc>
          <w:tcPr>
            <w:tcW w:w="1961" w:type="pct"/>
            <w:shd w:val="clear" w:color="auto" w:fill="auto"/>
          </w:tcPr>
          <w:p w:rsidR="0060532E" w:rsidRPr="00145FF9" w:rsidRDefault="0060532E" w:rsidP="00E914FF">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Giá trị tài sản ròng (NAV) trên 1 đơn vị CCQ</w:t>
            </w:r>
          </w:p>
        </w:tc>
        <w:tc>
          <w:tcPr>
            <w:tcW w:w="1078" w:type="pct"/>
            <w:shd w:val="clear" w:color="auto" w:fill="auto"/>
          </w:tcPr>
          <w:p w:rsidR="003319D9" w:rsidRDefault="003319D9" w:rsidP="00E914FF">
            <w:pPr>
              <w:spacing w:after="0" w:line="240" w:lineRule="auto"/>
              <w:jc w:val="center"/>
              <w:rPr>
                <w:rFonts w:ascii="Times New Roman" w:eastAsia="Times New Roman" w:hAnsi="Times New Roman"/>
                <w:color w:val="000000"/>
              </w:rPr>
            </w:pPr>
            <w:r>
              <w:rPr>
                <w:color w:val="000000"/>
              </w:rPr>
              <w:t>15,659.51</w:t>
            </w:r>
          </w:p>
          <w:p w:rsidR="0060532E" w:rsidRPr="00145FF9" w:rsidRDefault="0060532E" w:rsidP="00E914FF">
            <w:pPr>
              <w:tabs>
                <w:tab w:val="left" w:pos="540"/>
              </w:tabs>
              <w:spacing w:before="120" w:after="0" w:line="240" w:lineRule="auto"/>
              <w:jc w:val="center"/>
              <w:rPr>
                <w:rFonts w:ascii="Arial" w:eastAsia="Times New Roman" w:hAnsi="Arial" w:cs="Arial"/>
                <w:sz w:val="20"/>
                <w:szCs w:val="26"/>
                <w:lang w:val="nl-NL"/>
              </w:rPr>
            </w:pPr>
          </w:p>
        </w:tc>
        <w:tc>
          <w:tcPr>
            <w:tcW w:w="1127" w:type="pct"/>
            <w:shd w:val="clear" w:color="auto" w:fill="auto"/>
          </w:tcPr>
          <w:p w:rsidR="003319D9" w:rsidRPr="00E914FF" w:rsidRDefault="003319D9" w:rsidP="00E914FF">
            <w:pPr>
              <w:spacing w:after="0" w:line="240" w:lineRule="auto"/>
              <w:jc w:val="center"/>
              <w:rPr>
                <w:color w:val="000000"/>
              </w:rPr>
            </w:pPr>
            <w:r>
              <w:rPr>
                <w:color w:val="000000"/>
              </w:rPr>
              <w:t>13,604.00</w:t>
            </w:r>
          </w:p>
          <w:p w:rsidR="0060532E" w:rsidRPr="00145FF9" w:rsidRDefault="0060532E" w:rsidP="00E914FF">
            <w:pPr>
              <w:spacing w:after="0" w:line="240" w:lineRule="auto"/>
              <w:jc w:val="center"/>
              <w:rPr>
                <w:rFonts w:ascii="Arial" w:eastAsia="Times New Roman" w:hAnsi="Arial" w:cs="Arial"/>
                <w:sz w:val="20"/>
                <w:szCs w:val="26"/>
                <w:lang w:val="nl-NL"/>
              </w:rPr>
            </w:pPr>
          </w:p>
        </w:tc>
        <w:tc>
          <w:tcPr>
            <w:tcW w:w="833" w:type="pct"/>
            <w:shd w:val="clear" w:color="auto" w:fill="auto"/>
          </w:tcPr>
          <w:p w:rsidR="003319D9" w:rsidRDefault="003319D9" w:rsidP="00E914FF">
            <w:pPr>
              <w:spacing w:after="0" w:line="240" w:lineRule="auto"/>
              <w:jc w:val="center"/>
              <w:rPr>
                <w:rFonts w:ascii="Times New Roman" w:eastAsia="Times New Roman" w:hAnsi="Times New Roman"/>
                <w:color w:val="000000"/>
              </w:rPr>
            </w:pPr>
            <w:r>
              <w:rPr>
                <w:color w:val="000000"/>
              </w:rPr>
              <w:t>15.11%</w:t>
            </w:r>
          </w:p>
          <w:p w:rsidR="0060532E" w:rsidRPr="00145FF9" w:rsidRDefault="0060532E" w:rsidP="00E914FF">
            <w:pPr>
              <w:tabs>
                <w:tab w:val="left" w:pos="540"/>
              </w:tabs>
              <w:spacing w:before="120" w:after="0" w:line="240" w:lineRule="auto"/>
              <w:jc w:val="center"/>
              <w:rPr>
                <w:rFonts w:ascii="Arial" w:eastAsia="Times New Roman" w:hAnsi="Arial" w:cs="Arial"/>
                <w:sz w:val="20"/>
                <w:szCs w:val="26"/>
                <w:lang w:val="nl-NL"/>
              </w:rPr>
            </w:pPr>
          </w:p>
        </w:tc>
      </w:tr>
    </w:tbl>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Kèm theo thuyết minh về sự tăng giảm quy mô Quỹ, giá trị tài sản ròng (NAV) trên 1 đơn vị chứng chỉ quỹ và chỉ rõ nguyên nhân</w:t>
      </w:r>
      <w:r w:rsidR="00A5123D" w:rsidRPr="00145FF9">
        <w:rPr>
          <w:rFonts w:ascii="Arial" w:hAnsi="Arial" w:cs="Arial"/>
          <w:sz w:val="20"/>
          <w:szCs w:val="26"/>
          <w:lang w:val="nl-NL"/>
        </w:rPr>
        <w:t>,</w:t>
      </w:r>
    </w:p>
    <w:p w:rsidR="004E7038" w:rsidRPr="009F58A2" w:rsidRDefault="00F47293" w:rsidP="0060532E">
      <w:pPr>
        <w:shd w:val="clear" w:color="auto" w:fill="FFFFFF"/>
        <w:tabs>
          <w:tab w:val="left" w:pos="540"/>
        </w:tabs>
        <w:spacing w:before="120" w:after="0" w:line="240" w:lineRule="auto"/>
        <w:rPr>
          <w:rFonts w:ascii="Arial" w:hAnsi="Arial" w:cs="Arial"/>
          <w:color w:val="000000" w:themeColor="text1"/>
          <w:sz w:val="20"/>
          <w:szCs w:val="26"/>
          <w:lang w:val="nl-NL"/>
        </w:rPr>
      </w:pPr>
      <w:r w:rsidRPr="009F58A2">
        <w:rPr>
          <w:rFonts w:ascii="Times New Roman" w:hAnsi="Times New Roman"/>
          <w:color w:val="000000" w:themeColor="text1"/>
          <w:lang w:val="nl-NL"/>
        </w:rPr>
        <w:t>Trong giai đoạn 30/09/2016-30/09/2017, quỹ VFMVFB có giá trị tài sản ròng (NAV)  trên một chứng chỉ quỹ tăng trưởng 15,11% chủ yếu do lợi nhuận từ việc tăng giá các tài sản đang nắm giữ và lãi suất từ các khoản đầu tư, Tổng giá trị tài sản ròng (NAV) tăng trưởng 107.76%, cao hơn tăng trưởng của NAV/chứng chỉ quỹ do nhà đầu tư thực hiện mua ròng chứng chỉ quỹ VFMVFB khiến tài sản quỹ tăng trưởng so với đầu kỳ.</w:t>
      </w:r>
    </w:p>
    <w:p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4</w:t>
      </w:r>
      <w:r w:rsidR="00A5123D" w:rsidRPr="00145FF9">
        <w:rPr>
          <w:rFonts w:ascii="Arial" w:hAnsi="Arial" w:cs="Arial"/>
          <w:b/>
          <w:sz w:val="20"/>
          <w:szCs w:val="26"/>
          <w:lang w:val="nl-NL"/>
        </w:rPr>
        <w:t>,</w:t>
      </w:r>
      <w:r w:rsidRPr="00145FF9">
        <w:rPr>
          <w:rFonts w:ascii="Arial" w:hAnsi="Arial" w:cs="Arial"/>
          <w:b/>
          <w:sz w:val="20"/>
          <w:szCs w:val="26"/>
          <w:lang w:val="nl-NL"/>
        </w:rPr>
        <w:t>2</w:t>
      </w:r>
      <w:r w:rsidR="00A5123D" w:rsidRPr="00145FF9">
        <w:rPr>
          <w:rFonts w:ascii="Arial" w:hAnsi="Arial" w:cs="Arial"/>
          <w:b/>
          <w:sz w:val="20"/>
          <w:szCs w:val="26"/>
          <w:lang w:val="nl-NL"/>
        </w:rPr>
        <w:t>,</w:t>
      </w:r>
      <w:r w:rsidRPr="00145FF9">
        <w:rPr>
          <w:rFonts w:ascii="Arial" w:hAnsi="Arial" w:cs="Arial"/>
          <w:b/>
          <w:sz w:val="20"/>
          <w:szCs w:val="26"/>
          <w:lang w:val="nl-NL"/>
        </w:rPr>
        <w:t xml:space="preserve"> Thống kê về Nhà đầu tư nắm giữ Chứng chỉ quỹ tại thời điểm báo cáo (tại thời điểm gần nhất):</w:t>
      </w:r>
    </w:p>
    <w:p w:rsidR="009F58A2" w:rsidRPr="00145FF9" w:rsidRDefault="009F58A2" w:rsidP="0060532E">
      <w:pPr>
        <w:shd w:val="clear" w:color="auto" w:fill="FFFFFF"/>
        <w:tabs>
          <w:tab w:val="left" w:pos="540"/>
        </w:tabs>
        <w:spacing w:before="120" w:after="0" w:line="240" w:lineRule="auto"/>
        <w:rPr>
          <w:rFonts w:ascii="Arial" w:hAnsi="Arial" w:cs="Arial"/>
          <w:b/>
          <w:sz w:val="20"/>
          <w:szCs w:val="26"/>
          <w:lang w:val="nl-NL"/>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37"/>
        <w:gridCol w:w="2075"/>
        <w:gridCol w:w="1998"/>
        <w:gridCol w:w="2144"/>
      </w:tblGrid>
      <w:tr w:rsidR="0060532E" w:rsidRPr="00145FF9" w:rsidTr="004865C1">
        <w:tc>
          <w:tcPr>
            <w:tcW w:w="1677"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Quy mô nắm giữ (Đơn vị)</w:t>
            </w:r>
          </w:p>
        </w:tc>
        <w:tc>
          <w:tcPr>
            <w:tcW w:w="1109"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Số lượng Nhà đầu tư nắm giữ</w:t>
            </w:r>
          </w:p>
        </w:tc>
        <w:tc>
          <w:tcPr>
            <w:tcW w:w="1068"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Số lượng đơn vị Chứng chỉ quỹ nắm giữ</w:t>
            </w:r>
          </w:p>
        </w:tc>
        <w:tc>
          <w:tcPr>
            <w:tcW w:w="1146"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Tỷ lệ nắm giữ</w:t>
            </w:r>
          </w:p>
        </w:tc>
      </w:tr>
      <w:tr w:rsidR="0060532E" w:rsidRPr="00145FF9" w:rsidTr="004865C1">
        <w:tc>
          <w:tcPr>
            <w:tcW w:w="1677"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A</w:t>
            </w:r>
          </w:p>
        </w:tc>
        <w:tc>
          <w:tcPr>
            <w:tcW w:w="1109"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1</w:t>
            </w:r>
          </w:p>
        </w:tc>
        <w:tc>
          <w:tcPr>
            <w:tcW w:w="1068"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2</w:t>
            </w:r>
          </w:p>
        </w:tc>
        <w:tc>
          <w:tcPr>
            <w:tcW w:w="1146" w:type="pct"/>
            <w:shd w:val="clear" w:color="auto" w:fill="auto"/>
          </w:tcPr>
          <w:p w:rsidR="0060532E" w:rsidRPr="00145FF9" w:rsidRDefault="0060532E" w:rsidP="009B70B6">
            <w:pPr>
              <w:tabs>
                <w:tab w:val="left" w:pos="540"/>
              </w:tabs>
              <w:spacing w:before="120" w:after="0" w:line="240" w:lineRule="auto"/>
              <w:jc w:val="center"/>
              <w:rPr>
                <w:rFonts w:ascii="Arial" w:eastAsia="Times New Roman" w:hAnsi="Arial" w:cs="Arial"/>
                <w:sz w:val="20"/>
                <w:szCs w:val="26"/>
                <w:lang w:val="nl-NL"/>
              </w:rPr>
            </w:pPr>
            <w:r w:rsidRPr="00145FF9">
              <w:rPr>
                <w:rFonts w:ascii="Arial" w:eastAsia="Times New Roman" w:hAnsi="Arial" w:cs="Arial"/>
                <w:sz w:val="20"/>
                <w:szCs w:val="26"/>
                <w:lang w:val="nl-NL"/>
              </w:rPr>
              <w:t>3</w:t>
            </w:r>
          </w:p>
        </w:tc>
      </w:tr>
      <w:tr w:rsidR="004865C1" w:rsidRPr="00145FF9" w:rsidTr="004865C1">
        <w:tc>
          <w:tcPr>
            <w:tcW w:w="1677" w:type="pct"/>
            <w:shd w:val="clear" w:color="auto" w:fill="auto"/>
          </w:tcPr>
          <w:p w:rsidR="004865C1" w:rsidRPr="0033036C" w:rsidRDefault="004865C1" w:rsidP="004865C1">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Dưới 5000</w:t>
            </w:r>
          </w:p>
        </w:tc>
        <w:tc>
          <w:tcPr>
            <w:tcW w:w="1109" w:type="pct"/>
            <w:shd w:val="clear" w:color="auto" w:fill="auto"/>
          </w:tcPr>
          <w:p w:rsidR="004865C1" w:rsidRPr="00145FF9" w:rsidRDefault="00C204AF" w:rsidP="004865C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49</w:t>
            </w:r>
          </w:p>
        </w:tc>
        <w:tc>
          <w:tcPr>
            <w:tcW w:w="1068" w:type="pct"/>
            <w:shd w:val="clear" w:color="auto" w:fill="auto"/>
          </w:tcPr>
          <w:p w:rsidR="004865C1" w:rsidRPr="009F58A2" w:rsidRDefault="00C204AF" w:rsidP="004865C1">
            <w:pPr>
              <w:tabs>
                <w:tab w:val="left" w:pos="540"/>
              </w:tabs>
              <w:spacing w:before="120" w:after="0" w:line="240" w:lineRule="auto"/>
              <w:jc w:val="center"/>
              <w:rPr>
                <w:rFonts w:ascii="Arial" w:eastAsia="Times New Roman" w:hAnsi="Arial" w:cs="Arial"/>
                <w:color w:val="000000" w:themeColor="text1"/>
                <w:sz w:val="20"/>
                <w:szCs w:val="26"/>
                <w:lang w:val="nl-NL"/>
              </w:rPr>
            </w:pPr>
            <w:r w:rsidRPr="009F58A2">
              <w:rPr>
                <w:rFonts w:ascii="Arial" w:eastAsia="Times New Roman" w:hAnsi="Arial" w:cs="Arial"/>
                <w:color w:val="000000" w:themeColor="text1"/>
                <w:sz w:val="20"/>
                <w:szCs w:val="26"/>
                <w:lang w:val="nl-NL"/>
              </w:rPr>
              <w:t>56,150.08</w:t>
            </w:r>
          </w:p>
        </w:tc>
        <w:tc>
          <w:tcPr>
            <w:tcW w:w="1146" w:type="pct"/>
            <w:shd w:val="clear" w:color="auto" w:fill="auto"/>
          </w:tcPr>
          <w:p w:rsidR="004865C1" w:rsidRPr="009F58A2" w:rsidRDefault="00C204AF" w:rsidP="004865C1">
            <w:pPr>
              <w:tabs>
                <w:tab w:val="left" w:pos="540"/>
              </w:tabs>
              <w:spacing w:before="120" w:after="0" w:line="240" w:lineRule="auto"/>
              <w:jc w:val="center"/>
              <w:rPr>
                <w:rFonts w:ascii="Arial" w:eastAsia="Times New Roman" w:hAnsi="Arial" w:cs="Arial"/>
                <w:sz w:val="20"/>
                <w:szCs w:val="26"/>
                <w:lang w:val="nl-NL"/>
              </w:rPr>
            </w:pPr>
            <w:r w:rsidRPr="009F58A2">
              <w:rPr>
                <w:rFonts w:ascii="Arial" w:eastAsia="Times New Roman" w:hAnsi="Arial" w:cs="Arial"/>
                <w:sz w:val="20"/>
                <w:szCs w:val="26"/>
                <w:lang w:val="nl-NL"/>
              </w:rPr>
              <w:t>0.42</w:t>
            </w:r>
          </w:p>
        </w:tc>
      </w:tr>
      <w:tr w:rsidR="004865C1" w:rsidRPr="00145FF9" w:rsidTr="004865C1">
        <w:tc>
          <w:tcPr>
            <w:tcW w:w="1677" w:type="pct"/>
            <w:shd w:val="clear" w:color="auto" w:fill="auto"/>
          </w:tcPr>
          <w:p w:rsidR="004865C1" w:rsidRPr="0033036C" w:rsidRDefault="004865C1" w:rsidP="004865C1">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Từ 5000 - 10.000</w:t>
            </w:r>
          </w:p>
        </w:tc>
        <w:tc>
          <w:tcPr>
            <w:tcW w:w="1109" w:type="pct"/>
            <w:shd w:val="clear" w:color="auto" w:fill="auto"/>
          </w:tcPr>
          <w:p w:rsidR="004865C1" w:rsidRPr="00145FF9" w:rsidRDefault="00C204AF" w:rsidP="004865C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9</w:t>
            </w:r>
          </w:p>
        </w:tc>
        <w:tc>
          <w:tcPr>
            <w:tcW w:w="1068" w:type="pct"/>
            <w:shd w:val="clear" w:color="auto" w:fill="auto"/>
          </w:tcPr>
          <w:p w:rsidR="004865C1" w:rsidRPr="009F58A2" w:rsidRDefault="00C204AF" w:rsidP="004865C1">
            <w:pPr>
              <w:spacing w:after="0" w:line="240" w:lineRule="auto"/>
              <w:jc w:val="center"/>
              <w:rPr>
                <w:rFonts w:ascii="Arial" w:eastAsia="Times New Roman" w:hAnsi="Arial" w:cs="Arial"/>
                <w:color w:val="000000" w:themeColor="text1"/>
                <w:sz w:val="20"/>
                <w:szCs w:val="26"/>
                <w:lang w:val="nl-NL"/>
              </w:rPr>
            </w:pPr>
            <w:r w:rsidRPr="009F58A2">
              <w:rPr>
                <w:rFonts w:ascii="Arial" w:eastAsia="Times New Roman" w:hAnsi="Arial" w:cs="Arial"/>
                <w:color w:val="000000" w:themeColor="text1"/>
                <w:sz w:val="20"/>
                <w:szCs w:val="26"/>
                <w:lang w:val="nl-NL"/>
              </w:rPr>
              <w:t>60,890.5</w:t>
            </w:r>
          </w:p>
        </w:tc>
        <w:tc>
          <w:tcPr>
            <w:tcW w:w="1146" w:type="pct"/>
            <w:shd w:val="clear" w:color="auto" w:fill="auto"/>
          </w:tcPr>
          <w:p w:rsidR="004865C1" w:rsidRPr="009F58A2" w:rsidRDefault="00C204AF" w:rsidP="004865C1">
            <w:pPr>
              <w:spacing w:after="0" w:line="240" w:lineRule="auto"/>
              <w:jc w:val="center"/>
              <w:rPr>
                <w:rFonts w:ascii="Arial" w:eastAsia="Times New Roman" w:hAnsi="Arial" w:cs="Arial"/>
                <w:sz w:val="20"/>
                <w:szCs w:val="26"/>
                <w:lang w:val="nl-NL"/>
              </w:rPr>
            </w:pPr>
            <w:r w:rsidRPr="009F58A2">
              <w:rPr>
                <w:rFonts w:ascii="Arial" w:eastAsia="Times New Roman" w:hAnsi="Arial" w:cs="Arial"/>
                <w:sz w:val="20"/>
                <w:szCs w:val="26"/>
                <w:lang w:val="nl-NL"/>
              </w:rPr>
              <w:t>0.46</w:t>
            </w:r>
          </w:p>
        </w:tc>
      </w:tr>
      <w:tr w:rsidR="004865C1" w:rsidRPr="00145FF9" w:rsidTr="009F58A2">
        <w:trPr>
          <w:trHeight w:val="427"/>
        </w:trPr>
        <w:tc>
          <w:tcPr>
            <w:tcW w:w="1677" w:type="pct"/>
            <w:shd w:val="clear" w:color="auto" w:fill="auto"/>
          </w:tcPr>
          <w:p w:rsidR="004865C1" w:rsidRPr="0033036C" w:rsidRDefault="004865C1" w:rsidP="004865C1">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Từ 10.000 đến 50.000</w:t>
            </w:r>
          </w:p>
        </w:tc>
        <w:tc>
          <w:tcPr>
            <w:tcW w:w="1109" w:type="pct"/>
            <w:shd w:val="clear" w:color="auto" w:fill="auto"/>
          </w:tcPr>
          <w:p w:rsidR="004865C1" w:rsidRPr="00145FF9" w:rsidRDefault="00C204AF" w:rsidP="004865C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14</w:t>
            </w:r>
          </w:p>
        </w:tc>
        <w:tc>
          <w:tcPr>
            <w:tcW w:w="1068" w:type="pct"/>
            <w:shd w:val="clear" w:color="auto" w:fill="auto"/>
          </w:tcPr>
          <w:p w:rsidR="004865C1" w:rsidRPr="009F58A2" w:rsidRDefault="00C204AF" w:rsidP="009F58A2">
            <w:pPr>
              <w:spacing w:after="0" w:line="240" w:lineRule="auto"/>
              <w:jc w:val="center"/>
              <w:rPr>
                <w:rFonts w:eastAsia="Times New Roman"/>
                <w:bCs/>
                <w:color w:val="000000" w:themeColor="text1"/>
              </w:rPr>
            </w:pPr>
            <w:r w:rsidRPr="009F58A2">
              <w:rPr>
                <w:bCs/>
                <w:color w:val="000000" w:themeColor="text1"/>
              </w:rPr>
              <w:t>363,319.96</w:t>
            </w:r>
          </w:p>
        </w:tc>
        <w:tc>
          <w:tcPr>
            <w:tcW w:w="1146" w:type="pct"/>
            <w:shd w:val="clear" w:color="auto" w:fill="auto"/>
          </w:tcPr>
          <w:p w:rsidR="004865C1" w:rsidRPr="009F58A2" w:rsidRDefault="00C204AF" w:rsidP="009F58A2">
            <w:pPr>
              <w:spacing w:after="0" w:line="240" w:lineRule="auto"/>
              <w:jc w:val="center"/>
              <w:rPr>
                <w:rFonts w:eastAsia="Times New Roman"/>
                <w:bCs/>
                <w:color w:val="000000"/>
              </w:rPr>
            </w:pPr>
            <w:r w:rsidRPr="009F58A2">
              <w:rPr>
                <w:bCs/>
                <w:color w:val="000000"/>
              </w:rPr>
              <w:t>2.7</w:t>
            </w:r>
            <w:r w:rsidRPr="009F58A2">
              <w:rPr>
                <w:bCs/>
                <w:color w:val="000000"/>
              </w:rPr>
              <w:t>2</w:t>
            </w:r>
          </w:p>
        </w:tc>
      </w:tr>
      <w:tr w:rsidR="004865C1" w:rsidRPr="00145FF9" w:rsidTr="004865C1">
        <w:tc>
          <w:tcPr>
            <w:tcW w:w="1677" w:type="pct"/>
            <w:shd w:val="clear" w:color="auto" w:fill="auto"/>
          </w:tcPr>
          <w:p w:rsidR="004865C1" w:rsidRPr="0033036C" w:rsidRDefault="004865C1" w:rsidP="004865C1">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Từ 50.000 đến 500.000</w:t>
            </w:r>
          </w:p>
        </w:tc>
        <w:tc>
          <w:tcPr>
            <w:tcW w:w="1109" w:type="pct"/>
            <w:shd w:val="clear" w:color="auto" w:fill="auto"/>
          </w:tcPr>
          <w:p w:rsidR="004865C1" w:rsidRPr="00145FF9" w:rsidRDefault="00C204AF" w:rsidP="004865C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18</w:t>
            </w:r>
          </w:p>
        </w:tc>
        <w:tc>
          <w:tcPr>
            <w:tcW w:w="1068" w:type="pct"/>
            <w:shd w:val="clear" w:color="auto" w:fill="auto"/>
          </w:tcPr>
          <w:p w:rsidR="004865C1" w:rsidRPr="009F58A2" w:rsidRDefault="00C204AF" w:rsidP="009F58A2">
            <w:pPr>
              <w:spacing w:after="0" w:line="240" w:lineRule="auto"/>
              <w:jc w:val="center"/>
              <w:rPr>
                <w:rFonts w:eastAsia="Times New Roman"/>
                <w:bCs/>
                <w:color w:val="000000" w:themeColor="text1"/>
              </w:rPr>
            </w:pPr>
            <w:r w:rsidRPr="009F58A2">
              <w:rPr>
                <w:bCs/>
                <w:color w:val="000000" w:themeColor="text1"/>
              </w:rPr>
              <w:t>2,551,366.76</w:t>
            </w:r>
          </w:p>
        </w:tc>
        <w:tc>
          <w:tcPr>
            <w:tcW w:w="1146" w:type="pct"/>
            <w:shd w:val="clear" w:color="auto" w:fill="auto"/>
          </w:tcPr>
          <w:p w:rsidR="004865C1" w:rsidRPr="009F58A2" w:rsidRDefault="00C204AF" w:rsidP="009F58A2">
            <w:pPr>
              <w:spacing w:after="0" w:line="240" w:lineRule="auto"/>
              <w:jc w:val="center"/>
              <w:rPr>
                <w:rFonts w:eastAsia="Times New Roman"/>
                <w:bCs/>
                <w:color w:val="000000"/>
              </w:rPr>
            </w:pPr>
            <w:r w:rsidRPr="009F58A2">
              <w:rPr>
                <w:bCs/>
                <w:color w:val="000000"/>
              </w:rPr>
              <w:t>19.</w:t>
            </w:r>
            <w:r w:rsidRPr="009F58A2">
              <w:rPr>
                <w:bCs/>
                <w:color w:val="000000"/>
              </w:rPr>
              <w:t>1</w:t>
            </w:r>
          </w:p>
        </w:tc>
      </w:tr>
      <w:tr w:rsidR="004865C1" w:rsidRPr="00145FF9" w:rsidTr="004865C1">
        <w:tc>
          <w:tcPr>
            <w:tcW w:w="1677" w:type="pct"/>
            <w:shd w:val="clear" w:color="auto" w:fill="auto"/>
          </w:tcPr>
          <w:p w:rsidR="004865C1" w:rsidRPr="0033036C" w:rsidRDefault="004865C1" w:rsidP="004865C1">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Trên 500.000</w:t>
            </w:r>
          </w:p>
        </w:tc>
        <w:tc>
          <w:tcPr>
            <w:tcW w:w="1109" w:type="pct"/>
            <w:shd w:val="clear" w:color="auto" w:fill="auto"/>
          </w:tcPr>
          <w:p w:rsidR="004865C1" w:rsidRPr="00145FF9" w:rsidRDefault="00C204AF" w:rsidP="004865C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7</w:t>
            </w:r>
          </w:p>
        </w:tc>
        <w:tc>
          <w:tcPr>
            <w:tcW w:w="1068" w:type="pct"/>
            <w:shd w:val="clear" w:color="auto" w:fill="auto"/>
          </w:tcPr>
          <w:p w:rsidR="004865C1" w:rsidRPr="009F58A2" w:rsidRDefault="00C204AF" w:rsidP="009F58A2">
            <w:pPr>
              <w:spacing w:after="0" w:line="240" w:lineRule="auto"/>
              <w:jc w:val="center"/>
              <w:rPr>
                <w:rFonts w:eastAsia="Times New Roman"/>
                <w:bCs/>
                <w:color w:val="000000" w:themeColor="text1"/>
              </w:rPr>
            </w:pPr>
            <w:r w:rsidRPr="009F58A2">
              <w:rPr>
                <w:bCs/>
                <w:color w:val="000000" w:themeColor="text1"/>
              </w:rPr>
              <w:t>10,333,955.69</w:t>
            </w:r>
          </w:p>
        </w:tc>
        <w:tc>
          <w:tcPr>
            <w:tcW w:w="1146" w:type="pct"/>
            <w:shd w:val="clear" w:color="auto" w:fill="auto"/>
          </w:tcPr>
          <w:p w:rsidR="004865C1" w:rsidRPr="009F58A2" w:rsidRDefault="00C204AF" w:rsidP="009F58A2">
            <w:pPr>
              <w:spacing w:after="0" w:line="240" w:lineRule="auto"/>
              <w:jc w:val="center"/>
              <w:rPr>
                <w:rFonts w:eastAsia="Times New Roman"/>
                <w:bCs/>
                <w:color w:val="000000"/>
              </w:rPr>
            </w:pPr>
            <w:r w:rsidRPr="009F58A2">
              <w:rPr>
                <w:bCs/>
                <w:color w:val="000000"/>
              </w:rPr>
              <w:t>77.3</w:t>
            </w:r>
            <w:r w:rsidRPr="009F58A2">
              <w:rPr>
                <w:bCs/>
                <w:color w:val="000000"/>
              </w:rPr>
              <w:t>2</w:t>
            </w:r>
          </w:p>
        </w:tc>
      </w:tr>
      <w:tr w:rsidR="004865C1" w:rsidRPr="00145FF9" w:rsidTr="004865C1">
        <w:tc>
          <w:tcPr>
            <w:tcW w:w="1677" w:type="pct"/>
            <w:shd w:val="clear" w:color="auto" w:fill="auto"/>
          </w:tcPr>
          <w:p w:rsidR="004865C1" w:rsidRPr="0033036C" w:rsidRDefault="004865C1" w:rsidP="004865C1">
            <w:pPr>
              <w:tabs>
                <w:tab w:val="left" w:pos="540"/>
              </w:tabs>
              <w:spacing w:before="120" w:after="0" w:line="240" w:lineRule="auto"/>
              <w:rPr>
                <w:rFonts w:ascii="Arial" w:eastAsia="Times New Roman" w:hAnsi="Arial" w:cs="Arial"/>
                <w:b/>
                <w:sz w:val="20"/>
                <w:szCs w:val="26"/>
                <w:lang w:val="nl-NL"/>
              </w:rPr>
            </w:pPr>
            <w:r w:rsidRPr="0033036C">
              <w:rPr>
                <w:rFonts w:ascii="Arial" w:eastAsia="Times New Roman" w:hAnsi="Arial" w:cs="Arial"/>
                <w:b/>
                <w:sz w:val="20"/>
                <w:szCs w:val="26"/>
                <w:lang w:val="nl-NL"/>
              </w:rPr>
              <w:t>Tổng cộng</w:t>
            </w:r>
          </w:p>
        </w:tc>
        <w:tc>
          <w:tcPr>
            <w:tcW w:w="1109" w:type="pct"/>
            <w:shd w:val="clear" w:color="auto" w:fill="auto"/>
          </w:tcPr>
          <w:p w:rsidR="004865C1" w:rsidRPr="00145FF9" w:rsidRDefault="00C204AF" w:rsidP="004865C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97</w:t>
            </w:r>
          </w:p>
        </w:tc>
        <w:tc>
          <w:tcPr>
            <w:tcW w:w="1068" w:type="pct"/>
            <w:shd w:val="clear" w:color="auto" w:fill="auto"/>
          </w:tcPr>
          <w:p w:rsidR="004865C1" w:rsidRPr="009F58A2" w:rsidRDefault="00C204AF" w:rsidP="009F58A2">
            <w:pPr>
              <w:spacing w:after="0" w:line="240" w:lineRule="auto"/>
              <w:jc w:val="center"/>
              <w:rPr>
                <w:rFonts w:eastAsia="Times New Roman"/>
                <w:color w:val="000000" w:themeColor="text1"/>
              </w:rPr>
            </w:pPr>
            <w:r w:rsidRPr="009F58A2">
              <w:rPr>
                <w:color w:val="000000" w:themeColor="text1"/>
              </w:rPr>
              <w:t>13,365,682.99</w:t>
            </w:r>
          </w:p>
        </w:tc>
        <w:tc>
          <w:tcPr>
            <w:tcW w:w="1146" w:type="pct"/>
            <w:shd w:val="clear" w:color="auto" w:fill="auto"/>
          </w:tcPr>
          <w:p w:rsidR="004865C1" w:rsidRPr="00145FF9" w:rsidRDefault="00C204AF" w:rsidP="004865C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100</w:t>
            </w:r>
          </w:p>
        </w:tc>
      </w:tr>
    </w:tbl>
    <w:p w:rsidR="0060532E" w:rsidRPr="00145FF9" w:rsidRDefault="0060532E" w:rsidP="0060532E">
      <w:pPr>
        <w:shd w:val="clear" w:color="auto" w:fill="FFFFFF"/>
        <w:tabs>
          <w:tab w:val="left" w:pos="540"/>
        </w:tabs>
        <w:spacing w:before="120" w:after="0" w:line="240" w:lineRule="auto"/>
        <w:rPr>
          <w:rFonts w:ascii="Arial" w:hAnsi="Arial" w:cs="Arial"/>
          <w:i/>
          <w:sz w:val="20"/>
          <w:szCs w:val="26"/>
          <w:lang w:val="nl-NL"/>
        </w:rPr>
      </w:pPr>
      <w:r w:rsidRPr="00145FF9">
        <w:rPr>
          <w:rFonts w:ascii="Arial" w:hAnsi="Arial" w:cs="Arial"/>
          <w:i/>
          <w:sz w:val="20"/>
          <w:szCs w:val="26"/>
          <w:lang w:val="nl-NL"/>
        </w:rPr>
        <w:lastRenderedPageBreak/>
        <w:t>Ghi chú: Trình bày tình hình nắm giữ Chứng chỉ quỹ của Nhà đầu tư từ ít nhất đến nhiều nhất</w:t>
      </w:r>
      <w:r w:rsidR="00A5123D" w:rsidRPr="00145FF9">
        <w:rPr>
          <w:rFonts w:ascii="Arial" w:hAnsi="Arial" w:cs="Arial"/>
          <w:i/>
          <w:sz w:val="20"/>
          <w:szCs w:val="26"/>
          <w:lang w:val="nl-NL"/>
        </w:rPr>
        <w:t>,</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b/>
          <w:sz w:val="20"/>
          <w:szCs w:val="26"/>
          <w:lang w:val="nl-NL"/>
        </w:rPr>
        <w:t>5</w:t>
      </w:r>
      <w:r w:rsidR="00A5123D" w:rsidRPr="00145FF9">
        <w:rPr>
          <w:rFonts w:ascii="Arial" w:hAnsi="Arial" w:cs="Arial"/>
          <w:b/>
          <w:sz w:val="20"/>
          <w:szCs w:val="26"/>
          <w:lang w:val="nl-NL"/>
        </w:rPr>
        <w:t>,</w:t>
      </w:r>
      <w:r w:rsidRPr="00145FF9">
        <w:rPr>
          <w:rFonts w:ascii="Arial" w:hAnsi="Arial" w:cs="Arial"/>
          <w:sz w:val="20"/>
          <w:szCs w:val="26"/>
          <w:lang w:val="nl-NL"/>
        </w:rPr>
        <w:t xml:space="preserve"> </w:t>
      </w:r>
      <w:r w:rsidRPr="00145FF9">
        <w:rPr>
          <w:rFonts w:ascii="Arial" w:hAnsi="Arial" w:cs="Arial"/>
          <w:b/>
          <w:sz w:val="20"/>
          <w:szCs w:val="26"/>
          <w:lang w:val="nl-NL"/>
        </w:rPr>
        <w:t>Chi phí ngầm và giảm giá</w:t>
      </w:r>
    </w:p>
    <w:p w:rsid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Trình bày cam kết chính sách của Công ty quản lý quỹ về chi phí ngầm, giảm giá và tính độc lập trong quản lý Quỹ ETF</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b/>
          <w:sz w:val="20"/>
          <w:szCs w:val="26"/>
          <w:lang w:val="nl-NL"/>
        </w:rPr>
        <w:t>V</w:t>
      </w:r>
      <w:r w:rsidR="00622E37" w:rsidRPr="00145FF9">
        <w:rPr>
          <w:rFonts w:ascii="Arial" w:hAnsi="Arial" w:cs="Arial"/>
          <w:b/>
          <w:sz w:val="20"/>
          <w:szCs w:val="26"/>
          <w:lang w:val="nl-NL"/>
        </w:rPr>
        <w:t>.</w:t>
      </w:r>
      <w:r w:rsidRPr="00145FF9">
        <w:rPr>
          <w:rFonts w:ascii="Arial" w:hAnsi="Arial" w:cs="Arial"/>
          <w:b/>
          <w:sz w:val="20"/>
          <w:szCs w:val="26"/>
          <w:lang w:val="nl-NL"/>
        </w:rPr>
        <w:t xml:space="preserve"> Thông tin về triển vọng thị trường</w:t>
      </w:r>
    </w:p>
    <w:p w:rsidR="00C204AF" w:rsidRDefault="00C204AF" w:rsidP="008A11F5">
      <w:pPr>
        <w:shd w:val="clear" w:color="auto" w:fill="FFFFFF"/>
        <w:tabs>
          <w:tab w:val="left" w:pos="540"/>
        </w:tabs>
        <w:spacing w:before="120" w:after="0" w:line="240" w:lineRule="auto"/>
        <w:rPr>
          <w:rFonts w:ascii="Times New Roman" w:hAnsi="Times New Roman"/>
        </w:rPr>
      </w:pPr>
      <w:r w:rsidRPr="00A101ED">
        <w:rPr>
          <w:rFonts w:ascii="Times New Roman" w:hAnsi="Times New Roman"/>
        </w:rPr>
        <w:t>Thị trường trái phiếu thứ cấp trong quý IV được dự báo là sẽ tiếp tục không thực sự sôi động khi cả bên bán và bên mua đều thận trọng. Tuy nhiên về lợi suất trái phiếu trên thị trường thứ cấp được cho là sẽ chịu áp lực tăng trong những tháng cuối năm khi lạm phát đang có xu hương tăng trở lại khi CPI tháng 9 tăng 3,4% so với cùng kỳ năm ngoái và xu hướng tăng mạnh trong 3 tháng gần đây, cùng với áp lực giải ngân bình quân mỗi tháng 3% từ các ngân hàng thương mại để hoàn thành chỉ tiêu đã đề ra cho năm 2017 sẽ tạo áp lực lên mặt bằng lãi suất thị trường liên ngân hàng. Tuy nhiên, Ngân hàng Nhà nước vẫn đang có nhiều công cụ chính sách tiền tệ chưa sử dụng và tùy theo diễn biến của các chỉ số kinh tế vĩ mô, NHNN sẽ có những hỗ trợ nhất định cho mặt bằng lãi suất</w:t>
      </w:r>
    </w:p>
    <w:p w:rsidR="0060532E" w:rsidRPr="00145FF9" w:rsidRDefault="0060532E" w:rsidP="008A11F5">
      <w:pPr>
        <w:shd w:val="clear" w:color="auto" w:fill="FFFFFF"/>
        <w:tabs>
          <w:tab w:val="left" w:pos="540"/>
        </w:tabs>
        <w:spacing w:before="120" w:after="0" w:line="240" w:lineRule="auto"/>
        <w:rPr>
          <w:rFonts w:ascii="Arial" w:hAnsi="Arial" w:cs="Arial"/>
          <w:b/>
          <w:sz w:val="20"/>
          <w:szCs w:val="26"/>
          <w:lang w:val="nl-NL"/>
        </w:rPr>
      </w:pPr>
      <w:r w:rsidRPr="00145FF9">
        <w:rPr>
          <w:rFonts w:ascii="Arial" w:hAnsi="Arial" w:cs="Arial"/>
          <w:b/>
          <w:sz w:val="20"/>
          <w:szCs w:val="26"/>
          <w:lang w:val="nl-NL"/>
        </w:rPr>
        <w:t>VI</w:t>
      </w:r>
      <w:r w:rsidR="00A5123D" w:rsidRPr="00145FF9">
        <w:rPr>
          <w:rFonts w:ascii="Arial" w:hAnsi="Arial" w:cs="Arial"/>
          <w:b/>
          <w:sz w:val="20"/>
          <w:szCs w:val="26"/>
          <w:lang w:val="nl-NL"/>
        </w:rPr>
        <w:t>,</w:t>
      </w:r>
      <w:r w:rsidRPr="00145FF9">
        <w:rPr>
          <w:rFonts w:ascii="Arial" w:hAnsi="Arial" w:cs="Arial"/>
          <w:b/>
          <w:sz w:val="20"/>
          <w:szCs w:val="26"/>
          <w:lang w:val="nl-NL"/>
        </w:rPr>
        <w:t xml:space="preserve"> Thông tin khác</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Thông tin về từng nhân sự điều hành quỹ, Ban đại diện quỹ, và Ban điều hành Công ty quản lý Quỹ</w:t>
      </w:r>
    </w:p>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r w:rsidRPr="00145FF9">
        <w:rPr>
          <w:rFonts w:ascii="Arial" w:hAnsi="Arial" w:cs="Arial"/>
          <w:sz w:val="20"/>
          <w:szCs w:val="26"/>
          <w:lang w:val="nl-NL"/>
        </w:rPr>
        <w:t>Thông tin gồm:</w:t>
      </w:r>
    </w:p>
    <w:tbl>
      <w:tblPr>
        <w:tblW w:w="0" w:type="auto"/>
        <w:tblCellMar>
          <w:left w:w="0" w:type="dxa"/>
          <w:right w:w="0" w:type="dxa"/>
        </w:tblCellMar>
        <w:tblLook w:val="04A0" w:firstRow="1" w:lastRow="0" w:firstColumn="1" w:lastColumn="0" w:noHBand="0" w:noVBand="1"/>
      </w:tblPr>
      <w:tblGrid>
        <w:gridCol w:w="1867"/>
        <w:gridCol w:w="1868"/>
        <w:gridCol w:w="1868"/>
        <w:gridCol w:w="1868"/>
        <w:gridCol w:w="1869"/>
      </w:tblGrid>
      <w:tr w:rsidR="00A122B2" w:rsidRPr="00145FF9" w:rsidTr="00A122B2">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22B2" w:rsidRPr="00145FF9" w:rsidRDefault="00A122B2">
            <w:pPr>
              <w:spacing w:before="120"/>
              <w:rPr>
                <w:rFonts w:ascii="Arial" w:eastAsiaTheme="minorHAnsi" w:hAnsi="Arial" w:cs="Arial"/>
                <w:sz w:val="20"/>
                <w:szCs w:val="20"/>
                <w:lang w:val="nl-NL"/>
              </w:rPr>
            </w:pP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Tên</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Chức vụ</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Bằng cấp</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Quá trình công tác</w:t>
            </w:r>
          </w:p>
        </w:tc>
      </w:tr>
      <w:tr w:rsidR="00A122B2" w:rsidRPr="00145FF9" w:rsidTr="00A122B2">
        <w:tc>
          <w:tcPr>
            <w:tcW w:w="18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B2" w:rsidRPr="00145FF9" w:rsidRDefault="00A122B2" w:rsidP="00A34187">
            <w:pPr>
              <w:spacing w:before="120"/>
              <w:rPr>
                <w:rFonts w:ascii="Arial" w:hAnsi="Arial" w:cs="Arial"/>
                <w:sz w:val="20"/>
                <w:szCs w:val="20"/>
                <w:lang w:val="nl-NL"/>
              </w:rPr>
            </w:pPr>
            <w:r w:rsidRPr="00145FF9">
              <w:rPr>
                <w:rFonts w:ascii="Arial" w:hAnsi="Arial" w:cs="Arial"/>
                <w:sz w:val="20"/>
                <w:szCs w:val="20"/>
                <w:lang w:val="nl-NL"/>
              </w:rPr>
              <w:t xml:space="preserve">Nhân sự điều hành Quỹ </w:t>
            </w:r>
            <w:r w:rsidR="00A34187" w:rsidRPr="00145FF9">
              <w:rPr>
                <w:rFonts w:ascii="Arial" w:hAnsi="Arial" w:cs="Arial"/>
                <w:sz w:val="20"/>
                <w:szCs w:val="20"/>
                <w:lang w:val="nl-NL"/>
              </w:rPr>
              <w:t>VFB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Lương Thị Mỹ Hạnh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Phó tổng giám đốc – Khối đầu tư</w:t>
            </w:r>
            <w:r w:rsidRPr="00145FF9">
              <w:rPr>
                <w:rFonts w:ascii="Arial" w:hAnsi="Arial" w:cs="Arial"/>
                <w:sz w:val="20"/>
                <w:szCs w:val="20"/>
                <w:lang w:val="vi-VN"/>
              </w:rPr>
              <w:t xml:space="preserve"> nghiên cứu</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Thạc sỹ Kinh tế</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Từ 2010 đến nay: Phó tổng giám đốc – Khối đầu tư nghiên cứu Công ty CP quản lý quỹ đầu tư Việt Nam</w:t>
            </w:r>
          </w:p>
        </w:tc>
      </w:tr>
      <w:tr w:rsidR="00A122B2" w:rsidRPr="00145FF9" w:rsidTr="00A122B2">
        <w:tc>
          <w:tcPr>
            <w:tcW w:w="0" w:type="auto"/>
            <w:vMerge/>
            <w:tcBorders>
              <w:top w:val="nil"/>
              <w:left w:val="single" w:sz="8" w:space="0" w:color="auto"/>
              <w:bottom w:val="single" w:sz="8" w:space="0" w:color="auto"/>
              <w:right w:val="single" w:sz="8" w:space="0" w:color="auto"/>
            </w:tcBorders>
            <w:vAlign w:val="center"/>
            <w:hideMark/>
          </w:tcPr>
          <w:p w:rsidR="00A122B2" w:rsidRPr="00145FF9" w:rsidRDefault="00A122B2">
            <w:pPr>
              <w:rPr>
                <w:rFonts w:ascii="Arial" w:eastAsiaTheme="minorHAnsi" w:hAnsi="Arial" w:cs="Arial"/>
                <w:sz w:val="20"/>
                <w:szCs w:val="20"/>
                <w:lang w:val="nl-NL"/>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Trần Lê Minh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 xml:space="preserve">Phó tổng giám đốc – </w:t>
            </w:r>
            <w:r w:rsidRPr="00145FF9">
              <w:rPr>
                <w:rFonts w:ascii="Arial" w:hAnsi="Arial" w:cs="Arial"/>
                <w:sz w:val="20"/>
                <w:szCs w:val="20"/>
                <w:lang w:val="vi-VN"/>
              </w:rPr>
              <w:t xml:space="preserve">Giám đốc </w:t>
            </w:r>
            <w:r w:rsidRPr="00145FF9">
              <w:rPr>
                <w:rFonts w:ascii="Arial" w:hAnsi="Arial" w:cs="Arial"/>
                <w:sz w:val="20"/>
                <w:szCs w:val="20"/>
                <w:lang w:val="nl-NL"/>
              </w:rPr>
              <w:t>chi nhánh Hà Nội</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Thạc sỹ Quản trị Tài chính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 xml:space="preserve">Từ 2011 đến nay: Phó Tổng giám đốc – Giám đốc chi nhánh Hà Nội – công ty CP quản lý quỹ đầu tư Việt Nam </w:t>
            </w:r>
          </w:p>
        </w:tc>
      </w:tr>
      <w:tr w:rsidR="00A122B2" w:rsidRPr="00145FF9" w:rsidTr="00A122B2">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122B2" w:rsidRPr="00145FF9" w:rsidRDefault="00A122B2">
            <w:pPr>
              <w:spacing w:before="120"/>
              <w:rPr>
                <w:rFonts w:ascii="Arial" w:hAnsi="Arial" w:cs="Arial"/>
                <w:sz w:val="20"/>
                <w:szCs w:val="20"/>
                <w:lang w:val="nl-NL"/>
              </w:rPr>
            </w:pPr>
          </w:p>
        </w:tc>
      </w:tr>
      <w:tr w:rsidR="00A122B2" w:rsidRPr="00145FF9" w:rsidTr="00A122B2">
        <w:tc>
          <w:tcPr>
            <w:tcW w:w="18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Ban đại diện Quỹ</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Nguyễn Bội Hồng Lê</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 xml:space="preserve">Chủ tịch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vi-VN"/>
              </w:rPr>
            </w:pPr>
            <w:r w:rsidRPr="00145FF9">
              <w:rPr>
                <w:rFonts w:ascii="Arial" w:hAnsi="Arial" w:cs="Arial"/>
                <w:sz w:val="20"/>
                <w:szCs w:val="20"/>
                <w:lang w:val="vi-VN"/>
              </w:rPr>
              <w:t>Thạc sỹ Quản trị kinh doanh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145FF9">
              <w:rPr>
                <w:rFonts w:ascii="Arial" w:hAnsi="Arial" w:cs="Arial"/>
                <w:sz w:val="20"/>
                <w:szCs w:val="20"/>
                <w:lang w:val="vi-VN"/>
              </w:rPr>
              <w:t>Từ 2010 đến 2012: Trưởng phòng giao dịch chứng khoán công ty CP chứng khoán dầu khí</w:t>
            </w:r>
          </w:p>
          <w:p w:rsidR="00A122B2" w:rsidRPr="00145FF9"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145FF9">
              <w:rPr>
                <w:rFonts w:ascii="Arial" w:hAnsi="Arial" w:cs="Arial"/>
                <w:sz w:val="20"/>
                <w:szCs w:val="20"/>
                <w:lang w:val="vi-VN"/>
              </w:rPr>
              <w:t>Từ 2012 đến nay: Chuyên gia Kinh tế và Quản lý dầu khí Viện Dầu khí Việt Nam</w:t>
            </w:r>
          </w:p>
        </w:tc>
      </w:tr>
      <w:tr w:rsidR="00A122B2" w:rsidRPr="00145FF9" w:rsidTr="00A122B2">
        <w:tc>
          <w:tcPr>
            <w:tcW w:w="0" w:type="auto"/>
            <w:vMerge/>
            <w:tcBorders>
              <w:top w:val="nil"/>
              <w:left w:val="single" w:sz="8" w:space="0" w:color="auto"/>
              <w:bottom w:val="single" w:sz="8" w:space="0" w:color="auto"/>
              <w:right w:val="single" w:sz="8" w:space="0" w:color="auto"/>
            </w:tcBorders>
            <w:vAlign w:val="center"/>
            <w:hideMark/>
          </w:tcPr>
          <w:p w:rsidR="00A122B2" w:rsidRPr="00145FF9" w:rsidRDefault="00A122B2">
            <w:pPr>
              <w:rPr>
                <w:rFonts w:ascii="Arial" w:eastAsiaTheme="minorHAnsi" w:hAnsi="Arial" w:cs="Arial"/>
                <w:sz w:val="20"/>
                <w:szCs w:val="20"/>
                <w:lang w:val="nl-NL"/>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Lê Thị Thu Hương</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Thành viên</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Cử nhân Kế toán – Kiểm toán</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145FF9">
              <w:rPr>
                <w:rFonts w:ascii="Arial" w:hAnsi="Arial" w:cs="Arial"/>
                <w:sz w:val="20"/>
                <w:szCs w:val="20"/>
                <w:lang w:val="nl-NL"/>
              </w:rPr>
              <w:t>Từ 2011 đến 2012: Phó giám đốc công ty TNHH kiểm toán AS</w:t>
            </w:r>
          </w:p>
          <w:p w:rsidR="00A122B2" w:rsidRPr="00145FF9" w:rsidRDefault="00A122B2">
            <w:pPr>
              <w:spacing w:before="120"/>
              <w:ind w:left="331"/>
              <w:rPr>
                <w:rFonts w:ascii="Arial" w:hAnsi="Arial" w:cs="Arial"/>
                <w:sz w:val="20"/>
                <w:szCs w:val="20"/>
                <w:lang w:val="nl-NL"/>
              </w:rPr>
            </w:pPr>
            <w:r w:rsidRPr="00145FF9">
              <w:rPr>
                <w:rFonts w:ascii="Arial" w:hAnsi="Arial" w:cs="Arial"/>
                <w:sz w:val="20"/>
                <w:szCs w:val="20"/>
                <w:lang w:val="nl-NL"/>
              </w:rPr>
              <w:t>Từ 2012 đến nay: Phó Tổng giám đốc công ty TNHH kiểm toán Đại Tín</w:t>
            </w:r>
          </w:p>
        </w:tc>
      </w:tr>
      <w:tr w:rsidR="00A122B2" w:rsidRPr="00145FF9" w:rsidTr="00A122B2">
        <w:tc>
          <w:tcPr>
            <w:tcW w:w="0" w:type="auto"/>
            <w:vMerge/>
            <w:tcBorders>
              <w:top w:val="nil"/>
              <w:left w:val="single" w:sz="8" w:space="0" w:color="auto"/>
              <w:bottom w:val="single" w:sz="8" w:space="0" w:color="auto"/>
              <w:right w:val="single" w:sz="8" w:space="0" w:color="auto"/>
            </w:tcBorders>
            <w:vAlign w:val="center"/>
            <w:hideMark/>
          </w:tcPr>
          <w:p w:rsidR="00A122B2" w:rsidRPr="00145FF9" w:rsidRDefault="00A122B2">
            <w:pPr>
              <w:rPr>
                <w:rFonts w:ascii="Arial" w:eastAsiaTheme="minorHAnsi" w:hAnsi="Arial" w:cs="Arial"/>
                <w:sz w:val="20"/>
                <w:szCs w:val="20"/>
                <w:lang w:val="nl-NL"/>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Phạm Thị Thanh Thúy</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Thành viên</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 xml:space="preserve">Luật Sư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145FF9">
              <w:rPr>
                <w:rFonts w:ascii="Arial" w:hAnsi="Arial" w:cs="Arial"/>
                <w:sz w:val="20"/>
                <w:szCs w:val="20"/>
                <w:lang w:val="vi-VN"/>
              </w:rPr>
              <w:t>Từ 2010 đến nay: Trưởng phòng Pháp chế tuân thủ công ty cổ phần quản lý quỹ đầu tư Việt Nam</w:t>
            </w:r>
          </w:p>
        </w:tc>
      </w:tr>
      <w:tr w:rsidR="00A122B2" w:rsidRPr="00145FF9" w:rsidTr="00A122B2">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122B2" w:rsidRPr="00145FF9" w:rsidRDefault="00A122B2">
            <w:pPr>
              <w:spacing w:before="120"/>
              <w:rPr>
                <w:rFonts w:ascii="Arial" w:hAnsi="Arial" w:cs="Arial"/>
                <w:sz w:val="20"/>
                <w:szCs w:val="20"/>
                <w:lang w:val="nl-NL"/>
              </w:rPr>
            </w:pPr>
          </w:p>
        </w:tc>
      </w:tr>
      <w:tr w:rsidR="00A122B2" w:rsidRPr="00145FF9" w:rsidTr="00A122B2">
        <w:tc>
          <w:tcPr>
            <w:tcW w:w="18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Ban điều hành Công ty Quản lý quỹ</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Trần Thanh Tân</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Tổng Giám đốc</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Thạc sỹ Quản trị kinh doanh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145FF9">
              <w:rPr>
                <w:rFonts w:ascii="Arial" w:hAnsi="Arial" w:cs="Arial"/>
                <w:sz w:val="20"/>
                <w:szCs w:val="20"/>
                <w:lang w:val="vi-VN"/>
              </w:rPr>
              <w:t>Từ 2003 – nay: Tổng giám đốc Công ty CP quản lý quỹ đầu tư Việt Nam</w:t>
            </w:r>
          </w:p>
        </w:tc>
      </w:tr>
      <w:tr w:rsidR="00A122B2" w:rsidRPr="00145FF9" w:rsidTr="00A122B2">
        <w:tc>
          <w:tcPr>
            <w:tcW w:w="0" w:type="auto"/>
            <w:vMerge/>
            <w:tcBorders>
              <w:top w:val="nil"/>
              <w:left w:val="single" w:sz="8" w:space="0" w:color="auto"/>
              <w:bottom w:val="single" w:sz="8" w:space="0" w:color="auto"/>
              <w:right w:val="single" w:sz="8" w:space="0" w:color="auto"/>
            </w:tcBorders>
            <w:vAlign w:val="center"/>
            <w:hideMark/>
          </w:tcPr>
          <w:p w:rsidR="00A122B2" w:rsidRPr="00145FF9" w:rsidRDefault="00A122B2">
            <w:pPr>
              <w:rPr>
                <w:rFonts w:ascii="Arial" w:eastAsiaTheme="minorHAnsi" w:hAnsi="Arial" w:cs="Arial"/>
                <w:sz w:val="20"/>
                <w:szCs w:val="20"/>
                <w:lang w:val="nl-NL"/>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Lương Thị Mỹ Hạnh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Phó tổng giám đốc – Khối đầu tư</w:t>
            </w:r>
            <w:r w:rsidRPr="00145FF9">
              <w:rPr>
                <w:rFonts w:ascii="Arial" w:hAnsi="Arial" w:cs="Arial"/>
                <w:sz w:val="20"/>
                <w:szCs w:val="20"/>
                <w:lang w:val="vi-VN"/>
              </w:rPr>
              <w:t xml:space="preserve"> nghiên cứu</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Thạc sỹ Kinh tế</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145FF9">
              <w:rPr>
                <w:rFonts w:ascii="Arial" w:hAnsi="Arial" w:cs="Arial"/>
                <w:sz w:val="20"/>
                <w:szCs w:val="20"/>
                <w:lang w:val="vi-VN"/>
              </w:rPr>
              <w:t>Từ 2010 đến nay: Phó tổng giám đốc – Khối đầu tư nghiên cứu Công ty CP quản lý quỹ đầu tư Việt Nam</w:t>
            </w:r>
          </w:p>
        </w:tc>
      </w:tr>
      <w:tr w:rsidR="00A122B2" w:rsidRPr="00145FF9" w:rsidTr="00A122B2">
        <w:tc>
          <w:tcPr>
            <w:tcW w:w="0" w:type="auto"/>
            <w:vMerge/>
            <w:tcBorders>
              <w:top w:val="nil"/>
              <w:left w:val="single" w:sz="8" w:space="0" w:color="auto"/>
              <w:bottom w:val="single" w:sz="8" w:space="0" w:color="auto"/>
              <w:right w:val="single" w:sz="8" w:space="0" w:color="auto"/>
            </w:tcBorders>
            <w:vAlign w:val="center"/>
            <w:hideMark/>
          </w:tcPr>
          <w:p w:rsidR="00A122B2" w:rsidRPr="00145FF9" w:rsidRDefault="00A122B2">
            <w:pPr>
              <w:rPr>
                <w:rFonts w:ascii="Arial" w:eastAsiaTheme="minorHAnsi" w:hAnsi="Arial" w:cs="Arial"/>
                <w:sz w:val="20"/>
                <w:szCs w:val="20"/>
                <w:lang w:val="nl-NL"/>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Nguyễn Minh Đăng Khánh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Phó tổng giám đốc – Giám đốc tài chính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Thạc sỹ Tài chính – kinh tế</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145FF9">
              <w:rPr>
                <w:rFonts w:ascii="Arial" w:hAnsi="Arial" w:cs="Arial"/>
                <w:sz w:val="20"/>
                <w:szCs w:val="20"/>
                <w:lang w:val="vi-VN"/>
              </w:rPr>
              <w:t>Từ 2011 đến nay: Phó tổng giám đốc kiêm Giám đốc tài chính Công ty CP quản lý quỹ đầu tư Việt Nam</w:t>
            </w:r>
          </w:p>
        </w:tc>
      </w:tr>
      <w:tr w:rsidR="00A122B2" w:rsidRPr="00145FF9" w:rsidTr="00A122B2">
        <w:tc>
          <w:tcPr>
            <w:tcW w:w="0" w:type="auto"/>
            <w:vMerge/>
            <w:tcBorders>
              <w:top w:val="nil"/>
              <w:left w:val="single" w:sz="8" w:space="0" w:color="auto"/>
              <w:bottom w:val="single" w:sz="8" w:space="0" w:color="auto"/>
              <w:right w:val="single" w:sz="8" w:space="0" w:color="auto"/>
            </w:tcBorders>
            <w:vAlign w:val="center"/>
            <w:hideMark/>
          </w:tcPr>
          <w:p w:rsidR="00A122B2" w:rsidRPr="00145FF9" w:rsidRDefault="00A122B2">
            <w:pPr>
              <w:rPr>
                <w:rFonts w:ascii="Arial" w:eastAsiaTheme="minorHAnsi" w:hAnsi="Arial" w:cs="Arial"/>
                <w:sz w:val="20"/>
                <w:szCs w:val="20"/>
                <w:lang w:val="nl-NL"/>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Trần Lê Minh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 xml:space="preserve">Phó tổng giám đốc – </w:t>
            </w:r>
            <w:r w:rsidRPr="00145FF9">
              <w:rPr>
                <w:rFonts w:ascii="Arial" w:hAnsi="Arial" w:cs="Arial"/>
                <w:sz w:val="20"/>
                <w:szCs w:val="20"/>
                <w:lang w:val="vi-VN"/>
              </w:rPr>
              <w:t xml:space="preserve">Giám đốc </w:t>
            </w:r>
            <w:r w:rsidRPr="00145FF9">
              <w:rPr>
                <w:rFonts w:ascii="Arial" w:hAnsi="Arial" w:cs="Arial"/>
                <w:sz w:val="20"/>
                <w:szCs w:val="20"/>
                <w:lang w:val="nl-NL"/>
              </w:rPr>
              <w:t>chi nhánh Hà Nội</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Thạc sỹ Quản trị Tài chính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145FF9">
              <w:rPr>
                <w:rFonts w:ascii="Arial" w:hAnsi="Arial" w:cs="Arial"/>
                <w:sz w:val="20"/>
                <w:szCs w:val="20"/>
                <w:lang w:val="vi-VN"/>
              </w:rPr>
              <w:t xml:space="preserve">Từ 2011 đến nay: Phó Tổng giám đốc – Giám đốc chi nhánh Hà Nội – công ty CP quản lý quỹ </w:t>
            </w:r>
            <w:r w:rsidRPr="00145FF9">
              <w:rPr>
                <w:rFonts w:ascii="Arial" w:hAnsi="Arial" w:cs="Arial"/>
                <w:sz w:val="20"/>
                <w:szCs w:val="20"/>
                <w:lang w:val="vi-VN"/>
              </w:rPr>
              <w:lastRenderedPageBreak/>
              <w:t xml:space="preserve">đầu tư Việt Nam </w:t>
            </w:r>
          </w:p>
        </w:tc>
      </w:tr>
      <w:tr w:rsidR="00A122B2" w:rsidRPr="00145FF9" w:rsidTr="00A122B2">
        <w:tc>
          <w:tcPr>
            <w:tcW w:w="0" w:type="auto"/>
            <w:vMerge/>
            <w:tcBorders>
              <w:top w:val="nil"/>
              <w:left w:val="single" w:sz="8" w:space="0" w:color="auto"/>
              <w:bottom w:val="single" w:sz="8" w:space="0" w:color="auto"/>
              <w:right w:val="single" w:sz="8" w:space="0" w:color="auto"/>
            </w:tcBorders>
            <w:vAlign w:val="center"/>
            <w:hideMark/>
          </w:tcPr>
          <w:p w:rsidR="00A122B2" w:rsidRPr="00145FF9" w:rsidRDefault="00A122B2">
            <w:pPr>
              <w:rPr>
                <w:rFonts w:ascii="Arial" w:eastAsiaTheme="minorHAnsi" w:hAnsi="Arial" w:cs="Arial"/>
                <w:sz w:val="20"/>
                <w:szCs w:val="20"/>
                <w:lang w:val="nl-NL"/>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nl-NL"/>
              </w:rPr>
              <w:t>Trần Văn Hiếu</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9F58A2">
            <w:pPr>
              <w:spacing w:before="120"/>
              <w:rPr>
                <w:rFonts w:ascii="Arial" w:hAnsi="Arial" w:cs="Arial"/>
                <w:sz w:val="20"/>
                <w:szCs w:val="20"/>
                <w:lang w:val="nl-NL"/>
              </w:rPr>
            </w:pPr>
            <w:r>
              <w:rPr>
                <w:rFonts w:ascii="Arial" w:hAnsi="Arial" w:cs="Arial"/>
                <w:sz w:val="20"/>
                <w:szCs w:val="20"/>
                <w:lang w:val="nl-NL"/>
              </w:rPr>
              <w:t>P</w:t>
            </w:r>
            <w:r w:rsidR="00A122B2" w:rsidRPr="00145FF9">
              <w:rPr>
                <w:rFonts w:ascii="Arial" w:hAnsi="Arial" w:cs="Arial"/>
                <w:sz w:val="20"/>
                <w:szCs w:val="20"/>
                <w:lang w:val="nl-NL"/>
              </w:rPr>
              <w:t>hó tổng giám đốc – Khối huy động vốn</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pPr>
              <w:spacing w:before="120"/>
              <w:rPr>
                <w:rFonts w:ascii="Arial" w:hAnsi="Arial" w:cs="Arial"/>
                <w:sz w:val="20"/>
                <w:szCs w:val="20"/>
                <w:lang w:val="nl-NL"/>
              </w:rPr>
            </w:pPr>
            <w:r w:rsidRPr="00145FF9">
              <w:rPr>
                <w:rFonts w:ascii="Arial" w:hAnsi="Arial" w:cs="Arial"/>
                <w:sz w:val="20"/>
                <w:szCs w:val="20"/>
                <w:lang w:val="vi-VN"/>
              </w:rPr>
              <w:t>Thạc sỹ Quản trị kinh doanh</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vi-VN"/>
              </w:rPr>
            </w:pPr>
            <w:r w:rsidRPr="00145FF9">
              <w:rPr>
                <w:rFonts w:ascii="Arial" w:hAnsi="Arial" w:cs="Arial"/>
                <w:sz w:val="20"/>
                <w:szCs w:val="20"/>
                <w:lang w:val="vi-VN"/>
              </w:rPr>
              <w:t>Từ 2010 đến 2012: Giám đốc điều hành công ty Pana Harrison Asia Limited insurance broker Việt Nam</w:t>
            </w:r>
          </w:p>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vi-VN"/>
              </w:rPr>
            </w:pPr>
            <w:r w:rsidRPr="00145FF9">
              <w:rPr>
                <w:rFonts w:ascii="Arial" w:hAnsi="Arial" w:cs="Arial"/>
                <w:sz w:val="20"/>
                <w:szCs w:val="20"/>
                <w:lang w:val="vi-VN"/>
              </w:rPr>
              <w:t>Từ 2012 đến 2014: Giám đốc Dự án công ty Generali Việt Nam</w:t>
            </w:r>
          </w:p>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vi-VN"/>
              </w:rPr>
            </w:pPr>
            <w:r w:rsidRPr="00145FF9">
              <w:rPr>
                <w:rFonts w:ascii="Arial" w:hAnsi="Arial" w:cs="Arial"/>
                <w:sz w:val="20"/>
                <w:szCs w:val="20"/>
                <w:lang w:val="vi-VN"/>
              </w:rPr>
              <w:t>Từ 2014 đến 2015: Giám đốc Huy động vốn cao cấp công ty CP quản lý quỹ đầu tư Việt Nam</w:t>
            </w:r>
          </w:p>
          <w:p w:rsidR="00A122B2" w:rsidRPr="00145FF9" w:rsidRDefault="00A122B2" w:rsidP="00A122B2">
            <w:pPr>
              <w:pStyle w:val="ListParagraph"/>
              <w:numPr>
                <w:ilvl w:val="0"/>
                <w:numId w:val="4"/>
              </w:numPr>
              <w:spacing w:before="120" w:after="0" w:line="240" w:lineRule="auto"/>
              <w:ind w:left="331"/>
              <w:rPr>
                <w:rFonts w:ascii="Arial" w:hAnsi="Arial" w:cs="Arial"/>
                <w:sz w:val="20"/>
                <w:szCs w:val="20"/>
                <w:lang w:val="vi-VN"/>
              </w:rPr>
            </w:pPr>
            <w:r w:rsidRPr="00145FF9">
              <w:rPr>
                <w:rFonts w:ascii="Arial" w:hAnsi="Arial" w:cs="Arial"/>
                <w:sz w:val="20"/>
                <w:szCs w:val="20"/>
                <w:lang w:val="vi-VN"/>
              </w:rPr>
              <w:t>Từ 2016 đế</w:t>
            </w:r>
            <w:r w:rsidR="009F58A2">
              <w:rPr>
                <w:rFonts w:ascii="Arial" w:hAnsi="Arial" w:cs="Arial"/>
                <w:sz w:val="20"/>
                <w:szCs w:val="20"/>
                <w:lang w:val="vi-VN"/>
              </w:rPr>
              <w:t>n nay:</w:t>
            </w:r>
            <w:r w:rsidRPr="00145FF9">
              <w:rPr>
                <w:rFonts w:ascii="Arial" w:hAnsi="Arial" w:cs="Arial"/>
                <w:sz w:val="20"/>
                <w:szCs w:val="20"/>
                <w:lang w:val="vi-VN"/>
              </w:rPr>
              <w:t xml:space="preserve"> Phó tổng giám đốc công ty CP quản lý quỹ đầu tư Việt Nam</w:t>
            </w:r>
          </w:p>
        </w:tc>
      </w:tr>
      <w:tr w:rsidR="00A122B2" w:rsidRPr="00145FF9" w:rsidTr="00A122B2">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122B2" w:rsidRPr="00145FF9" w:rsidRDefault="00A122B2">
            <w:pPr>
              <w:spacing w:before="120"/>
              <w:rPr>
                <w:rFonts w:ascii="Arial" w:hAnsi="Arial" w:cs="Arial"/>
                <w:sz w:val="20"/>
                <w:szCs w:val="20"/>
                <w:lang w:val="nl-NL"/>
              </w:rPr>
            </w:pPr>
          </w:p>
        </w:tc>
      </w:tr>
    </w:tbl>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bookmarkStart w:id="0" w:name="_GoBack"/>
      <w:bookmarkEnd w:id="0"/>
    </w:p>
    <w:tbl>
      <w:tblPr>
        <w:tblW w:w="0" w:type="auto"/>
        <w:tblLook w:val="01E0" w:firstRow="1" w:lastRow="1" w:firstColumn="1" w:lastColumn="1" w:noHBand="0" w:noVBand="0"/>
      </w:tblPr>
      <w:tblGrid>
        <w:gridCol w:w="4428"/>
        <w:gridCol w:w="4428"/>
      </w:tblGrid>
      <w:tr w:rsidR="0060532E" w:rsidRPr="00145FF9" w:rsidTr="009B70B6">
        <w:tc>
          <w:tcPr>
            <w:tcW w:w="4428" w:type="dxa"/>
            <w:shd w:val="clear" w:color="auto" w:fill="auto"/>
          </w:tcPr>
          <w:p w:rsidR="0060532E" w:rsidRDefault="00A620CE" w:rsidP="00A620CE">
            <w:pPr>
              <w:tabs>
                <w:tab w:val="left" w:pos="540"/>
              </w:tabs>
              <w:spacing w:before="120" w:after="0" w:line="240" w:lineRule="auto"/>
              <w:jc w:val="center"/>
              <w:rPr>
                <w:rFonts w:ascii="Arial" w:eastAsia="Times New Roman" w:hAnsi="Arial" w:cs="Arial"/>
                <w:i/>
                <w:sz w:val="20"/>
                <w:szCs w:val="26"/>
                <w:lang w:val="nl-NL"/>
              </w:rPr>
            </w:pPr>
            <w:r>
              <w:rPr>
                <w:rFonts w:ascii="Arial" w:eastAsia="Times New Roman" w:hAnsi="Arial" w:cs="Arial"/>
                <w:i/>
                <w:sz w:val="20"/>
                <w:szCs w:val="26"/>
                <w:lang w:val="nl-NL"/>
              </w:rPr>
              <w:t xml:space="preserve"> Tp HCM</w:t>
            </w:r>
            <w:r w:rsidR="0060532E" w:rsidRPr="00145FF9">
              <w:rPr>
                <w:rFonts w:ascii="Arial" w:eastAsia="Times New Roman" w:hAnsi="Arial" w:cs="Arial"/>
                <w:i/>
                <w:sz w:val="20"/>
                <w:szCs w:val="26"/>
                <w:lang w:val="nl-NL"/>
              </w:rPr>
              <w:t>, ngày</w:t>
            </w:r>
            <w:r>
              <w:rPr>
                <w:rFonts w:ascii="Arial" w:eastAsia="Times New Roman" w:hAnsi="Arial" w:cs="Arial"/>
                <w:i/>
                <w:sz w:val="20"/>
                <w:szCs w:val="26"/>
                <w:lang w:val="nl-NL"/>
              </w:rPr>
              <w:t xml:space="preserve"> 18</w:t>
            </w:r>
            <w:r w:rsidR="0060532E" w:rsidRPr="00145FF9">
              <w:rPr>
                <w:rFonts w:ascii="Arial" w:eastAsia="Times New Roman" w:hAnsi="Arial" w:cs="Arial"/>
                <w:i/>
                <w:sz w:val="20"/>
                <w:szCs w:val="26"/>
                <w:lang w:val="nl-NL"/>
              </w:rPr>
              <w:t xml:space="preserve"> tháng</w:t>
            </w:r>
            <w:r>
              <w:rPr>
                <w:rFonts w:ascii="Arial" w:eastAsia="Times New Roman" w:hAnsi="Arial" w:cs="Arial"/>
                <w:i/>
                <w:sz w:val="20"/>
                <w:szCs w:val="26"/>
                <w:lang w:val="nl-NL"/>
              </w:rPr>
              <w:t xml:space="preserve"> 10</w:t>
            </w:r>
            <w:r w:rsidR="0060532E" w:rsidRPr="00145FF9">
              <w:rPr>
                <w:rFonts w:ascii="Arial" w:eastAsia="Times New Roman" w:hAnsi="Arial" w:cs="Arial"/>
                <w:i/>
                <w:sz w:val="20"/>
                <w:szCs w:val="26"/>
                <w:lang w:val="nl-NL"/>
              </w:rPr>
              <w:t xml:space="preserve"> năm</w:t>
            </w:r>
            <w:r w:rsidR="009F58A2">
              <w:rPr>
                <w:rFonts w:ascii="Arial" w:eastAsia="Times New Roman" w:hAnsi="Arial" w:cs="Arial"/>
                <w:i/>
                <w:sz w:val="20"/>
                <w:szCs w:val="26"/>
                <w:lang w:val="nl-NL"/>
              </w:rPr>
              <w:t xml:space="preserve"> 2017</w:t>
            </w:r>
            <w:r w:rsidR="0060532E" w:rsidRPr="00145FF9">
              <w:rPr>
                <w:rFonts w:ascii="Arial" w:eastAsia="Times New Roman" w:hAnsi="Arial" w:cs="Arial"/>
                <w:i/>
                <w:sz w:val="20"/>
                <w:szCs w:val="26"/>
                <w:lang w:val="nl-NL"/>
              </w:rPr>
              <w:br/>
            </w:r>
            <w:r w:rsidR="0060532E" w:rsidRPr="00145FF9">
              <w:rPr>
                <w:rFonts w:ascii="Arial" w:eastAsia="Times New Roman" w:hAnsi="Arial" w:cs="Arial"/>
                <w:b/>
                <w:sz w:val="20"/>
                <w:szCs w:val="24"/>
                <w:lang w:val="nl-NL"/>
              </w:rPr>
              <w:t>TỔNG (GIÁM) ĐỐC</w:t>
            </w:r>
            <w:r w:rsidR="0060532E" w:rsidRPr="00145FF9">
              <w:rPr>
                <w:rFonts w:ascii="Arial" w:eastAsia="Times New Roman" w:hAnsi="Arial" w:cs="Arial"/>
                <w:b/>
                <w:sz w:val="20"/>
                <w:szCs w:val="24"/>
                <w:lang w:val="nl-NL"/>
              </w:rPr>
              <w:br/>
            </w:r>
            <w:r w:rsidR="0060532E" w:rsidRPr="00145FF9">
              <w:rPr>
                <w:rFonts w:ascii="Arial" w:eastAsia="Times New Roman" w:hAnsi="Arial" w:cs="Arial"/>
                <w:i/>
                <w:sz w:val="20"/>
                <w:szCs w:val="26"/>
                <w:lang w:val="nl-NL"/>
              </w:rPr>
              <w:t>(Ký, ghi rõ họ tên và đóng dấu)</w:t>
            </w:r>
          </w:p>
          <w:p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rsidR="00A620CE" w:rsidRDefault="00A620CE" w:rsidP="009B70B6">
            <w:pPr>
              <w:tabs>
                <w:tab w:val="left" w:pos="540"/>
              </w:tabs>
              <w:spacing w:before="120" w:after="0" w:line="240" w:lineRule="auto"/>
              <w:jc w:val="center"/>
              <w:rPr>
                <w:rFonts w:ascii="Arial" w:hAnsi="Arial" w:cs="Arial"/>
                <w:sz w:val="20"/>
                <w:szCs w:val="26"/>
                <w:lang w:val="nl-NL"/>
              </w:rPr>
            </w:pPr>
          </w:p>
          <w:p w:rsidR="00A620CE" w:rsidRDefault="00A620CE" w:rsidP="009B70B6">
            <w:pPr>
              <w:tabs>
                <w:tab w:val="left" w:pos="540"/>
              </w:tabs>
              <w:spacing w:before="120" w:after="0" w:line="240" w:lineRule="auto"/>
              <w:jc w:val="center"/>
              <w:rPr>
                <w:rFonts w:ascii="Arial" w:hAnsi="Arial" w:cs="Arial"/>
                <w:sz w:val="20"/>
                <w:szCs w:val="26"/>
                <w:lang w:val="nl-NL"/>
              </w:rPr>
            </w:pPr>
          </w:p>
          <w:p w:rsidR="00A620CE" w:rsidRDefault="00A620CE" w:rsidP="009B70B6">
            <w:pPr>
              <w:tabs>
                <w:tab w:val="left" w:pos="540"/>
              </w:tabs>
              <w:spacing w:before="120" w:after="0" w:line="240" w:lineRule="auto"/>
              <w:jc w:val="center"/>
              <w:rPr>
                <w:rFonts w:ascii="Arial" w:hAnsi="Arial" w:cs="Arial"/>
                <w:sz w:val="20"/>
                <w:szCs w:val="26"/>
                <w:lang w:val="nl-NL"/>
              </w:rPr>
            </w:pPr>
          </w:p>
          <w:p w:rsidR="00A620CE" w:rsidRDefault="00A620CE" w:rsidP="009B70B6">
            <w:pPr>
              <w:tabs>
                <w:tab w:val="left" w:pos="540"/>
              </w:tabs>
              <w:spacing w:before="120" w:after="0" w:line="240" w:lineRule="auto"/>
              <w:jc w:val="center"/>
              <w:rPr>
                <w:rFonts w:ascii="Arial" w:hAnsi="Arial" w:cs="Arial"/>
                <w:sz w:val="20"/>
                <w:szCs w:val="26"/>
                <w:lang w:val="nl-NL"/>
              </w:rPr>
            </w:pPr>
          </w:p>
          <w:p w:rsidR="00A620CE" w:rsidRPr="00145FF9" w:rsidRDefault="00A620CE" w:rsidP="009B70B6">
            <w:pPr>
              <w:tabs>
                <w:tab w:val="left" w:pos="540"/>
              </w:tabs>
              <w:spacing w:before="120" w:after="0" w:line="240" w:lineRule="auto"/>
              <w:jc w:val="center"/>
              <w:rPr>
                <w:rFonts w:ascii="Arial" w:hAnsi="Arial" w:cs="Arial"/>
                <w:sz w:val="20"/>
                <w:szCs w:val="26"/>
                <w:lang w:val="nl-NL"/>
              </w:rPr>
            </w:pPr>
          </w:p>
        </w:tc>
        <w:tc>
          <w:tcPr>
            <w:tcW w:w="4428" w:type="dxa"/>
            <w:shd w:val="clear" w:color="auto" w:fill="auto"/>
          </w:tcPr>
          <w:p w:rsidR="0060532E" w:rsidRPr="00145FF9" w:rsidRDefault="0060532E" w:rsidP="009B70B6">
            <w:pPr>
              <w:tabs>
                <w:tab w:val="left" w:pos="540"/>
              </w:tabs>
              <w:spacing w:before="120" w:after="0" w:line="240" w:lineRule="auto"/>
              <w:rPr>
                <w:rFonts w:ascii="Arial" w:hAnsi="Arial" w:cs="Arial"/>
                <w:sz w:val="20"/>
                <w:szCs w:val="26"/>
                <w:lang w:val="nl-NL"/>
              </w:rPr>
            </w:pPr>
          </w:p>
        </w:tc>
      </w:tr>
    </w:tbl>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p>
    <w:sectPr w:rsidR="0060532E" w:rsidRPr="00145FF9" w:rsidSect="005C0BF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770F2"/>
    <w:multiLevelType w:val="hybridMultilevel"/>
    <w:tmpl w:val="7F4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715C97"/>
    <w:multiLevelType w:val="hybridMultilevel"/>
    <w:tmpl w:val="4178F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2E"/>
    <w:rsid w:val="00002945"/>
    <w:rsid w:val="00064C08"/>
    <w:rsid w:val="000958DE"/>
    <w:rsid w:val="000A2BEF"/>
    <w:rsid w:val="000B618F"/>
    <w:rsid w:val="00145FF9"/>
    <w:rsid w:val="00170178"/>
    <w:rsid w:val="001A6264"/>
    <w:rsid w:val="001D69D6"/>
    <w:rsid w:val="00261BF0"/>
    <w:rsid w:val="0029221D"/>
    <w:rsid w:val="00293DDB"/>
    <w:rsid w:val="002B2957"/>
    <w:rsid w:val="002C6348"/>
    <w:rsid w:val="002D6DC4"/>
    <w:rsid w:val="002D7BA7"/>
    <w:rsid w:val="003319D9"/>
    <w:rsid w:val="0034363D"/>
    <w:rsid w:val="00362EA8"/>
    <w:rsid w:val="003A5A9D"/>
    <w:rsid w:val="003A77C8"/>
    <w:rsid w:val="003B100D"/>
    <w:rsid w:val="004109F4"/>
    <w:rsid w:val="00450488"/>
    <w:rsid w:val="004865C1"/>
    <w:rsid w:val="004A0F62"/>
    <w:rsid w:val="004E7038"/>
    <w:rsid w:val="00543905"/>
    <w:rsid w:val="00543E3B"/>
    <w:rsid w:val="00552FF3"/>
    <w:rsid w:val="00575C6B"/>
    <w:rsid w:val="005827DD"/>
    <w:rsid w:val="0059191E"/>
    <w:rsid w:val="005C0BFA"/>
    <w:rsid w:val="0060532E"/>
    <w:rsid w:val="006061C4"/>
    <w:rsid w:val="00622E37"/>
    <w:rsid w:val="006476C5"/>
    <w:rsid w:val="00652220"/>
    <w:rsid w:val="00665168"/>
    <w:rsid w:val="006672C1"/>
    <w:rsid w:val="00690902"/>
    <w:rsid w:val="00694305"/>
    <w:rsid w:val="006A0D5C"/>
    <w:rsid w:val="006D465B"/>
    <w:rsid w:val="006E00F4"/>
    <w:rsid w:val="006E1708"/>
    <w:rsid w:val="0070303B"/>
    <w:rsid w:val="007A5CAF"/>
    <w:rsid w:val="007F74EF"/>
    <w:rsid w:val="0080533A"/>
    <w:rsid w:val="00806F29"/>
    <w:rsid w:val="00820B48"/>
    <w:rsid w:val="008404F5"/>
    <w:rsid w:val="0084211E"/>
    <w:rsid w:val="0084717A"/>
    <w:rsid w:val="008A11F5"/>
    <w:rsid w:val="008D0517"/>
    <w:rsid w:val="008D4D8B"/>
    <w:rsid w:val="008F4884"/>
    <w:rsid w:val="0091066B"/>
    <w:rsid w:val="0099628D"/>
    <w:rsid w:val="009B70B6"/>
    <w:rsid w:val="009D0825"/>
    <w:rsid w:val="009F58A2"/>
    <w:rsid w:val="00A122B2"/>
    <w:rsid w:val="00A34187"/>
    <w:rsid w:val="00A5123D"/>
    <w:rsid w:val="00A620CE"/>
    <w:rsid w:val="00AA5347"/>
    <w:rsid w:val="00B13DCA"/>
    <w:rsid w:val="00B84302"/>
    <w:rsid w:val="00B92263"/>
    <w:rsid w:val="00BE4C65"/>
    <w:rsid w:val="00C0245E"/>
    <w:rsid w:val="00C204AF"/>
    <w:rsid w:val="00C21809"/>
    <w:rsid w:val="00C22A6D"/>
    <w:rsid w:val="00C63813"/>
    <w:rsid w:val="00C8415F"/>
    <w:rsid w:val="00D04F7E"/>
    <w:rsid w:val="00D302D5"/>
    <w:rsid w:val="00D475F1"/>
    <w:rsid w:val="00D91B65"/>
    <w:rsid w:val="00D937BD"/>
    <w:rsid w:val="00DA59F1"/>
    <w:rsid w:val="00DF31A5"/>
    <w:rsid w:val="00E72377"/>
    <w:rsid w:val="00E914FF"/>
    <w:rsid w:val="00E93EC9"/>
    <w:rsid w:val="00EE72B9"/>
    <w:rsid w:val="00EF36B0"/>
    <w:rsid w:val="00F4147F"/>
    <w:rsid w:val="00F4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83E7"/>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1E"/>
    <w:pPr>
      <w:ind w:left="720"/>
      <w:contextualSpacing/>
    </w:pPr>
  </w:style>
  <w:style w:type="paragraph" w:styleId="NoSpacing">
    <w:name w:val="No Spacing"/>
    <w:uiPriority w:val="1"/>
    <w:qFormat/>
    <w:rsid w:val="005919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500">
      <w:bodyDiv w:val="1"/>
      <w:marLeft w:val="0"/>
      <w:marRight w:val="0"/>
      <w:marTop w:val="0"/>
      <w:marBottom w:val="0"/>
      <w:divBdr>
        <w:top w:val="none" w:sz="0" w:space="0" w:color="auto"/>
        <w:left w:val="none" w:sz="0" w:space="0" w:color="auto"/>
        <w:bottom w:val="none" w:sz="0" w:space="0" w:color="auto"/>
        <w:right w:val="none" w:sz="0" w:space="0" w:color="auto"/>
      </w:divBdr>
    </w:div>
    <w:div w:id="81412665">
      <w:bodyDiv w:val="1"/>
      <w:marLeft w:val="0"/>
      <w:marRight w:val="0"/>
      <w:marTop w:val="0"/>
      <w:marBottom w:val="0"/>
      <w:divBdr>
        <w:top w:val="none" w:sz="0" w:space="0" w:color="auto"/>
        <w:left w:val="none" w:sz="0" w:space="0" w:color="auto"/>
        <w:bottom w:val="none" w:sz="0" w:space="0" w:color="auto"/>
        <w:right w:val="none" w:sz="0" w:space="0" w:color="auto"/>
      </w:divBdr>
    </w:div>
    <w:div w:id="125319718">
      <w:bodyDiv w:val="1"/>
      <w:marLeft w:val="0"/>
      <w:marRight w:val="0"/>
      <w:marTop w:val="0"/>
      <w:marBottom w:val="0"/>
      <w:divBdr>
        <w:top w:val="none" w:sz="0" w:space="0" w:color="auto"/>
        <w:left w:val="none" w:sz="0" w:space="0" w:color="auto"/>
        <w:bottom w:val="none" w:sz="0" w:space="0" w:color="auto"/>
        <w:right w:val="none" w:sz="0" w:space="0" w:color="auto"/>
      </w:divBdr>
    </w:div>
    <w:div w:id="136411734">
      <w:bodyDiv w:val="1"/>
      <w:marLeft w:val="0"/>
      <w:marRight w:val="0"/>
      <w:marTop w:val="0"/>
      <w:marBottom w:val="0"/>
      <w:divBdr>
        <w:top w:val="none" w:sz="0" w:space="0" w:color="auto"/>
        <w:left w:val="none" w:sz="0" w:space="0" w:color="auto"/>
        <w:bottom w:val="none" w:sz="0" w:space="0" w:color="auto"/>
        <w:right w:val="none" w:sz="0" w:space="0" w:color="auto"/>
      </w:divBdr>
    </w:div>
    <w:div w:id="167328488">
      <w:bodyDiv w:val="1"/>
      <w:marLeft w:val="0"/>
      <w:marRight w:val="0"/>
      <w:marTop w:val="0"/>
      <w:marBottom w:val="0"/>
      <w:divBdr>
        <w:top w:val="none" w:sz="0" w:space="0" w:color="auto"/>
        <w:left w:val="none" w:sz="0" w:space="0" w:color="auto"/>
        <w:bottom w:val="none" w:sz="0" w:space="0" w:color="auto"/>
        <w:right w:val="none" w:sz="0" w:space="0" w:color="auto"/>
      </w:divBdr>
    </w:div>
    <w:div w:id="173809854">
      <w:bodyDiv w:val="1"/>
      <w:marLeft w:val="0"/>
      <w:marRight w:val="0"/>
      <w:marTop w:val="0"/>
      <w:marBottom w:val="0"/>
      <w:divBdr>
        <w:top w:val="none" w:sz="0" w:space="0" w:color="auto"/>
        <w:left w:val="none" w:sz="0" w:space="0" w:color="auto"/>
        <w:bottom w:val="none" w:sz="0" w:space="0" w:color="auto"/>
        <w:right w:val="none" w:sz="0" w:space="0" w:color="auto"/>
      </w:divBdr>
    </w:div>
    <w:div w:id="184948941">
      <w:bodyDiv w:val="1"/>
      <w:marLeft w:val="0"/>
      <w:marRight w:val="0"/>
      <w:marTop w:val="0"/>
      <w:marBottom w:val="0"/>
      <w:divBdr>
        <w:top w:val="none" w:sz="0" w:space="0" w:color="auto"/>
        <w:left w:val="none" w:sz="0" w:space="0" w:color="auto"/>
        <w:bottom w:val="none" w:sz="0" w:space="0" w:color="auto"/>
        <w:right w:val="none" w:sz="0" w:space="0" w:color="auto"/>
      </w:divBdr>
    </w:div>
    <w:div w:id="206844771">
      <w:bodyDiv w:val="1"/>
      <w:marLeft w:val="0"/>
      <w:marRight w:val="0"/>
      <w:marTop w:val="0"/>
      <w:marBottom w:val="0"/>
      <w:divBdr>
        <w:top w:val="none" w:sz="0" w:space="0" w:color="auto"/>
        <w:left w:val="none" w:sz="0" w:space="0" w:color="auto"/>
        <w:bottom w:val="none" w:sz="0" w:space="0" w:color="auto"/>
        <w:right w:val="none" w:sz="0" w:space="0" w:color="auto"/>
      </w:divBdr>
    </w:div>
    <w:div w:id="219488396">
      <w:bodyDiv w:val="1"/>
      <w:marLeft w:val="0"/>
      <w:marRight w:val="0"/>
      <w:marTop w:val="0"/>
      <w:marBottom w:val="0"/>
      <w:divBdr>
        <w:top w:val="none" w:sz="0" w:space="0" w:color="auto"/>
        <w:left w:val="none" w:sz="0" w:space="0" w:color="auto"/>
        <w:bottom w:val="none" w:sz="0" w:space="0" w:color="auto"/>
        <w:right w:val="none" w:sz="0" w:space="0" w:color="auto"/>
      </w:divBdr>
    </w:div>
    <w:div w:id="220410872">
      <w:bodyDiv w:val="1"/>
      <w:marLeft w:val="0"/>
      <w:marRight w:val="0"/>
      <w:marTop w:val="0"/>
      <w:marBottom w:val="0"/>
      <w:divBdr>
        <w:top w:val="none" w:sz="0" w:space="0" w:color="auto"/>
        <w:left w:val="none" w:sz="0" w:space="0" w:color="auto"/>
        <w:bottom w:val="none" w:sz="0" w:space="0" w:color="auto"/>
        <w:right w:val="none" w:sz="0" w:space="0" w:color="auto"/>
      </w:divBdr>
    </w:div>
    <w:div w:id="225916236">
      <w:bodyDiv w:val="1"/>
      <w:marLeft w:val="0"/>
      <w:marRight w:val="0"/>
      <w:marTop w:val="0"/>
      <w:marBottom w:val="0"/>
      <w:divBdr>
        <w:top w:val="none" w:sz="0" w:space="0" w:color="auto"/>
        <w:left w:val="none" w:sz="0" w:space="0" w:color="auto"/>
        <w:bottom w:val="none" w:sz="0" w:space="0" w:color="auto"/>
        <w:right w:val="none" w:sz="0" w:space="0" w:color="auto"/>
      </w:divBdr>
    </w:div>
    <w:div w:id="234900737">
      <w:bodyDiv w:val="1"/>
      <w:marLeft w:val="0"/>
      <w:marRight w:val="0"/>
      <w:marTop w:val="0"/>
      <w:marBottom w:val="0"/>
      <w:divBdr>
        <w:top w:val="none" w:sz="0" w:space="0" w:color="auto"/>
        <w:left w:val="none" w:sz="0" w:space="0" w:color="auto"/>
        <w:bottom w:val="none" w:sz="0" w:space="0" w:color="auto"/>
        <w:right w:val="none" w:sz="0" w:space="0" w:color="auto"/>
      </w:divBdr>
    </w:div>
    <w:div w:id="255987463">
      <w:bodyDiv w:val="1"/>
      <w:marLeft w:val="0"/>
      <w:marRight w:val="0"/>
      <w:marTop w:val="0"/>
      <w:marBottom w:val="0"/>
      <w:divBdr>
        <w:top w:val="none" w:sz="0" w:space="0" w:color="auto"/>
        <w:left w:val="none" w:sz="0" w:space="0" w:color="auto"/>
        <w:bottom w:val="none" w:sz="0" w:space="0" w:color="auto"/>
        <w:right w:val="none" w:sz="0" w:space="0" w:color="auto"/>
      </w:divBdr>
    </w:div>
    <w:div w:id="259721244">
      <w:bodyDiv w:val="1"/>
      <w:marLeft w:val="0"/>
      <w:marRight w:val="0"/>
      <w:marTop w:val="0"/>
      <w:marBottom w:val="0"/>
      <w:divBdr>
        <w:top w:val="none" w:sz="0" w:space="0" w:color="auto"/>
        <w:left w:val="none" w:sz="0" w:space="0" w:color="auto"/>
        <w:bottom w:val="none" w:sz="0" w:space="0" w:color="auto"/>
        <w:right w:val="none" w:sz="0" w:space="0" w:color="auto"/>
      </w:divBdr>
    </w:div>
    <w:div w:id="268468183">
      <w:bodyDiv w:val="1"/>
      <w:marLeft w:val="0"/>
      <w:marRight w:val="0"/>
      <w:marTop w:val="0"/>
      <w:marBottom w:val="0"/>
      <w:divBdr>
        <w:top w:val="none" w:sz="0" w:space="0" w:color="auto"/>
        <w:left w:val="none" w:sz="0" w:space="0" w:color="auto"/>
        <w:bottom w:val="none" w:sz="0" w:space="0" w:color="auto"/>
        <w:right w:val="none" w:sz="0" w:space="0" w:color="auto"/>
      </w:divBdr>
    </w:div>
    <w:div w:id="273365465">
      <w:bodyDiv w:val="1"/>
      <w:marLeft w:val="0"/>
      <w:marRight w:val="0"/>
      <w:marTop w:val="0"/>
      <w:marBottom w:val="0"/>
      <w:divBdr>
        <w:top w:val="none" w:sz="0" w:space="0" w:color="auto"/>
        <w:left w:val="none" w:sz="0" w:space="0" w:color="auto"/>
        <w:bottom w:val="none" w:sz="0" w:space="0" w:color="auto"/>
        <w:right w:val="none" w:sz="0" w:space="0" w:color="auto"/>
      </w:divBdr>
    </w:div>
    <w:div w:id="296108952">
      <w:bodyDiv w:val="1"/>
      <w:marLeft w:val="0"/>
      <w:marRight w:val="0"/>
      <w:marTop w:val="0"/>
      <w:marBottom w:val="0"/>
      <w:divBdr>
        <w:top w:val="none" w:sz="0" w:space="0" w:color="auto"/>
        <w:left w:val="none" w:sz="0" w:space="0" w:color="auto"/>
        <w:bottom w:val="none" w:sz="0" w:space="0" w:color="auto"/>
        <w:right w:val="none" w:sz="0" w:space="0" w:color="auto"/>
      </w:divBdr>
    </w:div>
    <w:div w:id="299580097">
      <w:bodyDiv w:val="1"/>
      <w:marLeft w:val="0"/>
      <w:marRight w:val="0"/>
      <w:marTop w:val="0"/>
      <w:marBottom w:val="0"/>
      <w:divBdr>
        <w:top w:val="none" w:sz="0" w:space="0" w:color="auto"/>
        <w:left w:val="none" w:sz="0" w:space="0" w:color="auto"/>
        <w:bottom w:val="none" w:sz="0" w:space="0" w:color="auto"/>
        <w:right w:val="none" w:sz="0" w:space="0" w:color="auto"/>
      </w:divBdr>
    </w:div>
    <w:div w:id="317654994">
      <w:bodyDiv w:val="1"/>
      <w:marLeft w:val="0"/>
      <w:marRight w:val="0"/>
      <w:marTop w:val="0"/>
      <w:marBottom w:val="0"/>
      <w:divBdr>
        <w:top w:val="none" w:sz="0" w:space="0" w:color="auto"/>
        <w:left w:val="none" w:sz="0" w:space="0" w:color="auto"/>
        <w:bottom w:val="none" w:sz="0" w:space="0" w:color="auto"/>
        <w:right w:val="none" w:sz="0" w:space="0" w:color="auto"/>
      </w:divBdr>
    </w:div>
    <w:div w:id="320231935">
      <w:bodyDiv w:val="1"/>
      <w:marLeft w:val="0"/>
      <w:marRight w:val="0"/>
      <w:marTop w:val="0"/>
      <w:marBottom w:val="0"/>
      <w:divBdr>
        <w:top w:val="none" w:sz="0" w:space="0" w:color="auto"/>
        <w:left w:val="none" w:sz="0" w:space="0" w:color="auto"/>
        <w:bottom w:val="none" w:sz="0" w:space="0" w:color="auto"/>
        <w:right w:val="none" w:sz="0" w:space="0" w:color="auto"/>
      </w:divBdr>
    </w:div>
    <w:div w:id="326327971">
      <w:bodyDiv w:val="1"/>
      <w:marLeft w:val="0"/>
      <w:marRight w:val="0"/>
      <w:marTop w:val="0"/>
      <w:marBottom w:val="0"/>
      <w:divBdr>
        <w:top w:val="none" w:sz="0" w:space="0" w:color="auto"/>
        <w:left w:val="none" w:sz="0" w:space="0" w:color="auto"/>
        <w:bottom w:val="none" w:sz="0" w:space="0" w:color="auto"/>
        <w:right w:val="none" w:sz="0" w:space="0" w:color="auto"/>
      </w:divBdr>
    </w:div>
    <w:div w:id="347415869">
      <w:bodyDiv w:val="1"/>
      <w:marLeft w:val="0"/>
      <w:marRight w:val="0"/>
      <w:marTop w:val="0"/>
      <w:marBottom w:val="0"/>
      <w:divBdr>
        <w:top w:val="none" w:sz="0" w:space="0" w:color="auto"/>
        <w:left w:val="none" w:sz="0" w:space="0" w:color="auto"/>
        <w:bottom w:val="none" w:sz="0" w:space="0" w:color="auto"/>
        <w:right w:val="none" w:sz="0" w:space="0" w:color="auto"/>
      </w:divBdr>
    </w:div>
    <w:div w:id="355542982">
      <w:bodyDiv w:val="1"/>
      <w:marLeft w:val="0"/>
      <w:marRight w:val="0"/>
      <w:marTop w:val="0"/>
      <w:marBottom w:val="0"/>
      <w:divBdr>
        <w:top w:val="none" w:sz="0" w:space="0" w:color="auto"/>
        <w:left w:val="none" w:sz="0" w:space="0" w:color="auto"/>
        <w:bottom w:val="none" w:sz="0" w:space="0" w:color="auto"/>
        <w:right w:val="none" w:sz="0" w:space="0" w:color="auto"/>
      </w:divBdr>
    </w:div>
    <w:div w:id="398137216">
      <w:bodyDiv w:val="1"/>
      <w:marLeft w:val="0"/>
      <w:marRight w:val="0"/>
      <w:marTop w:val="0"/>
      <w:marBottom w:val="0"/>
      <w:divBdr>
        <w:top w:val="none" w:sz="0" w:space="0" w:color="auto"/>
        <w:left w:val="none" w:sz="0" w:space="0" w:color="auto"/>
        <w:bottom w:val="none" w:sz="0" w:space="0" w:color="auto"/>
        <w:right w:val="none" w:sz="0" w:space="0" w:color="auto"/>
      </w:divBdr>
    </w:div>
    <w:div w:id="418212253">
      <w:bodyDiv w:val="1"/>
      <w:marLeft w:val="0"/>
      <w:marRight w:val="0"/>
      <w:marTop w:val="0"/>
      <w:marBottom w:val="0"/>
      <w:divBdr>
        <w:top w:val="none" w:sz="0" w:space="0" w:color="auto"/>
        <w:left w:val="none" w:sz="0" w:space="0" w:color="auto"/>
        <w:bottom w:val="none" w:sz="0" w:space="0" w:color="auto"/>
        <w:right w:val="none" w:sz="0" w:space="0" w:color="auto"/>
      </w:divBdr>
    </w:div>
    <w:div w:id="430007165">
      <w:bodyDiv w:val="1"/>
      <w:marLeft w:val="0"/>
      <w:marRight w:val="0"/>
      <w:marTop w:val="0"/>
      <w:marBottom w:val="0"/>
      <w:divBdr>
        <w:top w:val="none" w:sz="0" w:space="0" w:color="auto"/>
        <w:left w:val="none" w:sz="0" w:space="0" w:color="auto"/>
        <w:bottom w:val="none" w:sz="0" w:space="0" w:color="auto"/>
        <w:right w:val="none" w:sz="0" w:space="0" w:color="auto"/>
      </w:divBdr>
    </w:div>
    <w:div w:id="442463981">
      <w:bodyDiv w:val="1"/>
      <w:marLeft w:val="0"/>
      <w:marRight w:val="0"/>
      <w:marTop w:val="0"/>
      <w:marBottom w:val="0"/>
      <w:divBdr>
        <w:top w:val="none" w:sz="0" w:space="0" w:color="auto"/>
        <w:left w:val="none" w:sz="0" w:space="0" w:color="auto"/>
        <w:bottom w:val="none" w:sz="0" w:space="0" w:color="auto"/>
        <w:right w:val="none" w:sz="0" w:space="0" w:color="auto"/>
      </w:divBdr>
    </w:div>
    <w:div w:id="476147614">
      <w:bodyDiv w:val="1"/>
      <w:marLeft w:val="0"/>
      <w:marRight w:val="0"/>
      <w:marTop w:val="0"/>
      <w:marBottom w:val="0"/>
      <w:divBdr>
        <w:top w:val="none" w:sz="0" w:space="0" w:color="auto"/>
        <w:left w:val="none" w:sz="0" w:space="0" w:color="auto"/>
        <w:bottom w:val="none" w:sz="0" w:space="0" w:color="auto"/>
        <w:right w:val="none" w:sz="0" w:space="0" w:color="auto"/>
      </w:divBdr>
    </w:div>
    <w:div w:id="479270974">
      <w:bodyDiv w:val="1"/>
      <w:marLeft w:val="0"/>
      <w:marRight w:val="0"/>
      <w:marTop w:val="0"/>
      <w:marBottom w:val="0"/>
      <w:divBdr>
        <w:top w:val="none" w:sz="0" w:space="0" w:color="auto"/>
        <w:left w:val="none" w:sz="0" w:space="0" w:color="auto"/>
        <w:bottom w:val="none" w:sz="0" w:space="0" w:color="auto"/>
        <w:right w:val="none" w:sz="0" w:space="0" w:color="auto"/>
      </w:divBdr>
    </w:div>
    <w:div w:id="538392894">
      <w:bodyDiv w:val="1"/>
      <w:marLeft w:val="0"/>
      <w:marRight w:val="0"/>
      <w:marTop w:val="0"/>
      <w:marBottom w:val="0"/>
      <w:divBdr>
        <w:top w:val="none" w:sz="0" w:space="0" w:color="auto"/>
        <w:left w:val="none" w:sz="0" w:space="0" w:color="auto"/>
        <w:bottom w:val="none" w:sz="0" w:space="0" w:color="auto"/>
        <w:right w:val="none" w:sz="0" w:space="0" w:color="auto"/>
      </w:divBdr>
    </w:div>
    <w:div w:id="546838419">
      <w:bodyDiv w:val="1"/>
      <w:marLeft w:val="0"/>
      <w:marRight w:val="0"/>
      <w:marTop w:val="0"/>
      <w:marBottom w:val="0"/>
      <w:divBdr>
        <w:top w:val="none" w:sz="0" w:space="0" w:color="auto"/>
        <w:left w:val="none" w:sz="0" w:space="0" w:color="auto"/>
        <w:bottom w:val="none" w:sz="0" w:space="0" w:color="auto"/>
        <w:right w:val="none" w:sz="0" w:space="0" w:color="auto"/>
      </w:divBdr>
    </w:div>
    <w:div w:id="583757173">
      <w:bodyDiv w:val="1"/>
      <w:marLeft w:val="0"/>
      <w:marRight w:val="0"/>
      <w:marTop w:val="0"/>
      <w:marBottom w:val="0"/>
      <w:divBdr>
        <w:top w:val="none" w:sz="0" w:space="0" w:color="auto"/>
        <w:left w:val="none" w:sz="0" w:space="0" w:color="auto"/>
        <w:bottom w:val="none" w:sz="0" w:space="0" w:color="auto"/>
        <w:right w:val="none" w:sz="0" w:space="0" w:color="auto"/>
      </w:divBdr>
    </w:div>
    <w:div w:id="590314802">
      <w:bodyDiv w:val="1"/>
      <w:marLeft w:val="0"/>
      <w:marRight w:val="0"/>
      <w:marTop w:val="0"/>
      <w:marBottom w:val="0"/>
      <w:divBdr>
        <w:top w:val="none" w:sz="0" w:space="0" w:color="auto"/>
        <w:left w:val="none" w:sz="0" w:space="0" w:color="auto"/>
        <w:bottom w:val="none" w:sz="0" w:space="0" w:color="auto"/>
        <w:right w:val="none" w:sz="0" w:space="0" w:color="auto"/>
      </w:divBdr>
    </w:div>
    <w:div w:id="602105663">
      <w:bodyDiv w:val="1"/>
      <w:marLeft w:val="0"/>
      <w:marRight w:val="0"/>
      <w:marTop w:val="0"/>
      <w:marBottom w:val="0"/>
      <w:divBdr>
        <w:top w:val="none" w:sz="0" w:space="0" w:color="auto"/>
        <w:left w:val="none" w:sz="0" w:space="0" w:color="auto"/>
        <w:bottom w:val="none" w:sz="0" w:space="0" w:color="auto"/>
        <w:right w:val="none" w:sz="0" w:space="0" w:color="auto"/>
      </w:divBdr>
    </w:div>
    <w:div w:id="604458223">
      <w:bodyDiv w:val="1"/>
      <w:marLeft w:val="0"/>
      <w:marRight w:val="0"/>
      <w:marTop w:val="0"/>
      <w:marBottom w:val="0"/>
      <w:divBdr>
        <w:top w:val="none" w:sz="0" w:space="0" w:color="auto"/>
        <w:left w:val="none" w:sz="0" w:space="0" w:color="auto"/>
        <w:bottom w:val="none" w:sz="0" w:space="0" w:color="auto"/>
        <w:right w:val="none" w:sz="0" w:space="0" w:color="auto"/>
      </w:divBdr>
    </w:div>
    <w:div w:id="611089498">
      <w:bodyDiv w:val="1"/>
      <w:marLeft w:val="0"/>
      <w:marRight w:val="0"/>
      <w:marTop w:val="0"/>
      <w:marBottom w:val="0"/>
      <w:divBdr>
        <w:top w:val="none" w:sz="0" w:space="0" w:color="auto"/>
        <w:left w:val="none" w:sz="0" w:space="0" w:color="auto"/>
        <w:bottom w:val="none" w:sz="0" w:space="0" w:color="auto"/>
        <w:right w:val="none" w:sz="0" w:space="0" w:color="auto"/>
      </w:divBdr>
    </w:div>
    <w:div w:id="613946635">
      <w:bodyDiv w:val="1"/>
      <w:marLeft w:val="0"/>
      <w:marRight w:val="0"/>
      <w:marTop w:val="0"/>
      <w:marBottom w:val="0"/>
      <w:divBdr>
        <w:top w:val="none" w:sz="0" w:space="0" w:color="auto"/>
        <w:left w:val="none" w:sz="0" w:space="0" w:color="auto"/>
        <w:bottom w:val="none" w:sz="0" w:space="0" w:color="auto"/>
        <w:right w:val="none" w:sz="0" w:space="0" w:color="auto"/>
      </w:divBdr>
    </w:div>
    <w:div w:id="643315291">
      <w:bodyDiv w:val="1"/>
      <w:marLeft w:val="0"/>
      <w:marRight w:val="0"/>
      <w:marTop w:val="0"/>
      <w:marBottom w:val="0"/>
      <w:divBdr>
        <w:top w:val="none" w:sz="0" w:space="0" w:color="auto"/>
        <w:left w:val="none" w:sz="0" w:space="0" w:color="auto"/>
        <w:bottom w:val="none" w:sz="0" w:space="0" w:color="auto"/>
        <w:right w:val="none" w:sz="0" w:space="0" w:color="auto"/>
      </w:divBdr>
    </w:div>
    <w:div w:id="646591092">
      <w:bodyDiv w:val="1"/>
      <w:marLeft w:val="0"/>
      <w:marRight w:val="0"/>
      <w:marTop w:val="0"/>
      <w:marBottom w:val="0"/>
      <w:divBdr>
        <w:top w:val="none" w:sz="0" w:space="0" w:color="auto"/>
        <w:left w:val="none" w:sz="0" w:space="0" w:color="auto"/>
        <w:bottom w:val="none" w:sz="0" w:space="0" w:color="auto"/>
        <w:right w:val="none" w:sz="0" w:space="0" w:color="auto"/>
      </w:divBdr>
    </w:div>
    <w:div w:id="650184403">
      <w:bodyDiv w:val="1"/>
      <w:marLeft w:val="0"/>
      <w:marRight w:val="0"/>
      <w:marTop w:val="0"/>
      <w:marBottom w:val="0"/>
      <w:divBdr>
        <w:top w:val="none" w:sz="0" w:space="0" w:color="auto"/>
        <w:left w:val="none" w:sz="0" w:space="0" w:color="auto"/>
        <w:bottom w:val="none" w:sz="0" w:space="0" w:color="auto"/>
        <w:right w:val="none" w:sz="0" w:space="0" w:color="auto"/>
      </w:divBdr>
    </w:div>
    <w:div w:id="679503031">
      <w:bodyDiv w:val="1"/>
      <w:marLeft w:val="0"/>
      <w:marRight w:val="0"/>
      <w:marTop w:val="0"/>
      <w:marBottom w:val="0"/>
      <w:divBdr>
        <w:top w:val="none" w:sz="0" w:space="0" w:color="auto"/>
        <w:left w:val="none" w:sz="0" w:space="0" w:color="auto"/>
        <w:bottom w:val="none" w:sz="0" w:space="0" w:color="auto"/>
        <w:right w:val="none" w:sz="0" w:space="0" w:color="auto"/>
      </w:divBdr>
    </w:div>
    <w:div w:id="684746237">
      <w:bodyDiv w:val="1"/>
      <w:marLeft w:val="0"/>
      <w:marRight w:val="0"/>
      <w:marTop w:val="0"/>
      <w:marBottom w:val="0"/>
      <w:divBdr>
        <w:top w:val="none" w:sz="0" w:space="0" w:color="auto"/>
        <w:left w:val="none" w:sz="0" w:space="0" w:color="auto"/>
        <w:bottom w:val="none" w:sz="0" w:space="0" w:color="auto"/>
        <w:right w:val="none" w:sz="0" w:space="0" w:color="auto"/>
      </w:divBdr>
    </w:div>
    <w:div w:id="700669504">
      <w:bodyDiv w:val="1"/>
      <w:marLeft w:val="0"/>
      <w:marRight w:val="0"/>
      <w:marTop w:val="0"/>
      <w:marBottom w:val="0"/>
      <w:divBdr>
        <w:top w:val="none" w:sz="0" w:space="0" w:color="auto"/>
        <w:left w:val="none" w:sz="0" w:space="0" w:color="auto"/>
        <w:bottom w:val="none" w:sz="0" w:space="0" w:color="auto"/>
        <w:right w:val="none" w:sz="0" w:space="0" w:color="auto"/>
      </w:divBdr>
    </w:div>
    <w:div w:id="719748735">
      <w:bodyDiv w:val="1"/>
      <w:marLeft w:val="0"/>
      <w:marRight w:val="0"/>
      <w:marTop w:val="0"/>
      <w:marBottom w:val="0"/>
      <w:divBdr>
        <w:top w:val="none" w:sz="0" w:space="0" w:color="auto"/>
        <w:left w:val="none" w:sz="0" w:space="0" w:color="auto"/>
        <w:bottom w:val="none" w:sz="0" w:space="0" w:color="auto"/>
        <w:right w:val="none" w:sz="0" w:space="0" w:color="auto"/>
      </w:divBdr>
    </w:div>
    <w:div w:id="723060808">
      <w:bodyDiv w:val="1"/>
      <w:marLeft w:val="0"/>
      <w:marRight w:val="0"/>
      <w:marTop w:val="0"/>
      <w:marBottom w:val="0"/>
      <w:divBdr>
        <w:top w:val="none" w:sz="0" w:space="0" w:color="auto"/>
        <w:left w:val="none" w:sz="0" w:space="0" w:color="auto"/>
        <w:bottom w:val="none" w:sz="0" w:space="0" w:color="auto"/>
        <w:right w:val="none" w:sz="0" w:space="0" w:color="auto"/>
      </w:divBdr>
    </w:div>
    <w:div w:id="731274691">
      <w:bodyDiv w:val="1"/>
      <w:marLeft w:val="0"/>
      <w:marRight w:val="0"/>
      <w:marTop w:val="0"/>
      <w:marBottom w:val="0"/>
      <w:divBdr>
        <w:top w:val="none" w:sz="0" w:space="0" w:color="auto"/>
        <w:left w:val="none" w:sz="0" w:space="0" w:color="auto"/>
        <w:bottom w:val="none" w:sz="0" w:space="0" w:color="auto"/>
        <w:right w:val="none" w:sz="0" w:space="0" w:color="auto"/>
      </w:divBdr>
    </w:div>
    <w:div w:id="739137931">
      <w:bodyDiv w:val="1"/>
      <w:marLeft w:val="0"/>
      <w:marRight w:val="0"/>
      <w:marTop w:val="0"/>
      <w:marBottom w:val="0"/>
      <w:divBdr>
        <w:top w:val="none" w:sz="0" w:space="0" w:color="auto"/>
        <w:left w:val="none" w:sz="0" w:space="0" w:color="auto"/>
        <w:bottom w:val="none" w:sz="0" w:space="0" w:color="auto"/>
        <w:right w:val="none" w:sz="0" w:space="0" w:color="auto"/>
      </w:divBdr>
    </w:div>
    <w:div w:id="824397813">
      <w:bodyDiv w:val="1"/>
      <w:marLeft w:val="0"/>
      <w:marRight w:val="0"/>
      <w:marTop w:val="0"/>
      <w:marBottom w:val="0"/>
      <w:divBdr>
        <w:top w:val="none" w:sz="0" w:space="0" w:color="auto"/>
        <w:left w:val="none" w:sz="0" w:space="0" w:color="auto"/>
        <w:bottom w:val="none" w:sz="0" w:space="0" w:color="auto"/>
        <w:right w:val="none" w:sz="0" w:space="0" w:color="auto"/>
      </w:divBdr>
    </w:div>
    <w:div w:id="834607547">
      <w:bodyDiv w:val="1"/>
      <w:marLeft w:val="0"/>
      <w:marRight w:val="0"/>
      <w:marTop w:val="0"/>
      <w:marBottom w:val="0"/>
      <w:divBdr>
        <w:top w:val="none" w:sz="0" w:space="0" w:color="auto"/>
        <w:left w:val="none" w:sz="0" w:space="0" w:color="auto"/>
        <w:bottom w:val="none" w:sz="0" w:space="0" w:color="auto"/>
        <w:right w:val="none" w:sz="0" w:space="0" w:color="auto"/>
      </w:divBdr>
    </w:div>
    <w:div w:id="837043965">
      <w:bodyDiv w:val="1"/>
      <w:marLeft w:val="0"/>
      <w:marRight w:val="0"/>
      <w:marTop w:val="0"/>
      <w:marBottom w:val="0"/>
      <w:divBdr>
        <w:top w:val="none" w:sz="0" w:space="0" w:color="auto"/>
        <w:left w:val="none" w:sz="0" w:space="0" w:color="auto"/>
        <w:bottom w:val="none" w:sz="0" w:space="0" w:color="auto"/>
        <w:right w:val="none" w:sz="0" w:space="0" w:color="auto"/>
      </w:divBdr>
    </w:div>
    <w:div w:id="847868347">
      <w:bodyDiv w:val="1"/>
      <w:marLeft w:val="0"/>
      <w:marRight w:val="0"/>
      <w:marTop w:val="0"/>
      <w:marBottom w:val="0"/>
      <w:divBdr>
        <w:top w:val="none" w:sz="0" w:space="0" w:color="auto"/>
        <w:left w:val="none" w:sz="0" w:space="0" w:color="auto"/>
        <w:bottom w:val="none" w:sz="0" w:space="0" w:color="auto"/>
        <w:right w:val="none" w:sz="0" w:space="0" w:color="auto"/>
      </w:divBdr>
    </w:div>
    <w:div w:id="859007771">
      <w:bodyDiv w:val="1"/>
      <w:marLeft w:val="0"/>
      <w:marRight w:val="0"/>
      <w:marTop w:val="0"/>
      <w:marBottom w:val="0"/>
      <w:divBdr>
        <w:top w:val="none" w:sz="0" w:space="0" w:color="auto"/>
        <w:left w:val="none" w:sz="0" w:space="0" w:color="auto"/>
        <w:bottom w:val="none" w:sz="0" w:space="0" w:color="auto"/>
        <w:right w:val="none" w:sz="0" w:space="0" w:color="auto"/>
      </w:divBdr>
    </w:div>
    <w:div w:id="903949298">
      <w:bodyDiv w:val="1"/>
      <w:marLeft w:val="0"/>
      <w:marRight w:val="0"/>
      <w:marTop w:val="0"/>
      <w:marBottom w:val="0"/>
      <w:divBdr>
        <w:top w:val="none" w:sz="0" w:space="0" w:color="auto"/>
        <w:left w:val="none" w:sz="0" w:space="0" w:color="auto"/>
        <w:bottom w:val="none" w:sz="0" w:space="0" w:color="auto"/>
        <w:right w:val="none" w:sz="0" w:space="0" w:color="auto"/>
      </w:divBdr>
    </w:div>
    <w:div w:id="907570441">
      <w:bodyDiv w:val="1"/>
      <w:marLeft w:val="0"/>
      <w:marRight w:val="0"/>
      <w:marTop w:val="0"/>
      <w:marBottom w:val="0"/>
      <w:divBdr>
        <w:top w:val="none" w:sz="0" w:space="0" w:color="auto"/>
        <w:left w:val="none" w:sz="0" w:space="0" w:color="auto"/>
        <w:bottom w:val="none" w:sz="0" w:space="0" w:color="auto"/>
        <w:right w:val="none" w:sz="0" w:space="0" w:color="auto"/>
      </w:divBdr>
    </w:div>
    <w:div w:id="910117926">
      <w:bodyDiv w:val="1"/>
      <w:marLeft w:val="0"/>
      <w:marRight w:val="0"/>
      <w:marTop w:val="0"/>
      <w:marBottom w:val="0"/>
      <w:divBdr>
        <w:top w:val="none" w:sz="0" w:space="0" w:color="auto"/>
        <w:left w:val="none" w:sz="0" w:space="0" w:color="auto"/>
        <w:bottom w:val="none" w:sz="0" w:space="0" w:color="auto"/>
        <w:right w:val="none" w:sz="0" w:space="0" w:color="auto"/>
      </w:divBdr>
    </w:div>
    <w:div w:id="910653640">
      <w:bodyDiv w:val="1"/>
      <w:marLeft w:val="0"/>
      <w:marRight w:val="0"/>
      <w:marTop w:val="0"/>
      <w:marBottom w:val="0"/>
      <w:divBdr>
        <w:top w:val="none" w:sz="0" w:space="0" w:color="auto"/>
        <w:left w:val="none" w:sz="0" w:space="0" w:color="auto"/>
        <w:bottom w:val="none" w:sz="0" w:space="0" w:color="auto"/>
        <w:right w:val="none" w:sz="0" w:space="0" w:color="auto"/>
      </w:divBdr>
    </w:div>
    <w:div w:id="924144985">
      <w:bodyDiv w:val="1"/>
      <w:marLeft w:val="0"/>
      <w:marRight w:val="0"/>
      <w:marTop w:val="0"/>
      <w:marBottom w:val="0"/>
      <w:divBdr>
        <w:top w:val="none" w:sz="0" w:space="0" w:color="auto"/>
        <w:left w:val="none" w:sz="0" w:space="0" w:color="auto"/>
        <w:bottom w:val="none" w:sz="0" w:space="0" w:color="auto"/>
        <w:right w:val="none" w:sz="0" w:space="0" w:color="auto"/>
      </w:divBdr>
    </w:div>
    <w:div w:id="942110430">
      <w:bodyDiv w:val="1"/>
      <w:marLeft w:val="0"/>
      <w:marRight w:val="0"/>
      <w:marTop w:val="0"/>
      <w:marBottom w:val="0"/>
      <w:divBdr>
        <w:top w:val="none" w:sz="0" w:space="0" w:color="auto"/>
        <w:left w:val="none" w:sz="0" w:space="0" w:color="auto"/>
        <w:bottom w:val="none" w:sz="0" w:space="0" w:color="auto"/>
        <w:right w:val="none" w:sz="0" w:space="0" w:color="auto"/>
      </w:divBdr>
    </w:div>
    <w:div w:id="955528505">
      <w:bodyDiv w:val="1"/>
      <w:marLeft w:val="0"/>
      <w:marRight w:val="0"/>
      <w:marTop w:val="0"/>
      <w:marBottom w:val="0"/>
      <w:divBdr>
        <w:top w:val="none" w:sz="0" w:space="0" w:color="auto"/>
        <w:left w:val="none" w:sz="0" w:space="0" w:color="auto"/>
        <w:bottom w:val="none" w:sz="0" w:space="0" w:color="auto"/>
        <w:right w:val="none" w:sz="0" w:space="0" w:color="auto"/>
      </w:divBdr>
    </w:div>
    <w:div w:id="967323967">
      <w:bodyDiv w:val="1"/>
      <w:marLeft w:val="0"/>
      <w:marRight w:val="0"/>
      <w:marTop w:val="0"/>
      <w:marBottom w:val="0"/>
      <w:divBdr>
        <w:top w:val="none" w:sz="0" w:space="0" w:color="auto"/>
        <w:left w:val="none" w:sz="0" w:space="0" w:color="auto"/>
        <w:bottom w:val="none" w:sz="0" w:space="0" w:color="auto"/>
        <w:right w:val="none" w:sz="0" w:space="0" w:color="auto"/>
      </w:divBdr>
    </w:div>
    <w:div w:id="977539180">
      <w:bodyDiv w:val="1"/>
      <w:marLeft w:val="0"/>
      <w:marRight w:val="0"/>
      <w:marTop w:val="0"/>
      <w:marBottom w:val="0"/>
      <w:divBdr>
        <w:top w:val="none" w:sz="0" w:space="0" w:color="auto"/>
        <w:left w:val="none" w:sz="0" w:space="0" w:color="auto"/>
        <w:bottom w:val="none" w:sz="0" w:space="0" w:color="auto"/>
        <w:right w:val="none" w:sz="0" w:space="0" w:color="auto"/>
      </w:divBdr>
    </w:div>
    <w:div w:id="985550046">
      <w:bodyDiv w:val="1"/>
      <w:marLeft w:val="0"/>
      <w:marRight w:val="0"/>
      <w:marTop w:val="0"/>
      <w:marBottom w:val="0"/>
      <w:divBdr>
        <w:top w:val="none" w:sz="0" w:space="0" w:color="auto"/>
        <w:left w:val="none" w:sz="0" w:space="0" w:color="auto"/>
        <w:bottom w:val="none" w:sz="0" w:space="0" w:color="auto"/>
        <w:right w:val="none" w:sz="0" w:space="0" w:color="auto"/>
      </w:divBdr>
    </w:div>
    <w:div w:id="1032996745">
      <w:bodyDiv w:val="1"/>
      <w:marLeft w:val="0"/>
      <w:marRight w:val="0"/>
      <w:marTop w:val="0"/>
      <w:marBottom w:val="0"/>
      <w:divBdr>
        <w:top w:val="none" w:sz="0" w:space="0" w:color="auto"/>
        <w:left w:val="none" w:sz="0" w:space="0" w:color="auto"/>
        <w:bottom w:val="none" w:sz="0" w:space="0" w:color="auto"/>
        <w:right w:val="none" w:sz="0" w:space="0" w:color="auto"/>
      </w:divBdr>
    </w:div>
    <w:div w:id="1063527400">
      <w:bodyDiv w:val="1"/>
      <w:marLeft w:val="0"/>
      <w:marRight w:val="0"/>
      <w:marTop w:val="0"/>
      <w:marBottom w:val="0"/>
      <w:divBdr>
        <w:top w:val="none" w:sz="0" w:space="0" w:color="auto"/>
        <w:left w:val="none" w:sz="0" w:space="0" w:color="auto"/>
        <w:bottom w:val="none" w:sz="0" w:space="0" w:color="auto"/>
        <w:right w:val="none" w:sz="0" w:space="0" w:color="auto"/>
      </w:divBdr>
    </w:div>
    <w:div w:id="1077751911">
      <w:bodyDiv w:val="1"/>
      <w:marLeft w:val="0"/>
      <w:marRight w:val="0"/>
      <w:marTop w:val="0"/>
      <w:marBottom w:val="0"/>
      <w:divBdr>
        <w:top w:val="none" w:sz="0" w:space="0" w:color="auto"/>
        <w:left w:val="none" w:sz="0" w:space="0" w:color="auto"/>
        <w:bottom w:val="none" w:sz="0" w:space="0" w:color="auto"/>
        <w:right w:val="none" w:sz="0" w:space="0" w:color="auto"/>
      </w:divBdr>
    </w:div>
    <w:div w:id="1103379270">
      <w:bodyDiv w:val="1"/>
      <w:marLeft w:val="0"/>
      <w:marRight w:val="0"/>
      <w:marTop w:val="0"/>
      <w:marBottom w:val="0"/>
      <w:divBdr>
        <w:top w:val="none" w:sz="0" w:space="0" w:color="auto"/>
        <w:left w:val="none" w:sz="0" w:space="0" w:color="auto"/>
        <w:bottom w:val="none" w:sz="0" w:space="0" w:color="auto"/>
        <w:right w:val="none" w:sz="0" w:space="0" w:color="auto"/>
      </w:divBdr>
    </w:div>
    <w:div w:id="1110736295">
      <w:bodyDiv w:val="1"/>
      <w:marLeft w:val="0"/>
      <w:marRight w:val="0"/>
      <w:marTop w:val="0"/>
      <w:marBottom w:val="0"/>
      <w:divBdr>
        <w:top w:val="none" w:sz="0" w:space="0" w:color="auto"/>
        <w:left w:val="none" w:sz="0" w:space="0" w:color="auto"/>
        <w:bottom w:val="none" w:sz="0" w:space="0" w:color="auto"/>
        <w:right w:val="none" w:sz="0" w:space="0" w:color="auto"/>
      </w:divBdr>
    </w:div>
    <w:div w:id="1116605755">
      <w:bodyDiv w:val="1"/>
      <w:marLeft w:val="0"/>
      <w:marRight w:val="0"/>
      <w:marTop w:val="0"/>
      <w:marBottom w:val="0"/>
      <w:divBdr>
        <w:top w:val="none" w:sz="0" w:space="0" w:color="auto"/>
        <w:left w:val="none" w:sz="0" w:space="0" w:color="auto"/>
        <w:bottom w:val="none" w:sz="0" w:space="0" w:color="auto"/>
        <w:right w:val="none" w:sz="0" w:space="0" w:color="auto"/>
      </w:divBdr>
    </w:div>
    <w:div w:id="1122267752">
      <w:bodyDiv w:val="1"/>
      <w:marLeft w:val="0"/>
      <w:marRight w:val="0"/>
      <w:marTop w:val="0"/>
      <w:marBottom w:val="0"/>
      <w:divBdr>
        <w:top w:val="none" w:sz="0" w:space="0" w:color="auto"/>
        <w:left w:val="none" w:sz="0" w:space="0" w:color="auto"/>
        <w:bottom w:val="none" w:sz="0" w:space="0" w:color="auto"/>
        <w:right w:val="none" w:sz="0" w:space="0" w:color="auto"/>
      </w:divBdr>
    </w:div>
    <w:div w:id="1136681792">
      <w:bodyDiv w:val="1"/>
      <w:marLeft w:val="0"/>
      <w:marRight w:val="0"/>
      <w:marTop w:val="0"/>
      <w:marBottom w:val="0"/>
      <w:divBdr>
        <w:top w:val="none" w:sz="0" w:space="0" w:color="auto"/>
        <w:left w:val="none" w:sz="0" w:space="0" w:color="auto"/>
        <w:bottom w:val="none" w:sz="0" w:space="0" w:color="auto"/>
        <w:right w:val="none" w:sz="0" w:space="0" w:color="auto"/>
      </w:divBdr>
    </w:div>
    <w:div w:id="1169563298">
      <w:bodyDiv w:val="1"/>
      <w:marLeft w:val="0"/>
      <w:marRight w:val="0"/>
      <w:marTop w:val="0"/>
      <w:marBottom w:val="0"/>
      <w:divBdr>
        <w:top w:val="none" w:sz="0" w:space="0" w:color="auto"/>
        <w:left w:val="none" w:sz="0" w:space="0" w:color="auto"/>
        <w:bottom w:val="none" w:sz="0" w:space="0" w:color="auto"/>
        <w:right w:val="none" w:sz="0" w:space="0" w:color="auto"/>
      </w:divBdr>
    </w:div>
    <w:div w:id="1188909313">
      <w:bodyDiv w:val="1"/>
      <w:marLeft w:val="0"/>
      <w:marRight w:val="0"/>
      <w:marTop w:val="0"/>
      <w:marBottom w:val="0"/>
      <w:divBdr>
        <w:top w:val="none" w:sz="0" w:space="0" w:color="auto"/>
        <w:left w:val="none" w:sz="0" w:space="0" w:color="auto"/>
        <w:bottom w:val="none" w:sz="0" w:space="0" w:color="auto"/>
        <w:right w:val="none" w:sz="0" w:space="0" w:color="auto"/>
      </w:divBdr>
    </w:div>
    <w:div w:id="1217013902">
      <w:bodyDiv w:val="1"/>
      <w:marLeft w:val="0"/>
      <w:marRight w:val="0"/>
      <w:marTop w:val="0"/>
      <w:marBottom w:val="0"/>
      <w:divBdr>
        <w:top w:val="none" w:sz="0" w:space="0" w:color="auto"/>
        <w:left w:val="none" w:sz="0" w:space="0" w:color="auto"/>
        <w:bottom w:val="none" w:sz="0" w:space="0" w:color="auto"/>
        <w:right w:val="none" w:sz="0" w:space="0" w:color="auto"/>
      </w:divBdr>
    </w:div>
    <w:div w:id="1244215680">
      <w:bodyDiv w:val="1"/>
      <w:marLeft w:val="0"/>
      <w:marRight w:val="0"/>
      <w:marTop w:val="0"/>
      <w:marBottom w:val="0"/>
      <w:divBdr>
        <w:top w:val="none" w:sz="0" w:space="0" w:color="auto"/>
        <w:left w:val="none" w:sz="0" w:space="0" w:color="auto"/>
        <w:bottom w:val="none" w:sz="0" w:space="0" w:color="auto"/>
        <w:right w:val="none" w:sz="0" w:space="0" w:color="auto"/>
      </w:divBdr>
    </w:div>
    <w:div w:id="1246299965">
      <w:bodyDiv w:val="1"/>
      <w:marLeft w:val="0"/>
      <w:marRight w:val="0"/>
      <w:marTop w:val="0"/>
      <w:marBottom w:val="0"/>
      <w:divBdr>
        <w:top w:val="none" w:sz="0" w:space="0" w:color="auto"/>
        <w:left w:val="none" w:sz="0" w:space="0" w:color="auto"/>
        <w:bottom w:val="none" w:sz="0" w:space="0" w:color="auto"/>
        <w:right w:val="none" w:sz="0" w:space="0" w:color="auto"/>
      </w:divBdr>
    </w:div>
    <w:div w:id="1249192648">
      <w:bodyDiv w:val="1"/>
      <w:marLeft w:val="0"/>
      <w:marRight w:val="0"/>
      <w:marTop w:val="0"/>
      <w:marBottom w:val="0"/>
      <w:divBdr>
        <w:top w:val="none" w:sz="0" w:space="0" w:color="auto"/>
        <w:left w:val="none" w:sz="0" w:space="0" w:color="auto"/>
        <w:bottom w:val="none" w:sz="0" w:space="0" w:color="auto"/>
        <w:right w:val="none" w:sz="0" w:space="0" w:color="auto"/>
      </w:divBdr>
    </w:div>
    <w:div w:id="1256211363">
      <w:bodyDiv w:val="1"/>
      <w:marLeft w:val="0"/>
      <w:marRight w:val="0"/>
      <w:marTop w:val="0"/>
      <w:marBottom w:val="0"/>
      <w:divBdr>
        <w:top w:val="none" w:sz="0" w:space="0" w:color="auto"/>
        <w:left w:val="none" w:sz="0" w:space="0" w:color="auto"/>
        <w:bottom w:val="none" w:sz="0" w:space="0" w:color="auto"/>
        <w:right w:val="none" w:sz="0" w:space="0" w:color="auto"/>
      </w:divBdr>
    </w:div>
    <w:div w:id="1281646556">
      <w:bodyDiv w:val="1"/>
      <w:marLeft w:val="0"/>
      <w:marRight w:val="0"/>
      <w:marTop w:val="0"/>
      <w:marBottom w:val="0"/>
      <w:divBdr>
        <w:top w:val="none" w:sz="0" w:space="0" w:color="auto"/>
        <w:left w:val="none" w:sz="0" w:space="0" w:color="auto"/>
        <w:bottom w:val="none" w:sz="0" w:space="0" w:color="auto"/>
        <w:right w:val="none" w:sz="0" w:space="0" w:color="auto"/>
      </w:divBdr>
    </w:div>
    <w:div w:id="1300653612">
      <w:bodyDiv w:val="1"/>
      <w:marLeft w:val="0"/>
      <w:marRight w:val="0"/>
      <w:marTop w:val="0"/>
      <w:marBottom w:val="0"/>
      <w:divBdr>
        <w:top w:val="none" w:sz="0" w:space="0" w:color="auto"/>
        <w:left w:val="none" w:sz="0" w:space="0" w:color="auto"/>
        <w:bottom w:val="none" w:sz="0" w:space="0" w:color="auto"/>
        <w:right w:val="none" w:sz="0" w:space="0" w:color="auto"/>
      </w:divBdr>
    </w:div>
    <w:div w:id="1319266457">
      <w:bodyDiv w:val="1"/>
      <w:marLeft w:val="0"/>
      <w:marRight w:val="0"/>
      <w:marTop w:val="0"/>
      <w:marBottom w:val="0"/>
      <w:divBdr>
        <w:top w:val="none" w:sz="0" w:space="0" w:color="auto"/>
        <w:left w:val="none" w:sz="0" w:space="0" w:color="auto"/>
        <w:bottom w:val="none" w:sz="0" w:space="0" w:color="auto"/>
        <w:right w:val="none" w:sz="0" w:space="0" w:color="auto"/>
      </w:divBdr>
    </w:div>
    <w:div w:id="1350453338">
      <w:bodyDiv w:val="1"/>
      <w:marLeft w:val="0"/>
      <w:marRight w:val="0"/>
      <w:marTop w:val="0"/>
      <w:marBottom w:val="0"/>
      <w:divBdr>
        <w:top w:val="none" w:sz="0" w:space="0" w:color="auto"/>
        <w:left w:val="none" w:sz="0" w:space="0" w:color="auto"/>
        <w:bottom w:val="none" w:sz="0" w:space="0" w:color="auto"/>
        <w:right w:val="none" w:sz="0" w:space="0" w:color="auto"/>
      </w:divBdr>
    </w:div>
    <w:div w:id="1367675131">
      <w:bodyDiv w:val="1"/>
      <w:marLeft w:val="0"/>
      <w:marRight w:val="0"/>
      <w:marTop w:val="0"/>
      <w:marBottom w:val="0"/>
      <w:divBdr>
        <w:top w:val="none" w:sz="0" w:space="0" w:color="auto"/>
        <w:left w:val="none" w:sz="0" w:space="0" w:color="auto"/>
        <w:bottom w:val="none" w:sz="0" w:space="0" w:color="auto"/>
        <w:right w:val="none" w:sz="0" w:space="0" w:color="auto"/>
      </w:divBdr>
    </w:div>
    <w:div w:id="1378554760">
      <w:bodyDiv w:val="1"/>
      <w:marLeft w:val="0"/>
      <w:marRight w:val="0"/>
      <w:marTop w:val="0"/>
      <w:marBottom w:val="0"/>
      <w:divBdr>
        <w:top w:val="none" w:sz="0" w:space="0" w:color="auto"/>
        <w:left w:val="none" w:sz="0" w:space="0" w:color="auto"/>
        <w:bottom w:val="none" w:sz="0" w:space="0" w:color="auto"/>
        <w:right w:val="none" w:sz="0" w:space="0" w:color="auto"/>
      </w:divBdr>
    </w:div>
    <w:div w:id="1398092835">
      <w:bodyDiv w:val="1"/>
      <w:marLeft w:val="0"/>
      <w:marRight w:val="0"/>
      <w:marTop w:val="0"/>
      <w:marBottom w:val="0"/>
      <w:divBdr>
        <w:top w:val="none" w:sz="0" w:space="0" w:color="auto"/>
        <w:left w:val="none" w:sz="0" w:space="0" w:color="auto"/>
        <w:bottom w:val="none" w:sz="0" w:space="0" w:color="auto"/>
        <w:right w:val="none" w:sz="0" w:space="0" w:color="auto"/>
      </w:divBdr>
    </w:div>
    <w:div w:id="1427189374">
      <w:bodyDiv w:val="1"/>
      <w:marLeft w:val="0"/>
      <w:marRight w:val="0"/>
      <w:marTop w:val="0"/>
      <w:marBottom w:val="0"/>
      <w:divBdr>
        <w:top w:val="none" w:sz="0" w:space="0" w:color="auto"/>
        <w:left w:val="none" w:sz="0" w:space="0" w:color="auto"/>
        <w:bottom w:val="none" w:sz="0" w:space="0" w:color="auto"/>
        <w:right w:val="none" w:sz="0" w:space="0" w:color="auto"/>
      </w:divBdr>
    </w:div>
    <w:div w:id="1442603189">
      <w:bodyDiv w:val="1"/>
      <w:marLeft w:val="0"/>
      <w:marRight w:val="0"/>
      <w:marTop w:val="0"/>
      <w:marBottom w:val="0"/>
      <w:divBdr>
        <w:top w:val="none" w:sz="0" w:space="0" w:color="auto"/>
        <w:left w:val="none" w:sz="0" w:space="0" w:color="auto"/>
        <w:bottom w:val="none" w:sz="0" w:space="0" w:color="auto"/>
        <w:right w:val="none" w:sz="0" w:space="0" w:color="auto"/>
      </w:divBdr>
    </w:div>
    <w:div w:id="1492871585">
      <w:bodyDiv w:val="1"/>
      <w:marLeft w:val="0"/>
      <w:marRight w:val="0"/>
      <w:marTop w:val="0"/>
      <w:marBottom w:val="0"/>
      <w:divBdr>
        <w:top w:val="none" w:sz="0" w:space="0" w:color="auto"/>
        <w:left w:val="none" w:sz="0" w:space="0" w:color="auto"/>
        <w:bottom w:val="none" w:sz="0" w:space="0" w:color="auto"/>
        <w:right w:val="none" w:sz="0" w:space="0" w:color="auto"/>
      </w:divBdr>
    </w:div>
    <w:div w:id="1499341789">
      <w:bodyDiv w:val="1"/>
      <w:marLeft w:val="0"/>
      <w:marRight w:val="0"/>
      <w:marTop w:val="0"/>
      <w:marBottom w:val="0"/>
      <w:divBdr>
        <w:top w:val="none" w:sz="0" w:space="0" w:color="auto"/>
        <w:left w:val="none" w:sz="0" w:space="0" w:color="auto"/>
        <w:bottom w:val="none" w:sz="0" w:space="0" w:color="auto"/>
        <w:right w:val="none" w:sz="0" w:space="0" w:color="auto"/>
      </w:divBdr>
    </w:div>
    <w:div w:id="1500731739">
      <w:bodyDiv w:val="1"/>
      <w:marLeft w:val="0"/>
      <w:marRight w:val="0"/>
      <w:marTop w:val="0"/>
      <w:marBottom w:val="0"/>
      <w:divBdr>
        <w:top w:val="none" w:sz="0" w:space="0" w:color="auto"/>
        <w:left w:val="none" w:sz="0" w:space="0" w:color="auto"/>
        <w:bottom w:val="none" w:sz="0" w:space="0" w:color="auto"/>
        <w:right w:val="none" w:sz="0" w:space="0" w:color="auto"/>
      </w:divBdr>
    </w:div>
    <w:div w:id="1506285969">
      <w:bodyDiv w:val="1"/>
      <w:marLeft w:val="0"/>
      <w:marRight w:val="0"/>
      <w:marTop w:val="0"/>
      <w:marBottom w:val="0"/>
      <w:divBdr>
        <w:top w:val="none" w:sz="0" w:space="0" w:color="auto"/>
        <w:left w:val="none" w:sz="0" w:space="0" w:color="auto"/>
        <w:bottom w:val="none" w:sz="0" w:space="0" w:color="auto"/>
        <w:right w:val="none" w:sz="0" w:space="0" w:color="auto"/>
      </w:divBdr>
    </w:div>
    <w:div w:id="1543982085">
      <w:bodyDiv w:val="1"/>
      <w:marLeft w:val="0"/>
      <w:marRight w:val="0"/>
      <w:marTop w:val="0"/>
      <w:marBottom w:val="0"/>
      <w:divBdr>
        <w:top w:val="none" w:sz="0" w:space="0" w:color="auto"/>
        <w:left w:val="none" w:sz="0" w:space="0" w:color="auto"/>
        <w:bottom w:val="none" w:sz="0" w:space="0" w:color="auto"/>
        <w:right w:val="none" w:sz="0" w:space="0" w:color="auto"/>
      </w:divBdr>
    </w:div>
    <w:div w:id="1572689964">
      <w:bodyDiv w:val="1"/>
      <w:marLeft w:val="0"/>
      <w:marRight w:val="0"/>
      <w:marTop w:val="0"/>
      <w:marBottom w:val="0"/>
      <w:divBdr>
        <w:top w:val="none" w:sz="0" w:space="0" w:color="auto"/>
        <w:left w:val="none" w:sz="0" w:space="0" w:color="auto"/>
        <w:bottom w:val="none" w:sz="0" w:space="0" w:color="auto"/>
        <w:right w:val="none" w:sz="0" w:space="0" w:color="auto"/>
      </w:divBdr>
    </w:div>
    <w:div w:id="1575239298">
      <w:bodyDiv w:val="1"/>
      <w:marLeft w:val="0"/>
      <w:marRight w:val="0"/>
      <w:marTop w:val="0"/>
      <w:marBottom w:val="0"/>
      <w:divBdr>
        <w:top w:val="none" w:sz="0" w:space="0" w:color="auto"/>
        <w:left w:val="none" w:sz="0" w:space="0" w:color="auto"/>
        <w:bottom w:val="none" w:sz="0" w:space="0" w:color="auto"/>
        <w:right w:val="none" w:sz="0" w:space="0" w:color="auto"/>
      </w:divBdr>
    </w:div>
    <w:div w:id="1586570759">
      <w:bodyDiv w:val="1"/>
      <w:marLeft w:val="0"/>
      <w:marRight w:val="0"/>
      <w:marTop w:val="0"/>
      <w:marBottom w:val="0"/>
      <w:divBdr>
        <w:top w:val="none" w:sz="0" w:space="0" w:color="auto"/>
        <w:left w:val="none" w:sz="0" w:space="0" w:color="auto"/>
        <w:bottom w:val="none" w:sz="0" w:space="0" w:color="auto"/>
        <w:right w:val="none" w:sz="0" w:space="0" w:color="auto"/>
      </w:divBdr>
    </w:div>
    <w:div w:id="1593708216">
      <w:bodyDiv w:val="1"/>
      <w:marLeft w:val="0"/>
      <w:marRight w:val="0"/>
      <w:marTop w:val="0"/>
      <w:marBottom w:val="0"/>
      <w:divBdr>
        <w:top w:val="none" w:sz="0" w:space="0" w:color="auto"/>
        <w:left w:val="none" w:sz="0" w:space="0" w:color="auto"/>
        <w:bottom w:val="none" w:sz="0" w:space="0" w:color="auto"/>
        <w:right w:val="none" w:sz="0" w:space="0" w:color="auto"/>
      </w:divBdr>
    </w:div>
    <w:div w:id="1607076365">
      <w:bodyDiv w:val="1"/>
      <w:marLeft w:val="0"/>
      <w:marRight w:val="0"/>
      <w:marTop w:val="0"/>
      <w:marBottom w:val="0"/>
      <w:divBdr>
        <w:top w:val="none" w:sz="0" w:space="0" w:color="auto"/>
        <w:left w:val="none" w:sz="0" w:space="0" w:color="auto"/>
        <w:bottom w:val="none" w:sz="0" w:space="0" w:color="auto"/>
        <w:right w:val="none" w:sz="0" w:space="0" w:color="auto"/>
      </w:divBdr>
    </w:div>
    <w:div w:id="1644458325">
      <w:bodyDiv w:val="1"/>
      <w:marLeft w:val="0"/>
      <w:marRight w:val="0"/>
      <w:marTop w:val="0"/>
      <w:marBottom w:val="0"/>
      <w:divBdr>
        <w:top w:val="none" w:sz="0" w:space="0" w:color="auto"/>
        <w:left w:val="none" w:sz="0" w:space="0" w:color="auto"/>
        <w:bottom w:val="none" w:sz="0" w:space="0" w:color="auto"/>
        <w:right w:val="none" w:sz="0" w:space="0" w:color="auto"/>
      </w:divBdr>
    </w:div>
    <w:div w:id="1658807061">
      <w:bodyDiv w:val="1"/>
      <w:marLeft w:val="0"/>
      <w:marRight w:val="0"/>
      <w:marTop w:val="0"/>
      <w:marBottom w:val="0"/>
      <w:divBdr>
        <w:top w:val="none" w:sz="0" w:space="0" w:color="auto"/>
        <w:left w:val="none" w:sz="0" w:space="0" w:color="auto"/>
        <w:bottom w:val="none" w:sz="0" w:space="0" w:color="auto"/>
        <w:right w:val="none" w:sz="0" w:space="0" w:color="auto"/>
      </w:divBdr>
    </w:div>
    <w:div w:id="1691562108">
      <w:bodyDiv w:val="1"/>
      <w:marLeft w:val="0"/>
      <w:marRight w:val="0"/>
      <w:marTop w:val="0"/>
      <w:marBottom w:val="0"/>
      <w:divBdr>
        <w:top w:val="none" w:sz="0" w:space="0" w:color="auto"/>
        <w:left w:val="none" w:sz="0" w:space="0" w:color="auto"/>
        <w:bottom w:val="none" w:sz="0" w:space="0" w:color="auto"/>
        <w:right w:val="none" w:sz="0" w:space="0" w:color="auto"/>
      </w:divBdr>
    </w:div>
    <w:div w:id="1710185936">
      <w:bodyDiv w:val="1"/>
      <w:marLeft w:val="0"/>
      <w:marRight w:val="0"/>
      <w:marTop w:val="0"/>
      <w:marBottom w:val="0"/>
      <w:divBdr>
        <w:top w:val="none" w:sz="0" w:space="0" w:color="auto"/>
        <w:left w:val="none" w:sz="0" w:space="0" w:color="auto"/>
        <w:bottom w:val="none" w:sz="0" w:space="0" w:color="auto"/>
        <w:right w:val="none" w:sz="0" w:space="0" w:color="auto"/>
      </w:divBdr>
    </w:div>
    <w:div w:id="1740208090">
      <w:bodyDiv w:val="1"/>
      <w:marLeft w:val="0"/>
      <w:marRight w:val="0"/>
      <w:marTop w:val="0"/>
      <w:marBottom w:val="0"/>
      <w:divBdr>
        <w:top w:val="none" w:sz="0" w:space="0" w:color="auto"/>
        <w:left w:val="none" w:sz="0" w:space="0" w:color="auto"/>
        <w:bottom w:val="none" w:sz="0" w:space="0" w:color="auto"/>
        <w:right w:val="none" w:sz="0" w:space="0" w:color="auto"/>
      </w:divBdr>
    </w:div>
    <w:div w:id="1765346929">
      <w:bodyDiv w:val="1"/>
      <w:marLeft w:val="0"/>
      <w:marRight w:val="0"/>
      <w:marTop w:val="0"/>
      <w:marBottom w:val="0"/>
      <w:divBdr>
        <w:top w:val="none" w:sz="0" w:space="0" w:color="auto"/>
        <w:left w:val="none" w:sz="0" w:space="0" w:color="auto"/>
        <w:bottom w:val="none" w:sz="0" w:space="0" w:color="auto"/>
        <w:right w:val="none" w:sz="0" w:space="0" w:color="auto"/>
      </w:divBdr>
    </w:div>
    <w:div w:id="1835952064">
      <w:bodyDiv w:val="1"/>
      <w:marLeft w:val="0"/>
      <w:marRight w:val="0"/>
      <w:marTop w:val="0"/>
      <w:marBottom w:val="0"/>
      <w:divBdr>
        <w:top w:val="none" w:sz="0" w:space="0" w:color="auto"/>
        <w:left w:val="none" w:sz="0" w:space="0" w:color="auto"/>
        <w:bottom w:val="none" w:sz="0" w:space="0" w:color="auto"/>
        <w:right w:val="none" w:sz="0" w:space="0" w:color="auto"/>
      </w:divBdr>
    </w:div>
    <w:div w:id="1866360103">
      <w:bodyDiv w:val="1"/>
      <w:marLeft w:val="0"/>
      <w:marRight w:val="0"/>
      <w:marTop w:val="0"/>
      <w:marBottom w:val="0"/>
      <w:divBdr>
        <w:top w:val="none" w:sz="0" w:space="0" w:color="auto"/>
        <w:left w:val="none" w:sz="0" w:space="0" w:color="auto"/>
        <w:bottom w:val="none" w:sz="0" w:space="0" w:color="auto"/>
        <w:right w:val="none" w:sz="0" w:space="0" w:color="auto"/>
      </w:divBdr>
    </w:div>
    <w:div w:id="1868909281">
      <w:bodyDiv w:val="1"/>
      <w:marLeft w:val="0"/>
      <w:marRight w:val="0"/>
      <w:marTop w:val="0"/>
      <w:marBottom w:val="0"/>
      <w:divBdr>
        <w:top w:val="none" w:sz="0" w:space="0" w:color="auto"/>
        <w:left w:val="none" w:sz="0" w:space="0" w:color="auto"/>
        <w:bottom w:val="none" w:sz="0" w:space="0" w:color="auto"/>
        <w:right w:val="none" w:sz="0" w:space="0" w:color="auto"/>
      </w:divBdr>
    </w:div>
    <w:div w:id="1879851483">
      <w:bodyDiv w:val="1"/>
      <w:marLeft w:val="0"/>
      <w:marRight w:val="0"/>
      <w:marTop w:val="0"/>
      <w:marBottom w:val="0"/>
      <w:divBdr>
        <w:top w:val="none" w:sz="0" w:space="0" w:color="auto"/>
        <w:left w:val="none" w:sz="0" w:space="0" w:color="auto"/>
        <w:bottom w:val="none" w:sz="0" w:space="0" w:color="auto"/>
        <w:right w:val="none" w:sz="0" w:space="0" w:color="auto"/>
      </w:divBdr>
    </w:div>
    <w:div w:id="1900744419">
      <w:bodyDiv w:val="1"/>
      <w:marLeft w:val="0"/>
      <w:marRight w:val="0"/>
      <w:marTop w:val="0"/>
      <w:marBottom w:val="0"/>
      <w:divBdr>
        <w:top w:val="none" w:sz="0" w:space="0" w:color="auto"/>
        <w:left w:val="none" w:sz="0" w:space="0" w:color="auto"/>
        <w:bottom w:val="none" w:sz="0" w:space="0" w:color="auto"/>
        <w:right w:val="none" w:sz="0" w:space="0" w:color="auto"/>
      </w:divBdr>
    </w:div>
    <w:div w:id="1903834743">
      <w:bodyDiv w:val="1"/>
      <w:marLeft w:val="0"/>
      <w:marRight w:val="0"/>
      <w:marTop w:val="0"/>
      <w:marBottom w:val="0"/>
      <w:divBdr>
        <w:top w:val="none" w:sz="0" w:space="0" w:color="auto"/>
        <w:left w:val="none" w:sz="0" w:space="0" w:color="auto"/>
        <w:bottom w:val="none" w:sz="0" w:space="0" w:color="auto"/>
        <w:right w:val="none" w:sz="0" w:space="0" w:color="auto"/>
      </w:divBdr>
    </w:div>
    <w:div w:id="1913004476">
      <w:bodyDiv w:val="1"/>
      <w:marLeft w:val="0"/>
      <w:marRight w:val="0"/>
      <w:marTop w:val="0"/>
      <w:marBottom w:val="0"/>
      <w:divBdr>
        <w:top w:val="none" w:sz="0" w:space="0" w:color="auto"/>
        <w:left w:val="none" w:sz="0" w:space="0" w:color="auto"/>
        <w:bottom w:val="none" w:sz="0" w:space="0" w:color="auto"/>
        <w:right w:val="none" w:sz="0" w:space="0" w:color="auto"/>
      </w:divBdr>
    </w:div>
    <w:div w:id="1930042164">
      <w:bodyDiv w:val="1"/>
      <w:marLeft w:val="0"/>
      <w:marRight w:val="0"/>
      <w:marTop w:val="0"/>
      <w:marBottom w:val="0"/>
      <w:divBdr>
        <w:top w:val="none" w:sz="0" w:space="0" w:color="auto"/>
        <w:left w:val="none" w:sz="0" w:space="0" w:color="auto"/>
        <w:bottom w:val="none" w:sz="0" w:space="0" w:color="auto"/>
        <w:right w:val="none" w:sz="0" w:space="0" w:color="auto"/>
      </w:divBdr>
    </w:div>
    <w:div w:id="1948661176">
      <w:bodyDiv w:val="1"/>
      <w:marLeft w:val="0"/>
      <w:marRight w:val="0"/>
      <w:marTop w:val="0"/>
      <w:marBottom w:val="0"/>
      <w:divBdr>
        <w:top w:val="none" w:sz="0" w:space="0" w:color="auto"/>
        <w:left w:val="none" w:sz="0" w:space="0" w:color="auto"/>
        <w:bottom w:val="none" w:sz="0" w:space="0" w:color="auto"/>
        <w:right w:val="none" w:sz="0" w:space="0" w:color="auto"/>
      </w:divBdr>
    </w:div>
    <w:div w:id="1988316416">
      <w:bodyDiv w:val="1"/>
      <w:marLeft w:val="0"/>
      <w:marRight w:val="0"/>
      <w:marTop w:val="0"/>
      <w:marBottom w:val="0"/>
      <w:divBdr>
        <w:top w:val="none" w:sz="0" w:space="0" w:color="auto"/>
        <w:left w:val="none" w:sz="0" w:space="0" w:color="auto"/>
        <w:bottom w:val="none" w:sz="0" w:space="0" w:color="auto"/>
        <w:right w:val="none" w:sz="0" w:space="0" w:color="auto"/>
      </w:divBdr>
    </w:div>
    <w:div w:id="1989703122">
      <w:bodyDiv w:val="1"/>
      <w:marLeft w:val="0"/>
      <w:marRight w:val="0"/>
      <w:marTop w:val="0"/>
      <w:marBottom w:val="0"/>
      <w:divBdr>
        <w:top w:val="none" w:sz="0" w:space="0" w:color="auto"/>
        <w:left w:val="none" w:sz="0" w:space="0" w:color="auto"/>
        <w:bottom w:val="none" w:sz="0" w:space="0" w:color="auto"/>
        <w:right w:val="none" w:sz="0" w:space="0" w:color="auto"/>
      </w:divBdr>
    </w:div>
    <w:div w:id="2014137274">
      <w:bodyDiv w:val="1"/>
      <w:marLeft w:val="0"/>
      <w:marRight w:val="0"/>
      <w:marTop w:val="0"/>
      <w:marBottom w:val="0"/>
      <w:divBdr>
        <w:top w:val="none" w:sz="0" w:space="0" w:color="auto"/>
        <w:left w:val="none" w:sz="0" w:space="0" w:color="auto"/>
        <w:bottom w:val="none" w:sz="0" w:space="0" w:color="auto"/>
        <w:right w:val="none" w:sz="0" w:space="0" w:color="auto"/>
      </w:divBdr>
    </w:div>
    <w:div w:id="2019310092">
      <w:bodyDiv w:val="1"/>
      <w:marLeft w:val="0"/>
      <w:marRight w:val="0"/>
      <w:marTop w:val="0"/>
      <w:marBottom w:val="0"/>
      <w:divBdr>
        <w:top w:val="none" w:sz="0" w:space="0" w:color="auto"/>
        <w:left w:val="none" w:sz="0" w:space="0" w:color="auto"/>
        <w:bottom w:val="none" w:sz="0" w:space="0" w:color="auto"/>
        <w:right w:val="none" w:sz="0" w:space="0" w:color="auto"/>
      </w:divBdr>
    </w:div>
    <w:div w:id="2022851660">
      <w:bodyDiv w:val="1"/>
      <w:marLeft w:val="0"/>
      <w:marRight w:val="0"/>
      <w:marTop w:val="0"/>
      <w:marBottom w:val="0"/>
      <w:divBdr>
        <w:top w:val="none" w:sz="0" w:space="0" w:color="auto"/>
        <w:left w:val="none" w:sz="0" w:space="0" w:color="auto"/>
        <w:bottom w:val="none" w:sz="0" w:space="0" w:color="auto"/>
        <w:right w:val="none" w:sz="0" w:space="0" w:color="auto"/>
      </w:divBdr>
    </w:div>
    <w:div w:id="2031183470">
      <w:bodyDiv w:val="1"/>
      <w:marLeft w:val="0"/>
      <w:marRight w:val="0"/>
      <w:marTop w:val="0"/>
      <w:marBottom w:val="0"/>
      <w:divBdr>
        <w:top w:val="none" w:sz="0" w:space="0" w:color="auto"/>
        <w:left w:val="none" w:sz="0" w:space="0" w:color="auto"/>
        <w:bottom w:val="none" w:sz="0" w:space="0" w:color="auto"/>
        <w:right w:val="none" w:sz="0" w:space="0" w:color="auto"/>
      </w:divBdr>
    </w:div>
    <w:div w:id="2048682035">
      <w:bodyDiv w:val="1"/>
      <w:marLeft w:val="0"/>
      <w:marRight w:val="0"/>
      <w:marTop w:val="0"/>
      <w:marBottom w:val="0"/>
      <w:divBdr>
        <w:top w:val="none" w:sz="0" w:space="0" w:color="auto"/>
        <w:left w:val="none" w:sz="0" w:space="0" w:color="auto"/>
        <w:bottom w:val="none" w:sz="0" w:space="0" w:color="auto"/>
        <w:right w:val="none" w:sz="0" w:space="0" w:color="auto"/>
      </w:divBdr>
    </w:div>
    <w:div w:id="2067021353">
      <w:bodyDiv w:val="1"/>
      <w:marLeft w:val="0"/>
      <w:marRight w:val="0"/>
      <w:marTop w:val="0"/>
      <w:marBottom w:val="0"/>
      <w:divBdr>
        <w:top w:val="none" w:sz="0" w:space="0" w:color="auto"/>
        <w:left w:val="none" w:sz="0" w:space="0" w:color="auto"/>
        <w:bottom w:val="none" w:sz="0" w:space="0" w:color="auto"/>
        <w:right w:val="none" w:sz="0" w:space="0" w:color="auto"/>
      </w:divBdr>
    </w:div>
    <w:div w:id="2070759187">
      <w:bodyDiv w:val="1"/>
      <w:marLeft w:val="0"/>
      <w:marRight w:val="0"/>
      <w:marTop w:val="0"/>
      <w:marBottom w:val="0"/>
      <w:divBdr>
        <w:top w:val="none" w:sz="0" w:space="0" w:color="auto"/>
        <w:left w:val="none" w:sz="0" w:space="0" w:color="auto"/>
        <w:bottom w:val="none" w:sz="0" w:space="0" w:color="auto"/>
        <w:right w:val="none" w:sz="0" w:space="0" w:color="auto"/>
      </w:divBdr>
    </w:div>
    <w:div w:id="2084797514">
      <w:bodyDiv w:val="1"/>
      <w:marLeft w:val="0"/>
      <w:marRight w:val="0"/>
      <w:marTop w:val="0"/>
      <w:marBottom w:val="0"/>
      <w:divBdr>
        <w:top w:val="none" w:sz="0" w:space="0" w:color="auto"/>
        <w:left w:val="none" w:sz="0" w:space="0" w:color="auto"/>
        <w:bottom w:val="none" w:sz="0" w:space="0" w:color="auto"/>
        <w:right w:val="none" w:sz="0" w:space="0" w:color="auto"/>
      </w:divBdr>
    </w:div>
    <w:div w:id="2134133994">
      <w:bodyDiv w:val="1"/>
      <w:marLeft w:val="0"/>
      <w:marRight w:val="0"/>
      <w:marTop w:val="0"/>
      <w:marBottom w:val="0"/>
      <w:divBdr>
        <w:top w:val="none" w:sz="0" w:space="0" w:color="auto"/>
        <w:left w:val="none" w:sz="0" w:space="0" w:color="auto"/>
        <w:bottom w:val="none" w:sz="0" w:space="0" w:color="auto"/>
        <w:right w:val="none" w:sz="0" w:space="0" w:color="auto"/>
      </w:divBdr>
    </w:div>
    <w:div w:id="21407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Anh Vuong Thi Tram</cp:lastModifiedBy>
  <cp:revision>2</cp:revision>
  <dcterms:created xsi:type="dcterms:W3CDTF">2017-10-17T10:13:00Z</dcterms:created>
  <dcterms:modified xsi:type="dcterms:W3CDTF">2017-10-17T10:13:00Z</dcterms:modified>
</cp:coreProperties>
</file>